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078503">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0" w:firstLineChars="0"/>
        <w:jc w:val="center"/>
        <w:textAlignment w:val="auto"/>
        <w:outlineLvl w:val="9"/>
        <w:rPr>
          <w:rFonts w:ascii="微软雅黑" w:hAnsi="微软雅黑" w:eastAsia="微软雅黑" w:cs="微软雅黑"/>
          <w:color w:val="auto"/>
          <w:sz w:val="30"/>
          <w:szCs w:val="30"/>
          <w:lang w:val="en-US" w:eastAsia="zh-CN" w:bidi="ar-SA"/>
        </w:rPr>
      </w:pPr>
    </w:p>
    <w:p w14:paraId="38A41D9D">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leftChars="0" w:right="0" w:rightChars="0" w:firstLine="0" w:firstLineChars="0"/>
        <w:jc w:val="center"/>
        <w:textAlignment w:val="auto"/>
        <w:outlineLvl w:val="0"/>
        <w:rPr>
          <w:rFonts w:ascii="微软雅黑" w:hAnsi="微软雅黑" w:eastAsia="微软雅黑" w:cs="微软雅黑"/>
          <w:color w:val="auto"/>
          <w:sz w:val="72"/>
          <w:szCs w:val="72"/>
          <w:lang w:val="en-US" w:eastAsia="zh-CN" w:bidi="ar-SA"/>
        </w:rPr>
      </w:pPr>
      <w:bookmarkStart w:id="0" w:name="_Toc18017"/>
      <w:r>
        <w:rPr>
          <w:rFonts w:ascii="微软雅黑" w:hAnsi="微软雅黑" w:eastAsia="微软雅黑" w:cs="微软雅黑"/>
          <w:color w:val="auto"/>
          <w:sz w:val="72"/>
          <w:szCs w:val="72"/>
          <w:lang w:val="en-US" w:eastAsia="zh-CN" w:bidi="ar-SA"/>
        </w:rPr>
        <w:t>建设项目环境影响报告表</w:t>
      </w:r>
      <w:bookmarkEnd w:id="0"/>
    </w:p>
    <w:p w14:paraId="3DE4194C">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right="0" w:firstLine="0" w:firstLineChars="0"/>
        <w:jc w:val="center"/>
        <w:textAlignment w:val="auto"/>
        <w:rPr>
          <w:rFonts w:hint="eastAsia" w:ascii="楷体" w:hAnsi="Times New Roman" w:eastAsia="楷体" w:cs="宋体"/>
          <w:color w:val="auto"/>
          <w:sz w:val="48"/>
        </w:rPr>
      </w:pPr>
      <w:r>
        <w:rPr>
          <w:rFonts w:hint="eastAsia" w:ascii="楷体" w:hAnsi="Times New Roman" w:eastAsia="楷体" w:cs="宋体"/>
          <w:color w:val="auto"/>
          <w:sz w:val="48"/>
        </w:rPr>
        <w:t>（</w:t>
      </w:r>
      <w:r>
        <w:rPr>
          <w:rFonts w:hint="eastAsia" w:ascii="楷体" w:eastAsia="楷体" w:cs="宋体"/>
          <w:color w:val="auto"/>
          <w:sz w:val="48"/>
          <w:lang w:val="en-US" w:eastAsia="zh-CN"/>
        </w:rPr>
        <w:t>污染影响类</w:t>
      </w:r>
      <w:r>
        <w:rPr>
          <w:rFonts w:hint="eastAsia" w:ascii="楷体" w:hAnsi="Times New Roman" w:eastAsia="楷体" w:cs="宋体"/>
          <w:color w:val="auto"/>
          <w:sz w:val="48"/>
        </w:rPr>
        <w:t>）</w:t>
      </w:r>
    </w:p>
    <w:p w14:paraId="1D13380C">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4F71DB8C">
      <w:pPr>
        <w:overflowPunct w:val="0"/>
        <w:autoSpaceDE w:val="0"/>
        <w:autoSpaceDN w:val="0"/>
        <w:adjustRightInd w:val="0"/>
        <w:snapToGrid w:val="0"/>
        <w:spacing w:before="0" w:after="0" w:line="500" w:lineRule="exact"/>
        <w:ind w:left="0" w:leftChars="0" w:right="0" w:firstLine="0" w:firstLineChars="0"/>
        <w:jc w:val="center"/>
        <w:rPr>
          <w:rFonts w:hint="eastAsia" w:ascii="Times New Roman" w:hAnsi="Times New Roman" w:eastAsia="宋体" w:cs="Times New Roman"/>
          <w:b w:val="0"/>
          <w:bCs w:val="0"/>
          <w:color w:val="auto"/>
          <w:spacing w:val="-4"/>
          <w:sz w:val="28"/>
          <w:szCs w:val="28"/>
          <w:u w:val="none"/>
          <w:lang w:val="en-US" w:eastAsia="zh-CN"/>
        </w:rPr>
      </w:pPr>
      <w:r>
        <w:rPr>
          <w:rFonts w:hint="eastAsia" w:ascii="Times New Roman" w:hAnsi="Times New Roman" w:eastAsia="宋体" w:cs="Times New Roman"/>
          <w:b w:val="0"/>
          <w:bCs w:val="0"/>
          <w:color w:val="auto"/>
          <w:spacing w:val="-4"/>
          <w:sz w:val="28"/>
          <w:szCs w:val="28"/>
          <w:u w:val="none"/>
          <w:lang w:val="en-US" w:eastAsia="zh-CN"/>
        </w:rPr>
        <w:t>（</w:t>
      </w:r>
      <w:r>
        <w:rPr>
          <w:rFonts w:hint="eastAsia" w:cs="Times New Roman"/>
          <w:b w:val="0"/>
          <w:bCs w:val="0"/>
          <w:color w:val="auto"/>
          <w:spacing w:val="-4"/>
          <w:sz w:val="28"/>
          <w:szCs w:val="28"/>
          <w:u w:val="none"/>
          <w:lang w:val="en-US" w:eastAsia="zh-CN"/>
        </w:rPr>
        <w:t>送审</w:t>
      </w:r>
      <w:r>
        <w:rPr>
          <w:rFonts w:hint="eastAsia" w:ascii="Times New Roman" w:hAnsi="Times New Roman" w:eastAsia="宋体" w:cs="Times New Roman"/>
          <w:b w:val="0"/>
          <w:bCs w:val="0"/>
          <w:color w:val="auto"/>
          <w:spacing w:val="-4"/>
          <w:sz w:val="28"/>
          <w:szCs w:val="28"/>
          <w:u w:val="none"/>
          <w:lang w:val="en-US" w:eastAsia="zh-CN"/>
        </w:rPr>
        <w:t>稿）</w:t>
      </w:r>
    </w:p>
    <w:p w14:paraId="1C8B9919">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0C0A1D17">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3FEE041D">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6D254F07">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019DF153">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53063443">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570E8674">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66815567">
      <w:pPr>
        <w:widowControl w:val="0"/>
        <w:overflowPunct w:val="0"/>
        <w:autoSpaceDE w:val="0"/>
        <w:autoSpaceDN w:val="0"/>
        <w:adjustRightInd w:val="0"/>
        <w:snapToGrid w:val="0"/>
        <w:spacing w:before="0" w:after="0" w:line="400" w:lineRule="exact"/>
        <w:ind w:left="0" w:right="0" w:firstLine="0" w:firstLineChars="0"/>
        <w:jc w:val="center"/>
        <w:rPr>
          <w:rFonts w:hint="eastAsia" w:ascii="楷体" w:hAnsi="Times New Roman" w:eastAsia="楷体" w:cs="宋体"/>
          <w:color w:val="auto"/>
          <w:sz w:val="48"/>
          <w:szCs w:val="24"/>
          <w:lang w:val="en-US" w:eastAsia="zh-CN" w:bidi="ar-SA"/>
        </w:rPr>
      </w:pPr>
    </w:p>
    <w:p w14:paraId="70086B21">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79" w:leftChars="0" w:right="0" w:firstLine="0" w:firstLineChars="0"/>
        <w:jc w:val="left"/>
        <w:textAlignment w:val="auto"/>
        <w:rPr>
          <w:rFonts w:hint="default" w:cs="Times New Roman"/>
          <w:b w:val="0"/>
          <w:bCs w:val="0"/>
          <w:color w:val="auto"/>
          <w:spacing w:val="-10"/>
          <w:sz w:val="28"/>
          <w:szCs w:val="28"/>
          <w:u w:val="single"/>
          <w:lang w:val="en-US" w:eastAsia="zh-CN"/>
        </w:rPr>
      </w:pPr>
      <w:r>
        <w:rPr>
          <w:rFonts w:hint="default" w:ascii="Times New Roman" w:hAnsi="Times New Roman" w:eastAsia="宋体" w:cs="Times New Roman"/>
          <w:b w:val="0"/>
          <w:bCs w:val="0"/>
          <w:color w:val="auto"/>
          <w:spacing w:val="-10"/>
          <w:sz w:val="28"/>
          <w:szCs w:val="28"/>
        </w:rPr>
        <w:t>项目名称</w:t>
      </w:r>
      <w:r>
        <w:rPr>
          <w:rFonts w:hint="eastAsia" w:cs="Times New Roman"/>
          <w:b w:val="0"/>
          <w:bCs w:val="0"/>
          <w:color w:val="auto"/>
          <w:spacing w:val="-10"/>
          <w:sz w:val="28"/>
          <w:szCs w:val="28"/>
          <w:lang w:eastAsia="zh-CN"/>
        </w:rPr>
        <w:t>：</w:t>
      </w:r>
      <w:r>
        <w:rPr>
          <w:rFonts w:hint="eastAsia" w:cs="Times New Roman"/>
          <w:b w:val="0"/>
          <w:bCs w:val="0"/>
          <w:color w:val="auto"/>
          <w:spacing w:val="-10"/>
          <w:sz w:val="28"/>
          <w:szCs w:val="28"/>
          <w:u w:val="single"/>
          <w:lang w:val="en-US" w:eastAsia="zh-CN"/>
        </w:rPr>
        <w:t xml:space="preserve">       胡杨河东智果业有限公司年产7000吨浓缩葡萄计、          </w:t>
      </w:r>
    </w:p>
    <w:p w14:paraId="39E6E568">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79" w:leftChars="0" w:right="0" w:firstLine="0" w:firstLineChars="0"/>
        <w:jc w:val="left"/>
        <w:textAlignment w:val="auto"/>
        <w:rPr>
          <w:rFonts w:hint="default" w:cs="Times New Roman"/>
          <w:b w:val="0"/>
          <w:bCs w:val="0"/>
          <w:color w:val="auto"/>
          <w:spacing w:val="-10"/>
          <w:sz w:val="28"/>
          <w:szCs w:val="28"/>
          <w:u w:val="single"/>
          <w:lang w:val="en-US" w:eastAsia="zh-CN"/>
        </w:rPr>
      </w:pPr>
      <w:r>
        <w:rPr>
          <w:rFonts w:hint="eastAsia" w:cs="Times New Roman"/>
          <w:b w:val="0"/>
          <w:bCs w:val="0"/>
          <w:color w:val="auto"/>
          <w:spacing w:val="-10"/>
          <w:sz w:val="28"/>
          <w:szCs w:val="28"/>
          <w:u w:val="single"/>
          <w:lang w:val="en-US" w:eastAsia="zh-CN"/>
        </w:rPr>
        <w:t xml:space="preserve">                              葡萄果糖厂建设项目                     </w:t>
      </w:r>
    </w:p>
    <w:p w14:paraId="1AC8A61B">
      <w:pPr>
        <w:overflowPunct w:val="0"/>
        <w:autoSpaceDE w:val="0"/>
        <w:autoSpaceDN w:val="0"/>
        <w:adjustRightInd w:val="0"/>
        <w:snapToGrid w:val="0"/>
        <w:spacing w:before="0" w:after="0" w:line="500" w:lineRule="exact"/>
        <w:ind w:left="0" w:leftChars="0" w:right="0" w:firstLine="0" w:firstLineChars="0"/>
        <w:jc w:val="left"/>
        <w:rPr>
          <w:rFonts w:hint="default" w:ascii="Times New Roman" w:hAnsi="Times New Roman" w:eastAsia="宋体" w:cs="Times New Roman"/>
          <w:b w:val="0"/>
          <w:bCs w:val="0"/>
          <w:color w:val="auto"/>
          <w:sz w:val="28"/>
          <w:szCs w:val="28"/>
          <w:u w:val="single"/>
        </w:rPr>
      </w:pPr>
      <w:r>
        <w:rPr>
          <w:rFonts w:hint="default" w:ascii="Times New Roman" w:hAnsi="Times New Roman" w:eastAsia="宋体" w:cs="Times New Roman"/>
          <w:b w:val="0"/>
          <w:bCs w:val="0"/>
          <w:color w:val="auto"/>
          <w:spacing w:val="-4"/>
          <w:sz w:val="28"/>
          <w:szCs w:val="28"/>
        </w:rPr>
        <w:t>建设单位（盖章）：</w:t>
      </w:r>
      <w:r>
        <w:rPr>
          <w:rFonts w:hint="eastAsia" w:cs="Times New Roman"/>
          <w:b w:val="0"/>
          <w:bCs w:val="0"/>
          <w:color w:val="auto"/>
          <w:spacing w:val="-4"/>
          <w:sz w:val="28"/>
          <w:szCs w:val="28"/>
          <w:u w:val="single"/>
          <w:lang w:val="en-US" w:eastAsia="zh-CN"/>
        </w:rPr>
        <w:t xml:space="preserve">      胡杨河东智果业有限公司</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default" w:eastAsia="宋体"/>
          <w:b w:val="0"/>
          <w:bCs/>
          <w:color w:val="auto"/>
          <w:sz w:val="28"/>
          <w:szCs w:val="28"/>
          <w:lang w:val="en-US" w:eastAsia="zh-CN"/>
        </w:rPr>
        <w:drawing>
          <wp:anchor distT="0" distB="0" distL="114300" distR="114300" simplePos="0" relativeHeight="251659264" behindDoc="1" locked="0" layoutInCell="1" allowOverlap="1">
            <wp:simplePos x="0" y="0"/>
            <wp:positionH relativeFrom="column">
              <wp:posOffset>5528310</wp:posOffset>
            </wp:positionH>
            <wp:positionV relativeFrom="paragraph">
              <wp:posOffset>6048375</wp:posOffset>
            </wp:positionV>
            <wp:extent cx="1510030" cy="1511935"/>
            <wp:effectExtent l="0" t="0" r="13970" b="12065"/>
            <wp:wrapNone/>
            <wp:docPr id="50" name="图片 2" descr=")]UE2%3{LOH{`]KW`@$~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UE2%3{LOH{`]KW`@$~EX6"/>
                    <pic:cNvPicPr>
                      <a:picLocks noChangeAspect="1"/>
                    </pic:cNvPicPr>
                  </pic:nvPicPr>
                  <pic:blipFill>
                    <a:blip r:embed="rId16"/>
                    <a:stretch>
                      <a:fillRect/>
                    </a:stretch>
                  </pic:blipFill>
                  <pic:spPr>
                    <a:xfrm>
                      <a:off x="0" y="0"/>
                      <a:ext cx="1510030" cy="1511935"/>
                    </a:xfrm>
                    <a:prstGeom prst="rect">
                      <a:avLst/>
                    </a:prstGeom>
                    <a:noFill/>
                    <a:ln>
                      <a:noFill/>
                    </a:ln>
                  </pic:spPr>
                </pic:pic>
              </a:graphicData>
            </a:graphic>
          </wp:anchor>
        </w:drawing>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eastAsia" w:cs="Times New Roman"/>
          <w:b w:val="0"/>
          <w:bCs w:val="0"/>
          <w:color w:val="auto"/>
          <w:spacing w:val="-4"/>
          <w:sz w:val="28"/>
          <w:szCs w:val="28"/>
          <w:u w:val="single"/>
          <w:lang w:val="en-US" w:eastAsia="zh-CN"/>
        </w:rPr>
        <w:t xml:space="preserve">                            </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default" w:ascii="Times New Roman" w:hAnsi="Times New Roman" w:eastAsia="宋体" w:cs="Times New Roman"/>
          <w:b w:val="0"/>
          <w:bCs w:val="0"/>
          <w:color w:val="auto"/>
          <w:sz w:val="28"/>
          <w:szCs w:val="28"/>
          <w:u w:val="single"/>
        </w:rPr>
        <w:t xml:space="preserve"> </w:t>
      </w:r>
      <w:r>
        <w:rPr>
          <w:rFonts w:hint="default" w:ascii="Times New Roman" w:hAnsi="Times New Roman" w:eastAsia="宋体" w:cs="Times New Roman"/>
          <w:b w:val="0"/>
          <w:bCs w:val="0"/>
          <w:color w:val="auto"/>
          <w:sz w:val="28"/>
          <w:szCs w:val="28"/>
          <w:u w:val="single"/>
          <w:lang w:val="en-US" w:eastAsia="zh-CN"/>
        </w:rPr>
        <w:t xml:space="preserve">      </w:t>
      </w:r>
      <w:r>
        <w:rPr>
          <w:rFonts w:hint="default" w:ascii="Times New Roman" w:hAnsi="Times New Roman" w:eastAsia="宋体" w:cs="Times New Roman"/>
          <w:b w:val="0"/>
          <w:bCs w:val="0"/>
          <w:color w:val="auto"/>
          <w:sz w:val="28"/>
          <w:szCs w:val="28"/>
          <w:u w:val="single"/>
        </w:rPr>
        <w:t xml:space="preserve"> </w:t>
      </w:r>
    </w:p>
    <w:p w14:paraId="3F3CD414">
      <w:pPr>
        <w:overflowPunct w:val="0"/>
        <w:autoSpaceDE w:val="0"/>
        <w:autoSpaceDN w:val="0"/>
        <w:adjustRightInd w:val="0"/>
        <w:snapToGrid w:val="0"/>
        <w:spacing w:before="0" w:after="0" w:line="500" w:lineRule="exact"/>
        <w:ind w:left="0" w:leftChars="0" w:right="0" w:firstLine="0" w:firstLineChars="0"/>
        <w:jc w:val="left"/>
        <w:rPr>
          <w:rFonts w:hint="default" w:ascii="宋体" w:hAnsi="宋体" w:eastAsia="宋体" w:cs="宋体"/>
          <w:b w:val="0"/>
          <w:bCs w:val="0"/>
          <w:color w:val="auto"/>
          <w:spacing w:val="-4"/>
          <w:sz w:val="28"/>
          <w:szCs w:val="28"/>
          <w:u w:val="single"/>
          <w:lang w:val="en-US" w:eastAsia="zh-CN"/>
        </w:rPr>
      </w:pPr>
      <w:r>
        <w:rPr>
          <w:rFonts w:hint="default" w:ascii="Times New Roman" w:hAnsi="Times New Roman" w:eastAsia="宋体" w:cs="Times New Roman"/>
          <w:b w:val="0"/>
          <w:bCs w:val="0"/>
          <w:color w:val="auto"/>
          <w:spacing w:val="-4"/>
          <w:sz w:val="28"/>
          <w:szCs w:val="28"/>
          <w:lang w:val="en-US" w:eastAsia="zh-CN"/>
        </w:rPr>
        <w:t>编制日期：</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eastAsia" w:cs="Times New Roman"/>
          <w:b w:val="0"/>
          <w:bCs w:val="0"/>
          <w:color w:val="auto"/>
          <w:spacing w:val="-4"/>
          <w:sz w:val="28"/>
          <w:szCs w:val="28"/>
          <w:u w:val="single"/>
          <w:lang w:val="en-US" w:eastAsia="zh-CN"/>
        </w:rPr>
        <w:t xml:space="preserve"> </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eastAsia" w:cs="Times New Roman"/>
          <w:b w:val="0"/>
          <w:bCs w:val="0"/>
          <w:color w:val="auto"/>
          <w:spacing w:val="-4"/>
          <w:sz w:val="28"/>
          <w:szCs w:val="28"/>
          <w:u w:val="single"/>
          <w:lang w:val="en-US" w:eastAsia="zh-CN"/>
        </w:rPr>
        <w:t xml:space="preserve"> </w:t>
      </w:r>
      <w:r>
        <w:rPr>
          <w:rFonts w:hint="default" w:ascii="Times New Roman" w:hAnsi="Times New Roman" w:eastAsia="宋体" w:cs="Times New Roman"/>
          <w:b w:val="0"/>
          <w:bCs w:val="0"/>
          <w:color w:val="auto"/>
          <w:spacing w:val="-4"/>
          <w:sz w:val="28"/>
          <w:szCs w:val="28"/>
          <w:u w:val="single"/>
        </w:rPr>
        <w:t>20</w:t>
      </w:r>
      <w:r>
        <w:rPr>
          <w:rFonts w:hint="eastAsia" w:cs="Times New Roman"/>
          <w:b w:val="0"/>
          <w:bCs w:val="0"/>
          <w:color w:val="auto"/>
          <w:spacing w:val="-4"/>
          <w:sz w:val="28"/>
          <w:szCs w:val="28"/>
          <w:u w:val="single"/>
          <w:lang w:val="en-US" w:eastAsia="zh-CN"/>
        </w:rPr>
        <w:t>24</w:t>
      </w:r>
      <w:r>
        <w:rPr>
          <w:rFonts w:hint="default" w:ascii="Times New Roman" w:hAnsi="Times New Roman" w:eastAsia="宋体" w:cs="Times New Roman"/>
          <w:b w:val="0"/>
          <w:bCs w:val="0"/>
          <w:color w:val="auto"/>
          <w:spacing w:val="-4"/>
          <w:sz w:val="28"/>
          <w:szCs w:val="28"/>
          <w:u w:val="single"/>
        </w:rPr>
        <w:t>年</w:t>
      </w:r>
      <w:r>
        <w:rPr>
          <w:rFonts w:hint="eastAsia" w:cs="Times New Roman"/>
          <w:b w:val="0"/>
          <w:bCs w:val="0"/>
          <w:color w:val="auto"/>
          <w:spacing w:val="-4"/>
          <w:sz w:val="28"/>
          <w:szCs w:val="28"/>
          <w:u w:val="single"/>
          <w:lang w:val="en-US" w:eastAsia="zh-CN"/>
        </w:rPr>
        <w:t>5</w:t>
      </w:r>
      <w:r>
        <w:rPr>
          <w:rFonts w:hint="default" w:ascii="Times New Roman" w:hAnsi="Times New Roman" w:eastAsia="宋体" w:cs="Times New Roman"/>
          <w:b w:val="0"/>
          <w:bCs w:val="0"/>
          <w:color w:val="auto"/>
          <w:spacing w:val="-4"/>
          <w:sz w:val="28"/>
          <w:szCs w:val="28"/>
          <w:u w:val="single"/>
        </w:rPr>
        <w:t>月</w:t>
      </w:r>
      <w:r>
        <w:rPr>
          <w:rFonts w:hint="default" w:ascii="Times New Roman" w:hAnsi="Times New Roman" w:eastAsia="宋体" w:cs="Times New Roman"/>
          <w:b w:val="0"/>
          <w:bCs w:val="0"/>
          <w:color w:val="auto"/>
          <w:spacing w:val="-4"/>
          <w:sz w:val="28"/>
          <w:szCs w:val="28"/>
          <w:u w:val="single"/>
          <w:lang w:val="en-US" w:eastAsia="zh-CN"/>
        </w:rPr>
        <w:t xml:space="preserve">     </w:t>
      </w:r>
      <w:r>
        <w:rPr>
          <w:rFonts w:hint="eastAsia" w:ascii="宋体" w:hAnsi="宋体" w:eastAsia="宋体" w:cs="宋体"/>
          <w:b w:val="0"/>
          <w:bCs w:val="0"/>
          <w:color w:val="auto"/>
          <w:spacing w:val="-4"/>
          <w:sz w:val="28"/>
          <w:szCs w:val="28"/>
          <w:u w:val="single"/>
          <w:lang w:val="en-US" w:eastAsia="zh-CN"/>
        </w:rPr>
        <w:t xml:space="preserve">     </w:t>
      </w:r>
      <w:r>
        <w:rPr>
          <w:rFonts w:hint="eastAsia" w:ascii="宋体" w:hAnsi="宋体" w:cs="宋体"/>
          <w:b w:val="0"/>
          <w:bCs w:val="0"/>
          <w:color w:val="auto"/>
          <w:spacing w:val="-4"/>
          <w:sz w:val="28"/>
          <w:szCs w:val="28"/>
          <w:u w:val="single"/>
          <w:lang w:val="en-US" w:eastAsia="zh-CN"/>
        </w:rPr>
        <w:t xml:space="preserve">                       </w:t>
      </w:r>
      <w:r>
        <w:rPr>
          <w:rFonts w:hint="eastAsia" w:ascii="宋体" w:hAnsi="宋体" w:eastAsia="宋体" w:cs="宋体"/>
          <w:b w:val="0"/>
          <w:bCs w:val="0"/>
          <w:color w:val="auto"/>
          <w:spacing w:val="-4"/>
          <w:sz w:val="28"/>
          <w:szCs w:val="28"/>
          <w:u w:val="single"/>
          <w:lang w:val="en-US" w:eastAsia="zh-CN"/>
        </w:rPr>
        <w:t xml:space="preserve">    </w:t>
      </w:r>
      <w:r>
        <w:rPr>
          <w:rFonts w:hint="eastAsia" w:ascii="宋体" w:hAnsi="宋体" w:cs="宋体"/>
          <w:b w:val="0"/>
          <w:bCs w:val="0"/>
          <w:color w:val="auto"/>
          <w:spacing w:val="-4"/>
          <w:sz w:val="28"/>
          <w:szCs w:val="28"/>
          <w:u w:val="single"/>
          <w:lang w:val="en-US" w:eastAsia="zh-CN"/>
        </w:rPr>
        <w:t xml:space="preserve">                </w:t>
      </w:r>
      <w:r>
        <w:rPr>
          <w:rFonts w:hint="eastAsia" w:ascii="宋体" w:hAnsi="宋体" w:eastAsia="宋体" w:cs="宋体"/>
          <w:b w:val="0"/>
          <w:bCs w:val="0"/>
          <w:color w:val="auto"/>
          <w:spacing w:val="-4"/>
          <w:sz w:val="28"/>
          <w:szCs w:val="28"/>
          <w:u w:val="single"/>
          <w:lang w:val="en-US" w:eastAsia="zh-CN"/>
        </w:rPr>
        <w:t xml:space="preserve">          </w:t>
      </w:r>
    </w:p>
    <w:p w14:paraId="7EBEEDA9">
      <w:pPr>
        <w:overflowPunct w:val="0"/>
        <w:autoSpaceDE w:val="0"/>
        <w:autoSpaceDN w:val="0"/>
        <w:adjustRightInd w:val="0"/>
        <w:snapToGrid w:val="0"/>
        <w:spacing w:before="0" w:after="0" w:line="360" w:lineRule="auto"/>
        <w:ind w:left="0" w:right="0" w:firstLine="643" w:firstLineChars="200"/>
        <w:jc w:val="left"/>
        <w:rPr>
          <w:rFonts w:hint="default" w:ascii="宋体" w:hAnsi="宋体" w:eastAsia="宋体" w:cs="宋体"/>
          <w:b/>
          <w:bCs/>
          <w:color w:val="auto"/>
          <w:sz w:val="32"/>
          <w:szCs w:val="32"/>
          <w:u w:val="none"/>
          <w:lang w:val="en-US" w:eastAsia="zh-CN"/>
        </w:rPr>
      </w:pPr>
    </w:p>
    <w:p w14:paraId="56F54738">
      <w:pPr>
        <w:overflowPunct w:val="0"/>
        <w:autoSpaceDE w:val="0"/>
        <w:autoSpaceDN w:val="0"/>
        <w:adjustRightInd w:val="0"/>
        <w:snapToGrid w:val="0"/>
        <w:spacing w:before="0" w:after="0" w:line="360" w:lineRule="auto"/>
        <w:ind w:left="0" w:right="0" w:firstLine="560" w:firstLineChars="200"/>
        <w:jc w:val="left"/>
        <w:rPr>
          <w:rFonts w:ascii="宋体" w:hAnsi="宋体" w:eastAsia="宋体" w:cs="宋体"/>
          <w:color w:val="auto"/>
          <w:sz w:val="28"/>
        </w:rPr>
      </w:pPr>
    </w:p>
    <w:p w14:paraId="7FF386DC">
      <w:pPr>
        <w:widowControl w:val="0"/>
        <w:overflowPunct w:val="0"/>
        <w:autoSpaceDE w:val="0"/>
        <w:autoSpaceDN w:val="0"/>
        <w:adjustRightInd w:val="0"/>
        <w:snapToGrid w:val="0"/>
        <w:spacing w:before="0" w:after="0" w:line="360" w:lineRule="exact"/>
        <w:ind w:left="0" w:right="0" w:firstLine="560" w:firstLineChars="200"/>
        <w:jc w:val="center"/>
        <w:rPr>
          <w:rFonts w:hint="eastAsia" w:ascii="宋体" w:hAnsi="宋体" w:eastAsia="宋体" w:cs="宋体"/>
          <w:snapToGrid w:val="0"/>
          <w:color w:val="auto"/>
          <w:sz w:val="28"/>
          <w:szCs w:val="21"/>
          <w:lang w:val="en-US" w:eastAsia="zh-CN" w:bidi="ar-SA"/>
        </w:rPr>
      </w:pPr>
      <w:r>
        <w:rPr>
          <w:rFonts w:hint="eastAsia" w:ascii="宋体" w:hAnsi="宋体" w:eastAsia="宋体" w:cs="宋体"/>
          <w:snapToGrid w:val="0"/>
          <w:color w:val="auto"/>
          <w:sz w:val="28"/>
          <w:szCs w:val="21"/>
          <w:lang w:val="en-US" w:eastAsia="zh-CN" w:bidi="ar-SA"/>
        </w:rPr>
        <w:t xml:space="preserve"> </w:t>
      </w:r>
    </w:p>
    <w:p w14:paraId="10A823C4">
      <w:pPr>
        <w:widowControl w:val="0"/>
        <w:overflowPunct w:val="0"/>
        <w:autoSpaceDE w:val="0"/>
        <w:autoSpaceDN w:val="0"/>
        <w:adjustRightInd w:val="0"/>
        <w:snapToGrid w:val="0"/>
        <w:spacing w:before="0" w:after="0" w:line="360" w:lineRule="exact"/>
        <w:ind w:left="0" w:right="0" w:firstLine="560" w:firstLineChars="200"/>
        <w:jc w:val="center"/>
        <w:rPr>
          <w:rFonts w:hint="eastAsia" w:ascii="宋体" w:hAnsi="宋体" w:eastAsia="宋体" w:cs="宋体"/>
          <w:snapToGrid w:val="0"/>
          <w:color w:val="auto"/>
          <w:sz w:val="28"/>
          <w:szCs w:val="21"/>
          <w:lang w:val="en-US" w:eastAsia="zh-CN" w:bidi="ar-SA"/>
        </w:rPr>
      </w:pPr>
    </w:p>
    <w:p w14:paraId="6B00EC7D">
      <w:pPr>
        <w:widowControl w:val="0"/>
        <w:overflowPunct w:val="0"/>
        <w:autoSpaceDE w:val="0"/>
        <w:autoSpaceDN w:val="0"/>
        <w:adjustRightInd w:val="0"/>
        <w:snapToGrid w:val="0"/>
        <w:spacing w:before="0" w:after="0" w:line="360" w:lineRule="exact"/>
        <w:ind w:left="0" w:right="0" w:firstLine="560" w:firstLineChars="200"/>
        <w:jc w:val="center"/>
        <w:rPr>
          <w:rFonts w:ascii="宋体" w:hAnsi="宋体" w:eastAsia="宋体" w:cs="宋体"/>
          <w:snapToGrid w:val="0"/>
          <w:color w:val="auto"/>
          <w:sz w:val="28"/>
          <w:szCs w:val="21"/>
          <w:lang w:val="en-US" w:eastAsia="zh-CN" w:bidi="ar-SA"/>
        </w:rPr>
      </w:pPr>
    </w:p>
    <w:p w14:paraId="029A3F9C">
      <w:pPr>
        <w:overflowPunct w:val="0"/>
        <w:autoSpaceDE w:val="0"/>
        <w:autoSpaceDN w:val="0"/>
        <w:adjustRightInd w:val="0"/>
        <w:snapToGrid w:val="0"/>
        <w:spacing w:before="50" w:after="0" w:line="500" w:lineRule="exact"/>
        <w:ind w:left="0" w:leftChars="0" w:right="464" w:firstLine="0" w:firstLineChars="0"/>
        <w:jc w:val="center"/>
        <w:rPr>
          <w:rFonts w:hint="eastAsia" w:ascii="楷体" w:hAnsi="Times New Roman" w:eastAsia="楷体" w:cs="宋体"/>
          <w:color w:val="auto"/>
          <w:sz w:val="36"/>
          <w:lang w:val="en-US" w:eastAsia="zh-CN"/>
        </w:rPr>
      </w:pPr>
    </w:p>
    <w:p w14:paraId="369A058F">
      <w:pPr>
        <w:overflowPunct w:val="0"/>
        <w:autoSpaceDE w:val="0"/>
        <w:autoSpaceDN w:val="0"/>
        <w:adjustRightInd w:val="0"/>
        <w:snapToGrid w:val="0"/>
        <w:spacing w:before="50" w:after="0" w:line="500" w:lineRule="exact"/>
        <w:ind w:left="0" w:leftChars="0" w:right="464" w:firstLine="0" w:firstLineChars="0"/>
        <w:jc w:val="center"/>
        <w:rPr>
          <w:rFonts w:hint="eastAsia" w:ascii="楷体" w:hAnsi="Times New Roman" w:eastAsia="楷体" w:cs="宋体"/>
          <w:color w:val="auto"/>
          <w:sz w:val="36"/>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楷体" w:hAnsi="Times New Roman" w:eastAsia="楷体" w:cs="宋体"/>
          <w:color w:val="auto"/>
          <w:sz w:val="36"/>
          <w:lang w:val="en-US" w:eastAsia="zh-CN"/>
        </w:rPr>
        <w:t>中</w:t>
      </w:r>
      <w:r>
        <w:rPr>
          <w:rFonts w:hint="eastAsia" w:ascii="楷体" w:hAnsi="Times New Roman" w:eastAsia="楷体" w:cs="宋体"/>
          <w:color w:val="auto"/>
          <w:sz w:val="36"/>
        </w:rPr>
        <w:t>华人民共和国生态环境部制</w:t>
      </w:r>
    </w:p>
    <w:tbl>
      <w:tblPr>
        <w:tblStyle w:val="2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0"/>
        <w:gridCol w:w="4162"/>
      </w:tblGrid>
      <w:tr w14:paraId="059D7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60" w:type="dxa"/>
            <w:tcBorders>
              <w:tl2br w:val="nil"/>
              <w:tr2bl w:val="nil"/>
            </w:tcBorders>
            <w:vAlign w:val="center"/>
          </w:tcPr>
          <w:p w14:paraId="61A3B8AC">
            <w:pPr>
              <w:overflowPunct w:val="0"/>
              <w:autoSpaceDE w:val="0"/>
              <w:autoSpaceDN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bCs/>
                <w:color w:val="auto"/>
                <w:kern w:val="1"/>
                <w:sz w:val="28"/>
                <w:szCs w:val="28"/>
                <w:lang w:eastAsia="zh-CN"/>
              </w:rPr>
            </w:pPr>
            <w:r>
              <w:rPr>
                <w:rFonts w:hint="default" w:ascii="Times New Roman" w:hAnsi="Times New Roman" w:eastAsia="宋体" w:cs="Times New Roman"/>
                <w:bCs/>
                <w:color w:val="auto"/>
                <w:kern w:val="1"/>
                <w:sz w:val="28"/>
                <w:szCs w:val="28"/>
                <w:lang w:eastAsia="zh-CN"/>
              </w:rPr>
              <w:drawing>
                <wp:inline distT="0" distB="0" distL="114300" distR="114300">
                  <wp:extent cx="2590800" cy="1943100"/>
                  <wp:effectExtent l="0" t="0" r="0" b="0"/>
                  <wp:docPr id="8" name="图片 8" descr="171879027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8790273140"/>
                          <pic:cNvPicPr>
                            <a:picLocks noChangeAspect="1"/>
                          </pic:cNvPicPr>
                        </pic:nvPicPr>
                        <pic:blipFill>
                          <a:blip r:embed="rId17"/>
                          <a:stretch>
                            <a:fillRect/>
                          </a:stretch>
                        </pic:blipFill>
                        <pic:spPr>
                          <a:xfrm>
                            <a:off x="0" y="0"/>
                            <a:ext cx="2590800" cy="1943100"/>
                          </a:xfrm>
                          <a:prstGeom prst="rect">
                            <a:avLst/>
                          </a:prstGeom>
                        </pic:spPr>
                      </pic:pic>
                    </a:graphicData>
                  </a:graphic>
                </wp:inline>
              </w:drawing>
            </w:r>
          </w:p>
        </w:tc>
        <w:tc>
          <w:tcPr>
            <w:tcW w:w="4162" w:type="dxa"/>
            <w:tcBorders>
              <w:tl2br w:val="nil"/>
              <w:tr2bl w:val="nil"/>
            </w:tcBorders>
            <w:vAlign w:val="center"/>
          </w:tcPr>
          <w:p w14:paraId="7C733DB6">
            <w:pPr>
              <w:overflowPunct w:val="0"/>
              <w:autoSpaceDE w:val="0"/>
              <w:autoSpaceDN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bCs/>
                <w:color w:val="auto"/>
                <w:kern w:val="1"/>
                <w:sz w:val="28"/>
                <w:szCs w:val="28"/>
                <w:lang w:eastAsia="zh-CN"/>
              </w:rPr>
            </w:pPr>
            <w:r>
              <w:rPr>
                <w:rFonts w:hint="default" w:ascii="Times New Roman" w:hAnsi="Times New Roman" w:eastAsia="宋体" w:cs="Times New Roman"/>
                <w:bCs/>
                <w:color w:val="auto"/>
                <w:kern w:val="1"/>
                <w:sz w:val="28"/>
                <w:szCs w:val="28"/>
                <w:lang w:eastAsia="zh-CN"/>
              </w:rPr>
              <w:drawing>
                <wp:inline distT="0" distB="0" distL="114300" distR="114300">
                  <wp:extent cx="2489200" cy="1866900"/>
                  <wp:effectExtent l="0" t="0" r="6350" b="0"/>
                  <wp:docPr id="9" name="图片 9" descr="171879027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8790271773"/>
                          <pic:cNvPicPr>
                            <a:picLocks noChangeAspect="1"/>
                          </pic:cNvPicPr>
                        </pic:nvPicPr>
                        <pic:blipFill>
                          <a:blip r:embed="rId18"/>
                          <a:stretch>
                            <a:fillRect/>
                          </a:stretch>
                        </pic:blipFill>
                        <pic:spPr>
                          <a:xfrm>
                            <a:off x="0" y="0"/>
                            <a:ext cx="2489200" cy="1866900"/>
                          </a:xfrm>
                          <a:prstGeom prst="rect">
                            <a:avLst/>
                          </a:prstGeom>
                        </pic:spPr>
                      </pic:pic>
                    </a:graphicData>
                  </a:graphic>
                </wp:inline>
              </w:drawing>
            </w:r>
          </w:p>
        </w:tc>
      </w:tr>
      <w:tr w14:paraId="071DA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center"/>
          </w:tcPr>
          <w:p w14:paraId="76E0C2F5">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rightChars="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eastAsia="zh-CN"/>
              </w:rPr>
              <w:t>项目区</w:t>
            </w:r>
            <w:r>
              <w:rPr>
                <w:rFonts w:hint="eastAsia" w:cs="Times New Roman"/>
                <w:bCs/>
                <w:color w:val="auto"/>
                <w:kern w:val="1"/>
                <w:sz w:val="28"/>
                <w:szCs w:val="28"/>
                <w:lang w:val="en-US" w:eastAsia="zh-CN"/>
              </w:rPr>
              <w:t>西侧</w:t>
            </w:r>
          </w:p>
        </w:tc>
        <w:tc>
          <w:tcPr>
            <w:tcW w:w="4162" w:type="dxa"/>
            <w:tcBorders>
              <w:tl2br w:val="nil"/>
              <w:tr2bl w:val="nil"/>
            </w:tcBorders>
            <w:vAlign w:val="center"/>
          </w:tcPr>
          <w:p w14:paraId="50740D36">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rightChars="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eastAsia="zh-CN"/>
              </w:rPr>
              <w:t>项目区</w:t>
            </w:r>
            <w:r>
              <w:rPr>
                <w:rFonts w:hint="eastAsia" w:cs="Times New Roman"/>
                <w:bCs/>
                <w:color w:val="auto"/>
                <w:kern w:val="1"/>
                <w:sz w:val="28"/>
                <w:szCs w:val="28"/>
                <w:lang w:val="en-US" w:eastAsia="zh-CN"/>
              </w:rPr>
              <w:t>北侧</w:t>
            </w:r>
          </w:p>
        </w:tc>
      </w:tr>
      <w:tr w14:paraId="448FA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3" w:hRule="atLeast"/>
        </w:trPr>
        <w:tc>
          <w:tcPr>
            <w:tcW w:w="4360" w:type="dxa"/>
            <w:tcBorders>
              <w:tl2br w:val="nil"/>
              <w:tr2bl w:val="nil"/>
            </w:tcBorders>
            <w:vAlign w:val="center"/>
          </w:tcPr>
          <w:p w14:paraId="06135097">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color w:val="auto"/>
                <w:kern w:val="1"/>
                <w:sz w:val="28"/>
                <w:szCs w:val="28"/>
                <w:lang w:eastAsia="zh-CN"/>
              </w:rPr>
            </w:pPr>
            <w:r>
              <w:rPr>
                <w:rFonts w:hint="default" w:ascii="Times New Roman" w:hAnsi="Times New Roman" w:eastAsia="宋体" w:cs="Times New Roman"/>
                <w:bCs/>
                <w:color w:val="auto"/>
                <w:kern w:val="1"/>
                <w:sz w:val="28"/>
                <w:szCs w:val="28"/>
                <w:lang w:eastAsia="zh-CN"/>
              </w:rPr>
              <w:drawing>
                <wp:inline distT="0" distB="0" distL="114300" distR="114300">
                  <wp:extent cx="2590800" cy="1943100"/>
                  <wp:effectExtent l="0" t="0" r="0" b="0"/>
                  <wp:docPr id="10" name="图片 10" descr="171879027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8790272340"/>
                          <pic:cNvPicPr>
                            <a:picLocks noChangeAspect="1"/>
                          </pic:cNvPicPr>
                        </pic:nvPicPr>
                        <pic:blipFill>
                          <a:blip r:embed="rId19"/>
                          <a:stretch>
                            <a:fillRect/>
                          </a:stretch>
                        </pic:blipFill>
                        <pic:spPr>
                          <a:xfrm>
                            <a:off x="0" y="0"/>
                            <a:ext cx="2590800" cy="1943100"/>
                          </a:xfrm>
                          <a:prstGeom prst="rect">
                            <a:avLst/>
                          </a:prstGeom>
                        </pic:spPr>
                      </pic:pic>
                    </a:graphicData>
                  </a:graphic>
                </wp:inline>
              </w:drawing>
            </w:r>
          </w:p>
        </w:tc>
        <w:tc>
          <w:tcPr>
            <w:tcW w:w="4162" w:type="dxa"/>
            <w:tcBorders>
              <w:tl2br w:val="nil"/>
              <w:tr2bl w:val="nil"/>
            </w:tcBorders>
            <w:vAlign w:val="center"/>
          </w:tcPr>
          <w:p w14:paraId="3A9B3921">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color w:val="auto"/>
                <w:kern w:val="1"/>
                <w:sz w:val="28"/>
                <w:szCs w:val="28"/>
                <w:lang w:eastAsia="zh-CN"/>
              </w:rPr>
            </w:pPr>
            <w:r>
              <w:rPr>
                <w:rFonts w:hint="default" w:ascii="Times New Roman" w:hAnsi="Times New Roman" w:eastAsia="宋体" w:cs="Times New Roman"/>
                <w:bCs/>
                <w:color w:val="auto"/>
                <w:kern w:val="1"/>
                <w:sz w:val="28"/>
                <w:szCs w:val="28"/>
                <w:lang w:eastAsia="zh-CN"/>
              </w:rPr>
              <w:drawing>
                <wp:inline distT="0" distB="0" distL="114300" distR="114300">
                  <wp:extent cx="2489200" cy="1866900"/>
                  <wp:effectExtent l="0" t="0" r="6350" b="0"/>
                  <wp:docPr id="11" name="图片 11" descr="171879027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8790272387"/>
                          <pic:cNvPicPr>
                            <a:picLocks noChangeAspect="1"/>
                          </pic:cNvPicPr>
                        </pic:nvPicPr>
                        <pic:blipFill>
                          <a:blip r:embed="rId20"/>
                          <a:stretch>
                            <a:fillRect/>
                          </a:stretch>
                        </pic:blipFill>
                        <pic:spPr>
                          <a:xfrm>
                            <a:off x="0" y="0"/>
                            <a:ext cx="2489200" cy="1866900"/>
                          </a:xfrm>
                          <a:prstGeom prst="rect">
                            <a:avLst/>
                          </a:prstGeom>
                        </pic:spPr>
                      </pic:pic>
                    </a:graphicData>
                  </a:graphic>
                </wp:inline>
              </w:drawing>
            </w:r>
          </w:p>
        </w:tc>
      </w:tr>
      <w:tr w14:paraId="222D4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center"/>
          </w:tcPr>
          <w:p w14:paraId="44FB2555">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eastAsia="zh-CN"/>
              </w:rPr>
              <w:t>项目区</w:t>
            </w:r>
            <w:r>
              <w:rPr>
                <w:rFonts w:hint="eastAsia" w:cs="Times New Roman"/>
                <w:bCs/>
                <w:color w:val="auto"/>
                <w:kern w:val="1"/>
                <w:sz w:val="28"/>
                <w:szCs w:val="28"/>
                <w:lang w:val="en-US" w:eastAsia="zh-CN"/>
              </w:rPr>
              <w:t>南侧</w:t>
            </w:r>
          </w:p>
        </w:tc>
        <w:tc>
          <w:tcPr>
            <w:tcW w:w="4162" w:type="dxa"/>
            <w:tcBorders>
              <w:tl2br w:val="nil"/>
              <w:tr2bl w:val="nil"/>
            </w:tcBorders>
            <w:vAlign w:val="center"/>
          </w:tcPr>
          <w:p w14:paraId="108FB622">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eastAsia="zh-CN"/>
              </w:rPr>
              <w:t>项目区</w:t>
            </w:r>
            <w:r>
              <w:rPr>
                <w:rFonts w:hint="eastAsia" w:cs="Times New Roman"/>
                <w:bCs/>
                <w:color w:val="auto"/>
                <w:kern w:val="1"/>
                <w:sz w:val="28"/>
                <w:szCs w:val="28"/>
                <w:lang w:val="en-US" w:eastAsia="zh-CN"/>
              </w:rPr>
              <w:t>东侧</w:t>
            </w:r>
          </w:p>
        </w:tc>
      </w:tr>
      <w:tr w14:paraId="7B6B2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8" w:hRule="atLeast"/>
        </w:trPr>
        <w:tc>
          <w:tcPr>
            <w:tcW w:w="4360" w:type="dxa"/>
            <w:tcBorders>
              <w:tl2br w:val="nil"/>
              <w:tr2bl w:val="nil"/>
            </w:tcBorders>
            <w:vAlign w:val="center"/>
          </w:tcPr>
          <w:p w14:paraId="7C29BDE0">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color w:val="auto"/>
                <w:kern w:val="1"/>
                <w:sz w:val="28"/>
                <w:szCs w:val="28"/>
                <w:lang w:eastAsia="zh-CN"/>
              </w:rPr>
            </w:pPr>
            <w:r>
              <w:rPr>
                <w:rFonts w:hint="default" w:ascii="Times New Roman" w:hAnsi="Times New Roman" w:eastAsia="宋体" w:cs="Times New Roman"/>
                <w:bCs/>
                <w:color w:val="auto"/>
                <w:kern w:val="1"/>
                <w:sz w:val="28"/>
                <w:szCs w:val="28"/>
                <w:lang w:eastAsia="zh-CN"/>
              </w:rPr>
              <w:drawing>
                <wp:inline distT="0" distB="0" distL="114300" distR="114300">
                  <wp:extent cx="2590800" cy="1943100"/>
                  <wp:effectExtent l="0" t="0" r="0" b="0"/>
                  <wp:docPr id="12" name="图片 12" descr="171879027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8790272161"/>
                          <pic:cNvPicPr>
                            <a:picLocks noChangeAspect="1"/>
                          </pic:cNvPicPr>
                        </pic:nvPicPr>
                        <pic:blipFill>
                          <a:blip r:embed="rId21"/>
                          <a:stretch>
                            <a:fillRect/>
                          </a:stretch>
                        </pic:blipFill>
                        <pic:spPr>
                          <a:xfrm>
                            <a:off x="0" y="0"/>
                            <a:ext cx="2590800" cy="1943100"/>
                          </a:xfrm>
                          <a:prstGeom prst="rect">
                            <a:avLst/>
                          </a:prstGeom>
                        </pic:spPr>
                      </pic:pic>
                    </a:graphicData>
                  </a:graphic>
                </wp:inline>
              </w:drawing>
            </w:r>
          </w:p>
        </w:tc>
        <w:tc>
          <w:tcPr>
            <w:tcW w:w="4162" w:type="dxa"/>
            <w:tcBorders>
              <w:tl2br w:val="nil"/>
              <w:tr2bl w:val="nil"/>
            </w:tcBorders>
            <w:vAlign w:val="center"/>
          </w:tcPr>
          <w:p w14:paraId="5548EF5B">
            <w:pPr>
              <w:overflowPunct w:val="0"/>
              <w:autoSpaceDE w:val="0"/>
              <w:autoSpaceDN w:val="0"/>
              <w:adjustRightInd w:val="0"/>
              <w:snapToGrid w:val="0"/>
              <w:spacing w:before="0" w:after="0" w:line="240" w:lineRule="auto"/>
              <w:ind w:left="0" w:leftChars="0" w:right="0" w:firstLine="0" w:firstLineChars="0"/>
              <w:jc w:val="center"/>
              <w:rPr>
                <w:rFonts w:hint="default" w:ascii="Times New Roman" w:hAnsi="Times New Roman" w:eastAsia="宋体" w:cs="Times New Roman"/>
                <w:bCs/>
                <w:color w:val="auto"/>
                <w:kern w:val="1"/>
                <w:sz w:val="28"/>
                <w:szCs w:val="28"/>
                <w:lang w:val="en-US" w:eastAsia="zh-CN"/>
              </w:rPr>
            </w:pPr>
            <w:r>
              <w:rPr>
                <w:rFonts w:hint="default" w:ascii="Times New Roman" w:hAnsi="Times New Roman" w:eastAsia="宋体" w:cs="Times New Roman"/>
                <w:bCs/>
                <w:color w:val="auto"/>
                <w:kern w:val="1"/>
                <w:sz w:val="28"/>
                <w:szCs w:val="28"/>
                <w:lang w:val="en-US" w:eastAsia="zh-CN"/>
              </w:rPr>
              <w:drawing>
                <wp:inline distT="0" distB="0" distL="114300" distR="114300">
                  <wp:extent cx="2489200" cy="1866900"/>
                  <wp:effectExtent l="0" t="0" r="6350" b="0"/>
                  <wp:docPr id="13" name="图片 13" descr="171879027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18790272725"/>
                          <pic:cNvPicPr>
                            <a:picLocks noChangeAspect="1"/>
                          </pic:cNvPicPr>
                        </pic:nvPicPr>
                        <pic:blipFill>
                          <a:blip r:embed="rId22"/>
                          <a:stretch>
                            <a:fillRect/>
                          </a:stretch>
                        </pic:blipFill>
                        <pic:spPr>
                          <a:xfrm>
                            <a:off x="0" y="0"/>
                            <a:ext cx="2489200" cy="1866900"/>
                          </a:xfrm>
                          <a:prstGeom prst="rect">
                            <a:avLst/>
                          </a:prstGeom>
                        </pic:spPr>
                      </pic:pic>
                    </a:graphicData>
                  </a:graphic>
                </wp:inline>
              </w:drawing>
            </w:r>
          </w:p>
        </w:tc>
      </w:tr>
      <w:tr w14:paraId="6D7E4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center"/>
          </w:tcPr>
          <w:p w14:paraId="48B34D44">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rPr>
            </w:pPr>
            <w:r>
              <w:rPr>
                <w:rFonts w:hint="default" w:ascii="Times New Roman" w:hAnsi="Times New Roman" w:eastAsia="宋体" w:cs="Times New Roman"/>
                <w:bCs/>
                <w:color w:val="auto"/>
                <w:kern w:val="1"/>
                <w:sz w:val="28"/>
                <w:szCs w:val="28"/>
                <w:lang w:eastAsia="zh-CN"/>
              </w:rPr>
              <w:t>项目区</w:t>
            </w:r>
            <w:r>
              <w:rPr>
                <w:rFonts w:hint="eastAsia" w:cs="Times New Roman"/>
                <w:bCs/>
                <w:color w:val="auto"/>
                <w:kern w:val="1"/>
                <w:sz w:val="28"/>
                <w:szCs w:val="28"/>
                <w:lang w:val="en-US" w:eastAsia="zh-CN"/>
              </w:rPr>
              <w:t>现状</w:t>
            </w:r>
          </w:p>
        </w:tc>
        <w:tc>
          <w:tcPr>
            <w:tcW w:w="4162" w:type="dxa"/>
            <w:tcBorders>
              <w:tl2br w:val="nil"/>
              <w:tr2bl w:val="nil"/>
            </w:tcBorders>
            <w:vAlign w:val="center"/>
          </w:tcPr>
          <w:p w14:paraId="79FF9206">
            <w:pPr>
              <w:keepNext w:val="0"/>
              <w:keepLines w:val="0"/>
              <w:pageBreakBefore w:val="0"/>
              <w:widowControl w:val="0"/>
              <w:kinsoku/>
              <w:wordWrap/>
              <w:overflowPunct/>
              <w:topLinePunct w:val="0"/>
              <w:autoSpaceDE/>
              <w:autoSpaceDN/>
              <w:bidi w:val="0"/>
              <w:adjustRightInd/>
              <w:snapToGrid/>
              <w:spacing w:before="0" w:after="0" w:line="480" w:lineRule="exact"/>
              <w:ind w:left="0" w:leftChars="0" w:right="0" w:firstLine="0" w:firstLineChars="0"/>
              <w:jc w:val="center"/>
              <w:textAlignment w:val="auto"/>
              <w:rPr>
                <w:rFonts w:hint="default" w:ascii="Times New Roman" w:hAnsi="Times New Roman" w:eastAsia="宋体" w:cs="Times New Roman"/>
                <w:bCs/>
                <w:color w:val="auto"/>
                <w:kern w:val="1"/>
                <w:sz w:val="28"/>
                <w:szCs w:val="28"/>
                <w:lang w:val="en-US"/>
              </w:rPr>
            </w:pPr>
            <w:r>
              <w:rPr>
                <w:rFonts w:hint="default" w:ascii="Times New Roman" w:hAnsi="Times New Roman" w:eastAsia="宋体" w:cs="Times New Roman"/>
                <w:bCs/>
                <w:color w:val="auto"/>
                <w:kern w:val="1"/>
                <w:sz w:val="28"/>
                <w:szCs w:val="28"/>
                <w:lang w:eastAsia="zh-CN"/>
              </w:rPr>
              <w:t>项目区</w:t>
            </w:r>
            <w:r>
              <w:rPr>
                <w:rFonts w:hint="eastAsia" w:cs="Times New Roman"/>
                <w:bCs/>
                <w:color w:val="auto"/>
                <w:kern w:val="1"/>
                <w:sz w:val="28"/>
                <w:szCs w:val="28"/>
                <w:lang w:val="en-US" w:eastAsia="zh-CN"/>
              </w:rPr>
              <w:t>现状</w:t>
            </w:r>
          </w:p>
        </w:tc>
      </w:tr>
    </w:tbl>
    <w:p w14:paraId="6983623A">
      <w:pPr>
        <w:rPr>
          <w:color w:val="auto"/>
        </w:rPr>
      </w:pPr>
    </w:p>
    <w:p w14:paraId="47DB3776">
      <w:pPr>
        <w:pStyle w:val="26"/>
        <w:rPr>
          <w:color w:val="auto"/>
        </w:rPr>
      </w:pPr>
    </w:p>
    <w:p w14:paraId="332C0901">
      <w:pPr>
        <w:pStyle w:val="26"/>
        <w:rPr>
          <w:color w:val="auto"/>
        </w:rPr>
      </w:pPr>
    </w:p>
    <w:p w14:paraId="53B4B9F4">
      <w:pPr>
        <w:pStyle w:val="26"/>
        <w:rPr>
          <w:color w:val="auto"/>
        </w:rPr>
      </w:pPr>
    </w:p>
    <w:p w14:paraId="027807B6">
      <w:pPr>
        <w:rPr>
          <w:color w:val="auto"/>
        </w:rPr>
      </w:pPr>
      <w:r>
        <w:rPr>
          <w:color w:val="auto"/>
        </w:rPr>
        <w:br w:type="page"/>
      </w:r>
    </w:p>
    <w:p w14:paraId="2037C8C7">
      <w:pPr>
        <w:pStyle w:val="26"/>
        <w:rPr>
          <w:color w:val="auto"/>
        </w:rPr>
      </w:pPr>
    </w:p>
    <w:sdt>
      <w:sdtPr>
        <w:rPr>
          <w:rFonts w:ascii="宋体" w:hAnsi="宋体" w:eastAsia="宋体" w:cs="宋体"/>
          <w:color w:val="auto"/>
          <w:sz w:val="21"/>
          <w:szCs w:val="22"/>
          <w:lang w:val="en-US" w:eastAsia="zh-CN" w:bidi="ar-SA"/>
        </w:rPr>
        <w:id w:val="147477407"/>
        <w15:color w:val="DBDBDB"/>
        <w:docPartObj>
          <w:docPartGallery w:val="Table of Contents"/>
          <w:docPartUnique/>
        </w:docPartObj>
      </w:sdtPr>
      <w:sdtEndPr>
        <w:rPr>
          <w:rFonts w:hint="eastAsia" w:ascii="Times New Roman" w:hAnsi="Times New Roman" w:eastAsia="宋体" w:cs="宋体"/>
          <w:color w:val="auto"/>
          <w:sz w:val="24"/>
          <w:szCs w:val="22"/>
          <w:lang w:val="en-US" w:eastAsia="zh-CN" w:bidi="ar-SA"/>
        </w:rPr>
      </w:sdtEndPr>
      <w:sdtContent>
        <w:p w14:paraId="1519CB7B">
          <w:pPr>
            <w:spacing w:before="0" w:beforeLines="0" w:after="0" w:afterLines="0" w:line="240" w:lineRule="auto"/>
            <w:ind w:left="0" w:leftChars="0" w:right="0" w:rightChars="0" w:firstLine="0" w:firstLineChars="0"/>
            <w:jc w:val="center"/>
            <w:rPr>
              <w:color w:val="auto"/>
            </w:rPr>
          </w:pPr>
          <w:r>
            <w:rPr>
              <w:rFonts w:ascii="宋体" w:hAnsi="宋体" w:eastAsia="宋体"/>
              <w:color w:val="auto"/>
              <w:sz w:val="21"/>
            </w:rPr>
            <w:t>目录</w:t>
          </w:r>
        </w:p>
        <w:p w14:paraId="2F4C8B1F">
          <w:pPr>
            <w:pStyle w:val="51"/>
            <w:tabs>
              <w:tab w:val="right" w:leader="dot" w:pos="8306"/>
            </w:tabs>
            <w:rPr>
              <w:color w:val="auto"/>
            </w:rPr>
          </w:pPr>
          <w:r>
            <w:rPr>
              <w:rFonts w:hint="eastAsia" w:ascii="Times New Roman" w:hAnsi="Times New Roman" w:eastAsia="宋体" w:cs="宋体"/>
              <w:color w:val="auto"/>
              <w:sz w:val="24"/>
              <w:szCs w:val="22"/>
              <w:lang w:val="en-US" w:eastAsia="zh-CN" w:bidi="ar-SA"/>
            </w:rPr>
            <w:fldChar w:fldCharType="begin"/>
          </w:r>
          <w:r>
            <w:rPr>
              <w:rFonts w:hint="eastAsia" w:ascii="Times New Roman" w:hAnsi="Times New Roman" w:eastAsia="宋体" w:cs="宋体"/>
              <w:color w:val="auto"/>
              <w:sz w:val="24"/>
              <w:szCs w:val="22"/>
              <w:lang w:val="en-US" w:eastAsia="zh-CN" w:bidi="ar-SA"/>
            </w:rPr>
            <w:instrText xml:space="preserve">TOC \o "1-1" \h \u </w:instrText>
          </w:r>
          <w:r>
            <w:rPr>
              <w:rFonts w:hint="eastAsia" w:ascii="Times New Roman" w:hAnsi="Times New Roman" w:eastAsia="宋体" w:cs="宋体"/>
              <w:color w:val="auto"/>
              <w:sz w:val="24"/>
              <w:szCs w:val="22"/>
              <w:lang w:val="en-US" w:eastAsia="zh-CN" w:bidi="ar-SA"/>
            </w:rPr>
            <w:fldChar w:fldCharType="separate"/>
          </w:r>
        </w:p>
        <w:p w14:paraId="77728FDC">
          <w:pPr>
            <w:pStyle w:val="51"/>
            <w:tabs>
              <w:tab w:val="right" w:leader="dot" w:pos="8306"/>
            </w:tabs>
            <w:spacing w:line="360" w:lineRule="auto"/>
            <w:rPr>
              <w:color w:val="auto"/>
              <w:sz w:val="24"/>
              <w:szCs w:val="24"/>
            </w:rPr>
          </w:pPr>
          <w:r>
            <w:rPr>
              <w:rFonts w:hint="eastAsia" w:ascii="Times New Roman" w:hAnsi="Times New Roman" w:eastAsia="宋体" w:cs="宋体"/>
              <w:color w:val="auto"/>
              <w:sz w:val="24"/>
              <w:szCs w:val="24"/>
              <w:lang w:val="en-US" w:eastAsia="zh-CN" w:bidi="ar-SA"/>
            </w:rPr>
            <w:fldChar w:fldCharType="begin"/>
          </w:r>
          <w:r>
            <w:rPr>
              <w:rFonts w:hint="eastAsia" w:ascii="Times New Roman" w:hAnsi="Times New Roman" w:eastAsia="宋体" w:cs="宋体"/>
              <w:color w:val="auto"/>
              <w:sz w:val="24"/>
              <w:szCs w:val="24"/>
              <w:lang w:val="en-US" w:eastAsia="zh-CN" w:bidi="ar-SA"/>
            </w:rPr>
            <w:instrText xml:space="preserve"> HYPERLINK \l _Toc2898 </w:instrText>
          </w:r>
          <w:r>
            <w:rPr>
              <w:rFonts w:hint="eastAsia" w:ascii="Times New Roman" w:hAnsi="Times New Roman" w:eastAsia="宋体" w:cs="宋体"/>
              <w:color w:val="auto"/>
              <w:sz w:val="24"/>
              <w:szCs w:val="24"/>
              <w:lang w:val="en-US" w:eastAsia="zh-CN" w:bidi="ar-SA"/>
            </w:rPr>
            <w:fldChar w:fldCharType="separate"/>
          </w:r>
          <w:r>
            <w:rPr>
              <w:rFonts w:hint="eastAsia" w:ascii="Times New Roman" w:hAnsi="Times New Roman" w:eastAsia="宋体" w:cs="宋体"/>
              <w:color w:val="auto"/>
              <w:kern w:val="44"/>
              <w:sz w:val="24"/>
              <w:szCs w:val="24"/>
              <w:lang w:val="en-US" w:eastAsia="zh-CN" w:bidi="ar-SA"/>
            </w:rPr>
            <w:t>一、</w:t>
          </w:r>
          <w:r>
            <w:rPr>
              <w:rFonts w:ascii="Times New Roman" w:hAnsi="Times New Roman" w:eastAsia="宋体" w:cs="宋体"/>
              <w:color w:val="auto"/>
              <w:kern w:val="44"/>
              <w:sz w:val="24"/>
              <w:szCs w:val="24"/>
              <w:lang w:val="en-US" w:eastAsia="zh-CN" w:bidi="ar-SA"/>
            </w:rPr>
            <w:t>建设项目基本情况</w:t>
          </w:r>
          <w:r>
            <w:rPr>
              <w:color w:val="auto"/>
              <w:sz w:val="24"/>
              <w:szCs w:val="24"/>
            </w:rPr>
            <w:tab/>
          </w:r>
          <w:r>
            <w:rPr>
              <w:color w:val="auto"/>
              <w:sz w:val="24"/>
              <w:szCs w:val="24"/>
            </w:rPr>
            <w:fldChar w:fldCharType="begin"/>
          </w:r>
          <w:r>
            <w:rPr>
              <w:color w:val="auto"/>
              <w:sz w:val="24"/>
              <w:szCs w:val="24"/>
            </w:rPr>
            <w:instrText xml:space="preserve"> PAGEREF _Toc2898 \h </w:instrText>
          </w:r>
          <w:r>
            <w:rPr>
              <w:color w:val="auto"/>
              <w:sz w:val="24"/>
              <w:szCs w:val="24"/>
            </w:rPr>
            <w:fldChar w:fldCharType="separate"/>
          </w:r>
          <w:r>
            <w:rPr>
              <w:color w:val="auto"/>
              <w:sz w:val="24"/>
              <w:szCs w:val="24"/>
            </w:rPr>
            <w:t>1</w:t>
          </w:r>
          <w:r>
            <w:rPr>
              <w:color w:val="auto"/>
              <w:sz w:val="24"/>
              <w:szCs w:val="24"/>
            </w:rPr>
            <w:fldChar w:fldCharType="end"/>
          </w:r>
          <w:r>
            <w:rPr>
              <w:rFonts w:hint="eastAsia" w:ascii="Times New Roman" w:hAnsi="Times New Roman" w:eastAsia="宋体" w:cs="宋体"/>
              <w:color w:val="auto"/>
              <w:sz w:val="24"/>
              <w:szCs w:val="24"/>
              <w:lang w:val="en-US" w:eastAsia="zh-CN" w:bidi="ar-SA"/>
            </w:rPr>
            <w:fldChar w:fldCharType="end"/>
          </w:r>
        </w:p>
        <w:p w14:paraId="2037E24F">
          <w:pPr>
            <w:pStyle w:val="51"/>
            <w:tabs>
              <w:tab w:val="right" w:leader="dot" w:pos="8306"/>
            </w:tabs>
            <w:spacing w:line="360" w:lineRule="auto"/>
            <w:rPr>
              <w:color w:val="auto"/>
              <w:sz w:val="24"/>
              <w:szCs w:val="24"/>
            </w:rPr>
          </w:pPr>
          <w:r>
            <w:rPr>
              <w:rFonts w:hint="eastAsia" w:ascii="Times New Roman" w:hAnsi="Times New Roman" w:eastAsia="宋体" w:cs="宋体"/>
              <w:color w:val="auto"/>
              <w:sz w:val="24"/>
              <w:szCs w:val="24"/>
              <w:lang w:val="en-US" w:eastAsia="zh-CN" w:bidi="ar-SA"/>
            </w:rPr>
            <w:fldChar w:fldCharType="begin"/>
          </w:r>
          <w:r>
            <w:rPr>
              <w:rFonts w:hint="eastAsia" w:ascii="Times New Roman" w:hAnsi="Times New Roman" w:eastAsia="宋体" w:cs="宋体"/>
              <w:color w:val="auto"/>
              <w:sz w:val="24"/>
              <w:szCs w:val="24"/>
              <w:lang w:val="en-US" w:eastAsia="zh-CN" w:bidi="ar-SA"/>
            </w:rPr>
            <w:instrText xml:space="preserve"> HYPERLINK \l _Toc10854 </w:instrText>
          </w:r>
          <w:r>
            <w:rPr>
              <w:rFonts w:hint="eastAsia" w:ascii="Times New Roman" w:hAnsi="Times New Roman" w:eastAsia="宋体" w:cs="宋体"/>
              <w:color w:val="auto"/>
              <w:sz w:val="24"/>
              <w:szCs w:val="24"/>
              <w:lang w:val="en-US" w:eastAsia="zh-CN" w:bidi="ar-SA"/>
            </w:rPr>
            <w:fldChar w:fldCharType="separate"/>
          </w:r>
          <w:r>
            <w:rPr>
              <w:rFonts w:hint="eastAsia" w:ascii="Times New Roman" w:hAnsi="Times New Roman" w:eastAsia="宋体" w:cs="宋体"/>
              <w:color w:val="auto"/>
              <w:kern w:val="44"/>
              <w:sz w:val="24"/>
              <w:szCs w:val="24"/>
              <w:lang w:val="en-US" w:eastAsia="zh-CN" w:bidi="ar-SA"/>
            </w:rPr>
            <w:t>二、建设项目工程分析</w:t>
          </w:r>
          <w:r>
            <w:rPr>
              <w:color w:val="auto"/>
              <w:sz w:val="24"/>
              <w:szCs w:val="24"/>
            </w:rPr>
            <w:tab/>
          </w:r>
          <w:r>
            <w:rPr>
              <w:color w:val="auto"/>
              <w:sz w:val="24"/>
              <w:szCs w:val="24"/>
            </w:rPr>
            <w:fldChar w:fldCharType="begin"/>
          </w:r>
          <w:r>
            <w:rPr>
              <w:color w:val="auto"/>
              <w:sz w:val="24"/>
              <w:szCs w:val="24"/>
            </w:rPr>
            <w:instrText xml:space="preserve"> PAGEREF _Toc10854 \h </w:instrText>
          </w:r>
          <w:r>
            <w:rPr>
              <w:color w:val="auto"/>
              <w:sz w:val="24"/>
              <w:szCs w:val="24"/>
            </w:rPr>
            <w:fldChar w:fldCharType="separate"/>
          </w:r>
          <w:r>
            <w:rPr>
              <w:color w:val="auto"/>
              <w:sz w:val="24"/>
              <w:szCs w:val="24"/>
            </w:rPr>
            <w:t>15</w:t>
          </w:r>
          <w:r>
            <w:rPr>
              <w:color w:val="auto"/>
              <w:sz w:val="24"/>
              <w:szCs w:val="24"/>
            </w:rPr>
            <w:fldChar w:fldCharType="end"/>
          </w:r>
          <w:r>
            <w:rPr>
              <w:rFonts w:hint="eastAsia" w:ascii="Times New Roman" w:hAnsi="Times New Roman" w:eastAsia="宋体" w:cs="宋体"/>
              <w:color w:val="auto"/>
              <w:sz w:val="24"/>
              <w:szCs w:val="24"/>
              <w:lang w:val="en-US" w:eastAsia="zh-CN" w:bidi="ar-SA"/>
            </w:rPr>
            <w:fldChar w:fldCharType="end"/>
          </w:r>
        </w:p>
        <w:p w14:paraId="22FF48B5">
          <w:pPr>
            <w:pStyle w:val="51"/>
            <w:tabs>
              <w:tab w:val="right" w:leader="dot" w:pos="8306"/>
            </w:tabs>
            <w:spacing w:line="360" w:lineRule="auto"/>
            <w:rPr>
              <w:color w:val="auto"/>
              <w:sz w:val="24"/>
              <w:szCs w:val="24"/>
            </w:rPr>
          </w:pPr>
          <w:r>
            <w:rPr>
              <w:rFonts w:hint="eastAsia" w:ascii="Times New Roman" w:hAnsi="Times New Roman" w:eastAsia="宋体" w:cs="宋体"/>
              <w:color w:val="auto"/>
              <w:sz w:val="24"/>
              <w:szCs w:val="24"/>
              <w:lang w:val="en-US" w:eastAsia="zh-CN" w:bidi="ar-SA"/>
            </w:rPr>
            <w:fldChar w:fldCharType="begin"/>
          </w:r>
          <w:r>
            <w:rPr>
              <w:rFonts w:hint="eastAsia" w:ascii="Times New Roman" w:hAnsi="Times New Roman" w:eastAsia="宋体" w:cs="宋体"/>
              <w:color w:val="auto"/>
              <w:sz w:val="24"/>
              <w:szCs w:val="24"/>
              <w:lang w:val="en-US" w:eastAsia="zh-CN" w:bidi="ar-SA"/>
            </w:rPr>
            <w:instrText xml:space="preserve"> HYPERLINK \l _Toc3946 </w:instrText>
          </w:r>
          <w:r>
            <w:rPr>
              <w:rFonts w:hint="eastAsia" w:ascii="Times New Roman" w:hAnsi="Times New Roman" w:eastAsia="宋体" w:cs="宋体"/>
              <w:color w:val="auto"/>
              <w:sz w:val="24"/>
              <w:szCs w:val="24"/>
              <w:lang w:val="en-US" w:eastAsia="zh-CN" w:bidi="ar-SA"/>
            </w:rPr>
            <w:fldChar w:fldCharType="separate"/>
          </w:r>
          <w:r>
            <w:rPr>
              <w:rFonts w:hint="eastAsia" w:ascii="Times New Roman" w:hAnsi="Times New Roman" w:eastAsia="宋体" w:cs="宋体"/>
              <w:color w:val="auto"/>
              <w:kern w:val="44"/>
              <w:sz w:val="24"/>
              <w:szCs w:val="24"/>
            </w:rPr>
            <w:t>三、</w:t>
          </w:r>
          <w:r>
            <w:rPr>
              <w:rFonts w:ascii="Times New Roman" w:hAnsi="Times New Roman" w:eastAsia="宋体" w:cs="宋体"/>
              <w:color w:val="auto"/>
              <w:kern w:val="44"/>
              <w:sz w:val="24"/>
              <w:szCs w:val="24"/>
            </w:rPr>
            <w:t>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_Toc3946 \h </w:instrText>
          </w:r>
          <w:r>
            <w:rPr>
              <w:color w:val="auto"/>
              <w:sz w:val="24"/>
              <w:szCs w:val="24"/>
            </w:rPr>
            <w:fldChar w:fldCharType="separate"/>
          </w:r>
          <w:r>
            <w:rPr>
              <w:color w:val="auto"/>
              <w:sz w:val="24"/>
              <w:szCs w:val="24"/>
            </w:rPr>
            <w:t>26</w:t>
          </w:r>
          <w:r>
            <w:rPr>
              <w:color w:val="auto"/>
              <w:sz w:val="24"/>
              <w:szCs w:val="24"/>
            </w:rPr>
            <w:fldChar w:fldCharType="end"/>
          </w:r>
          <w:r>
            <w:rPr>
              <w:rFonts w:hint="eastAsia" w:ascii="Times New Roman" w:hAnsi="Times New Roman" w:eastAsia="宋体" w:cs="宋体"/>
              <w:color w:val="auto"/>
              <w:sz w:val="24"/>
              <w:szCs w:val="24"/>
              <w:lang w:val="en-US" w:eastAsia="zh-CN" w:bidi="ar-SA"/>
            </w:rPr>
            <w:fldChar w:fldCharType="end"/>
          </w:r>
        </w:p>
        <w:p w14:paraId="4A1153D4">
          <w:pPr>
            <w:pStyle w:val="51"/>
            <w:tabs>
              <w:tab w:val="right" w:leader="dot" w:pos="8306"/>
            </w:tabs>
            <w:spacing w:line="360" w:lineRule="auto"/>
            <w:rPr>
              <w:color w:val="auto"/>
              <w:sz w:val="24"/>
              <w:szCs w:val="24"/>
            </w:rPr>
          </w:pPr>
          <w:r>
            <w:rPr>
              <w:rFonts w:hint="eastAsia" w:ascii="Times New Roman" w:hAnsi="Times New Roman" w:eastAsia="宋体" w:cs="宋体"/>
              <w:color w:val="auto"/>
              <w:sz w:val="24"/>
              <w:szCs w:val="24"/>
              <w:lang w:val="en-US" w:eastAsia="zh-CN" w:bidi="ar-SA"/>
            </w:rPr>
            <w:fldChar w:fldCharType="begin"/>
          </w:r>
          <w:r>
            <w:rPr>
              <w:rFonts w:hint="eastAsia" w:ascii="Times New Roman" w:hAnsi="Times New Roman" w:eastAsia="宋体" w:cs="宋体"/>
              <w:color w:val="auto"/>
              <w:sz w:val="24"/>
              <w:szCs w:val="24"/>
              <w:lang w:val="en-US" w:eastAsia="zh-CN" w:bidi="ar-SA"/>
            </w:rPr>
            <w:instrText xml:space="preserve"> HYPERLINK \l _Toc22281 </w:instrText>
          </w:r>
          <w:r>
            <w:rPr>
              <w:rFonts w:hint="eastAsia" w:ascii="Times New Roman" w:hAnsi="Times New Roman" w:eastAsia="宋体" w:cs="宋体"/>
              <w:color w:val="auto"/>
              <w:sz w:val="24"/>
              <w:szCs w:val="24"/>
              <w:lang w:val="en-US" w:eastAsia="zh-CN" w:bidi="ar-SA"/>
            </w:rPr>
            <w:fldChar w:fldCharType="separate"/>
          </w:r>
          <w:r>
            <w:rPr>
              <w:rFonts w:hint="eastAsia" w:ascii="Times New Roman" w:hAnsi="Times New Roman" w:eastAsia="宋体" w:cs="宋体"/>
              <w:color w:val="auto"/>
              <w:kern w:val="44"/>
              <w:sz w:val="24"/>
              <w:szCs w:val="24"/>
              <w:lang w:val="en-US" w:eastAsia="zh-CN" w:bidi="ar-SA"/>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_Toc22281 \h </w:instrText>
          </w:r>
          <w:r>
            <w:rPr>
              <w:color w:val="auto"/>
              <w:sz w:val="24"/>
              <w:szCs w:val="24"/>
            </w:rPr>
            <w:fldChar w:fldCharType="separate"/>
          </w:r>
          <w:r>
            <w:rPr>
              <w:color w:val="auto"/>
              <w:sz w:val="24"/>
              <w:szCs w:val="24"/>
            </w:rPr>
            <w:t>38</w:t>
          </w:r>
          <w:r>
            <w:rPr>
              <w:color w:val="auto"/>
              <w:sz w:val="24"/>
              <w:szCs w:val="24"/>
            </w:rPr>
            <w:fldChar w:fldCharType="end"/>
          </w:r>
          <w:r>
            <w:rPr>
              <w:rFonts w:hint="eastAsia" w:ascii="Times New Roman" w:hAnsi="Times New Roman" w:eastAsia="宋体" w:cs="宋体"/>
              <w:color w:val="auto"/>
              <w:sz w:val="24"/>
              <w:szCs w:val="24"/>
              <w:lang w:val="en-US" w:eastAsia="zh-CN" w:bidi="ar-SA"/>
            </w:rPr>
            <w:fldChar w:fldCharType="end"/>
          </w:r>
        </w:p>
        <w:p w14:paraId="543B3A17">
          <w:pPr>
            <w:pStyle w:val="51"/>
            <w:tabs>
              <w:tab w:val="right" w:leader="dot" w:pos="8306"/>
            </w:tabs>
            <w:spacing w:line="360" w:lineRule="auto"/>
            <w:rPr>
              <w:color w:val="auto"/>
              <w:sz w:val="24"/>
              <w:szCs w:val="24"/>
            </w:rPr>
          </w:pPr>
          <w:r>
            <w:rPr>
              <w:rFonts w:hint="eastAsia" w:ascii="Times New Roman" w:hAnsi="Times New Roman" w:eastAsia="宋体" w:cs="宋体"/>
              <w:color w:val="auto"/>
              <w:sz w:val="24"/>
              <w:szCs w:val="24"/>
              <w:lang w:val="en-US" w:eastAsia="zh-CN" w:bidi="ar-SA"/>
            </w:rPr>
            <w:fldChar w:fldCharType="begin"/>
          </w:r>
          <w:r>
            <w:rPr>
              <w:rFonts w:hint="eastAsia" w:ascii="Times New Roman" w:hAnsi="Times New Roman" w:eastAsia="宋体" w:cs="宋体"/>
              <w:color w:val="auto"/>
              <w:sz w:val="24"/>
              <w:szCs w:val="24"/>
              <w:lang w:val="en-US" w:eastAsia="zh-CN" w:bidi="ar-SA"/>
            </w:rPr>
            <w:instrText xml:space="preserve"> HYPERLINK \l _Toc27383 </w:instrText>
          </w:r>
          <w:r>
            <w:rPr>
              <w:rFonts w:hint="eastAsia" w:ascii="Times New Roman" w:hAnsi="Times New Roman" w:eastAsia="宋体" w:cs="宋体"/>
              <w:color w:val="auto"/>
              <w:sz w:val="24"/>
              <w:szCs w:val="24"/>
              <w:lang w:val="en-US" w:eastAsia="zh-CN" w:bidi="ar-SA"/>
            </w:rPr>
            <w:fldChar w:fldCharType="separate"/>
          </w:r>
          <w:r>
            <w:rPr>
              <w:rFonts w:ascii="Times New Roman" w:hAnsi="Times New Roman" w:eastAsia="宋体" w:cs="宋体"/>
              <w:color w:val="auto"/>
              <w:kern w:val="44"/>
              <w:sz w:val="24"/>
              <w:szCs w:val="24"/>
              <w:lang w:val="en-US" w:eastAsia="zh-CN" w:bidi="ar-SA"/>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_Toc27383 \h </w:instrText>
          </w:r>
          <w:r>
            <w:rPr>
              <w:color w:val="auto"/>
              <w:sz w:val="24"/>
              <w:szCs w:val="24"/>
            </w:rPr>
            <w:fldChar w:fldCharType="separate"/>
          </w:r>
          <w:r>
            <w:rPr>
              <w:color w:val="auto"/>
              <w:sz w:val="24"/>
              <w:szCs w:val="24"/>
            </w:rPr>
            <w:t>63</w:t>
          </w:r>
          <w:r>
            <w:rPr>
              <w:color w:val="auto"/>
              <w:sz w:val="24"/>
              <w:szCs w:val="24"/>
            </w:rPr>
            <w:fldChar w:fldCharType="end"/>
          </w:r>
          <w:r>
            <w:rPr>
              <w:rFonts w:hint="eastAsia" w:ascii="Times New Roman" w:hAnsi="Times New Roman" w:eastAsia="宋体" w:cs="宋体"/>
              <w:color w:val="auto"/>
              <w:sz w:val="24"/>
              <w:szCs w:val="24"/>
              <w:lang w:val="en-US" w:eastAsia="zh-CN" w:bidi="ar-SA"/>
            </w:rPr>
            <w:fldChar w:fldCharType="end"/>
          </w:r>
        </w:p>
        <w:p w14:paraId="5AD3F947">
          <w:pPr>
            <w:pStyle w:val="51"/>
            <w:tabs>
              <w:tab w:val="right" w:leader="dot" w:pos="8306"/>
            </w:tabs>
            <w:spacing w:line="360" w:lineRule="auto"/>
            <w:rPr>
              <w:color w:val="auto"/>
              <w:sz w:val="24"/>
              <w:szCs w:val="24"/>
            </w:rPr>
          </w:pPr>
          <w:r>
            <w:rPr>
              <w:rFonts w:hint="eastAsia" w:ascii="Times New Roman" w:hAnsi="Times New Roman" w:eastAsia="宋体" w:cs="宋体"/>
              <w:color w:val="auto"/>
              <w:sz w:val="24"/>
              <w:szCs w:val="24"/>
              <w:lang w:val="en-US" w:eastAsia="zh-CN" w:bidi="ar-SA"/>
            </w:rPr>
            <w:fldChar w:fldCharType="begin"/>
          </w:r>
          <w:r>
            <w:rPr>
              <w:rFonts w:hint="eastAsia" w:ascii="Times New Roman" w:hAnsi="Times New Roman" w:eastAsia="宋体" w:cs="宋体"/>
              <w:color w:val="auto"/>
              <w:sz w:val="24"/>
              <w:szCs w:val="24"/>
              <w:lang w:val="en-US" w:eastAsia="zh-CN" w:bidi="ar-SA"/>
            </w:rPr>
            <w:instrText xml:space="preserve"> HYPERLINK \l _Toc21886 </w:instrText>
          </w:r>
          <w:r>
            <w:rPr>
              <w:rFonts w:hint="eastAsia" w:ascii="Times New Roman" w:hAnsi="Times New Roman" w:eastAsia="宋体" w:cs="宋体"/>
              <w:color w:val="auto"/>
              <w:sz w:val="24"/>
              <w:szCs w:val="24"/>
              <w:lang w:val="en-US" w:eastAsia="zh-CN" w:bidi="ar-SA"/>
            </w:rPr>
            <w:fldChar w:fldCharType="separate"/>
          </w:r>
          <w:r>
            <w:rPr>
              <w:rFonts w:hint="eastAsia" w:ascii="Times New Roman" w:hAnsi="Times New Roman" w:eastAsia="宋体" w:cs="宋体"/>
              <w:color w:val="auto"/>
              <w:kern w:val="44"/>
              <w:sz w:val="24"/>
              <w:szCs w:val="24"/>
              <w:lang w:val="en-US" w:eastAsia="zh-CN" w:bidi="ar-SA"/>
            </w:rPr>
            <w:t>六、结论</w:t>
          </w:r>
          <w:r>
            <w:rPr>
              <w:color w:val="auto"/>
              <w:sz w:val="24"/>
              <w:szCs w:val="24"/>
            </w:rPr>
            <w:tab/>
          </w:r>
          <w:r>
            <w:rPr>
              <w:color w:val="auto"/>
              <w:sz w:val="24"/>
              <w:szCs w:val="24"/>
            </w:rPr>
            <w:fldChar w:fldCharType="begin"/>
          </w:r>
          <w:r>
            <w:rPr>
              <w:color w:val="auto"/>
              <w:sz w:val="24"/>
              <w:szCs w:val="24"/>
            </w:rPr>
            <w:instrText xml:space="preserve"> PAGEREF _Toc21886 \h </w:instrText>
          </w:r>
          <w:r>
            <w:rPr>
              <w:color w:val="auto"/>
              <w:sz w:val="24"/>
              <w:szCs w:val="24"/>
            </w:rPr>
            <w:fldChar w:fldCharType="separate"/>
          </w:r>
          <w:r>
            <w:rPr>
              <w:color w:val="auto"/>
              <w:sz w:val="24"/>
              <w:szCs w:val="24"/>
            </w:rPr>
            <w:t>66</w:t>
          </w:r>
          <w:r>
            <w:rPr>
              <w:color w:val="auto"/>
              <w:sz w:val="24"/>
              <w:szCs w:val="24"/>
            </w:rPr>
            <w:fldChar w:fldCharType="end"/>
          </w:r>
          <w:r>
            <w:rPr>
              <w:rFonts w:hint="eastAsia" w:ascii="Times New Roman" w:hAnsi="Times New Roman" w:eastAsia="宋体" w:cs="宋体"/>
              <w:color w:val="auto"/>
              <w:sz w:val="24"/>
              <w:szCs w:val="24"/>
              <w:lang w:val="en-US" w:eastAsia="zh-CN" w:bidi="ar-SA"/>
            </w:rPr>
            <w:fldChar w:fldCharType="end"/>
          </w:r>
        </w:p>
        <w:p w14:paraId="0A2BBEC1">
          <w:pPr>
            <w:pStyle w:val="51"/>
            <w:tabs>
              <w:tab w:val="right" w:leader="dot" w:pos="8306"/>
            </w:tabs>
            <w:spacing w:line="360" w:lineRule="auto"/>
            <w:rPr>
              <w:color w:val="auto"/>
              <w:sz w:val="24"/>
              <w:szCs w:val="24"/>
            </w:rPr>
          </w:pPr>
          <w:r>
            <w:rPr>
              <w:rFonts w:hint="eastAsia" w:ascii="Times New Roman" w:hAnsi="Times New Roman" w:eastAsia="宋体" w:cs="宋体"/>
              <w:color w:val="auto"/>
              <w:sz w:val="24"/>
              <w:szCs w:val="24"/>
              <w:lang w:val="en-US" w:eastAsia="zh-CN" w:bidi="ar-SA"/>
            </w:rPr>
            <w:fldChar w:fldCharType="begin"/>
          </w:r>
          <w:r>
            <w:rPr>
              <w:rFonts w:hint="eastAsia" w:ascii="Times New Roman" w:hAnsi="Times New Roman" w:eastAsia="宋体" w:cs="宋体"/>
              <w:color w:val="auto"/>
              <w:sz w:val="24"/>
              <w:szCs w:val="24"/>
              <w:lang w:val="en-US" w:eastAsia="zh-CN" w:bidi="ar-SA"/>
            </w:rPr>
            <w:instrText xml:space="preserve"> HYPERLINK \l _Toc12004 </w:instrText>
          </w:r>
          <w:r>
            <w:rPr>
              <w:rFonts w:hint="eastAsia" w:ascii="Times New Roman" w:hAnsi="Times New Roman" w:eastAsia="宋体" w:cs="宋体"/>
              <w:color w:val="auto"/>
              <w:sz w:val="24"/>
              <w:szCs w:val="24"/>
              <w:lang w:val="en-US" w:eastAsia="zh-CN" w:bidi="ar-SA"/>
            </w:rPr>
            <w:fldChar w:fldCharType="separate"/>
          </w:r>
          <w:r>
            <w:rPr>
              <w:rFonts w:hint="eastAsia" w:ascii="Times New Roman" w:hAnsi="Times New Roman" w:eastAsia="黑体" w:cs="Times New Roman"/>
              <w:snapToGrid w:val="0"/>
              <w:color w:val="auto"/>
              <w:kern w:val="0"/>
              <w:sz w:val="24"/>
              <w:szCs w:val="24"/>
              <w:highlight w:val="none"/>
              <w:lang w:val="en-US" w:eastAsia="zh-CN" w:bidi="ar-SA"/>
            </w:rPr>
            <w:t>附表</w:t>
          </w:r>
          <w:r>
            <w:rPr>
              <w:color w:val="auto"/>
              <w:sz w:val="24"/>
              <w:szCs w:val="24"/>
            </w:rPr>
            <w:tab/>
          </w:r>
          <w:r>
            <w:rPr>
              <w:color w:val="auto"/>
              <w:sz w:val="24"/>
              <w:szCs w:val="24"/>
            </w:rPr>
            <w:fldChar w:fldCharType="begin"/>
          </w:r>
          <w:r>
            <w:rPr>
              <w:color w:val="auto"/>
              <w:sz w:val="24"/>
              <w:szCs w:val="24"/>
            </w:rPr>
            <w:instrText xml:space="preserve"> PAGEREF _Toc12004 \h </w:instrText>
          </w:r>
          <w:r>
            <w:rPr>
              <w:color w:val="auto"/>
              <w:sz w:val="24"/>
              <w:szCs w:val="24"/>
            </w:rPr>
            <w:fldChar w:fldCharType="separate"/>
          </w:r>
          <w:r>
            <w:rPr>
              <w:color w:val="auto"/>
              <w:sz w:val="24"/>
              <w:szCs w:val="24"/>
            </w:rPr>
            <w:t>67</w:t>
          </w:r>
          <w:r>
            <w:rPr>
              <w:color w:val="auto"/>
              <w:sz w:val="24"/>
              <w:szCs w:val="24"/>
            </w:rPr>
            <w:fldChar w:fldCharType="end"/>
          </w:r>
          <w:r>
            <w:rPr>
              <w:rFonts w:hint="eastAsia" w:ascii="Times New Roman" w:hAnsi="Times New Roman" w:eastAsia="宋体" w:cs="宋体"/>
              <w:color w:val="auto"/>
              <w:sz w:val="24"/>
              <w:szCs w:val="24"/>
              <w:lang w:val="en-US" w:eastAsia="zh-CN" w:bidi="ar-SA"/>
            </w:rPr>
            <w:fldChar w:fldCharType="end"/>
          </w:r>
        </w:p>
        <w:p w14:paraId="6CB51EE9">
          <w:pPr>
            <w:pStyle w:val="51"/>
            <w:tabs>
              <w:tab w:val="right" w:leader="dot" w:pos="8306"/>
            </w:tabs>
            <w:spacing w:line="360" w:lineRule="auto"/>
            <w:rPr>
              <w:color w:val="auto"/>
              <w:sz w:val="24"/>
              <w:szCs w:val="24"/>
            </w:rPr>
          </w:pPr>
          <w:r>
            <w:rPr>
              <w:rFonts w:hint="eastAsia" w:ascii="Times New Roman" w:hAnsi="Times New Roman" w:eastAsia="宋体" w:cs="宋体"/>
              <w:color w:val="auto"/>
              <w:sz w:val="24"/>
              <w:szCs w:val="24"/>
              <w:lang w:val="en-US" w:eastAsia="zh-CN" w:bidi="ar-SA"/>
            </w:rPr>
            <w:fldChar w:fldCharType="begin"/>
          </w:r>
          <w:r>
            <w:rPr>
              <w:rFonts w:hint="eastAsia" w:ascii="Times New Roman" w:hAnsi="Times New Roman" w:eastAsia="宋体" w:cs="宋体"/>
              <w:color w:val="auto"/>
              <w:sz w:val="24"/>
              <w:szCs w:val="24"/>
              <w:lang w:val="en-US" w:eastAsia="zh-CN" w:bidi="ar-SA"/>
            </w:rPr>
            <w:instrText xml:space="preserve"> HYPERLINK \l _Toc29686 </w:instrText>
          </w:r>
          <w:r>
            <w:rPr>
              <w:rFonts w:hint="eastAsia" w:ascii="Times New Roman" w:hAnsi="Times New Roman" w:eastAsia="宋体" w:cs="宋体"/>
              <w:color w:val="auto"/>
              <w:sz w:val="24"/>
              <w:szCs w:val="24"/>
              <w:lang w:val="en-US" w:eastAsia="zh-CN" w:bidi="ar-SA"/>
            </w:rPr>
            <w:fldChar w:fldCharType="separate"/>
          </w:r>
          <w:r>
            <w:rPr>
              <w:rFonts w:hint="eastAsia" w:ascii="Times New Roman" w:hAnsi="Times New Roman" w:eastAsia="宋体" w:cs="宋体"/>
              <w:bCs/>
              <w:color w:val="auto"/>
              <w:sz w:val="24"/>
              <w:szCs w:val="24"/>
              <w:lang w:val="en-US" w:eastAsia="zh-CN"/>
            </w:rPr>
            <w:t>建设项目污染物排放量汇总表</w:t>
          </w:r>
          <w:r>
            <w:rPr>
              <w:color w:val="auto"/>
              <w:sz w:val="24"/>
              <w:szCs w:val="24"/>
            </w:rPr>
            <w:tab/>
          </w:r>
          <w:r>
            <w:rPr>
              <w:color w:val="auto"/>
              <w:sz w:val="24"/>
              <w:szCs w:val="24"/>
            </w:rPr>
            <w:fldChar w:fldCharType="begin"/>
          </w:r>
          <w:r>
            <w:rPr>
              <w:color w:val="auto"/>
              <w:sz w:val="24"/>
              <w:szCs w:val="24"/>
            </w:rPr>
            <w:instrText xml:space="preserve"> PAGEREF _Toc29686 \h </w:instrText>
          </w:r>
          <w:r>
            <w:rPr>
              <w:color w:val="auto"/>
              <w:sz w:val="24"/>
              <w:szCs w:val="24"/>
            </w:rPr>
            <w:fldChar w:fldCharType="separate"/>
          </w:r>
          <w:r>
            <w:rPr>
              <w:color w:val="auto"/>
              <w:sz w:val="24"/>
              <w:szCs w:val="24"/>
            </w:rPr>
            <w:t>67</w:t>
          </w:r>
          <w:r>
            <w:rPr>
              <w:color w:val="auto"/>
              <w:sz w:val="24"/>
              <w:szCs w:val="24"/>
            </w:rPr>
            <w:fldChar w:fldCharType="end"/>
          </w:r>
          <w:r>
            <w:rPr>
              <w:rFonts w:hint="eastAsia" w:ascii="Times New Roman" w:hAnsi="Times New Roman" w:eastAsia="宋体" w:cs="宋体"/>
              <w:color w:val="auto"/>
              <w:sz w:val="24"/>
              <w:szCs w:val="24"/>
              <w:lang w:val="en-US" w:eastAsia="zh-CN" w:bidi="ar-SA"/>
            </w:rPr>
            <w:fldChar w:fldCharType="end"/>
          </w:r>
        </w:p>
        <w:p w14:paraId="01517503">
          <w:pPr>
            <w:bidi w:val="0"/>
            <w:rPr>
              <w:rFonts w:hint="eastAsia" w:ascii="Times New Roman" w:hAnsi="Times New Roman" w:eastAsia="宋体" w:cs="宋体"/>
              <w:color w:val="auto"/>
              <w:sz w:val="24"/>
              <w:szCs w:val="22"/>
              <w:lang w:val="en-US" w:eastAsia="zh-CN" w:bidi="ar-SA"/>
            </w:rPr>
          </w:pPr>
          <w:r>
            <w:rPr>
              <w:rFonts w:hint="eastAsia" w:ascii="Times New Roman" w:hAnsi="Times New Roman" w:eastAsia="宋体" w:cs="宋体"/>
              <w:color w:val="auto"/>
              <w:szCs w:val="22"/>
              <w:lang w:val="en-US" w:eastAsia="zh-CN" w:bidi="ar-SA"/>
            </w:rPr>
            <w:fldChar w:fldCharType="end"/>
          </w:r>
        </w:p>
      </w:sdtContent>
    </w:sdt>
    <w:p w14:paraId="3B278462">
      <w:pPr>
        <w:bidi w:val="0"/>
        <w:rPr>
          <w:rFonts w:hint="eastAsia"/>
          <w:color w:val="auto"/>
          <w:lang w:val="en-US" w:eastAsia="zh-CN"/>
        </w:rPr>
      </w:pPr>
    </w:p>
    <w:p w14:paraId="47536ED4">
      <w:pPr>
        <w:bidi w:val="0"/>
        <w:rPr>
          <w:rFonts w:hint="eastAsia"/>
          <w:color w:val="auto"/>
          <w:lang w:val="en-US" w:eastAsia="zh-CN"/>
        </w:rPr>
      </w:pPr>
    </w:p>
    <w:p w14:paraId="4466B7D8">
      <w:pPr>
        <w:bidi w:val="0"/>
        <w:rPr>
          <w:rFonts w:hint="eastAsia"/>
          <w:color w:val="auto"/>
          <w:lang w:val="en-US" w:eastAsia="zh-CN"/>
        </w:rPr>
      </w:pPr>
    </w:p>
    <w:p w14:paraId="749D09CE">
      <w:pPr>
        <w:bidi w:val="0"/>
        <w:rPr>
          <w:rFonts w:hint="eastAsia"/>
          <w:color w:val="auto"/>
          <w:lang w:val="en-US" w:eastAsia="zh-CN"/>
        </w:rPr>
      </w:pPr>
    </w:p>
    <w:p w14:paraId="45711D13">
      <w:pPr>
        <w:bidi w:val="0"/>
        <w:rPr>
          <w:rFonts w:hint="eastAsia"/>
          <w:color w:val="auto"/>
          <w:lang w:val="en-US" w:eastAsia="zh-CN"/>
        </w:rPr>
      </w:pPr>
    </w:p>
    <w:p w14:paraId="57495493">
      <w:pPr>
        <w:tabs>
          <w:tab w:val="center" w:pos="4153"/>
        </w:tabs>
        <w:bidi w:val="0"/>
        <w:jc w:val="left"/>
        <w:rPr>
          <w:rFonts w:hint="eastAsia"/>
          <w:color w:val="auto"/>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color w:val="auto"/>
          <w:lang w:val="en-US" w:eastAsia="zh-CN"/>
        </w:rPr>
        <w:t xml:space="preserve"> </w:t>
      </w:r>
      <w:r>
        <w:rPr>
          <w:rFonts w:hint="eastAsia" w:ascii="Times New Roman" w:eastAsia="宋体"/>
          <w:color w:val="auto"/>
          <w:lang w:val="en-US" w:eastAsia="zh-CN"/>
        </w:rPr>
        <w:tab/>
      </w:r>
    </w:p>
    <w:p w14:paraId="15745703">
      <w:pPr>
        <w:widowControl w:val="0"/>
        <w:numPr>
          <w:ilvl w:val="0"/>
          <w:numId w:val="0"/>
        </w:numPr>
        <w:overflowPunct w:val="0"/>
        <w:autoSpaceDE w:val="0"/>
        <w:autoSpaceDN w:val="0"/>
        <w:bidi w:val="0"/>
        <w:adjustRightInd w:val="0"/>
        <w:snapToGrid w:val="0"/>
        <w:spacing w:before="0" w:after="0" w:line="560" w:lineRule="exact"/>
        <w:ind w:left="0" w:leftChars="0" w:right="0" w:rightChars="0" w:firstLine="0" w:firstLineChars="0"/>
        <w:jc w:val="center"/>
        <w:outlineLvl w:val="0"/>
        <w:rPr>
          <w:rFonts w:ascii="Times New Roman" w:hAnsi="Times New Roman" w:eastAsia="宋体" w:cs="宋体"/>
          <w:b/>
          <w:color w:val="auto"/>
          <w:kern w:val="44"/>
          <w:sz w:val="28"/>
          <w:szCs w:val="22"/>
          <w:lang w:val="en-US" w:eastAsia="zh-CN" w:bidi="ar-SA"/>
        </w:rPr>
      </w:pPr>
      <w:bookmarkStart w:id="1" w:name="_Toc2898"/>
      <w:bookmarkStart w:id="2" w:name="_Toc28497"/>
      <w:bookmarkStart w:id="3" w:name="_Toc14616"/>
      <w:r>
        <w:rPr>
          <w:rFonts w:hint="eastAsia" w:ascii="Times New Roman" w:hAnsi="Times New Roman" w:eastAsia="宋体" w:cs="宋体"/>
          <w:b/>
          <w:color w:val="auto"/>
          <w:kern w:val="44"/>
          <w:sz w:val="28"/>
          <w:szCs w:val="22"/>
          <w:lang w:val="en-US" w:eastAsia="zh-CN" w:bidi="ar-SA"/>
        </w:rPr>
        <w:t>一、</w:t>
      </w:r>
      <w:r>
        <w:rPr>
          <w:rFonts w:ascii="Times New Roman" w:hAnsi="Times New Roman" w:eastAsia="宋体" w:cs="宋体"/>
          <w:b/>
          <w:color w:val="auto"/>
          <w:kern w:val="44"/>
          <w:sz w:val="28"/>
          <w:szCs w:val="22"/>
          <w:lang w:val="en-US" w:eastAsia="zh-CN" w:bidi="ar-SA"/>
        </w:rPr>
        <w:t>建设项目基本情况</w:t>
      </w:r>
      <w:bookmarkEnd w:id="1"/>
      <w:bookmarkEnd w:id="2"/>
      <w:bookmarkEnd w:id="3"/>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2181"/>
        <w:gridCol w:w="1841"/>
        <w:gridCol w:w="3365"/>
      </w:tblGrid>
      <w:tr w14:paraId="4BDA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27D2220C">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建设项目名称</w:t>
            </w:r>
          </w:p>
        </w:tc>
        <w:tc>
          <w:tcPr>
            <w:tcW w:w="7175" w:type="dxa"/>
            <w:gridSpan w:val="3"/>
            <w:vAlign w:val="center"/>
          </w:tcPr>
          <w:p w14:paraId="6B61A012">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胡杨河东智果业有限公司年产7000吨浓缩葡萄计、葡萄果糖厂建设项目</w:t>
            </w:r>
          </w:p>
        </w:tc>
      </w:tr>
      <w:tr w14:paraId="6297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96" w:type="dxa"/>
            <w:vAlign w:val="center"/>
          </w:tcPr>
          <w:p w14:paraId="5D544F7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项目代码</w:t>
            </w:r>
          </w:p>
        </w:tc>
        <w:tc>
          <w:tcPr>
            <w:tcW w:w="7175" w:type="dxa"/>
            <w:gridSpan w:val="3"/>
            <w:vAlign w:val="center"/>
          </w:tcPr>
          <w:p w14:paraId="4F94A2F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2404-660791-04-01-775139</w:t>
            </w:r>
          </w:p>
        </w:tc>
      </w:tr>
      <w:tr w14:paraId="5DDD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6941862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建设单位联系</w:t>
            </w:r>
            <w:r>
              <w:rPr>
                <w:rFonts w:hint="eastAsia" w:cs="Times New Roman"/>
                <w:color w:val="auto"/>
                <w:sz w:val="24"/>
                <w:szCs w:val="24"/>
                <w:lang w:val="en-US" w:eastAsia="zh-CN" w:bidi="ar-SA"/>
              </w:rPr>
              <w:t>人</w:t>
            </w:r>
          </w:p>
        </w:tc>
        <w:tc>
          <w:tcPr>
            <w:tcW w:w="2196" w:type="dxa"/>
            <w:vAlign w:val="center"/>
          </w:tcPr>
          <w:p w14:paraId="4AD8E54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 xml:space="preserve">刘重旭 </w:t>
            </w:r>
          </w:p>
        </w:tc>
        <w:tc>
          <w:tcPr>
            <w:tcW w:w="1683" w:type="dxa"/>
            <w:vAlign w:val="center"/>
          </w:tcPr>
          <w:p w14:paraId="78ADB7C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联系方式</w:t>
            </w:r>
          </w:p>
        </w:tc>
        <w:tc>
          <w:tcPr>
            <w:tcW w:w="3296" w:type="dxa"/>
            <w:vAlign w:val="center"/>
          </w:tcPr>
          <w:p w14:paraId="7A8761D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15009201050</w:t>
            </w:r>
          </w:p>
        </w:tc>
      </w:tr>
      <w:tr w14:paraId="3C62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896" w:type="dxa"/>
            <w:vAlign w:val="center"/>
          </w:tcPr>
          <w:p w14:paraId="1CB2BC4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建设地点</w:t>
            </w:r>
          </w:p>
        </w:tc>
        <w:tc>
          <w:tcPr>
            <w:tcW w:w="7175" w:type="dxa"/>
            <w:gridSpan w:val="3"/>
            <w:vAlign w:val="center"/>
          </w:tcPr>
          <w:p w14:paraId="082BC5A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新疆生产建设兵团第七师胡杨河市胡杨河经济技术开发区</w:t>
            </w:r>
          </w:p>
        </w:tc>
      </w:tr>
      <w:tr w14:paraId="6A2A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896" w:type="dxa"/>
            <w:vAlign w:val="center"/>
          </w:tcPr>
          <w:p w14:paraId="29753CF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地理坐标</w:t>
            </w:r>
          </w:p>
        </w:tc>
        <w:tc>
          <w:tcPr>
            <w:tcW w:w="7175" w:type="dxa"/>
            <w:gridSpan w:val="3"/>
            <w:vAlign w:val="center"/>
          </w:tcPr>
          <w:p w14:paraId="4151122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20" w:lineRule="exact"/>
              <w:ind w:right="0" w:rightChars="0"/>
              <w:jc w:val="center"/>
              <w:textAlignment w:val="auto"/>
              <w:rPr>
                <w:rFonts w:hint="default"/>
                <w:color w:val="auto"/>
                <w:lang w:val="en-US" w:eastAsia="zh-CN"/>
              </w:rPr>
            </w:pPr>
            <w:r>
              <w:rPr>
                <w:rFonts w:hint="default"/>
                <w:color w:val="auto"/>
                <w:highlight w:val="none"/>
                <w:lang w:val="en-US" w:eastAsia="zh-CN"/>
              </w:rPr>
              <w:t>（8</w:t>
            </w:r>
            <w:r>
              <w:rPr>
                <w:rFonts w:hint="eastAsia"/>
                <w:color w:val="auto"/>
                <w:highlight w:val="none"/>
                <w:lang w:val="en-US" w:eastAsia="zh-CN"/>
              </w:rPr>
              <w:t>4</w:t>
            </w:r>
            <w:r>
              <w:rPr>
                <w:rFonts w:hint="default"/>
                <w:color w:val="auto"/>
                <w:highlight w:val="none"/>
                <w:lang w:val="en-US" w:eastAsia="zh-CN"/>
              </w:rPr>
              <w:t>度</w:t>
            </w:r>
            <w:r>
              <w:rPr>
                <w:rFonts w:hint="eastAsia"/>
                <w:color w:val="auto"/>
                <w:highlight w:val="none"/>
                <w:lang w:val="en-US" w:eastAsia="zh-CN"/>
              </w:rPr>
              <w:t>55</w:t>
            </w:r>
            <w:r>
              <w:rPr>
                <w:rFonts w:hint="eastAsia" w:ascii="Times New Roman" w:eastAsia="宋体"/>
                <w:color w:val="auto"/>
                <w:highlight w:val="none"/>
                <w:lang w:val="en-US" w:eastAsia="zh-CN"/>
              </w:rPr>
              <w:t>分</w:t>
            </w:r>
            <w:r>
              <w:rPr>
                <w:rFonts w:hint="eastAsia"/>
                <w:color w:val="auto"/>
                <w:highlight w:val="none"/>
                <w:lang w:val="en-US" w:eastAsia="zh-CN"/>
              </w:rPr>
              <w:t>3.5.425</w:t>
            </w:r>
            <w:r>
              <w:rPr>
                <w:rFonts w:hint="eastAsia" w:ascii="Times New Roman" w:eastAsia="宋体"/>
                <w:color w:val="auto"/>
                <w:highlight w:val="none"/>
                <w:lang w:val="en-US" w:eastAsia="zh-CN"/>
              </w:rPr>
              <w:t>秒</w:t>
            </w:r>
            <w:r>
              <w:rPr>
                <w:rFonts w:hint="default"/>
                <w:color w:val="auto"/>
                <w:highlight w:val="none"/>
                <w:lang w:val="en-US" w:eastAsia="zh-CN"/>
              </w:rPr>
              <w:t>，纬度：</w:t>
            </w:r>
            <w:r>
              <w:rPr>
                <w:rFonts w:hint="eastAsia"/>
                <w:color w:val="auto"/>
                <w:highlight w:val="none"/>
                <w:lang w:val="en-US" w:eastAsia="zh-CN"/>
              </w:rPr>
              <w:t>44</w:t>
            </w:r>
            <w:r>
              <w:rPr>
                <w:rFonts w:hint="default"/>
                <w:color w:val="auto"/>
                <w:highlight w:val="none"/>
                <w:lang w:val="en-US" w:eastAsia="zh-CN"/>
              </w:rPr>
              <w:t>度</w:t>
            </w:r>
            <w:r>
              <w:rPr>
                <w:rFonts w:hint="eastAsia"/>
                <w:color w:val="auto"/>
                <w:highlight w:val="none"/>
                <w:lang w:val="en-US" w:eastAsia="zh-CN"/>
              </w:rPr>
              <w:t>44</w:t>
            </w:r>
            <w:r>
              <w:rPr>
                <w:rFonts w:hint="eastAsia" w:ascii="Times New Roman" w:eastAsia="宋体"/>
                <w:color w:val="auto"/>
                <w:highlight w:val="none"/>
                <w:lang w:val="en-US" w:eastAsia="zh-CN"/>
              </w:rPr>
              <w:t>分</w:t>
            </w:r>
            <w:r>
              <w:rPr>
                <w:rFonts w:hint="eastAsia"/>
                <w:color w:val="auto"/>
                <w:highlight w:val="none"/>
                <w:lang w:val="en-US" w:eastAsia="zh-CN"/>
              </w:rPr>
              <w:t>34.125</w:t>
            </w:r>
            <w:r>
              <w:rPr>
                <w:rFonts w:hint="eastAsia" w:ascii="Times New Roman" w:eastAsia="宋体"/>
                <w:color w:val="auto"/>
                <w:highlight w:val="none"/>
                <w:lang w:val="en-US" w:eastAsia="zh-CN"/>
              </w:rPr>
              <w:t>秒</w:t>
            </w:r>
            <w:r>
              <w:rPr>
                <w:rFonts w:hint="default"/>
                <w:color w:val="auto"/>
                <w:highlight w:val="none"/>
                <w:lang w:val="en-US" w:eastAsia="zh-CN"/>
              </w:rPr>
              <w:t>）</w:t>
            </w:r>
          </w:p>
        </w:tc>
      </w:tr>
      <w:tr w14:paraId="18FE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0AD82BD2">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国民经济行业类别</w:t>
            </w:r>
          </w:p>
        </w:tc>
        <w:tc>
          <w:tcPr>
            <w:tcW w:w="2196" w:type="dxa"/>
            <w:vAlign w:val="center"/>
          </w:tcPr>
          <w:p w14:paraId="29659054">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C1523 果菜汁及果菜汁饮料制造</w:t>
            </w:r>
          </w:p>
        </w:tc>
        <w:tc>
          <w:tcPr>
            <w:tcW w:w="1683" w:type="dxa"/>
            <w:vAlign w:val="center"/>
          </w:tcPr>
          <w:p w14:paraId="11908E36">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建设项目行业类别</w:t>
            </w:r>
          </w:p>
        </w:tc>
        <w:tc>
          <w:tcPr>
            <w:tcW w:w="3296" w:type="dxa"/>
            <w:vAlign w:val="center"/>
          </w:tcPr>
          <w:p w14:paraId="499A9DDC">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十二、酒、饮料制造业 15 饮料制造 152*：“有发酵工艺、原汁生产的”</w:t>
            </w:r>
          </w:p>
        </w:tc>
      </w:tr>
      <w:tr w14:paraId="590F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3DD792FD">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color w:val="auto"/>
                <w:sz w:val="24"/>
                <w:szCs w:val="24"/>
                <w:lang w:val="en-US" w:eastAsia="zh-CN" w:bidi="ar-SA"/>
              </w:rPr>
              <w:t>建设性质</w:t>
            </w:r>
          </w:p>
        </w:tc>
        <w:tc>
          <w:tcPr>
            <w:tcW w:w="2196" w:type="dxa"/>
            <w:vAlign w:val="center"/>
          </w:tcPr>
          <w:p w14:paraId="4466CB26">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新建</w:t>
            </w:r>
          </w:p>
          <w:p w14:paraId="78D2BE74">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改建</w:t>
            </w:r>
          </w:p>
          <w:p w14:paraId="6AB0BFDD">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扩建</w:t>
            </w:r>
          </w:p>
          <w:p w14:paraId="6409A9A8">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left"/>
              <w:textAlignment w:val="auto"/>
              <w:rPr>
                <w:rFonts w:hint="default" w:ascii="Times New Roman" w:hAnsi="Times New Roman" w:eastAsia="宋体" w:cs="Times New Roman"/>
                <w:color w:val="auto"/>
                <w:sz w:val="24"/>
                <w:szCs w:val="24"/>
                <w:vertAlign w:val="baseline"/>
                <w:lang w:val="en-US" w:eastAsia="zh-CN" w:bidi="ar-SA"/>
              </w:rPr>
            </w:pP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技术改造</w:t>
            </w:r>
          </w:p>
        </w:tc>
        <w:tc>
          <w:tcPr>
            <w:tcW w:w="1683" w:type="dxa"/>
            <w:vAlign w:val="center"/>
          </w:tcPr>
          <w:p w14:paraId="7A71BC6F">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color w:val="auto"/>
                <w:sz w:val="24"/>
                <w:szCs w:val="24"/>
                <w:lang w:val="en-US" w:eastAsia="zh-CN" w:bidi="ar-SA"/>
              </w:rPr>
              <w:t>建设项目申报情形</w:t>
            </w:r>
          </w:p>
        </w:tc>
        <w:tc>
          <w:tcPr>
            <w:tcW w:w="3296" w:type="dxa"/>
            <w:vAlign w:val="center"/>
          </w:tcPr>
          <w:p w14:paraId="2E2F35AE">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首次申报项目</w:t>
            </w:r>
          </w:p>
          <w:p w14:paraId="7F93F896">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不予批准后再次申报项目</w:t>
            </w:r>
          </w:p>
          <w:p w14:paraId="7E02053D">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left"/>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超五年重新审核项目</w:t>
            </w:r>
          </w:p>
          <w:p w14:paraId="13AA66BA">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left"/>
              <w:textAlignment w:val="auto"/>
              <w:rPr>
                <w:rFonts w:hint="default" w:ascii="Times New Roman" w:hAnsi="Times New Roman" w:eastAsia="宋体" w:cs="Times New Roman"/>
                <w:color w:val="auto"/>
                <w:sz w:val="24"/>
                <w:szCs w:val="24"/>
                <w:vertAlign w:val="baseline"/>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重大变动重新报批项目</w:t>
            </w:r>
          </w:p>
        </w:tc>
      </w:tr>
      <w:tr w14:paraId="285B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65EF1E1F">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color w:val="auto"/>
                <w:sz w:val="24"/>
                <w:szCs w:val="24"/>
                <w:lang w:val="en-US" w:eastAsia="zh-CN" w:bidi="ar-SA"/>
              </w:rPr>
              <w:t>项目审批（核准/ 备案）部门（选填）</w:t>
            </w:r>
          </w:p>
        </w:tc>
        <w:tc>
          <w:tcPr>
            <w:tcW w:w="2196" w:type="dxa"/>
            <w:vAlign w:val="center"/>
          </w:tcPr>
          <w:p w14:paraId="29832677">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eastAsia" w:cs="Times New Roman"/>
                <w:color w:val="auto"/>
                <w:sz w:val="24"/>
                <w:szCs w:val="24"/>
                <w:vertAlign w:val="baseline"/>
                <w:lang w:val="en-US" w:eastAsia="zh-CN" w:bidi="ar-SA"/>
              </w:rPr>
              <w:t>/</w:t>
            </w:r>
          </w:p>
        </w:tc>
        <w:tc>
          <w:tcPr>
            <w:tcW w:w="1683" w:type="dxa"/>
            <w:vAlign w:val="center"/>
          </w:tcPr>
          <w:p w14:paraId="63D7C62F">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default" w:ascii="Times New Roman" w:hAnsi="Times New Roman" w:eastAsia="宋体" w:cs="Times New Roman"/>
                <w:color w:val="auto"/>
                <w:sz w:val="24"/>
                <w:szCs w:val="24"/>
                <w:lang w:val="en-US" w:eastAsia="zh-CN" w:bidi="ar-SA"/>
              </w:rPr>
              <w:t>项目审批（核准/ 备案）文号（选填）</w:t>
            </w:r>
          </w:p>
        </w:tc>
        <w:tc>
          <w:tcPr>
            <w:tcW w:w="3296" w:type="dxa"/>
            <w:vAlign w:val="center"/>
          </w:tcPr>
          <w:p w14:paraId="567AAA38">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bidi="ar-SA"/>
              </w:rPr>
            </w:pPr>
            <w:r>
              <w:rPr>
                <w:rFonts w:hint="eastAsia" w:cs="Times New Roman"/>
                <w:color w:val="auto"/>
                <w:sz w:val="24"/>
                <w:szCs w:val="24"/>
                <w:vertAlign w:val="baseline"/>
                <w:lang w:val="en-US" w:eastAsia="zh-CN" w:bidi="ar-SA"/>
              </w:rPr>
              <w:t>/</w:t>
            </w:r>
          </w:p>
        </w:tc>
      </w:tr>
      <w:tr w14:paraId="6474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23D5FCA4">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总投资（万元）</w:t>
            </w:r>
          </w:p>
        </w:tc>
        <w:tc>
          <w:tcPr>
            <w:tcW w:w="2196" w:type="dxa"/>
            <w:vAlign w:val="center"/>
          </w:tcPr>
          <w:p w14:paraId="17110DF9">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5000</w:t>
            </w:r>
          </w:p>
        </w:tc>
        <w:tc>
          <w:tcPr>
            <w:tcW w:w="1683" w:type="dxa"/>
            <w:vAlign w:val="center"/>
          </w:tcPr>
          <w:p w14:paraId="752DC655">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环保投资（万元）</w:t>
            </w:r>
          </w:p>
        </w:tc>
        <w:tc>
          <w:tcPr>
            <w:tcW w:w="3296" w:type="dxa"/>
            <w:vAlign w:val="center"/>
          </w:tcPr>
          <w:p w14:paraId="0212BB8D">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191.5</w:t>
            </w:r>
          </w:p>
        </w:tc>
      </w:tr>
      <w:tr w14:paraId="277E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6114DCA3">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环保投资占比（%）</w:t>
            </w:r>
          </w:p>
        </w:tc>
        <w:tc>
          <w:tcPr>
            <w:tcW w:w="2196" w:type="dxa"/>
            <w:vAlign w:val="center"/>
          </w:tcPr>
          <w:p w14:paraId="3FAC8224">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3.83</w:t>
            </w:r>
          </w:p>
        </w:tc>
        <w:tc>
          <w:tcPr>
            <w:tcW w:w="1683" w:type="dxa"/>
            <w:vAlign w:val="center"/>
          </w:tcPr>
          <w:p w14:paraId="434F8F6A">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施工工期</w:t>
            </w:r>
          </w:p>
        </w:tc>
        <w:tc>
          <w:tcPr>
            <w:tcW w:w="3296" w:type="dxa"/>
            <w:vAlign w:val="center"/>
          </w:tcPr>
          <w:p w14:paraId="451E3582">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6个月</w:t>
            </w:r>
          </w:p>
        </w:tc>
      </w:tr>
      <w:tr w14:paraId="0C82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4131A3B8">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是否开工建设</w:t>
            </w:r>
          </w:p>
        </w:tc>
        <w:tc>
          <w:tcPr>
            <w:tcW w:w="2196" w:type="dxa"/>
            <w:vAlign w:val="center"/>
          </w:tcPr>
          <w:p w14:paraId="721AABD4">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否</w:t>
            </w:r>
            <w:r>
              <w:rPr>
                <w:rFonts w:hint="eastAsia" w:ascii="Times New Roman" w:hAnsi="Times New Roman" w:eastAsia="宋体" w:cs="Times New Roman"/>
                <w:color w:val="auto"/>
                <w:sz w:val="24"/>
                <w:szCs w:val="24"/>
                <w:lang w:val="en-US" w:eastAsia="zh-CN" w:bidi="ar-SA"/>
              </w:rPr>
              <w:t xml:space="preserve"> </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是：</w:t>
            </w:r>
          </w:p>
        </w:tc>
        <w:tc>
          <w:tcPr>
            <w:tcW w:w="1683" w:type="dxa"/>
            <w:vAlign w:val="center"/>
          </w:tcPr>
          <w:p w14:paraId="41064FBA">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用地（用海）面积（</w:t>
            </w:r>
            <w:r>
              <w:rPr>
                <w:rFonts w:hint="eastAsia" w:ascii="Times New Roman" w:hAnsi="Times New Roman" w:eastAsia="宋体" w:cs="Times New Roman"/>
                <w:color w:val="auto"/>
                <w:sz w:val="24"/>
                <w:szCs w:val="24"/>
                <w:lang w:val="en-US" w:eastAsia="zh-CN" w:bidi="ar-SA"/>
              </w:rPr>
              <w:t>m</w:t>
            </w:r>
            <w:r>
              <w:rPr>
                <w:rFonts w:hint="eastAsia"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w:t>
            </w:r>
          </w:p>
        </w:tc>
        <w:tc>
          <w:tcPr>
            <w:tcW w:w="3296" w:type="dxa"/>
            <w:vAlign w:val="center"/>
          </w:tcPr>
          <w:p w14:paraId="0B495886">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14209.89</w:t>
            </w:r>
          </w:p>
        </w:tc>
      </w:tr>
      <w:tr w14:paraId="12B3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96" w:type="dxa"/>
            <w:vAlign w:val="center"/>
          </w:tcPr>
          <w:p w14:paraId="79C53FB5">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专项评价设置情况</w:t>
            </w:r>
          </w:p>
        </w:tc>
        <w:tc>
          <w:tcPr>
            <w:tcW w:w="7175" w:type="dxa"/>
            <w:gridSpan w:val="3"/>
            <w:vAlign w:val="center"/>
          </w:tcPr>
          <w:p w14:paraId="42FCCB4E">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无</w:t>
            </w:r>
          </w:p>
        </w:tc>
      </w:tr>
      <w:tr w14:paraId="5837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20259A9F">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规划情况</w:t>
            </w:r>
          </w:p>
        </w:tc>
        <w:tc>
          <w:tcPr>
            <w:tcW w:w="7175" w:type="dxa"/>
            <w:gridSpan w:val="3"/>
            <w:vAlign w:val="center"/>
          </w:tcPr>
          <w:p w14:paraId="2742AB81">
            <w:pPr>
              <w:keepNext w:val="0"/>
              <w:keepLines w:val="0"/>
              <w:pageBreakBefore w:val="0"/>
              <w:kinsoku/>
              <w:wordWrap/>
              <w:topLinePunct w:val="0"/>
              <w:bidi w:val="0"/>
              <w:spacing w:line="400" w:lineRule="exact"/>
              <w:jc w:val="left"/>
              <w:textAlignment w:val="auto"/>
              <w:rPr>
                <w:rFonts w:hint="default" w:ascii="Times New Roman" w:hAnsi="Times New Roman" w:eastAsia="宋体" w:cs="Times New Roman"/>
                <w:b w:val="0"/>
                <w:bCs w:val="0"/>
                <w:color w:val="auto"/>
                <w:sz w:val="24"/>
                <w:szCs w:val="24"/>
                <w:lang w:val="en-US" w:eastAsia="zh-CN" w:bidi="ar-SA"/>
              </w:rPr>
            </w:pPr>
            <w:r>
              <w:rPr>
                <w:rFonts w:hint="eastAsia"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highlight w:val="none"/>
                <w:lang w:val="en-US" w:eastAsia="zh-CN"/>
              </w:rPr>
              <w:t>规划名称：</w:t>
            </w:r>
            <w:r>
              <w:rPr>
                <w:rFonts w:hint="default" w:ascii="Times New Roman" w:hAnsi="Times New Roman" w:eastAsia="宋体" w:cs="Times New Roman"/>
                <w:b w:val="0"/>
                <w:bCs w:val="0"/>
                <w:color w:val="auto"/>
                <w:sz w:val="24"/>
                <w:szCs w:val="24"/>
                <w:lang w:val="en-US" w:eastAsia="zh-CN" w:bidi="ar-SA"/>
              </w:rPr>
              <w:t>《新疆生产建设兵团第七师五五工业园区总体规划（修编）（2018-2035）》</w:t>
            </w:r>
          </w:p>
          <w:p w14:paraId="361B641D">
            <w:pPr>
              <w:keepNext w:val="0"/>
              <w:keepLines w:val="0"/>
              <w:pageBreakBefore w:val="0"/>
              <w:widowControl/>
              <w:suppressLineNumbers w:val="0"/>
              <w:kinsoku/>
              <w:wordWrap/>
              <w:topLinePunct w:val="0"/>
              <w:bidi w:val="0"/>
              <w:spacing w:line="400" w:lineRule="exact"/>
              <w:jc w:val="left"/>
              <w:textAlignment w:val="auto"/>
            </w:pPr>
            <w:r>
              <w:rPr>
                <w:rFonts w:hint="eastAsia" w:ascii="Times New Roman" w:hAnsi="Times New Roman" w:eastAsia="宋体" w:cs="Times New Roman"/>
                <w:b/>
                <w:bCs/>
                <w:color w:val="auto"/>
                <w:sz w:val="24"/>
                <w:szCs w:val="24"/>
                <w:highlight w:val="none"/>
                <w:lang w:val="en-US" w:eastAsia="zh-CN"/>
              </w:rPr>
              <w:t>②</w:t>
            </w:r>
            <w:r>
              <w:rPr>
                <w:rFonts w:hint="default" w:ascii="Times New Roman" w:hAnsi="Times New Roman" w:eastAsia="宋体" w:cs="Times New Roman"/>
                <w:b/>
                <w:bCs/>
                <w:color w:val="auto"/>
                <w:sz w:val="24"/>
                <w:szCs w:val="24"/>
                <w:highlight w:val="none"/>
                <w:lang w:val="en-US" w:eastAsia="zh-CN"/>
              </w:rPr>
              <w:t>审批机关：</w:t>
            </w:r>
            <w:r>
              <w:rPr>
                <w:rFonts w:hint="eastAsia" w:ascii="宋体" w:hAnsi="宋体" w:eastAsia="宋体" w:cs="宋体"/>
                <w:color w:val="000000"/>
                <w:kern w:val="0"/>
                <w:sz w:val="24"/>
                <w:szCs w:val="24"/>
                <w:lang w:val="en-US" w:eastAsia="zh-CN" w:bidi="ar"/>
              </w:rPr>
              <w:t>原兵团建设局</w:t>
            </w:r>
          </w:p>
          <w:p w14:paraId="395B74E1">
            <w:pPr>
              <w:keepNext w:val="0"/>
              <w:keepLines w:val="0"/>
              <w:pageBreakBefore w:val="0"/>
              <w:kinsoku/>
              <w:wordWrap/>
              <w:topLinePunct w:val="0"/>
              <w:bidi w:val="0"/>
              <w:spacing w:line="400" w:lineRule="exact"/>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③</w:t>
            </w:r>
            <w:r>
              <w:rPr>
                <w:rFonts w:hint="default" w:ascii="Times New Roman" w:hAnsi="Times New Roman" w:eastAsia="宋体" w:cs="Times New Roman"/>
                <w:b/>
                <w:bCs/>
                <w:color w:val="auto"/>
                <w:sz w:val="24"/>
                <w:szCs w:val="24"/>
                <w:highlight w:val="none"/>
                <w:lang w:val="en-US" w:eastAsia="zh-CN"/>
              </w:rPr>
              <w:t>审批文件名称及文号：</w:t>
            </w:r>
            <w:r>
              <w:rPr>
                <w:rFonts w:hint="default" w:ascii="Times New Roman" w:hAnsi="Times New Roman" w:eastAsia="宋体" w:cs="Times New Roman"/>
                <w:color w:val="auto"/>
                <w:sz w:val="24"/>
                <w:szCs w:val="24"/>
                <w:highlight w:val="none"/>
                <w:lang w:val="en-US" w:eastAsia="zh-CN"/>
              </w:rPr>
              <w:t>《关于兵团第七师五五工业园区总体规划修编的批复》（兵建规发〔2015〕34 号）</w:t>
            </w:r>
          </w:p>
          <w:p w14:paraId="3A7BE8EA">
            <w:pPr>
              <w:keepNext w:val="0"/>
              <w:keepLines w:val="0"/>
              <w:pageBreakBefore w:val="0"/>
              <w:kinsoku/>
              <w:wordWrap/>
              <w:topLinePunct w:val="0"/>
              <w:bidi w:val="0"/>
              <w:spacing w:line="400" w:lineRule="exact"/>
              <w:jc w:val="left"/>
              <w:textAlignment w:val="auto"/>
              <w:rPr>
                <w:rFonts w:hint="default" w:ascii="Times New Roman" w:hAnsi="Times New Roman" w:eastAsia="宋体" w:cs="Times New Roman"/>
                <w:b w:val="0"/>
                <w:bCs w:val="0"/>
                <w:color w:val="auto"/>
                <w:sz w:val="24"/>
                <w:szCs w:val="24"/>
                <w:lang w:val="en-US" w:eastAsia="zh-CN" w:bidi="ar-SA"/>
              </w:rPr>
            </w:pPr>
            <w:r>
              <w:rPr>
                <w:rFonts w:hint="eastAsia" w:cs="Times New Roman"/>
                <w:b/>
                <w:bCs/>
                <w:color w:val="auto"/>
                <w:sz w:val="24"/>
                <w:szCs w:val="24"/>
                <w:lang w:val="en-US" w:eastAsia="zh-CN" w:bidi="ar-SA"/>
              </w:rPr>
              <w:t>④园区变更名称文件：</w:t>
            </w:r>
            <w:r>
              <w:rPr>
                <w:rFonts w:hint="default" w:ascii="Times New Roman" w:hAnsi="Times New Roman" w:eastAsia="宋体" w:cs="Times New Roman"/>
                <w:b w:val="0"/>
                <w:bCs w:val="0"/>
                <w:color w:val="auto"/>
                <w:sz w:val="24"/>
                <w:szCs w:val="24"/>
                <w:lang w:val="en-US" w:eastAsia="zh-CN" w:bidi="ar-SA"/>
              </w:rPr>
              <w:t>《兵团关于第七师胡杨河市开发区(园区)清理整顿方案的批复》新兵函</w:t>
            </w:r>
            <w:r>
              <w:rPr>
                <w:rFonts w:hint="eastAsia"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2020</w:t>
            </w:r>
            <w:r>
              <w:rPr>
                <w:rFonts w:hint="eastAsia"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24号</w:t>
            </w:r>
          </w:p>
        </w:tc>
      </w:tr>
      <w:tr w14:paraId="448F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6" w:type="dxa"/>
            <w:vAlign w:val="center"/>
          </w:tcPr>
          <w:p w14:paraId="1CC446FA">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规划环境影响评价情况</w:t>
            </w:r>
          </w:p>
        </w:tc>
        <w:tc>
          <w:tcPr>
            <w:tcW w:w="7175" w:type="dxa"/>
            <w:gridSpan w:val="3"/>
            <w:vAlign w:val="center"/>
          </w:tcPr>
          <w:p w14:paraId="4C11C56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highlight w:val="none"/>
                <w:lang w:val="en-US" w:eastAsia="zh-CN"/>
              </w:rPr>
              <w:t>规划环境影响评价文件名称：</w:t>
            </w:r>
            <w:r>
              <w:rPr>
                <w:rFonts w:hint="default" w:ascii="Times New Roman" w:hAnsi="Times New Roman" w:eastAsia="宋体" w:cs="Times New Roman"/>
                <w:b w:val="0"/>
                <w:bCs w:val="0"/>
                <w:color w:val="auto"/>
                <w:kern w:val="0"/>
                <w:sz w:val="24"/>
                <w:szCs w:val="24"/>
                <w:lang w:val="en-US" w:eastAsia="zh-CN" w:bidi="ar"/>
              </w:rPr>
              <w:t>《胡杨河经济技术开发区总体规划（2021-2035）环境影响报告书》</w:t>
            </w:r>
          </w:p>
          <w:p w14:paraId="00A227DC">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bCs/>
                <w:color w:val="auto"/>
                <w:sz w:val="24"/>
                <w:szCs w:val="24"/>
                <w:highlight w:val="none"/>
                <w:lang w:val="en-US" w:eastAsia="zh-CN"/>
              </w:rPr>
              <w:t>②</w:t>
            </w:r>
            <w:r>
              <w:rPr>
                <w:rFonts w:hint="default" w:ascii="Times New Roman" w:hAnsi="Times New Roman" w:eastAsia="宋体" w:cs="Times New Roman"/>
                <w:b/>
                <w:bCs/>
                <w:color w:val="auto"/>
                <w:sz w:val="24"/>
                <w:szCs w:val="24"/>
                <w:highlight w:val="none"/>
                <w:lang w:val="en-US" w:eastAsia="zh-CN"/>
              </w:rPr>
              <w:t>审批机关：</w:t>
            </w:r>
            <w:r>
              <w:rPr>
                <w:rFonts w:hint="default" w:ascii="Times New Roman" w:hAnsi="Times New Roman" w:eastAsia="宋体" w:cs="Times New Roman"/>
                <w:b w:val="0"/>
                <w:bCs w:val="0"/>
                <w:color w:val="auto"/>
                <w:sz w:val="24"/>
                <w:szCs w:val="24"/>
                <w:highlight w:val="none"/>
                <w:lang w:val="en-US" w:eastAsia="zh-CN"/>
              </w:rPr>
              <w:t>新疆生产建设兵团生态环境局</w:t>
            </w:r>
          </w:p>
          <w:p w14:paraId="7C1AA58E">
            <w:pPr>
              <w:keepNext w:val="0"/>
              <w:keepLines w:val="0"/>
              <w:pageBreakBefore w:val="0"/>
              <w:widowControl w:val="0"/>
              <w:kinsoku/>
              <w:wordWrap/>
              <w:overflowPunct w:val="0"/>
              <w:topLinePunct w:val="0"/>
              <w:autoSpaceDE w:val="0"/>
              <w:autoSpaceDN w:val="0"/>
              <w:bidi w:val="0"/>
              <w:adjustRightInd w:val="0"/>
              <w:snapToGrid w:val="0"/>
              <w:spacing w:before="0" w:after="0" w:line="400" w:lineRule="exact"/>
              <w:ind w:left="0" w:leftChars="0" w:right="0" w:rightChars="0" w:firstLine="0" w:firstLineChars="0"/>
              <w:jc w:val="left"/>
              <w:textAlignment w:val="auto"/>
              <w:rPr>
                <w:rFonts w:hint="default" w:ascii="Times New Roman" w:hAnsi="Times New Roman" w:eastAsia="宋体" w:cs="Times New Roman"/>
                <w:b w:val="0"/>
                <w:bCs w:val="0"/>
                <w:color w:val="auto"/>
                <w:sz w:val="24"/>
                <w:szCs w:val="24"/>
                <w:lang w:val="en-US" w:eastAsia="zh-CN" w:bidi="ar-SA"/>
              </w:rPr>
            </w:pPr>
            <w:r>
              <w:rPr>
                <w:rFonts w:hint="eastAsia" w:ascii="Times New Roman" w:hAnsi="Times New Roman" w:eastAsia="宋体" w:cs="Times New Roman"/>
                <w:b/>
                <w:bCs/>
                <w:color w:val="auto"/>
                <w:sz w:val="24"/>
                <w:szCs w:val="24"/>
                <w:highlight w:val="none"/>
                <w:lang w:val="en-US" w:eastAsia="zh-CN"/>
              </w:rPr>
              <w:t>③</w:t>
            </w:r>
            <w:r>
              <w:rPr>
                <w:rFonts w:hint="default" w:ascii="Times New Roman" w:hAnsi="Times New Roman" w:eastAsia="宋体" w:cs="Times New Roman"/>
                <w:b/>
                <w:bCs/>
                <w:color w:val="auto"/>
                <w:sz w:val="24"/>
                <w:szCs w:val="24"/>
                <w:highlight w:val="none"/>
                <w:lang w:val="en-US" w:eastAsia="zh-CN"/>
              </w:rPr>
              <w:t>审批文件名称及文号：</w:t>
            </w:r>
            <w:r>
              <w:rPr>
                <w:rFonts w:hint="default" w:ascii="Times New Roman" w:hAnsi="Times New Roman" w:eastAsia="宋体" w:cs="Times New Roman"/>
                <w:b w:val="0"/>
                <w:bCs w:val="0"/>
                <w:color w:val="auto"/>
                <w:kern w:val="0"/>
                <w:sz w:val="24"/>
                <w:szCs w:val="24"/>
                <w:lang w:val="en-US" w:eastAsia="zh-CN" w:bidi="ar"/>
              </w:rPr>
              <w:t>关于胡杨河经济技术开发区总体规划(2021-2035年)环境影响报告书的审查意见</w:t>
            </w:r>
          </w:p>
        </w:tc>
      </w:tr>
      <w:tr w14:paraId="09FE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96" w:type="dxa"/>
            <w:vAlign w:val="center"/>
          </w:tcPr>
          <w:p w14:paraId="3DC03C85">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规划及规划环境影响评价符合性分析</w:t>
            </w:r>
          </w:p>
        </w:tc>
        <w:tc>
          <w:tcPr>
            <w:tcW w:w="7175" w:type="dxa"/>
            <w:gridSpan w:val="3"/>
            <w:vAlign w:val="center"/>
          </w:tcPr>
          <w:p w14:paraId="6B823456">
            <w:pPr>
              <w:keepNext w:val="0"/>
              <w:keepLines w:val="0"/>
              <w:widowControl/>
              <w:suppressLineNumbers w:val="0"/>
              <w:jc w:val="left"/>
              <w:rPr>
                <w:b/>
                <w:bCs/>
                <w:color w:val="auto"/>
              </w:rPr>
            </w:pPr>
            <w:r>
              <w:rPr>
                <w:rFonts w:hint="eastAsia"/>
                <w:b/>
                <w:bCs/>
                <w:color w:val="auto"/>
                <w:lang w:val="en-US" w:eastAsia="zh-CN"/>
              </w:rPr>
              <w:t>1、</w:t>
            </w:r>
            <w:r>
              <w:rPr>
                <w:rFonts w:hint="eastAsia" w:ascii="宋体" w:hAnsi="宋体" w:eastAsia="宋体" w:cs="宋体"/>
                <w:b/>
                <w:bCs/>
                <w:color w:val="auto"/>
                <w:kern w:val="0"/>
                <w:sz w:val="24"/>
                <w:szCs w:val="24"/>
                <w:lang w:val="en-US" w:eastAsia="zh-CN" w:bidi="ar"/>
              </w:rPr>
              <w:t>与《胡杨河经济开发区总体规划（</w:t>
            </w:r>
            <w:r>
              <w:rPr>
                <w:rFonts w:hint="default" w:ascii="Times New Roman" w:hAnsi="Times New Roman" w:eastAsia="宋体" w:cs="Times New Roman"/>
                <w:b/>
                <w:bCs/>
                <w:color w:val="auto"/>
                <w:kern w:val="0"/>
                <w:sz w:val="24"/>
                <w:szCs w:val="24"/>
                <w:lang w:val="en-US" w:eastAsia="zh-CN" w:bidi="ar"/>
              </w:rPr>
              <w:t xml:space="preserve">2021-2035 </w:t>
            </w:r>
            <w:r>
              <w:rPr>
                <w:rFonts w:hint="eastAsia" w:ascii="宋体" w:hAnsi="宋体" w:eastAsia="宋体" w:cs="宋体"/>
                <w:b/>
                <w:bCs/>
                <w:color w:val="auto"/>
                <w:kern w:val="0"/>
                <w:sz w:val="24"/>
                <w:szCs w:val="24"/>
                <w:lang w:val="en-US" w:eastAsia="zh-CN" w:bidi="ar"/>
              </w:rPr>
              <w:t>年）》的符合性分析</w:t>
            </w:r>
          </w:p>
          <w:p w14:paraId="213CF32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color w:val="auto"/>
                <w:lang w:val="en-US" w:eastAsia="zh-CN"/>
              </w:rPr>
            </w:pPr>
            <w:r>
              <w:rPr>
                <w:rFonts w:hint="eastAsia"/>
                <w:color w:val="auto"/>
                <w:lang w:val="en-US" w:eastAsia="zh-CN"/>
              </w:rPr>
              <w:t>由兵团自然资源局认定的胡杨河经济技术开发区整合后面积为 71.59km</w:t>
            </w:r>
            <w:r>
              <w:rPr>
                <w:rFonts w:hint="eastAsia"/>
                <w:color w:val="auto"/>
                <w:vertAlign w:val="superscript"/>
                <w:lang w:val="en-US" w:eastAsia="zh-CN"/>
              </w:rPr>
              <w:t>2</w:t>
            </w:r>
            <w:r>
              <w:rPr>
                <w:rFonts w:hint="eastAsia"/>
                <w:color w:val="auto"/>
                <w:lang w:val="en-US" w:eastAsia="zh-CN"/>
              </w:rPr>
              <w:t>，具体包括南园区 53.82km</w:t>
            </w:r>
            <w:r>
              <w:rPr>
                <w:rFonts w:hint="eastAsia"/>
                <w:color w:val="auto"/>
                <w:vertAlign w:val="superscript"/>
                <w:lang w:val="en-US" w:eastAsia="zh-CN"/>
              </w:rPr>
              <w:t>2</w:t>
            </w:r>
            <w:r>
              <w:rPr>
                <w:rFonts w:hint="eastAsia"/>
                <w:color w:val="auto"/>
                <w:lang w:val="en-US" w:eastAsia="zh-CN"/>
              </w:rPr>
              <w:t>、北园区 14.47km</w:t>
            </w:r>
            <w:r>
              <w:rPr>
                <w:rFonts w:hint="eastAsia"/>
                <w:color w:val="auto"/>
                <w:vertAlign w:val="superscript"/>
                <w:lang w:val="en-US" w:eastAsia="zh-CN"/>
              </w:rPr>
              <w:t>2</w:t>
            </w:r>
            <w:r>
              <w:rPr>
                <w:rFonts w:hint="eastAsia"/>
                <w:color w:val="auto"/>
                <w:lang w:val="en-US" w:eastAsia="zh-CN"/>
              </w:rPr>
              <w:t>、胡杨河纺织工业园区 3.30km</w:t>
            </w:r>
            <w:r>
              <w:rPr>
                <w:rFonts w:hint="eastAsia"/>
                <w:color w:val="auto"/>
                <w:vertAlign w:val="superscript"/>
                <w:lang w:val="en-US" w:eastAsia="zh-CN"/>
              </w:rPr>
              <w:t>2</w:t>
            </w:r>
            <w:r>
              <w:rPr>
                <w:rFonts w:hint="eastAsia"/>
                <w:color w:val="auto"/>
                <w:lang w:val="en-US" w:eastAsia="zh-CN"/>
              </w:rPr>
              <w:t>。园区共划分为南园区、北园区和纺织园区。南园区位于第七师 129 团五五新镇东南侧与胡杨河市东北侧，园区东邻 130 团公益林，北至奎克高速立交（奎车公路、奎克高速公路交汇处），南至 130 团 20 连耕地，西到奎北铁路；北园区位于 129 团五五新镇北侧、128 团前山镇东侧，园区西邻奎克高速公路，北侧、东侧紧邻克拉玛依市荒漠区，南为 129 团 10 连；胡杨河纺织工业园区位于胡杨河市中心城区北侧，西至共青路，东至奎北铁路，北至北环路，南至纺织路、光明东路。南园区产业发展定位为：着力发展精细化工、新材料为主导产业；新型建材、仓储物流业为辅助产业；装备制造业、创新科技产业、农产品加工、电子元器件产业作为淮安援疆产城融合发展产业。本项目为果汁、果糖生产项目，位于胡杨河经济开发区南区农产品加工区，符合胡杨河经济技术开发区总体规划。具体见图1、图2。</w:t>
            </w:r>
          </w:p>
          <w:p w14:paraId="1224CA5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b/>
                <w:bCs/>
                <w:color w:val="auto"/>
              </w:rPr>
            </w:pPr>
            <w:r>
              <w:rPr>
                <w:rFonts w:hint="eastAsia"/>
                <w:b/>
                <w:bCs/>
                <w:color w:val="auto"/>
                <w:lang w:val="en-US" w:eastAsia="zh-CN"/>
              </w:rPr>
              <w:t>2、</w:t>
            </w:r>
            <w:r>
              <w:rPr>
                <w:rFonts w:hint="eastAsia" w:ascii="宋体" w:hAnsi="宋体" w:eastAsia="宋体" w:cs="宋体"/>
                <w:b/>
                <w:bCs/>
                <w:color w:val="auto"/>
                <w:kern w:val="0"/>
                <w:sz w:val="24"/>
                <w:szCs w:val="24"/>
                <w:lang w:val="en-US" w:eastAsia="zh-CN" w:bidi="ar"/>
              </w:rPr>
              <w:t>与《胡杨河经济开发区总体规划（2021-2035 年）环境影响报告》的符合性分析</w:t>
            </w:r>
          </w:p>
          <w:p w14:paraId="52798133">
            <w:pPr>
              <w:keepNext w:val="0"/>
              <w:keepLines w:val="0"/>
              <w:pageBreakBefore w:val="0"/>
              <w:widowControl w:val="0"/>
              <w:kinsoku/>
              <w:wordWrap/>
              <w:overflowPunct/>
              <w:topLinePunct w:val="0"/>
              <w:autoSpaceDE/>
              <w:autoSpaceDN/>
              <w:bidi w:val="0"/>
              <w:adjustRightInd/>
              <w:snapToGrid/>
              <w:spacing w:line="480" w:lineRule="exact"/>
              <w:ind w:firstLine="422" w:firstLineChars="200"/>
              <w:jc w:val="center"/>
              <w:textAlignment w:val="auto"/>
              <w:rPr>
                <w:rFonts w:hint="eastAsia"/>
                <w:b/>
                <w:bCs/>
                <w:color w:val="auto"/>
                <w:sz w:val="21"/>
                <w:szCs w:val="20"/>
                <w:lang w:val="en-US" w:eastAsia="zh-CN"/>
              </w:rPr>
            </w:pPr>
            <w:r>
              <w:rPr>
                <w:rFonts w:hint="eastAsia"/>
                <w:b/>
                <w:bCs/>
                <w:color w:val="auto"/>
                <w:sz w:val="21"/>
                <w:szCs w:val="20"/>
                <w:lang w:val="en-US" w:eastAsia="zh-CN"/>
              </w:rPr>
              <w:t>表1.2-1 本项目与《胡杨河经济开发区总体规划（2021-2035 年）环境影响报告》及审批意见符合性分析表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1"/>
              <w:gridCol w:w="1484"/>
              <w:gridCol w:w="662"/>
            </w:tblGrid>
            <w:tr w14:paraId="0B70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noWrap w:val="0"/>
                  <w:vAlign w:val="center"/>
                </w:tcPr>
                <w:p w14:paraId="3AE32893">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规划环评</w:t>
                  </w:r>
                  <w:r>
                    <w:rPr>
                      <w:rFonts w:hint="eastAsia" w:ascii="宋体" w:hAnsi="宋体" w:eastAsia="宋体" w:cs="宋体"/>
                      <w:color w:val="auto"/>
                      <w:sz w:val="21"/>
                      <w:szCs w:val="21"/>
                    </w:rPr>
                    <w:t>要求</w:t>
                  </w:r>
                </w:p>
              </w:tc>
              <w:tc>
                <w:tcPr>
                  <w:tcW w:w="1036" w:type="pct"/>
                  <w:noWrap w:val="0"/>
                  <w:vAlign w:val="center"/>
                </w:tcPr>
                <w:p w14:paraId="099A7A1E">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本项目情况</w:t>
                  </w:r>
                </w:p>
              </w:tc>
              <w:tc>
                <w:tcPr>
                  <w:tcW w:w="462" w:type="pct"/>
                  <w:noWrap w:val="0"/>
                  <w:vAlign w:val="center"/>
                </w:tcPr>
                <w:p w14:paraId="19E57640">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ascii="宋体" w:hAnsi="宋体" w:eastAsia="宋体" w:cs="宋体"/>
                      <w:color w:val="auto"/>
                      <w:sz w:val="21"/>
                      <w:szCs w:val="21"/>
                    </w:rPr>
                  </w:pPr>
                  <w:r>
                    <w:rPr>
                      <w:rFonts w:hint="eastAsia" w:ascii="宋体" w:hAnsi="宋体" w:eastAsia="宋体" w:cs="宋体"/>
                      <w:color w:val="auto"/>
                      <w:sz w:val="21"/>
                      <w:szCs w:val="21"/>
                    </w:rPr>
                    <w:t>符合性</w:t>
                  </w:r>
                </w:p>
              </w:tc>
            </w:tr>
            <w:tr w14:paraId="048B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noWrap w:val="0"/>
                  <w:vAlign w:val="center"/>
                </w:tcPr>
                <w:p w14:paraId="429D30CF">
                  <w:pPr>
                    <w:pStyle w:val="17"/>
                    <w:keepNext w:val="0"/>
                    <w:keepLines w:val="0"/>
                    <w:pageBreakBefore w:val="0"/>
                    <w:widowControl/>
                    <w:suppressLineNumbers w:val="0"/>
                    <w:kinsoku/>
                    <w:wordWrap/>
                    <w:overflowPunct/>
                    <w:topLinePunct w:val="0"/>
                    <w:bidi w:val="0"/>
                    <w:snapToGrid/>
                    <w:spacing w:beforeAutospacing="0" w:afterAutospacing="0" w:line="4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优化开发区产业结构和布局，坚持绿色发展。坚持以环境质量改善为核心，遵循环保优先和绿色发展原则，结合区域实际及上位规划，依据所在产业区块功能及环保要求，确保产业区块的完整性和延续性，按照新兵函</w:t>
                  </w:r>
                  <w:r>
                    <w:rPr>
                      <w:rFonts w:hint="eastAsia" w:ascii="宋体" w:hAnsi="宋体" w:cs="宋体"/>
                      <w:color w:val="auto"/>
                      <w:sz w:val="21"/>
                      <w:szCs w:val="21"/>
                      <w:lang w:eastAsia="zh-CN"/>
                    </w:rPr>
                    <w:t>〔</w:t>
                  </w:r>
                  <w:r>
                    <w:rPr>
                      <w:rFonts w:hint="eastAsia" w:ascii="宋体" w:hAnsi="宋体" w:eastAsia="宋体" w:cs="宋体"/>
                      <w:color w:val="auto"/>
                      <w:sz w:val="21"/>
                      <w:szCs w:val="21"/>
                    </w:rPr>
                    <w:t>2020</w:t>
                  </w:r>
                  <w:r>
                    <w:rPr>
                      <w:rFonts w:hint="eastAsia" w:ascii="宋体" w:hAnsi="宋体" w:cs="宋体"/>
                      <w:color w:val="auto"/>
                      <w:sz w:val="21"/>
                      <w:szCs w:val="21"/>
                      <w:lang w:eastAsia="zh-CN"/>
                    </w:rPr>
                    <w:t>〕</w:t>
                  </w:r>
                  <w:r>
                    <w:rPr>
                      <w:rFonts w:hint="eastAsia" w:ascii="宋体" w:hAnsi="宋体" w:eastAsia="宋体" w:cs="宋体"/>
                      <w:color w:val="auto"/>
                      <w:sz w:val="21"/>
                      <w:szCs w:val="21"/>
                    </w:rPr>
                    <w:t>24 号文件批复的主导产业，合理确定开发区产业结构和布局，不同功能区之间应设置必要的缓冲带。严格按照《关于公布第一批兵团化工园区名单的通知》(新兵发</w:t>
                  </w:r>
                  <w:r>
                    <w:rPr>
                      <w:rFonts w:hint="eastAsia" w:ascii="宋体" w:hAnsi="宋体" w:cs="宋体"/>
                      <w:color w:val="auto"/>
                      <w:sz w:val="21"/>
                      <w:szCs w:val="21"/>
                      <w:lang w:eastAsia="zh-CN"/>
                    </w:rPr>
                    <w:t>〔</w:t>
                  </w:r>
                  <w:r>
                    <w:rPr>
                      <w:rFonts w:hint="eastAsia" w:ascii="宋体" w:hAnsi="宋体" w:eastAsia="宋体" w:cs="宋体"/>
                      <w:color w:val="auto"/>
                      <w:sz w:val="21"/>
                      <w:szCs w:val="21"/>
                    </w:rPr>
                    <w:t>2021</w:t>
                  </w:r>
                  <w:r>
                    <w:rPr>
                      <w:rFonts w:hint="eastAsia" w:ascii="宋体" w:hAnsi="宋体" w:cs="宋体"/>
                      <w:color w:val="auto"/>
                      <w:sz w:val="21"/>
                      <w:szCs w:val="21"/>
                      <w:lang w:eastAsia="zh-CN"/>
                    </w:rPr>
                    <w:t>〕</w:t>
                  </w:r>
                  <w:r>
                    <w:rPr>
                      <w:rFonts w:hint="eastAsia" w:ascii="宋体" w:hAnsi="宋体" w:eastAsia="宋体" w:cs="宋体"/>
                      <w:color w:val="auto"/>
                      <w:sz w:val="21"/>
                      <w:szCs w:val="21"/>
                    </w:rPr>
                    <w:t>8号)中确定的化工区范围布局化工产业。南园区不再布局资源型源头加工类产业，禁止新建、扩建以原煤、原油、重油等为原料的化工产业项目，通过产业链引导化工区块向精细化工、新材料产业方向发展。避免开发区内各园区产业重复布局，纺织园区不再布局电子元器件产业。结合生态环境管控、环境风险防控要求，对开发区企业实现清单式管理，制定产业发展负面清单和东西部产业转移优先准入清单。根据开发区产业结构和产业链，结合资源利用上线、环境质量底线，完善生态环境准入清单。</w:t>
                  </w:r>
                </w:p>
              </w:tc>
              <w:tc>
                <w:tcPr>
                  <w:tcW w:w="1036" w:type="pct"/>
                  <w:noWrap w:val="0"/>
                  <w:vAlign w:val="center"/>
                </w:tcPr>
                <w:p w14:paraId="740B654A">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本项目为果汁生产项目，符合胡杨河经济开发区总体规划，项目满足资源利用上线、环境质量底线等要求。</w:t>
                  </w:r>
                </w:p>
              </w:tc>
              <w:tc>
                <w:tcPr>
                  <w:tcW w:w="462" w:type="pct"/>
                  <w:noWrap w:val="0"/>
                  <w:vAlign w:val="center"/>
                </w:tcPr>
                <w:p w14:paraId="6A4C697A">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14:paraId="0DE3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noWrap w:val="0"/>
                  <w:vAlign w:val="center"/>
                </w:tcPr>
                <w:p w14:paraId="7DBD9350">
                  <w:pPr>
                    <w:pStyle w:val="17"/>
                    <w:keepNext w:val="0"/>
                    <w:keepLines w:val="0"/>
                    <w:pageBreakBefore w:val="0"/>
                    <w:widowControl/>
                    <w:suppressLineNumbers w:val="0"/>
                    <w:kinsoku/>
                    <w:wordWrap/>
                    <w:overflowPunct/>
                    <w:topLinePunct w:val="0"/>
                    <w:bidi w:val="0"/>
                    <w:snapToGrid/>
                    <w:spacing w:beforeAutospacing="0" w:afterAutospacing="0" w:line="4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格控制“两高”行业发展规模，优化规划布局、产业结构与实施时序。通过积极转变生产和生活方式、调整能源消费结构、加强资源节约，统筹协调推进经济和社会发展。深入开展应对气候变化工作，切实增强控制温室气体排放能力。促进经济绿色低碳可持续发展，引导重点行业向绿色低碳方向转型，针对开发区规划从碳排放产业规模、结构调整、原料替代、能源利用效率提升、绿色清洁能源利用、废物节能与低碳化处置等方面提出节能、减煤和碳减排建议，推动减污治污减碳协同共治。对于生产技术落后、清洁生产水平偏低和不符合开发区规划的现状企业，采取逐步退出机制。</w:t>
                  </w:r>
                </w:p>
              </w:tc>
              <w:tc>
                <w:tcPr>
                  <w:tcW w:w="1036" w:type="pct"/>
                  <w:noWrap w:val="0"/>
                  <w:vAlign w:val="center"/>
                </w:tcPr>
                <w:p w14:paraId="7880471C">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本项目不属于</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两高</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行业</w:t>
                  </w:r>
                </w:p>
                <w:p w14:paraId="112A49C5">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default" w:ascii="宋体" w:hAnsi="宋体" w:eastAsia="宋体" w:cs="宋体"/>
                      <w:color w:val="auto"/>
                      <w:sz w:val="21"/>
                      <w:szCs w:val="21"/>
                      <w:lang w:val="en-US" w:eastAsia="zh-CN"/>
                    </w:rPr>
                  </w:pPr>
                </w:p>
              </w:tc>
              <w:tc>
                <w:tcPr>
                  <w:tcW w:w="462" w:type="pct"/>
                  <w:noWrap w:val="0"/>
                  <w:vAlign w:val="center"/>
                </w:tcPr>
                <w:p w14:paraId="3334F579">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符合</w:t>
                  </w:r>
                </w:p>
              </w:tc>
            </w:tr>
            <w:tr w14:paraId="204D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noWrap w:val="0"/>
                  <w:vAlign w:val="center"/>
                </w:tcPr>
                <w:p w14:paraId="7FD637EE">
                  <w:pPr>
                    <w:pStyle w:val="17"/>
                    <w:keepNext w:val="0"/>
                    <w:keepLines w:val="0"/>
                    <w:pageBreakBefore w:val="0"/>
                    <w:widowControl/>
                    <w:suppressLineNumbers w:val="0"/>
                    <w:kinsoku/>
                    <w:wordWrap/>
                    <w:overflowPunct/>
                    <w:topLinePunct w:val="0"/>
                    <w:bidi w:val="0"/>
                    <w:snapToGrid/>
                    <w:spacing w:beforeAutospacing="0" w:afterAutospacing="0" w:line="4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严守生态保护红线，加强空间管控。进一步优化开发 区的空间布局，通过优化开发区产业空间布局、调整土地用途等方式，完善生态保障空间要求。重点关注大气污染综合治理、保 护区域大气环境质量、开发区周边地表水水体水质、区域地下水 环境、土壤环境、生态环境，对开发区内企业提出具体管控要求。衔接兵团和师市“三线一单”成果，落实、细化开发区所在生态环境管控单元的管控要求，保障规划实施不突破区域生态保护红线、 环境质量底线和资源利用上线。做好与师市国土空间规划的衔接， 从全局的角度以资源承载能力和国土空间开发适宜性评价来支撑开发区规划实施。</w:t>
                  </w:r>
                </w:p>
              </w:tc>
              <w:tc>
                <w:tcPr>
                  <w:tcW w:w="1036" w:type="pct"/>
                  <w:noWrap w:val="0"/>
                  <w:vAlign w:val="center"/>
                </w:tcPr>
                <w:p w14:paraId="5992072D">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 xml:space="preserve">本项目生产废气经处理后达 </w:t>
                  </w:r>
                </w:p>
                <w:p w14:paraId="2D171E0E">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标排放。本项目生产废水处理达标后排入园区下水管网，不排入外环境。固体废物均得到合理处置</w:t>
                  </w:r>
                </w:p>
                <w:p w14:paraId="2E2B1B96">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default" w:ascii="宋体" w:hAnsi="宋体" w:eastAsia="宋体" w:cs="宋体"/>
                      <w:color w:val="auto"/>
                      <w:sz w:val="21"/>
                      <w:szCs w:val="21"/>
                      <w:lang w:val="en-US" w:eastAsia="zh-CN"/>
                    </w:rPr>
                  </w:pPr>
                </w:p>
              </w:tc>
              <w:tc>
                <w:tcPr>
                  <w:tcW w:w="462" w:type="pct"/>
                  <w:noWrap w:val="0"/>
                  <w:vAlign w:val="center"/>
                </w:tcPr>
                <w:p w14:paraId="4F0CD241">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符合</w:t>
                  </w:r>
                </w:p>
              </w:tc>
            </w:tr>
            <w:tr w14:paraId="7CAA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noWrap w:val="0"/>
                  <w:vAlign w:val="center"/>
                </w:tcPr>
                <w:p w14:paraId="6AE4DBDB">
                  <w:pPr>
                    <w:pStyle w:val="17"/>
                    <w:keepNext w:val="0"/>
                    <w:keepLines w:val="0"/>
                    <w:pageBreakBefore w:val="0"/>
                    <w:widowControl/>
                    <w:suppressLineNumbers w:val="0"/>
                    <w:kinsoku/>
                    <w:wordWrap/>
                    <w:overflowPunct/>
                    <w:topLinePunct w:val="0"/>
                    <w:bidi w:val="0"/>
                    <w:snapToGrid/>
                    <w:spacing w:beforeAutospacing="0" w:afterAutospacing="0" w:line="4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坚守环境质量底线，严格污染物总量管控。对标《自 治区严禁“三高”项目进新疆推进经济高质量发展实施方案》,严格开发区项目准入。依据规划区域及周边环境质量改善目标，建立开发区污染物削减台账，落实重点行业区域削减措施，纳入日常环境管理工作，建立考核机制，并与排污许可制度衔接，确 保区域环境质量有效改善。推进现有企业工艺技术和污染治理技 术改造，各类污染物排放须满足国家及自治区最新污染物排放标准要求。</w:t>
                  </w:r>
                </w:p>
                <w:p w14:paraId="016B8EC2">
                  <w:pPr>
                    <w:pStyle w:val="17"/>
                    <w:keepNext w:val="0"/>
                    <w:keepLines w:val="0"/>
                    <w:pageBreakBefore w:val="0"/>
                    <w:widowControl/>
                    <w:suppressLineNumbers w:val="0"/>
                    <w:kinsoku/>
                    <w:wordWrap/>
                    <w:overflowPunct/>
                    <w:topLinePunct w:val="0"/>
                    <w:bidi w:val="0"/>
                    <w:snapToGrid/>
                    <w:spacing w:beforeAutospacing="0" w:afterAutospacing="0" w:line="440" w:lineRule="exact"/>
                    <w:textAlignment w:val="auto"/>
                    <w:rPr>
                      <w:rFonts w:hint="eastAsia" w:ascii="宋体" w:hAnsi="宋体" w:eastAsia="宋体" w:cs="宋体"/>
                      <w:color w:val="auto"/>
                      <w:sz w:val="21"/>
                      <w:szCs w:val="21"/>
                    </w:rPr>
                  </w:pPr>
                </w:p>
              </w:tc>
              <w:tc>
                <w:tcPr>
                  <w:tcW w:w="1036" w:type="pct"/>
                  <w:noWrap w:val="0"/>
                  <w:vAlign w:val="center"/>
                </w:tcPr>
                <w:p w14:paraId="771C7582">
                  <w:pPr>
                    <w:keepNext w:val="0"/>
                    <w:keepLines w:val="0"/>
                    <w:widowControl/>
                    <w:suppressLineNumbers w:val="0"/>
                    <w:jc w:val="left"/>
                    <w:rPr>
                      <w:rFonts w:hint="default"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本项目不属于</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三高</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 xml:space="preserve">项目 </w:t>
                  </w:r>
                </w:p>
              </w:tc>
              <w:tc>
                <w:tcPr>
                  <w:tcW w:w="462" w:type="pct"/>
                  <w:noWrap w:val="0"/>
                  <w:vAlign w:val="center"/>
                </w:tcPr>
                <w:p w14:paraId="2F76C555">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符合</w:t>
                  </w:r>
                </w:p>
              </w:tc>
            </w:tr>
            <w:tr w14:paraId="7D9B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noWrap w:val="0"/>
                  <w:vAlign w:val="center"/>
                </w:tcPr>
                <w:p w14:paraId="40189BF2">
                  <w:pPr>
                    <w:pStyle w:val="17"/>
                    <w:keepNext w:val="0"/>
                    <w:keepLines w:val="0"/>
                    <w:pageBreakBefore w:val="0"/>
                    <w:widowControl/>
                    <w:suppressLineNumbers w:val="0"/>
                    <w:kinsoku/>
                    <w:wordWrap/>
                    <w:overflowPunct/>
                    <w:topLinePunct w:val="0"/>
                    <w:bidi w:val="0"/>
                    <w:snapToGrid/>
                    <w:spacing w:beforeAutospacing="0" w:afterAutospacing="0" w:line="4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格能源消费总量和消耗强度“双控”,坚持“以水定产、以水定量”,严格入园产业和项目的生态环境准入。严格按照规划产业布局入驻企业，结合区域发展定位、开发布局、生态环境保护目标，实行入园企业环保准入审核制度，不符合产业政策、行业准入条件、生态环境准入清单及自治区党委明令禁止的“三高” 项目一律不得入驻园区。引进项目的生产工艺、设备、污染治理技术，以及单位产品能耗、物耗、污染物排放和资源利用效率均需达到同行业国内先进水平，积极推进产业的技术进步和园区循环化改造，构建绿色、低碳园区。开发区水资源利用不得突破《新疆用水总量控制方案》确定的第七师水资源利用上线指标，土地资源利用不得突破第七师国土空间规划确定的新增建设用地规模。</w:t>
                  </w:r>
                </w:p>
              </w:tc>
              <w:tc>
                <w:tcPr>
                  <w:tcW w:w="1036" w:type="pct"/>
                  <w:noWrap w:val="0"/>
                  <w:vAlign w:val="center"/>
                </w:tcPr>
                <w:p w14:paraId="659156C6">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 xml:space="preserve">本项目建设采用先进的生产 </w:t>
                  </w:r>
                </w:p>
                <w:p w14:paraId="665D0318">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 xml:space="preserve">工艺、设备及污染治理技 </w:t>
                  </w:r>
                </w:p>
                <w:p w14:paraId="00FB7657">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 xml:space="preserve">术，单位产品能耗、物耗、 </w:t>
                  </w:r>
                </w:p>
                <w:p w14:paraId="14FA845F">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 xml:space="preserve">污染物排放和资源利用效率 </w:t>
                  </w:r>
                </w:p>
                <w:p w14:paraId="4E29DD79">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 xml:space="preserve">均达到国内先进水平，项目 </w:t>
                  </w:r>
                </w:p>
                <w:p w14:paraId="0153D941">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 xml:space="preserve">建设不会突破资源利用上线 </w:t>
                  </w:r>
                </w:p>
                <w:p w14:paraId="5799CA7A">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 xml:space="preserve">和用地规模。 </w:t>
                  </w:r>
                </w:p>
                <w:p w14:paraId="7D2C1C19">
                  <w:pPr>
                    <w:keepNext w:val="0"/>
                    <w:keepLines w:val="0"/>
                    <w:widowControl/>
                    <w:suppressLineNumbers w:val="0"/>
                    <w:jc w:val="left"/>
                    <w:rPr>
                      <w:rFonts w:hint="eastAsia" w:ascii="宋体" w:hAnsi="宋体" w:eastAsia="宋体" w:cs="宋体"/>
                      <w:color w:val="auto"/>
                      <w:kern w:val="0"/>
                      <w:sz w:val="21"/>
                      <w:szCs w:val="21"/>
                      <w:lang w:val="en-US" w:eastAsia="zh-CN" w:bidi="ar"/>
                    </w:rPr>
                  </w:pPr>
                </w:p>
              </w:tc>
              <w:tc>
                <w:tcPr>
                  <w:tcW w:w="462" w:type="pct"/>
                  <w:noWrap w:val="0"/>
                  <w:vAlign w:val="center"/>
                </w:tcPr>
                <w:p w14:paraId="4EB9A1DD">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符合</w:t>
                  </w:r>
                </w:p>
              </w:tc>
            </w:tr>
            <w:tr w14:paraId="26CD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noWrap w:val="0"/>
                  <w:vAlign w:val="center"/>
                </w:tcPr>
                <w:p w14:paraId="6CA7CFED">
                  <w:pPr>
                    <w:pStyle w:val="17"/>
                    <w:keepNext w:val="0"/>
                    <w:keepLines w:val="0"/>
                    <w:pageBreakBefore w:val="0"/>
                    <w:widowControl/>
                    <w:suppressLineNumbers w:val="0"/>
                    <w:kinsoku/>
                    <w:wordWrap/>
                    <w:overflowPunct/>
                    <w:topLinePunct w:val="0"/>
                    <w:bidi w:val="0"/>
                    <w:snapToGrid/>
                    <w:spacing w:beforeAutospacing="0" w:afterAutospacing="0" w:line="4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加快完善开发区环境基础设施建设，推进区域环境质 量持续改善和提升。按照“清污分流”、“污污分治”原则规划、设计和建设开发区排水系统、废(污)水处理系统和中水回用系统， 逐步建成完整的排水和中水回用体系，提高废(污)水回用率。北园区新建一般工业固体废物处置场。根据开发区发展实际，制 定切实可行的一般固体废物综合利用方案，严格按照国家有关规定，依法、依规、合理地贮存、处置和处理危险废物。</w:t>
                  </w:r>
                </w:p>
              </w:tc>
              <w:tc>
                <w:tcPr>
                  <w:tcW w:w="1036" w:type="pct"/>
                  <w:noWrap w:val="0"/>
                  <w:vAlign w:val="center"/>
                </w:tcPr>
                <w:p w14:paraId="64A2D2FE">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本项目生产废水经处理后排入园区下水管网，固体废物均得到合理处置。</w:t>
                  </w:r>
                </w:p>
                <w:p w14:paraId="5EB967E3">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default" w:ascii="宋体" w:hAnsi="宋体" w:eastAsia="宋体" w:cs="宋体"/>
                      <w:color w:val="auto"/>
                      <w:sz w:val="21"/>
                      <w:szCs w:val="21"/>
                      <w:lang w:val="en-US" w:eastAsia="zh-CN"/>
                    </w:rPr>
                  </w:pPr>
                </w:p>
              </w:tc>
              <w:tc>
                <w:tcPr>
                  <w:tcW w:w="462" w:type="pct"/>
                  <w:noWrap w:val="0"/>
                  <w:vAlign w:val="center"/>
                </w:tcPr>
                <w:p w14:paraId="402C9294">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符合</w:t>
                  </w:r>
                </w:p>
              </w:tc>
            </w:tr>
            <w:tr w14:paraId="6663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noWrap w:val="0"/>
                  <w:vAlign w:val="center"/>
                </w:tcPr>
                <w:p w14:paraId="17B77744">
                  <w:pPr>
                    <w:pStyle w:val="17"/>
                    <w:keepNext w:val="0"/>
                    <w:keepLines w:val="0"/>
                    <w:pageBreakBefore w:val="0"/>
                    <w:widowControl/>
                    <w:suppressLineNumbers w:val="0"/>
                    <w:kinsoku/>
                    <w:wordWrap/>
                    <w:overflowPunct/>
                    <w:topLinePunct w:val="0"/>
                    <w:bidi w:val="0"/>
                    <w:snapToGrid/>
                    <w:spacing w:beforeAutospacing="0" w:afterAutospacing="0" w:line="4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强化开发区环境风险管理，强化应急响应联动机制， 保障城市人居环境安全和生态环境安全。配备应急物资，建设化工园区事故水池，定期开展应急演习，不断完善环境风险应急预案，防控开发区储运中可能引发的环境风险。</w:t>
                  </w:r>
                </w:p>
              </w:tc>
              <w:tc>
                <w:tcPr>
                  <w:tcW w:w="1036" w:type="pct"/>
                  <w:noWrap w:val="0"/>
                  <w:vAlign w:val="center"/>
                </w:tcPr>
                <w:p w14:paraId="6212CD00">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项目建设完成后，按照要求编制突发环境事件应急预案，并定期进行演练。</w:t>
                  </w:r>
                </w:p>
              </w:tc>
              <w:tc>
                <w:tcPr>
                  <w:tcW w:w="462" w:type="pct"/>
                  <w:noWrap w:val="0"/>
                  <w:vAlign w:val="center"/>
                </w:tcPr>
                <w:p w14:paraId="388B35D0">
                  <w:pPr>
                    <w:pStyle w:val="24"/>
                    <w:keepNext w:val="0"/>
                    <w:keepLines w:val="0"/>
                    <w:pageBreakBefore w:val="0"/>
                    <w:kinsoku/>
                    <w:wordWrap/>
                    <w:overflowPunct/>
                    <w:topLinePunct w:val="0"/>
                    <w:bidi w:val="0"/>
                    <w:snapToGrid/>
                    <w:spacing w:beforeAutospacing="0" w:afterAutospacing="0" w:line="44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符合</w:t>
                  </w:r>
                </w:p>
              </w:tc>
            </w:tr>
          </w:tbl>
          <w:p w14:paraId="2621A55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lang w:val="en-US" w:eastAsia="zh-CN"/>
              </w:rPr>
            </w:pPr>
          </w:p>
          <w:p w14:paraId="0CEE5A45">
            <w:pPr>
              <w:spacing w:line="360" w:lineRule="auto"/>
              <w:jc w:val="center"/>
              <w:rPr>
                <w:rFonts w:hint="default" w:ascii="Times New Roman" w:hAnsi="Times New Roman" w:eastAsia="宋体" w:cs="宋体"/>
                <w:snapToGrid w:val="0"/>
                <w:color w:val="auto"/>
                <w:sz w:val="24"/>
                <w:szCs w:val="21"/>
                <w:lang w:val="en-US" w:eastAsia="zh-CN" w:bidi="ar-SA"/>
              </w:rPr>
            </w:pPr>
          </w:p>
        </w:tc>
      </w:tr>
      <w:tr w14:paraId="6664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0" w:hRule="atLeast"/>
          <w:jc w:val="center"/>
        </w:trPr>
        <w:tc>
          <w:tcPr>
            <w:tcW w:w="1896" w:type="dxa"/>
            <w:vAlign w:val="center"/>
          </w:tcPr>
          <w:p w14:paraId="33C935DF">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Hans" w:bidi="ar-SA"/>
              </w:rPr>
              <w:t>其他符合性分析</w:t>
            </w:r>
          </w:p>
        </w:tc>
        <w:tc>
          <w:tcPr>
            <w:tcW w:w="7175" w:type="dxa"/>
            <w:gridSpan w:val="3"/>
            <w:vAlign w:val="center"/>
          </w:tcPr>
          <w:p w14:paraId="34372366">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eastAsia" w:ascii="Times New Roman" w:hAnsi="Times New Roman" w:eastAsia="宋体" w:cs="黑体"/>
                <w:b/>
                <w:color w:val="auto"/>
                <w:sz w:val="24"/>
                <w:szCs w:val="24"/>
                <w:lang w:val="en-US" w:eastAsia="zh-CN" w:bidi="ar-SA"/>
              </w:rPr>
            </w:pPr>
            <w:r>
              <w:rPr>
                <w:rFonts w:hint="eastAsia" w:cs="黑体"/>
                <w:b/>
                <w:color w:val="auto"/>
                <w:sz w:val="24"/>
                <w:szCs w:val="24"/>
                <w:lang w:val="en-US" w:eastAsia="zh-CN" w:bidi="ar-SA"/>
              </w:rPr>
              <w:t>1、</w:t>
            </w:r>
            <w:r>
              <w:rPr>
                <w:rFonts w:hint="eastAsia" w:ascii="Times New Roman" w:hAnsi="Times New Roman" w:eastAsia="宋体" w:cs="黑体"/>
                <w:b/>
                <w:color w:val="auto"/>
                <w:sz w:val="24"/>
                <w:szCs w:val="24"/>
                <w:lang w:val="en-US" w:eastAsia="zh-CN" w:bidi="ar-SA"/>
              </w:rPr>
              <w:t>产业政策相符性分析</w:t>
            </w:r>
          </w:p>
          <w:p w14:paraId="482397D1">
            <w:pPr>
              <w:overflowPunct w:val="0"/>
              <w:autoSpaceDE w:val="0"/>
              <w:autoSpaceDN w:val="0"/>
              <w:bidi w:val="0"/>
              <w:adjustRightInd w:val="0"/>
              <w:snapToGrid w:val="0"/>
              <w:spacing w:before="0" w:after="0" w:line="360" w:lineRule="auto"/>
              <w:ind w:left="0" w:right="0" w:firstLine="480" w:firstLineChars="200"/>
              <w:jc w:val="both"/>
              <w:rPr>
                <w:rFonts w:hint="default" w:ascii="Times New Roman" w:hAnsi="Times New Roman" w:eastAsia="宋体" w:cs="宋体"/>
                <w:color w:val="auto"/>
                <w:sz w:val="24"/>
                <w:szCs w:val="24"/>
                <w:highlight w:val="none"/>
                <w:lang w:val="en-US"/>
              </w:rPr>
            </w:pPr>
            <w:r>
              <w:rPr>
                <w:rFonts w:ascii="宋体" w:hAnsi="宋体" w:eastAsia="宋体" w:cs="宋体"/>
                <w:color w:val="auto"/>
                <w:sz w:val="24"/>
                <w:szCs w:val="24"/>
                <w:highlight w:val="none"/>
              </w:rPr>
              <w:t>根据</w:t>
            </w:r>
            <w:r>
              <w:rPr>
                <w:rFonts w:hint="eastAsia" w:ascii="Times New Roman" w:eastAsia="宋体" w:cs="宋体"/>
                <w:color w:val="auto"/>
                <w:sz w:val="24"/>
                <w:szCs w:val="24"/>
                <w:highlight w:val="none"/>
                <w:lang w:val="en-US" w:eastAsia="zh-CN"/>
              </w:rPr>
              <w:t>《产业结构调整指导目录（</w:t>
            </w:r>
            <w:r>
              <w:rPr>
                <w:rFonts w:hint="eastAsia" w:cs="宋体"/>
                <w:color w:val="auto"/>
                <w:sz w:val="24"/>
                <w:szCs w:val="24"/>
                <w:highlight w:val="none"/>
                <w:lang w:val="en-US" w:eastAsia="zh-CN"/>
              </w:rPr>
              <w:t>2024</w:t>
            </w:r>
            <w:r>
              <w:rPr>
                <w:rFonts w:hint="eastAsia" w:ascii="Times New Roman" w:eastAsia="宋体" w:cs="宋体"/>
                <w:color w:val="auto"/>
                <w:sz w:val="24"/>
                <w:szCs w:val="24"/>
                <w:highlight w:val="none"/>
                <w:lang w:val="en-US" w:eastAsia="zh-CN"/>
              </w:rPr>
              <w:t>年本）</w:t>
            </w:r>
            <w:r>
              <w:rPr>
                <w:rFonts w:ascii="宋体" w:hAnsi="宋体" w:eastAsia="宋体" w:cs="宋体"/>
                <w:color w:val="auto"/>
                <w:sz w:val="24"/>
                <w:szCs w:val="24"/>
                <w:highlight w:val="none"/>
              </w:rPr>
              <w:t>， 本建设项目属于</w:t>
            </w:r>
            <w:r>
              <w:rPr>
                <w:rFonts w:hint="eastAsia" w:ascii="宋体" w:hAnsi="宋体" w:eastAsia="宋体" w:cs="宋体"/>
                <w:color w:val="auto"/>
                <w:sz w:val="24"/>
                <w:szCs w:val="24"/>
                <w:highlight w:val="none"/>
              </w:rPr>
              <w:t>鼓励类，对应类别为一、农林业-26、农林牧渔产品储运、保鲜、加工与综合利用。</w:t>
            </w:r>
          </w:p>
          <w:p w14:paraId="23892991">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eastAsia" w:ascii="Times New Roman" w:hAnsi="Times New Roman" w:eastAsia="宋体" w:cs="黑体"/>
                <w:b/>
                <w:color w:val="auto"/>
                <w:sz w:val="24"/>
                <w:szCs w:val="24"/>
                <w:lang w:val="en-US" w:eastAsia="zh-CN" w:bidi="ar-SA"/>
              </w:rPr>
            </w:pPr>
            <w:r>
              <w:rPr>
                <w:rFonts w:hint="eastAsia" w:cs="黑体"/>
                <w:b/>
                <w:color w:val="auto"/>
                <w:sz w:val="24"/>
                <w:szCs w:val="24"/>
                <w:lang w:val="en-US" w:eastAsia="zh-CN" w:bidi="ar-SA"/>
              </w:rPr>
              <w:t>2、</w:t>
            </w:r>
            <w:r>
              <w:rPr>
                <w:rFonts w:hint="eastAsia" w:ascii="Times New Roman" w:hAnsi="Times New Roman" w:eastAsia="宋体" w:cs="宋体"/>
                <w:b/>
                <w:bCs/>
                <w:color w:val="auto"/>
                <w:lang w:val="en-US" w:eastAsia="zh-CN"/>
              </w:rPr>
              <w:t>《第七师胡杨河市“三线一单”生态环境分区管控方案》</w:t>
            </w:r>
            <w:r>
              <w:rPr>
                <w:rFonts w:hint="eastAsia" w:ascii="Times New Roman" w:hAnsi="Times New Roman" w:eastAsia="宋体" w:cs="黑体"/>
                <w:b/>
                <w:bCs/>
                <w:color w:val="auto"/>
                <w:sz w:val="24"/>
                <w:szCs w:val="24"/>
                <w:lang w:val="en-US" w:eastAsia="zh-CN" w:bidi="ar-SA"/>
              </w:rPr>
              <w:t>的</w:t>
            </w:r>
            <w:r>
              <w:rPr>
                <w:rFonts w:hint="eastAsia" w:ascii="Times New Roman" w:hAnsi="Times New Roman" w:eastAsia="宋体" w:cs="黑体"/>
                <w:b/>
                <w:color w:val="auto"/>
                <w:sz w:val="24"/>
                <w:szCs w:val="24"/>
                <w:lang w:val="en-US" w:eastAsia="zh-CN" w:bidi="ar-SA"/>
              </w:rPr>
              <w:t>相符性</w:t>
            </w:r>
          </w:p>
          <w:p w14:paraId="0445ED43">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根据《关于规划环境影响评价加强空间管制、总量控制和环境准入的指导意见（试行）》（环办环评）</w:t>
            </w:r>
            <w:r>
              <w:rPr>
                <w:rFonts w:hint="eastAsia" w:cs="宋体"/>
                <w:color w:val="auto"/>
                <w:lang w:val="en-US" w:eastAsia="zh-CN"/>
              </w:rPr>
              <w:t>〔</w:t>
            </w:r>
            <w:r>
              <w:rPr>
                <w:rFonts w:hint="default" w:ascii="Times New Roman" w:hAnsi="Times New Roman" w:eastAsia="宋体" w:cs="宋体"/>
                <w:color w:val="auto"/>
                <w:lang w:val="en-US" w:eastAsia="zh-CN"/>
              </w:rPr>
              <w:t>2016</w:t>
            </w:r>
            <w:r>
              <w:rPr>
                <w:rFonts w:hint="eastAsia" w:cs="宋体"/>
                <w:color w:val="auto"/>
                <w:lang w:val="en-US" w:eastAsia="zh-CN"/>
              </w:rPr>
              <w:t>〕</w:t>
            </w:r>
            <w:r>
              <w:rPr>
                <w:rFonts w:hint="default" w:ascii="Times New Roman" w:hAnsi="Times New Roman" w:eastAsia="宋体" w:cs="宋体"/>
                <w:color w:val="auto"/>
                <w:lang w:val="en-US" w:eastAsia="zh-CN"/>
              </w:rPr>
              <w:t>14 号）、《关于以改善环境质量为核心加强环境影响评价管理的通知》（环环评</w:t>
            </w:r>
            <w:r>
              <w:rPr>
                <w:rFonts w:hint="eastAsia" w:cs="宋体"/>
                <w:color w:val="auto"/>
                <w:lang w:val="en-US" w:eastAsia="zh-CN"/>
              </w:rPr>
              <w:t>〔</w:t>
            </w:r>
            <w:r>
              <w:rPr>
                <w:rFonts w:hint="default" w:ascii="Times New Roman" w:hAnsi="Times New Roman" w:eastAsia="宋体" w:cs="宋体"/>
                <w:color w:val="auto"/>
                <w:lang w:val="en-US" w:eastAsia="zh-CN"/>
              </w:rPr>
              <w:t>2016</w:t>
            </w:r>
            <w:r>
              <w:rPr>
                <w:rFonts w:hint="eastAsia" w:cs="宋体"/>
                <w:color w:val="auto"/>
                <w:lang w:val="en-US" w:eastAsia="zh-CN"/>
              </w:rPr>
              <w:t>〕</w:t>
            </w:r>
            <w:r>
              <w:rPr>
                <w:rFonts w:hint="default" w:ascii="Times New Roman" w:hAnsi="Times New Roman" w:eastAsia="宋体" w:cs="宋体"/>
                <w:color w:val="auto"/>
                <w:lang w:val="en-US" w:eastAsia="zh-CN"/>
              </w:rPr>
              <w:t>150 号）、《关于印发&lt;新疆生产建设兵团“三线一单”生态环境分区管控方案&gt;的通知》（新兵发〔2021〕16 号）《第七师胡杨河市“三线一单”生态环境分区管控方案》，落实“生态保护红线、环境质量底线、资源利用上线和环境准入负面清单”，强化“三线一单”作用，对本项目与兵团、七师“三线一单”的符合性进行如下分析。</w:t>
            </w:r>
          </w:p>
          <w:p w14:paraId="79D92A89">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（1）生态保护红线</w:t>
            </w:r>
          </w:p>
          <w:p w14:paraId="78B83F99">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生态保护红线是指依据《中华人民共和国环境保护法》，在重点生态功能区、生态环境敏感区脆弱区等区域划定的对维护自然生态系统功能，保障国家和区域生态安全及经济社会可持续发展具有关键作用，必须实行严格保护的基本生态空间。</w:t>
            </w:r>
          </w:p>
          <w:p w14:paraId="731A9008">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新疆生产建设兵团生态保护红线划定方案》确定的生态保护红线主要目标是按照“生态功能不降低、面积不减少、性质不改变”的基本要求，对划定的生态保护红线实施严格管控，保障和维护师市生态安全的底线和生命线。”《第七师胡杨河市“三线一单”生态环境分区管控方案》划定的七师生态保护红线主要为各类法定保护地和评估确定的极重要、极敏感区，划定的一般生态空间主要包括水源涵养、水土保持、防风固沙及生物多样性维护四类生态功能重要区域及水土流失、土地沙化两类敏感区域。</w:t>
            </w:r>
          </w:p>
          <w:p w14:paraId="7C42B5E7">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本项目位于胡杨河经济技术开发区南区，不属于法定自然保护地和评估确定的极重要、极敏感区，不属于水源涵养、水土保持、防风固沙及生物多样性维护四类生态功能重要区域及水土流失、土地沙化两类敏感区域，因此，本项目选址符合生态保护红线的要求。</w:t>
            </w:r>
          </w:p>
          <w:p w14:paraId="5473C622">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（2）环境质量底线</w:t>
            </w:r>
          </w:p>
          <w:p w14:paraId="7B82E4E0">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依据《生态保护红线、环境质量底线、资源利用上线和环境准入负面清单编制技术指南（试行）》（环办环评</w:t>
            </w:r>
            <w:r>
              <w:rPr>
                <w:rFonts w:hint="eastAsia" w:cs="宋体"/>
                <w:color w:val="auto"/>
                <w:lang w:val="en-US" w:eastAsia="zh-CN"/>
              </w:rPr>
              <w:t>〔</w:t>
            </w:r>
            <w:r>
              <w:rPr>
                <w:rFonts w:hint="default" w:ascii="Times New Roman" w:hAnsi="Times New Roman" w:eastAsia="宋体" w:cs="宋体"/>
                <w:color w:val="auto"/>
                <w:lang w:val="en-US" w:eastAsia="zh-CN"/>
              </w:rPr>
              <w:t>2017</w:t>
            </w:r>
            <w:r>
              <w:rPr>
                <w:rFonts w:hint="eastAsia" w:cs="宋体"/>
                <w:color w:val="auto"/>
                <w:lang w:val="en-US" w:eastAsia="zh-CN"/>
              </w:rPr>
              <w:t>〕</w:t>
            </w:r>
            <w:r>
              <w:rPr>
                <w:rFonts w:hint="default" w:ascii="Times New Roman" w:hAnsi="Times New Roman" w:eastAsia="宋体" w:cs="宋体"/>
                <w:color w:val="auto"/>
                <w:lang w:val="en-US" w:eastAsia="zh-CN"/>
              </w:rPr>
              <w:t>99 号），环境质量底线是指按照水、大气、土壤环境质量不断优化的原则，结合环境质量现状和相关规划、功能区划要求，考虑环境质量改善潜力，确定的分区域分阶段环境质量目标及相应的环境管控、污染物排放控制等要求。</w:t>
            </w:r>
          </w:p>
          <w:p w14:paraId="2650EAD3">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①大气环境质量底线</w:t>
            </w:r>
          </w:p>
          <w:p w14:paraId="042A7B62">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《第七师胡杨河市“三线一单”生态环境分区管控方案》确定的大气环境质量底线为“环境空气质量稳步提升，重污染天数持续减少。PM2.5在2025 年为≤42µg/m³（扣除沙尘天气），2035 年为≤35µg/m³（扣除沙尘天气）。《胡杨河经济技术开发区总体规划（2021-2035 年）环境影响报告书》确定的园区大气环境质量底线目标与胡杨河市保持一致。</w:t>
            </w:r>
          </w:p>
          <w:p w14:paraId="01CC0D62">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本区域 SO</w:t>
            </w:r>
            <w:r>
              <w:rPr>
                <w:rFonts w:hint="default" w:ascii="Times New Roman" w:hAnsi="Times New Roman" w:eastAsia="宋体" w:cs="宋体"/>
                <w:color w:val="auto"/>
                <w:vertAlign w:val="subscript"/>
                <w:lang w:val="en-US" w:eastAsia="zh-CN"/>
              </w:rPr>
              <w:t>2</w:t>
            </w:r>
            <w:r>
              <w:rPr>
                <w:rFonts w:hint="default" w:ascii="Times New Roman" w:hAnsi="Times New Roman" w:eastAsia="宋体" w:cs="宋体"/>
                <w:color w:val="auto"/>
                <w:lang w:val="en-US" w:eastAsia="zh-CN"/>
              </w:rPr>
              <w:t>、NO</w:t>
            </w:r>
            <w:r>
              <w:rPr>
                <w:rFonts w:hint="default" w:ascii="Times New Roman" w:hAnsi="Times New Roman" w:eastAsia="宋体" w:cs="宋体"/>
                <w:color w:val="auto"/>
                <w:vertAlign w:val="subscript"/>
                <w:lang w:val="en-US" w:eastAsia="zh-CN"/>
              </w:rPr>
              <w:t>2</w:t>
            </w:r>
            <w:r>
              <w:rPr>
                <w:rFonts w:hint="default" w:ascii="Times New Roman" w:hAnsi="Times New Roman" w:eastAsia="宋体" w:cs="宋体"/>
                <w:color w:val="auto"/>
                <w:lang w:val="en-US" w:eastAsia="zh-CN"/>
              </w:rPr>
              <w:t>的年均浓度和日均浓度、CO 日均浓度、O</w:t>
            </w:r>
            <w:r>
              <w:rPr>
                <w:rFonts w:hint="default" w:ascii="Times New Roman" w:hAnsi="Times New Roman" w:eastAsia="宋体" w:cs="宋体"/>
                <w:color w:val="auto"/>
                <w:vertAlign w:val="subscript"/>
                <w:lang w:val="en-US" w:eastAsia="zh-CN"/>
              </w:rPr>
              <w:t>3</w:t>
            </w:r>
            <w:r>
              <w:rPr>
                <w:rFonts w:hint="default" w:ascii="Times New Roman" w:hAnsi="Times New Roman" w:eastAsia="宋体" w:cs="宋体"/>
                <w:color w:val="auto"/>
                <w:lang w:val="en-US" w:eastAsia="zh-CN"/>
              </w:rPr>
              <w:t xml:space="preserve"> 最大8小时浓度、PM</w:t>
            </w:r>
            <w:r>
              <w:rPr>
                <w:rFonts w:hint="default" w:ascii="Times New Roman" w:hAnsi="Times New Roman" w:eastAsia="宋体" w:cs="宋体"/>
                <w:color w:val="auto"/>
                <w:vertAlign w:val="subscript"/>
                <w:lang w:val="en-US" w:eastAsia="zh-CN"/>
              </w:rPr>
              <w:t xml:space="preserve">10 </w:t>
            </w:r>
            <w:r>
              <w:rPr>
                <w:rFonts w:hint="default" w:ascii="Times New Roman" w:hAnsi="Times New Roman" w:eastAsia="宋体" w:cs="宋体"/>
                <w:color w:val="auto"/>
                <w:lang w:val="en-US" w:eastAsia="zh-CN"/>
              </w:rPr>
              <w:t>和 PM</w:t>
            </w:r>
            <w:r>
              <w:rPr>
                <w:rFonts w:hint="default" w:ascii="Times New Roman" w:hAnsi="Times New Roman" w:eastAsia="宋体" w:cs="宋体"/>
                <w:color w:val="auto"/>
                <w:vertAlign w:val="subscript"/>
                <w:lang w:val="en-US" w:eastAsia="zh-CN"/>
              </w:rPr>
              <w:t>2.5</w:t>
            </w:r>
            <w:r>
              <w:rPr>
                <w:rFonts w:hint="default" w:ascii="Times New Roman" w:hAnsi="Times New Roman" w:eastAsia="宋体" w:cs="宋体"/>
                <w:color w:val="auto"/>
                <w:lang w:val="en-US" w:eastAsia="zh-CN"/>
              </w:rPr>
              <w:t xml:space="preserve"> 年均浓度均满足《环境空气质量标准》（GB3095-2012）二级标准要求，但 PM</w:t>
            </w:r>
            <w:r>
              <w:rPr>
                <w:rFonts w:hint="default" w:ascii="Times New Roman" w:hAnsi="Times New Roman" w:eastAsia="宋体" w:cs="宋体"/>
                <w:color w:val="auto"/>
                <w:vertAlign w:val="subscript"/>
                <w:lang w:val="en-US" w:eastAsia="zh-CN"/>
              </w:rPr>
              <w:t>10</w:t>
            </w:r>
            <w:r>
              <w:rPr>
                <w:rFonts w:hint="default" w:ascii="Times New Roman" w:hAnsi="Times New Roman" w:eastAsia="宋体" w:cs="宋体"/>
                <w:color w:val="auto"/>
                <w:lang w:val="en-US" w:eastAsia="zh-CN"/>
              </w:rPr>
              <w:t>和 PM</w:t>
            </w:r>
            <w:r>
              <w:rPr>
                <w:rFonts w:hint="default" w:ascii="Times New Roman" w:hAnsi="Times New Roman" w:eastAsia="宋体" w:cs="宋体"/>
                <w:color w:val="auto"/>
                <w:vertAlign w:val="subscript"/>
                <w:lang w:val="en-US" w:eastAsia="zh-CN"/>
              </w:rPr>
              <w:t>2.5</w:t>
            </w:r>
            <w:r>
              <w:rPr>
                <w:rFonts w:hint="default" w:ascii="Times New Roman" w:hAnsi="Times New Roman" w:eastAsia="宋体" w:cs="宋体"/>
                <w:color w:val="auto"/>
                <w:lang w:val="en-US" w:eastAsia="zh-CN"/>
              </w:rPr>
              <w:t>24小时第95百分位数为超标，主要原因是新疆气候干燥，沙尘天气较多。根据生态环境部环境工程评估中心“环境空气质量模型技术支持服务系统”提供的达标区判定结果，本项目所在区域为环境空气质量</w:t>
            </w:r>
            <w:r>
              <w:rPr>
                <w:rFonts w:hint="eastAsia" w:cs="宋体"/>
                <w:color w:val="auto"/>
                <w:lang w:val="en-US" w:eastAsia="zh-CN"/>
              </w:rPr>
              <w:t>不</w:t>
            </w:r>
            <w:r>
              <w:rPr>
                <w:rFonts w:hint="default" w:ascii="Times New Roman" w:hAnsi="Times New Roman" w:eastAsia="宋体" w:cs="宋体"/>
                <w:color w:val="auto"/>
                <w:lang w:val="en-US" w:eastAsia="zh-CN"/>
              </w:rPr>
              <w:t>达标区。</w:t>
            </w:r>
          </w:p>
          <w:p w14:paraId="00914599">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本项目排放的废气污染物在本区域内实现等量削减；项目产生的废气经收集处理后可实现达标排放，根据本次评价大气环境影响预测结果，本项目排放的污染物最大落地浓度最大值满足环境质量标准要求；根据项目所在地环境现状调查和污染物排放影响预测，本项目实施后环境质量满足质量标准要求，符合环境质量底线要求。</w:t>
            </w:r>
          </w:p>
          <w:p w14:paraId="217599E2">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②水环境质量底线</w:t>
            </w:r>
          </w:p>
          <w:p w14:paraId="07D67955">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第七师胡杨河市“三线一单”生态环境分区管控方案》确定的水环境质量底线为“师市河流、湖库、水源地水质总体保持稳定，饮用水安全保障水平持续提升，水生态环境状况继续好转。奎屯河老龙口断面和黄沟二库断面水质保持Ⅱ类标准，奎屯河大桥断面、白杨河乌尔禾断面和古尔图河柳沟水库断面水质保持Ⅲ类标准，泉沟水库、奎屯水库、车排子水库和柳沟水库断面水质保持Ⅲ类标准。”《胡杨河经济技术开发区总体规划（2021-2035年）环境影响报告书》确定的园区地下水水质目标满足《地下水质量标准》（GB/T14848‐2017）中Ⅲ类标准。</w:t>
            </w:r>
          </w:p>
          <w:p w14:paraId="6173767B">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本项目生产废水和生活污水经处理后不外排，对区域地表水无影响。厂区采取分区防渗措施，正常工况下可确保不对地下水造成污染，不威胁地下水环境质量底线。</w:t>
            </w:r>
          </w:p>
          <w:p w14:paraId="51FBC655">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③土壤环境质量底线：《第七师胡杨河市“三线一单”生态环境分区管控方案》确定的水环境质量底线为“土壤环境质量保持稳定，农用地和建设用地土壤环境安全得到有效保障，土壤环境风险得到有效管控。受污染耕地安全利用率达到 93%以上，污染地块安全利用率达到 93%以上。”《胡杨河经济技术开发区总体规划（2021-2035年）环境影响报告书》以区域土壤环境质量达到《土壤环境质量建设用地土壤污染风险管控标准》（GB36600-2018）中表1第二类用地标准为主要目标。</w:t>
            </w:r>
          </w:p>
          <w:p w14:paraId="75812269">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本项目生产过程中无重金属、难降解有机物等产生；厂区采取分区防渗措施，项目产生的危险废物和一般工业固体废物做到合理处置，实现固体废物的减量化、资源化和无害化。本项目建成投产后，对周边土壤环境质量基本无不良影响，不改变当地环境现状，满足环境质量底线的要求。</w:t>
            </w:r>
          </w:p>
          <w:p w14:paraId="7AC58B44">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（3）资源利用上线</w:t>
            </w:r>
          </w:p>
          <w:p w14:paraId="4C31D59A">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兵团、七师确定的资源利用上线为“强化节约集约利用，持续提升资源能源利用效率，水资源、土地资源、能源消耗达到国家、兵团下达的总量和强度控制目标，地下水超采得到严格控制。加快低碳发展，积极推动低碳试点建设，发挥低碳试点示范引领作用。</w:t>
            </w:r>
          </w:p>
          <w:p w14:paraId="3C2313B3">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本项目的生产用水水源由</w:t>
            </w:r>
            <w:r>
              <w:rPr>
                <w:rFonts w:hint="eastAsia" w:cs="宋体"/>
                <w:color w:val="auto"/>
                <w:lang w:val="en-US" w:eastAsia="zh-CN"/>
              </w:rPr>
              <w:t>园区供水管网</w:t>
            </w:r>
            <w:r>
              <w:rPr>
                <w:rFonts w:hint="default" w:ascii="Times New Roman" w:hAnsi="Times New Roman" w:eastAsia="宋体" w:cs="宋体"/>
                <w:color w:val="auto"/>
                <w:lang w:val="en-US" w:eastAsia="zh-CN"/>
              </w:rPr>
              <w:t>提供，项目厂区布局紧凑、合理，较大的节约土地资源；本项目用电来</w:t>
            </w:r>
            <w:r>
              <w:rPr>
                <w:rFonts w:hint="eastAsia" w:cs="宋体"/>
                <w:color w:val="auto"/>
                <w:lang w:val="en-US" w:eastAsia="zh-CN"/>
              </w:rPr>
              <w:t>园区电网</w:t>
            </w:r>
            <w:r>
              <w:rPr>
                <w:rFonts w:hint="default" w:ascii="Times New Roman" w:hAnsi="Times New Roman" w:eastAsia="宋体" w:cs="宋体"/>
                <w:color w:val="auto"/>
                <w:lang w:val="en-US" w:eastAsia="zh-CN"/>
              </w:rPr>
              <w:t>。因此，项目的水、电、土地等资源利用不会突破区域的资源利用上线。</w:t>
            </w:r>
          </w:p>
          <w:p w14:paraId="509D20BE">
            <w:pPr>
              <w:widowControl w:val="0"/>
              <w:numPr>
                <w:ilvl w:val="0"/>
                <w:numId w:val="0"/>
              </w:numPr>
              <w:overflowPunct w:val="0"/>
              <w:autoSpaceDE w:val="0"/>
              <w:autoSpaceDN w:val="0"/>
              <w:adjustRightInd w:val="0"/>
              <w:snapToGrid w:val="0"/>
              <w:spacing w:before="0" w:after="0" w:line="360" w:lineRule="auto"/>
              <w:ind w:left="0" w:leftChars="0" w:right="0" w:rightChars="0" w:firstLine="480" w:firstLineChars="200"/>
              <w:jc w:val="both"/>
              <w:rPr>
                <w:rFonts w:hint="eastAsia" w:ascii="Times New Roman" w:hAnsi="Times New Roman" w:eastAsia="宋体" w:cs="宋体"/>
                <w:color w:val="auto"/>
                <w:lang w:val="en-US" w:eastAsia="zh-CN"/>
              </w:rPr>
            </w:pPr>
            <w:r>
              <w:rPr>
                <w:rFonts w:hint="default" w:ascii="Times New Roman" w:hAnsi="Times New Roman" w:eastAsia="宋体" w:cs="宋体"/>
                <w:color w:val="auto"/>
                <w:lang w:val="en-US" w:eastAsia="zh-CN"/>
              </w:rPr>
              <w:t>综上，项目建设满足“三线一单”相关要求。</w:t>
            </w:r>
          </w:p>
          <w:p w14:paraId="1FBBAA2E">
            <w:pPr>
              <w:widowControl w:val="0"/>
              <w:numPr>
                <w:ilvl w:val="0"/>
                <w:numId w:val="0"/>
              </w:numPr>
              <w:overflowPunct w:val="0"/>
              <w:autoSpaceDE w:val="0"/>
              <w:autoSpaceDN w:val="0"/>
              <w:adjustRightInd w:val="0"/>
              <w:snapToGrid w:val="0"/>
              <w:spacing w:before="0" w:after="0" w:line="360" w:lineRule="auto"/>
              <w:ind w:right="0" w:rightChars="0" w:firstLine="480" w:firstLineChars="200"/>
              <w:jc w:val="both"/>
              <w:rPr>
                <w:rFonts w:hint="eastAsia" w:ascii="Times New Roman" w:hAnsi="Times New Roman" w:eastAsia="宋体" w:cs="宋体"/>
                <w:color w:val="auto"/>
                <w:lang w:val="en-US" w:eastAsia="zh-CN"/>
              </w:rPr>
            </w:pPr>
            <w:r>
              <w:rPr>
                <w:rFonts w:hint="eastAsia"/>
                <w:color w:val="auto"/>
                <w:lang w:eastAsia="zh-CN"/>
              </w:rPr>
              <w:t>本项目生产运行过程中会消耗一定量的水、电等能源。消耗量相对区域资源利用总量较少，不会超出资源利用上线。</w:t>
            </w:r>
            <w:r>
              <w:rPr>
                <w:rFonts w:hint="eastAsia"/>
                <w:color w:val="auto"/>
                <w:lang w:val="en-US" w:eastAsia="zh-CN"/>
              </w:rPr>
              <w:t>项目建成运行后从内部管理、设备和原辅材料的选用、污染防治措施等方面采取合理可行的防治措施，以节能、降耗、减污为目标，有效控制污染。项目不属于高污染、高能耗、高水耗的建设项目，</w:t>
            </w:r>
            <w:r>
              <w:rPr>
                <w:rFonts w:hint="eastAsia"/>
                <w:color w:val="auto"/>
                <w:lang w:eastAsia="zh-CN"/>
              </w:rPr>
              <w:t>土地利用不会突破区域土地资源上线。</w:t>
            </w:r>
            <w:r>
              <w:rPr>
                <w:rFonts w:hint="eastAsia"/>
                <w:color w:val="auto"/>
                <w:lang w:val="en-US" w:eastAsia="zh-CN"/>
              </w:rPr>
              <w:t>因此，本项目</w:t>
            </w:r>
            <w:r>
              <w:rPr>
                <w:rFonts w:hint="eastAsia"/>
                <w:color w:val="auto"/>
                <w:lang w:eastAsia="zh-CN"/>
              </w:rPr>
              <w:t>符合资源利用上线要求</w:t>
            </w:r>
            <w:r>
              <w:rPr>
                <w:rFonts w:hint="eastAsia" w:ascii="Times New Roman" w:hAnsi="Times New Roman" w:eastAsia="宋体" w:cs="宋体"/>
                <w:color w:val="auto"/>
                <w:lang w:val="en-US" w:eastAsia="zh-CN"/>
              </w:rPr>
              <w:t>。</w:t>
            </w:r>
          </w:p>
          <w:p w14:paraId="2B6D41E8">
            <w:pPr>
              <w:widowControl w:val="0"/>
              <w:overflowPunct w:val="0"/>
              <w:autoSpaceDE w:val="0"/>
              <w:autoSpaceDN w:val="0"/>
              <w:adjustRightInd w:val="0"/>
              <w:snapToGrid w:val="0"/>
              <w:spacing w:before="0" w:after="0" w:line="360" w:lineRule="auto"/>
              <w:ind w:left="0" w:right="0" w:firstLine="480" w:firstLineChars="200"/>
              <w:jc w:val="both"/>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w:t>
            </w:r>
            <w:r>
              <w:rPr>
                <w:rFonts w:hint="eastAsia" w:cs="宋体"/>
                <w:color w:val="auto"/>
                <w:lang w:val="en-US" w:eastAsia="zh-CN"/>
              </w:rPr>
              <w:t>位于</w:t>
            </w:r>
            <w:r>
              <w:rPr>
                <w:rFonts w:hint="eastAsia" w:ascii="Times New Roman" w:hAnsi="Times New Roman" w:eastAsia="宋体" w:cs="宋体"/>
                <w:color w:val="auto"/>
                <w:szCs w:val="32"/>
              </w:rPr>
              <w:t>胡杨河经济技术开发区南园区</w:t>
            </w:r>
            <w:r>
              <w:rPr>
                <w:rFonts w:hint="eastAsia" w:ascii="Times New Roman" w:hAnsi="Times New Roman" w:eastAsia="宋体" w:cs="Times New Roman"/>
                <w:color w:val="auto"/>
                <w:kern w:val="2"/>
                <w:sz w:val="24"/>
                <w:szCs w:val="24"/>
                <w:shd w:val="clear" w:color="auto" w:fill="FFFFFF"/>
                <w:lang w:val="en-US" w:eastAsia="zh-CN" w:bidi="ar-SA"/>
              </w:rPr>
              <w:t>（</w:t>
            </w:r>
            <w:r>
              <w:rPr>
                <w:rFonts w:hint="eastAsia" w:ascii="Times New Roman" w:hAnsi="Times New Roman" w:eastAsia="仿宋" w:cs="Times New Roman"/>
                <w:color w:val="auto"/>
                <w:spacing w:val="0"/>
                <w:kern w:val="2"/>
                <w:szCs w:val="22"/>
                <w:lang w:bidi="en-US"/>
              </w:rPr>
              <w:t>ZH65771220001</w:t>
            </w:r>
            <w:r>
              <w:rPr>
                <w:rFonts w:hint="eastAsia" w:ascii="Times New Roman" w:hAnsi="Times New Roman" w:eastAsia="宋体" w:cs="Times New Roman"/>
                <w:color w:val="auto"/>
                <w:kern w:val="2"/>
                <w:sz w:val="24"/>
                <w:szCs w:val="24"/>
                <w:shd w:val="clear" w:color="auto" w:fill="FFFFFF"/>
                <w:lang w:val="en-US" w:eastAsia="zh-CN" w:bidi="ar-SA"/>
              </w:rPr>
              <w:t>）符合性分析见表</w:t>
            </w:r>
            <w:r>
              <w:rPr>
                <w:rFonts w:hint="eastAsia" w:ascii="Times New Roman" w:hAnsi="Times New Roman" w:eastAsia="宋体" w:cs="宋体"/>
                <w:color w:val="auto"/>
                <w:lang w:val="en-US" w:eastAsia="zh-CN"/>
              </w:rPr>
              <w:t>1.2-1。</w:t>
            </w:r>
          </w:p>
          <w:p w14:paraId="2627569C">
            <w:pPr>
              <w:overflowPunct w:val="0"/>
              <w:autoSpaceDE w:val="0"/>
              <w:autoSpaceDN w:val="0"/>
              <w:adjustRightInd w:val="0"/>
              <w:snapToGrid w:val="0"/>
              <w:spacing w:before="0" w:after="0" w:line="240" w:lineRule="auto"/>
              <w:ind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表1.2-1  高新区（新市区）城镇重点管控单元符合性分析表</w:t>
            </w:r>
          </w:p>
          <w:tbl>
            <w:tblPr>
              <w:tblStyle w:val="21"/>
              <w:tblW w:w="70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448"/>
              <w:gridCol w:w="426"/>
              <w:gridCol w:w="2673"/>
              <w:gridCol w:w="1889"/>
            </w:tblGrid>
            <w:tr w14:paraId="6610A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l2br w:val="nil"/>
                    <w:tr2bl w:val="nil"/>
                  </w:tcBorders>
                  <w:vAlign w:val="center"/>
                </w:tcPr>
                <w:p w14:paraId="196A02AC">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环境管控单元编码</w:t>
                  </w:r>
                </w:p>
              </w:tc>
              <w:tc>
                <w:tcPr>
                  <w:tcW w:w="471" w:type="dxa"/>
                  <w:tcBorders>
                    <w:tl2br w:val="nil"/>
                    <w:tr2bl w:val="nil"/>
                  </w:tcBorders>
                  <w:vAlign w:val="center"/>
                </w:tcPr>
                <w:p w14:paraId="45A43D8E">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环境管控单元名称</w:t>
                  </w:r>
                </w:p>
              </w:tc>
              <w:tc>
                <w:tcPr>
                  <w:tcW w:w="3969" w:type="dxa"/>
                  <w:gridSpan w:val="2"/>
                  <w:tcBorders>
                    <w:tl2br w:val="nil"/>
                    <w:tr2bl w:val="nil"/>
                  </w:tcBorders>
                  <w:vAlign w:val="center"/>
                </w:tcPr>
                <w:p w14:paraId="20BB583E">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管控要求</w:t>
                  </w:r>
                </w:p>
              </w:tc>
              <w:tc>
                <w:tcPr>
                  <w:tcW w:w="1943" w:type="dxa"/>
                  <w:tcBorders>
                    <w:tl2br w:val="nil"/>
                    <w:tr2bl w:val="nil"/>
                  </w:tcBorders>
                  <w:vAlign w:val="center"/>
                </w:tcPr>
                <w:p w14:paraId="6F00663F">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本项目符合性</w:t>
                  </w:r>
                </w:p>
              </w:tc>
            </w:tr>
            <w:tr w14:paraId="34FFD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tl2br w:val="nil"/>
                    <w:tr2bl w:val="nil"/>
                  </w:tcBorders>
                  <w:vAlign w:val="center"/>
                </w:tcPr>
                <w:p w14:paraId="53C136F5">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仿宋" w:cs="Times New Roman"/>
                      <w:color w:val="auto"/>
                      <w:spacing w:val="0"/>
                      <w:kern w:val="2"/>
                      <w:sz w:val="21"/>
                      <w:szCs w:val="20"/>
                      <w:lang w:bidi="en-US"/>
                    </w:rPr>
                    <w:t>ZH65771220001</w:t>
                  </w:r>
                </w:p>
              </w:tc>
              <w:tc>
                <w:tcPr>
                  <w:tcW w:w="471" w:type="dxa"/>
                  <w:vMerge w:val="restart"/>
                  <w:tcBorders>
                    <w:tl2br w:val="nil"/>
                    <w:tr2bl w:val="nil"/>
                  </w:tcBorders>
                  <w:vAlign w:val="center"/>
                </w:tcPr>
                <w:p w14:paraId="578B85C9">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宋体"/>
                      <w:color w:val="auto"/>
                      <w:sz w:val="21"/>
                      <w:szCs w:val="24"/>
                    </w:rPr>
                    <w:t>胡杨河经济技术开发区南园区</w:t>
                  </w:r>
                </w:p>
              </w:tc>
              <w:tc>
                <w:tcPr>
                  <w:tcW w:w="400" w:type="dxa"/>
                  <w:tcBorders>
                    <w:tl2br w:val="nil"/>
                    <w:tr2bl w:val="nil"/>
                  </w:tcBorders>
                  <w:vAlign w:val="center"/>
                </w:tcPr>
                <w:p w14:paraId="2EA5113E">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空间布局约束</w:t>
                  </w:r>
                </w:p>
              </w:tc>
              <w:tc>
                <w:tcPr>
                  <w:tcW w:w="3569" w:type="dxa"/>
                  <w:tcBorders>
                    <w:tl2br w:val="nil"/>
                    <w:tr2bl w:val="nil"/>
                  </w:tcBorders>
                  <w:vAlign w:val="center"/>
                </w:tcPr>
                <w:p w14:paraId="27824D3D">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严格治理园区现有化工项目，提高化工项目入驻标准，重点发展精细化工、新材料等新兴产业。禁止类产业有：《指导目录》中的淘汰类和《清单草案》中的禁止准入类，以及不具备区域资源禀赋条件、不符合所处重点生态功能区开发管制原则的限制类、允许类、鼓励类产业。</w:t>
                  </w:r>
                </w:p>
                <w:p w14:paraId="3908A05E">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禁止新建或扩建棉浆粕生产项目；禁止在《关于促进新疆纺织服装产业健康可持续发展的指导意见》(新政发〔2017〕155 号)布局要求以外建设印染项目；禁止新建使用禁用的直接染料（冰染色基包括 C.I.冰染色基 11、C.I.冰染色基 48、C.I.冰染色基 112、C.I 冰染色基 113 等）进行棉印染精加工的印染项目。</w:t>
                  </w:r>
                </w:p>
                <w:p w14:paraId="2E8E2132">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劳动力密集型的非化工企业不得与化工企业混建在同一园区内。</w:t>
                  </w:r>
                </w:p>
                <w:p w14:paraId="54B61C00">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限制类产业有：《指导目录》中的限制类和《清单草案》中的限制准入类（已列入清单禁止类的产业除外），以及与所处重点生态功能区发展方向和开发管制原则不相符合的允许类、鼓励类产业。</w:t>
                  </w:r>
                </w:p>
                <w:p w14:paraId="288563AA">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对于高耗能项目，必须实行能源及环境评估，其指标不得高于同行业能耗标准值。</w:t>
                  </w:r>
                </w:p>
                <w:p w14:paraId="36358410">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劳动力密集型的非化工企业与化工企业应分区建设。</w:t>
                  </w:r>
                </w:p>
                <w:p w14:paraId="4ACE4468">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合理产业布局，优化资源配置，将污染相对较大的工业项目布局在北区，远离胡杨河市。</w:t>
                  </w:r>
                </w:p>
                <w:p w14:paraId="760ACCBD">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棉浆粕、粘胶纤维项目卫生防护距离通过环境影响评价计算确定，棉纺、印染项目卫生防护距离执行《纺织业卫生防护距离第 1 部分：棉、化纤纺织及印染精加工业》（GB18080.1）。项目卫生防护距离内不得规划、建设居民区、学校、医院等环境敏感目标，对于已存在的环境敏感目标要采取合理措施加以保护。</w:t>
                  </w:r>
                </w:p>
                <w:p w14:paraId="57E3C1CF">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围绕交通运输、轻工纺织、化学建材、电子信息产业等行业积极开发化工新材料；发展精细化工产业。</w:t>
                  </w:r>
                </w:p>
                <w:p w14:paraId="77B501D5">
                  <w:pPr>
                    <w:adjustRightInd w:val="0"/>
                    <w:snapToGrid w:val="0"/>
                    <w:jc w:val="left"/>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加快发展合成纤维。积极发展多功能纤维和生物质纤维。全力发展服装、家纺、针织产业，加快培育产业用纺织品产业。</w:t>
                  </w:r>
                </w:p>
                <w:p w14:paraId="58C4FFEC">
                  <w:pPr>
                    <w:adjustRightInd w:val="0"/>
                    <w:snapToGrid w:val="0"/>
                    <w:jc w:val="left"/>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rPr>
                    <w:t>化工园区内凡存在重大事故隐患、生产工艺技术落后、不具备安全生产条件的企业，责令停产整顿，整改无望的或整改后仍不能达到要求的企业，应依法予以关闭。</w:t>
                  </w:r>
                </w:p>
              </w:tc>
              <w:tc>
                <w:tcPr>
                  <w:tcW w:w="1943" w:type="dxa"/>
                  <w:tcBorders>
                    <w:tl2br w:val="nil"/>
                    <w:tr2bl w:val="nil"/>
                  </w:tcBorders>
                  <w:vAlign w:val="center"/>
                </w:tcPr>
                <w:p w14:paraId="13775BB8">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本项目</w:t>
                  </w:r>
                  <w:r>
                    <w:rPr>
                      <w:rFonts w:hint="eastAsia" w:cs="Times New Roman"/>
                      <w:color w:val="auto"/>
                      <w:kern w:val="2"/>
                      <w:sz w:val="21"/>
                      <w:szCs w:val="21"/>
                      <w:vertAlign w:val="baseline"/>
                      <w:lang w:val="en-US" w:eastAsia="zh-CN" w:bidi="ar-SA"/>
                    </w:rPr>
                    <w:t>果汁加工项目</w:t>
                  </w:r>
                  <w:r>
                    <w:rPr>
                      <w:rFonts w:hint="default" w:ascii="Times New Roman" w:hAnsi="Times New Roman" w:eastAsia="宋体" w:cs="Times New Roman"/>
                      <w:color w:val="auto"/>
                      <w:kern w:val="2"/>
                      <w:sz w:val="21"/>
                      <w:szCs w:val="21"/>
                      <w:vertAlign w:val="baseline"/>
                      <w:lang w:val="en-US" w:eastAsia="zh-CN" w:bidi="ar-SA"/>
                    </w:rPr>
                    <w:t>，</w:t>
                  </w:r>
                  <w:r>
                    <w:rPr>
                      <w:rFonts w:hint="eastAsia" w:cs="Times New Roman"/>
                      <w:color w:val="auto"/>
                      <w:kern w:val="2"/>
                      <w:sz w:val="21"/>
                      <w:szCs w:val="21"/>
                      <w:vertAlign w:val="baseline"/>
                      <w:lang w:val="en-US" w:eastAsia="zh-CN" w:bidi="ar-SA"/>
                    </w:rPr>
                    <w:t>属于允许类项目</w:t>
                  </w:r>
                  <w:r>
                    <w:rPr>
                      <w:rFonts w:hint="default" w:ascii="Times New Roman" w:hAnsi="Times New Roman" w:eastAsia="宋体" w:cs="Times New Roman"/>
                      <w:color w:val="auto"/>
                      <w:kern w:val="2"/>
                      <w:sz w:val="21"/>
                      <w:szCs w:val="21"/>
                      <w:vertAlign w:val="baseline"/>
                      <w:lang w:val="en-US" w:eastAsia="zh-CN" w:bidi="ar-SA"/>
                    </w:rPr>
                    <w:t>，项目选址为</w:t>
                  </w:r>
                  <w:r>
                    <w:rPr>
                      <w:rFonts w:hint="eastAsia" w:cs="Times New Roman"/>
                      <w:color w:val="auto"/>
                      <w:kern w:val="2"/>
                      <w:sz w:val="21"/>
                      <w:szCs w:val="21"/>
                      <w:vertAlign w:val="baseline"/>
                      <w:lang w:val="en-US" w:eastAsia="zh-CN" w:bidi="ar-SA"/>
                    </w:rPr>
                    <w:t>农产品加工功能区域</w:t>
                  </w:r>
                  <w:r>
                    <w:rPr>
                      <w:rFonts w:hint="default" w:ascii="Times New Roman" w:hAnsi="Times New Roman" w:eastAsia="宋体" w:cs="Times New Roman"/>
                      <w:color w:val="auto"/>
                      <w:kern w:val="2"/>
                      <w:sz w:val="21"/>
                      <w:szCs w:val="21"/>
                      <w:vertAlign w:val="baseline"/>
                      <w:lang w:val="en-US" w:eastAsia="zh-CN" w:bidi="ar-SA"/>
                    </w:rPr>
                    <w:t>，</w:t>
                  </w:r>
                  <w:r>
                    <w:rPr>
                      <w:rFonts w:hint="eastAsia" w:cs="Times New Roman"/>
                      <w:color w:val="auto"/>
                      <w:kern w:val="2"/>
                      <w:sz w:val="21"/>
                      <w:szCs w:val="21"/>
                      <w:vertAlign w:val="baseline"/>
                      <w:lang w:val="en-US" w:eastAsia="zh-CN" w:bidi="ar-SA"/>
                    </w:rPr>
                    <w:t>满足园区规划要求</w:t>
                  </w:r>
                  <w:r>
                    <w:rPr>
                      <w:rFonts w:hint="default" w:ascii="Times New Roman" w:hAnsi="Times New Roman" w:eastAsia="宋体" w:cs="Times New Roman"/>
                      <w:color w:val="auto"/>
                      <w:kern w:val="2"/>
                      <w:sz w:val="21"/>
                      <w:szCs w:val="21"/>
                      <w:vertAlign w:val="baseline"/>
                      <w:lang w:val="en-US" w:eastAsia="zh-CN" w:bidi="ar-SA"/>
                    </w:rPr>
                    <w:t>，本项目运营不使用燃料，不属于大气污染严重项目</w:t>
                  </w:r>
                  <w:r>
                    <w:rPr>
                      <w:rFonts w:hint="default" w:ascii="Times New Roman" w:hAnsi="Times New Roman" w:eastAsia="宋体" w:cs="Times New Roman"/>
                      <w:color w:val="auto"/>
                      <w:kern w:val="2"/>
                      <w:sz w:val="21"/>
                      <w:szCs w:val="21"/>
                      <w:highlight w:val="none"/>
                      <w:vertAlign w:val="baseline"/>
                      <w:lang w:val="en-US" w:eastAsia="zh-CN" w:bidi="ar-SA"/>
                    </w:rPr>
                    <w:t>。</w:t>
                  </w:r>
                </w:p>
              </w:tc>
            </w:tr>
            <w:tr w14:paraId="30498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l2br w:val="nil"/>
                    <w:tr2bl w:val="nil"/>
                  </w:tcBorders>
                  <w:vAlign w:val="center"/>
                </w:tcPr>
                <w:p w14:paraId="6EEEBE36">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p>
              </w:tc>
              <w:tc>
                <w:tcPr>
                  <w:tcW w:w="471" w:type="dxa"/>
                  <w:vMerge w:val="continue"/>
                  <w:tcBorders>
                    <w:tl2br w:val="nil"/>
                    <w:tr2bl w:val="nil"/>
                  </w:tcBorders>
                  <w:vAlign w:val="center"/>
                </w:tcPr>
                <w:p w14:paraId="3CF2241A">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p>
              </w:tc>
              <w:tc>
                <w:tcPr>
                  <w:tcW w:w="400" w:type="dxa"/>
                  <w:tcBorders>
                    <w:tl2br w:val="nil"/>
                    <w:tr2bl w:val="nil"/>
                  </w:tcBorders>
                  <w:vAlign w:val="center"/>
                </w:tcPr>
                <w:p w14:paraId="24EB2DA5">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污染物排放管控</w:t>
                  </w:r>
                </w:p>
              </w:tc>
              <w:tc>
                <w:tcPr>
                  <w:tcW w:w="3569" w:type="dxa"/>
                  <w:tcBorders>
                    <w:tl2br w:val="nil"/>
                    <w:tr2bl w:val="nil"/>
                  </w:tcBorders>
                  <w:vAlign w:val="center"/>
                </w:tcPr>
                <w:p w14:paraId="61403E3F">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企业预处理达标废水经园区污水处理厂和中水厂处理满足中水回用标准，用于企业循环冷却、园区绿化、洒水降尘等。</w:t>
                  </w:r>
                </w:p>
                <w:p w14:paraId="5D521ABA">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各企业按清污分流原则建立完善的排水系统和事故池，严禁将高浓度废水稀释排放。选择节水工艺，鼓励一水多用，减少废水排放。</w:t>
                  </w:r>
                </w:p>
                <w:p w14:paraId="50F06DD2">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新入驻企业场内必须设置污水处理及中水回用及消防设施装置。</w:t>
                  </w:r>
                </w:p>
                <w:p w14:paraId="1414525F">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严格控制有毒和有害气体的排放，并对有毒和有害气体排放实施在线自动检测仪监控。各装置反应尾气排放气、紧急事故排放气、罐区低压排放气等视其情况或送入各装置的火炬系统、焚烧炉或进入燃料气系统回收利用。煤化工项目采用高效的除尘设备。</w:t>
                  </w:r>
                </w:p>
                <w:p w14:paraId="4272350E">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加强对企业的粉尘、烟尘污染治理。开展金属制品业酸雾等工艺废气污染控制与治理，提升行业装备水平，完善废气收集系统，减少无组织排放，做到工艺废气排放浓度和厂界浓度双达标。</w:t>
                  </w:r>
                </w:p>
                <w:p w14:paraId="7EA04B39">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一般固体废物实行综合利用，对不可综合利用的一般固体废物，应送往一般工业固体废物处理处置场所，进行安全填埋处置。园区产生的危险固体废弃物主要包括少量废旧催化剂、高沸物，污水处理装置产生的污泥，外送委托有相关危险废物处理资质的企业进行安全处置。在园区内建设危险废物临时贮存库，并进行防渗和排水设计。按照国家有关规定办理危险废物申报转移的“五联单”手续，并在贮运过程中严格执行危险化学品贮存、运输和监管的有关规定。</w:t>
                  </w:r>
                </w:p>
                <w:p w14:paraId="62B9756E">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rPr>
                    <w:t>大力推进一般工业固体废物的减量化、资源化和无害化工作。园区一般固体废物综合利用率不低于60%，对于无法综合利用的固体废物，在区外建设填埋场填埋。</w:t>
                  </w:r>
                </w:p>
              </w:tc>
              <w:tc>
                <w:tcPr>
                  <w:tcW w:w="1943" w:type="dxa"/>
                  <w:tcBorders>
                    <w:tl2br w:val="nil"/>
                    <w:tr2bl w:val="nil"/>
                  </w:tcBorders>
                  <w:vAlign w:val="center"/>
                </w:tcPr>
                <w:p w14:paraId="46F10780">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本项目</w:t>
                  </w:r>
                  <w:r>
                    <w:rPr>
                      <w:rFonts w:hint="eastAsia" w:cs="Times New Roman"/>
                      <w:color w:val="auto"/>
                      <w:sz w:val="21"/>
                      <w:szCs w:val="21"/>
                      <w:lang w:val="en-US" w:eastAsia="zh-CN"/>
                    </w:rPr>
                    <w:t>生产</w:t>
                  </w:r>
                  <w:r>
                    <w:rPr>
                      <w:rFonts w:hint="default" w:ascii="Times New Roman" w:hAnsi="Times New Roman" w:eastAsia="宋体" w:cs="Times New Roman"/>
                      <w:color w:val="auto"/>
                      <w:sz w:val="21"/>
                      <w:szCs w:val="21"/>
                      <w:lang w:val="en-US" w:eastAsia="zh-CN"/>
                    </w:rPr>
                    <w:t>废水经</w:t>
                  </w:r>
                  <w:r>
                    <w:rPr>
                      <w:rFonts w:hint="eastAsia" w:cs="Times New Roman"/>
                      <w:color w:val="auto"/>
                      <w:sz w:val="21"/>
                      <w:szCs w:val="21"/>
                      <w:lang w:val="en-US" w:eastAsia="zh-CN"/>
                    </w:rPr>
                    <w:t>污水处理站</w:t>
                  </w:r>
                  <w:r>
                    <w:rPr>
                      <w:rFonts w:hint="default" w:ascii="Times New Roman" w:hAnsi="Times New Roman" w:eastAsia="宋体" w:cs="Times New Roman"/>
                      <w:color w:val="auto"/>
                      <w:sz w:val="21"/>
                      <w:szCs w:val="21"/>
                      <w:lang w:val="en-US" w:eastAsia="zh-CN"/>
                    </w:rPr>
                    <w:t>处置达标后与生活污水一同排入</w:t>
                  </w:r>
                  <w:r>
                    <w:rPr>
                      <w:rFonts w:hint="eastAsia" w:cs="Times New Roman"/>
                      <w:color w:val="auto"/>
                      <w:sz w:val="21"/>
                      <w:szCs w:val="21"/>
                      <w:lang w:val="en-US" w:eastAsia="zh-CN"/>
                    </w:rPr>
                    <w:t>园区下水管网</w:t>
                  </w:r>
                  <w:r>
                    <w:rPr>
                      <w:rFonts w:hint="default" w:ascii="Times New Roman" w:hAnsi="Times New Roman" w:eastAsia="宋体" w:cs="Times New Roman"/>
                      <w:color w:val="auto"/>
                      <w:sz w:val="21"/>
                      <w:szCs w:val="21"/>
                      <w:lang w:val="en-US" w:eastAsia="zh-CN"/>
                    </w:rPr>
                    <w:t>，最终委托</w:t>
                  </w:r>
                  <w:r>
                    <w:rPr>
                      <w:rFonts w:hint="eastAsia" w:cs="Times New Roman"/>
                      <w:color w:val="auto"/>
                      <w:sz w:val="21"/>
                      <w:szCs w:val="21"/>
                      <w:lang w:val="en-US" w:eastAsia="zh-CN"/>
                    </w:rPr>
                    <w:t>园区污水处理厂处置</w:t>
                  </w:r>
                  <w:r>
                    <w:rPr>
                      <w:rFonts w:hint="default" w:ascii="Times New Roman" w:hAnsi="Times New Roman" w:eastAsia="宋体" w:cs="Times New Roman"/>
                      <w:color w:val="auto"/>
                      <w:kern w:val="2"/>
                      <w:sz w:val="21"/>
                      <w:szCs w:val="21"/>
                      <w:vertAlign w:val="baseline"/>
                      <w:lang w:val="en-US" w:eastAsia="zh-CN" w:bidi="ar-SA"/>
                    </w:rPr>
                    <w:t>，满足《污水综合排放标准》（GB8978-1996）三级标准。</w:t>
                  </w:r>
                  <w:r>
                    <w:rPr>
                      <w:rFonts w:hint="eastAsia" w:cs="Times New Roman"/>
                      <w:color w:val="auto"/>
                      <w:kern w:val="2"/>
                      <w:sz w:val="21"/>
                      <w:szCs w:val="21"/>
                      <w:vertAlign w:val="baseline"/>
                      <w:lang w:val="en-US" w:eastAsia="zh-CN" w:bidi="ar-SA"/>
                    </w:rPr>
                    <w:t>生产过程中产生的各类固废分类收集处置。</w:t>
                  </w:r>
                </w:p>
              </w:tc>
            </w:tr>
            <w:tr w14:paraId="6BB1F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l2br w:val="nil"/>
                    <w:tr2bl w:val="nil"/>
                  </w:tcBorders>
                  <w:vAlign w:val="center"/>
                </w:tcPr>
                <w:p w14:paraId="57CAA624">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p>
              </w:tc>
              <w:tc>
                <w:tcPr>
                  <w:tcW w:w="471" w:type="dxa"/>
                  <w:vMerge w:val="continue"/>
                  <w:tcBorders>
                    <w:tl2br w:val="nil"/>
                    <w:tr2bl w:val="nil"/>
                  </w:tcBorders>
                  <w:vAlign w:val="center"/>
                </w:tcPr>
                <w:p w14:paraId="00753061">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p>
              </w:tc>
              <w:tc>
                <w:tcPr>
                  <w:tcW w:w="400" w:type="dxa"/>
                  <w:tcBorders>
                    <w:tl2br w:val="nil"/>
                    <w:tr2bl w:val="nil"/>
                  </w:tcBorders>
                  <w:vAlign w:val="center"/>
                </w:tcPr>
                <w:p w14:paraId="64212229">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环境风险防控</w:t>
                  </w:r>
                </w:p>
              </w:tc>
              <w:tc>
                <w:tcPr>
                  <w:tcW w:w="3569" w:type="dxa"/>
                  <w:tcBorders>
                    <w:tl2br w:val="nil"/>
                    <w:tr2bl w:val="nil"/>
                  </w:tcBorders>
                  <w:vAlign w:val="center"/>
                </w:tcPr>
                <w:p w14:paraId="0547D4B6">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易燃易爆的企业，自身要做好防护工作。</w:t>
                  </w:r>
                </w:p>
                <w:p w14:paraId="1D26A861">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rPr>
                    <w:t>企业存在重大安全隐患的，必须立即消除，消除前或消除过程中无法保证安全的，属地应急管理部门应依法责令暂时停产停业或者停止使用相关设施、设备。</w:t>
                  </w:r>
                </w:p>
              </w:tc>
              <w:tc>
                <w:tcPr>
                  <w:tcW w:w="1943" w:type="dxa"/>
                  <w:tcBorders>
                    <w:tl2br w:val="nil"/>
                    <w:tr2bl w:val="nil"/>
                  </w:tcBorders>
                  <w:vAlign w:val="center"/>
                </w:tcPr>
                <w:p w14:paraId="0AC1F3EA">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建设单位生产不涉及易燃易爆原料，项目建设完成后及时编制突发环境事件应急预案。</w:t>
                  </w:r>
                </w:p>
              </w:tc>
            </w:tr>
            <w:tr w14:paraId="23C34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l2br w:val="nil"/>
                    <w:tr2bl w:val="nil"/>
                  </w:tcBorders>
                  <w:vAlign w:val="center"/>
                </w:tcPr>
                <w:p w14:paraId="7F36DFA9">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p>
              </w:tc>
              <w:tc>
                <w:tcPr>
                  <w:tcW w:w="471" w:type="dxa"/>
                  <w:vMerge w:val="continue"/>
                  <w:tcBorders>
                    <w:tl2br w:val="nil"/>
                    <w:tr2bl w:val="nil"/>
                  </w:tcBorders>
                  <w:vAlign w:val="center"/>
                </w:tcPr>
                <w:p w14:paraId="16FA9E10">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p>
              </w:tc>
              <w:tc>
                <w:tcPr>
                  <w:tcW w:w="400" w:type="dxa"/>
                  <w:tcBorders>
                    <w:tl2br w:val="nil"/>
                    <w:tr2bl w:val="nil"/>
                  </w:tcBorders>
                  <w:vAlign w:val="center"/>
                </w:tcPr>
                <w:p w14:paraId="348F79BF">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资源利用效率</w:t>
                  </w:r>
                </w:p>
              </w:tc>
              <w:tc>
                <w:tcPr>
                  <w:tcW w:w="3569" w:type="dxa"/>
                  <w:tcBorders>
                    <w:tl2br w:val="nil"/>
                    <w:tr2bl w:val="nil"/>
                  </w:tcBorders>
                  <w:vAlign w:val="center"/>
                </w:tcPr>
                <w:p w14:paraId="12309D89">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到2025年，工业固体废物综合利用率达到95%，工业用水重复利用率75%。</w:t>
                  </w:r>
                </w:p>
                <w:p w14:paraId="1794618C">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到2025年，园区绿化覆盖率达到15%。合理利用土地，提高土地使用效率。</w:t>
                  </w:r>
                </w:p>
                <w:p w14:paraId="52586EE9">
                  <w:pPr>
                    <w:widowControl w:val="0"/>
                    <w:overflowPunct w:val="0"/>
                    <w:autoSpaceDE w:val="0"/>
                    <w:autoSpaceDN w:val="0"/>
                    <w:adjustRightInd w:val="0"/>
                    <w:snapToGrid w:val="0"/>
                    <w:spacing w:line="360" w:lineRule="atLeast"/>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rPr>
                    <w:t>加大环境保护政策实施力度，到2035年使园区工业用水循环利用率达到80%。</w:t>
                  </w:r>
                </w:p>
              </w:tc>
              <w:tc>
                <w:tcPr>
                  <w:tcW w:w="1943" w:type="dxa"/>
                  <w:tcBorders>
                    <w:tl2br w:val="nil"/>
                    <w:tr2bl w:val="nil"/>
                  </w:tcBorders>
                  <w:vAlign w:val="center"/>
                </w:tcPr>
                <w:p w14:paraId="21FCEE6A">
                  <w:pPr>
                    <w:widowControl w:val="0"/>
                    <w:overflowPunct w:val="0"/>
                    <w:autoSpaceDE w:val="0"/>
                    <w:autoSpaceDN w:val="0"/>
                    <w:adjustRightInd w:val="0"/>
                    <w:snapToGrid w:val="0"/>
                    <w:spacing w:line="360" w:lineRule="atLeast"/>
                    <w:ind w:left="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本项目用水仅为</w:t>
                  </w:r>
                  <w:r>
                    <w:rPr>
                      <w:rFonts w:hint="eastAsia" w:cs="Times New Roman"/>
                      <w:color w:val="auto"/>
                      <w:kern w:val="2"/>
                      <w:sz w:val="21"/>
                      <w:szCs w:val="21"/>
                      <w:vertAlign w:val="baseline"/>
                      <w:lang w:val="en-US" w:eastAsia="zh-CN" w:bidi="ar-SA"/>
                    </w:rPr>
                    <w:t>生产用水</w:t>
                  </w:r>
                  <w:r>
                    <w:rPr>
                      <w:rFonts w:hint="default" w:ascii="Times New Roman" w:hAnsi="Times New Roman" w:eastAsia="宋体" w:cs="Times New Roman"/>
                      <w:color w:val="auto"/>
                      <w:kern w:val="2"/>
                      <w:sz w:val="21"/>
                      <w:szCs w:val="21"/>
                      <w:vertAlign w:val="baseline"/>
                      <w:lang w:val="en-US" w:eastAsia="zh-CN" w:bidi="ar-SA"/>
                    </w:rPr>
                    <w:t>以及生活用水，不会达到</w:t>
                  </w:r>
                  <w:r>
                    <w:rPr>
                      <w:rFonts w:hint="eastAsia" w:cs="Times New Roman"/>
                      <w:color w:val="auto"/>
                      <w:kern w:val="2"/>
                      <w:sz w:val="21"/>
                      <w:szCs w:val="21"/>
                      <w:vertAlign w:val="baseline"/>
                      <w:lang w:val="en-US" w:eastAsia="zh-CN" w:bidi="ar-SA"/>
                    </w:rPr>
                    <w:t>胡杨河市</w:t>
                  </w:r>
                  <w:r>
                    <w:rPr>
                      <w:rFonts w:hint="default" w:ascii="Times New Roman" w:hAnsi="Times New Roman" w:eastAsia="宋体" w:cs="Times New Roman"/>
                      <w:color w:val="auto"/>
                      <w:kern w:val="2"/>
                      <w:sz w:val="21"/>
                      <w:szCs w:val="21"/>
                      <w:vertAlign w:val="baseline"/>
                      <w:lang w:val="en-US" w:eastAsia="zh-CN" w:bidi="ar-SA"/>
                    </w:rPr>
                    <w:t>水资源利用限值，本项目不涉及地下水开采</w:t>
                  </w:r>
                  <w:r>
                    <w:rPr>
                      <w:rFonts w:hint="eastAsia" w:cs="Times New Roman"/>
                      <w:color w:val="auto"/>
                      <w:kern w:val="2"/>
                      <w:sz w:val="21"/>
                      <w:szCs w:val="21"/>
                      <w:vertAlign w:val="baseline"/>
                      <w:lang w:val="en-US" w:eastAsia="zh-CN" w:bidi="ar-SA"/>
                    </w:rPr>
                    <w:t>。</w:t>
                  </w:r>
                </w:p>
              </w:tc>
            </w:tr>
          </w:tbl>
          <w:p w14:paraId="2162CE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lang w:val="en-US" w:eastAsia="zh-CN"/>
              </w:rPr>
            </w:pPr>
            <w:r>
              <w:rPr>
                <w:rFonts w:hint="default" w:ascii="Times New Roman" w:hAnsi="Times New Roman" w:eastAsia="宋体" w:cs="宋体"/>
                <w:color w:val="auto"/>
                <w:lang w:val="en-US" w:eastAsia="zh-CN"/>
              </w:rPr>
              <w:t>综上本项目建设符合《</w:t>
            </w:r>
            <w:r>
              <w:rPr>
                <w:rFonts w:hint="eastAsia" w:cs="宋体"/>
                <w:color w:val="auto"/>
                <w:lang w:val="en-US" w:eastAsia="zh-CN"/>
              </w:rPr>
              <w:t>第七师胡杨河市</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三线一单</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生态环境分区管控方案》</w:t>
            </w:r>
            <w:r>
              <w:rPr>
                <w:rFonts w:hint="eastAsia" w:ascii="Times New Roman" w:hAnsi="Times New Roman" w:eastAsia="宋体" w:cs="宋体"/>
                <w:color w:val="auto"/>
                <w:lang w:val="en-US" w:eastAsia="zh-CN"/>
              </w:rPr>
              <w:t>相关</w:t>
            </w:r>
            <w:r>
              <w:rPr>
                <w:rFonts w:hint="default" w:ascii="Times New Roman" w:hAnsi="Times New Roman" w:eastAsia="宋体" w:cs="宋体"/>
                <w:color w:val="auto"/>
                <w:lang w:val="en-US" w:eastAsia="zh-CN"/>
              </w:rPr>
              <w:t>要求</w:t>
            </w:r>
            <w:r>
              <w:rPr>
                <w:rFonts w:hint="eastAsia" w:ascii="Times New Roman" w:hAnsi="Times New Roman" w:eastAsia="宋体" w:cs="宋体"/>
                <w:color w:val="auto"/>
                <w:lang w:val="en-US" w:eastAsia="zh-CN"/>
              </w:rPr>
              <w:t>。</w:t>
            </w:r>
          </w:p>
          <w:p w14:paraId="43D480FF">
            <w:pPr>
              <w:spacing w:line="360" w:lineRule="auto"/>
              <w:rPr>
                <w:rFonts w:hint="default" w:ascii="Times New Roman" w:hAnsi="Times New Roman" w:eastAsia="宋体" w:cs="宋体"/>
                <w:b/>
                <w:bCs/>
                <w:color w:val="auto"/>
                <w:sz w:val="24"/>
                <w:szCs w:val="24"/>
                <w:lang w:val="en-US" w:eastAsia="zh-CN"/>
              </w:rPr>
            </w:pPr>
            <w:r>
              <w:rPr>
                <w:rFonts w:hint="eastAsia" w:cs="宋体"/>
                <w:b/>
                <w:bCs/>
                <w:color w:val="auto"/>
                <w:sz w:val="24"/>
                <w:szCs w:val="24"/>
                <w:lang w:val="en-US" w:eastAsia="zh-CN"/>
              </w:rPr>
              <w:t>3、</w:t>
            </w:r>
            <w:r>
              <w:rPr>
                <w:rFonts w:hint="eastAsia" w:ascii="Times New Roman" w:hAnsi="Times New Roman" w:eastAsia="宋体" w:cs="宋体"/>
                <w:b/>
                <w:bCs/>
                <w:color w:val="auto"/>
                <w:sz w:val="24"/>
                <w:szCs w:val="24"/>
                <w:lang w:val="en-US" w:eastAsia="zh-CN"/>
              </w:rPr>
              <w:t>与《新疆维吾尔自治区“三线一单”生态环境分区管控要求》（2021年版）符合性分析</w:t>
            </w:r>
          </w:p>
          <w:p w14:paraId="5A7337FD">
            <w:pPr>
              <w:spacing w:line="480" w:lineRule="exact"/>
              <w:ind w:firstLine="482" w:firstLineChars="200"/>
              <w:rPr>
                <w:b/>
                <w:bCs/>
                <w:color w:val="auto"/>
                <w:sz w:val="24"/>
              </w:rPr>
            </w:pPr>
            <w:r>
              <w:rPr>
                <w:rFonts w:hint="eastAsia"/>
                <w:b/>
                <w:bCs/>
                <w:color w:val="auto"/>
                <w:sz w:val="24"/>
                <w:lang w:val="en-US" w:eastAsia="zh-CN"/>
              </w:rPr>
              <w:t>3</w:t>
            </w:r>
            <w:r>
              <w:rPr>
                <w:b/>
                <w:bCs/>
                <w:color w:val="auto"/>
                <w:sz w:val="24"/>
              </w:rPr>
              <w:t>.1生态保护红线</w:t>
            </w:r>
          </w:p>
          <w:p w14:paraId="42831FAC">
            <w:pPr>
              <w:spacing w:line="480" w:lineRule="exact"/>
              <w:ind w:firstLine="480" w:firstLineChars="200"/>
              <w:rPr>
                <w:color w:val="auto"/>
                <w:sz w:val="24"/>
              </w:rPr>
            </w:pPr>
            <w:r>
              <w:rPr>
                <w:color w:val="auto"/>
                <w:sz w:val="24"/>
              </w:rPr>
              <w:t>严格按照《关于划定并严守生态保护红线的若干意见》中生态保护红线保护要求进行管控，生态保护红线原则上按禁止开发区域的要求进行管理。严禁不符合主体功能定位的各类开发活动，严禁任意改变用途。在国家和自治区生态保护红线相关管控政策颁布实施前，生态保护红线区仍按现行法律、法规、政策进行管控。</w:t>
            </w:r>
          </w:p>
          <w:p w14:paraId="37333AC5">
            <w:pPr>
              <w:spacing w:line="480" w:lineRule="exact"/>
              <w:ind w:firstLine="480" w:firstLineChars="200"/>
              <w:rPr>
                <w:color w:val="auto"/>
                <w:sz w:val="24"/>
              </w:rPr>
            </w:pPr>
            <w:r>
              <w:rPr>
                <w:rFonts w:hint="eastAsia" w:ascii="Times New Roman" w:hAnsi="Times New Roman" w:eastAsia="宋体" w:cs="Times New Roman"/>
                <w:b w:val="0"/>
                <w:bCs w:val="0"/>
                <w:color w:val="auto"/>
                <w:kern w:val="0"/>
                <w:sz w:val="24"/>
                <w:szCs w:val="24"/>
                <w:lang w:val="en-US" w:eastAsia="zh-CN"/>
              </w:rPr>
              <w:t>本项目位于</w:t>
            </w:r>
            <w:r>
              <w:rPr>
                <w:rFonts w:hint="eastAsia" w:cs="宋体"/>
                <w:color w:val="auto"/>
                <w:szCs w:val="32"/>
                <w:lang w:val="en-US" w:eastAsia="zh-CN"/>
              </w:rPr>
              <w:t>胡杨河市</w:t>
            </w:r>
            <w:r>
              <w:rPr>
                <w:rFonts w:hint="eastAsia" w:ascii="Times New Roman" w:hAnsi="Times New Roman" w:eastAsia="宋体" w:cs="Times New Roman"/>
                <w:b w:val="0"/>
                <w:bCs w:val="0"/>
                <w:color w:val="auto"/>
                <w:kern w:val="0"/>
                <w:sz w:val="24"/>
                <w:szCs w:val="24"/>
                <w:lang w:val="en-US" w:eastAsia="zh-CN"/>
              </w:rPr>
              <w:t>，周边无自然保护区、风景名胜区、同时不在生态保护红线范围内</w:t>
            </w:r>
            <w:r>
              <w:rPr>
                <w:rFonts w:hint="eastAsia"/>
                <w:bCs/>
                <w:color w:val="auto"/>
                <w:sz w:val="24"/>
              </w:rPr>
              <w:t>，符合生态保护红线的要求</w:t>
            </w:r>
            <w:r>
              <w:rPr>
                <w:rFonts w:hint="eastAsia"/>
                <w:color w:val="auto"/>
                <w:sz w:val="24"/>
                <w:shd w:val="clear" w:color="auto" w:fill="FFFFFF"/>
              </w:rPr>
              <w:t>，</w:t>
            </w:r>
            <w:r>
              <w:rPr>
                <w:color w:val="auto"/>
                <w:sz w:val="24"/>
              </w:rPr>
              <w:t>不会影响所在区域内生态功能</w:t>
            </w:r>
            <w:r>
              <w:rPr>
                <w:rFonts w:hint="eastAsia"/>
                <w:color w:val="auto"/>
                <w:sz w:val="24"/>
              </w:rPr>
              <w:t>和性质</w:t>
            </w:r>
            <w:r>
              <w:rPr>
                <w:color w:val="auto"/>
                <w:sz w:val="24"/>
              </w:rPr>
              <w:t>。</w:t>
            </w:r>
          </w:p>
          <w:p w14:paraId="697B1D0B">
            <w:pPr>
              <w:spacing w:line="480" w:lineRule="exact"/>
              <w:ind w:firstLine="482" w:firstLineChars="200"/>
              <w:rPr>
                <w:b/>
                <w:color w:val="auto"/>
                <w:sz w:val="24"/>
              </w:rPr>
            </w:pPr>
            <w:r>
              <w:rPr>
                <w:rFonts w:hint="eastAsia"/>
                <w:b/>
                <w:color w:val="auto"/>
                <w:sz w:val="24"/>
                <w:lang w:val="en-US" w:eastAsia="zh-CN"/>
              </w:rPr>
              <w:t>3</w:t>
            </w:r>
            <w:r>
              <w:rPr>
                <w:rFonts w:hint="eastAsia"/>
                <w:b/>
                <w:color w:val="auto"/>
                <w:sz w:val="24"/>
              </w:rPr>
              <w:t>.2环境质量底线</w:t>
            </w:r>
          </w:p>
          <w:p w14:paraId="3D8E0A5B">
            <w:pPr>
              <w:pStyle w:val="24"/>
              <w:snapToGrid/>
              <w:spacing w:line="480" w:lineRule="exact"/>
              <w:ind w:firstLine="480" w:firstLineChars="200"/>
              <w:jc w:val="left"/>
              <w:rPr>
                <w:rFonts w:hint="eastAsia" w:ascii="Times New Roman" w:hAnsi="Times New Roman" w:eastAsia="宋体" w:cs="Times New Roman"/>
                <w:bCs/>
                <w:color w:val="auto"/>
              </w:rPr>
            </w:pPr>
            <w:r>
              <w:rPr>
                <w:rFonts w:hint="eastAsia" w:ascii="Times New Roman" w:hAnsi="Times New Roman" w:eastAsia="宋体" w:cs="Times New Roman"/>
                <w:bCs/>
                <w:color w:val="auto"/>
                <w:lang w:val="en-US" w:eastAsia="zh-CN"/>
              </w:rPr>
              <w:t>3.</w:t>
            </w:r>
            <w:r>
              <w:rPr>
                <w:rFonts w:ascii="Times New Roman" w:hAnsi="Times New Roman" w:eastAsia="宋体" w:cs="Times New Roman"/>
                <w:bCs/>
                <w:color w:val="auto"/>
              </w:rPr>
              <w:t>2环境质量</w:t>
            </w:r>
            <w:r>
              <w:rPr>
                <w:rFonts w:hint="eastAsia" w:ascii="Times New Roman" w:hAnsi="Times New Roman" w:eastAsia="宋体" w:cs="Times New Roman"/>
                <w:bCs/>
                <w:color w:val="auto"/>
              </w:rPr>
              <w:t>管控要求</w:t>
            </w:r>
          </w:p>
          <w:p w14:paraId="1EC53E22">
            <w:pPr>
              <w:pStyle w:val="24"/>
              <w:snapToGrid/>
              <w:spacing w:line="480" w:lineRule="exact"/>
              <w:ind w:firstLine="480" w:firstLineChars="200"/>
              <w:jc w:val="left"/>
              <w:rPr>
                <w:rFonts w:ascii="Times New Roman" w:hAnsi="Times New Roman" w:eastAsia="宋体" w:cs="Times New Roman"/>
                <w:b w:val="0"/>
                <w:color w:val="auto"/>
              </w:rPr>
            </w:pPr>
            <w:r>
              <w:rPr>
                <w:rFonts w:hint="eastAsia" w:ascii="Times New Roman" w:hAnsi="Times New Roman" w:eastAsia="宋体" w:cs="Times New Roman"/>
                <w:b w:val="0"/>
                <w:color w:val="auto"/>
              </w:rPr>
              <w:t>①大气环境：工业集聚区等高排放区域严格执行国家、自治区产业政策和环境准入条件。严格落实大气污染物达标排放、总量控制、环保设施“三同时”、在线监测、排污许可等环保制度。优化产业空间布局与结构。新建工业项目必须符合园区总体规划和规划环评要求。建立政府、园区、企业三级应急联动方案。</w:t>
            </w:r>
          </w:p>
          <w:p w14:paraId="182D477E">
            <w:pPr>
              <w:pStyle w:val="24"/>
              <w:snapToGrid/>
              <w:spacing w:line="480" w:lineRule="exact"/>
              <w:ind w:firstLine="480" w:firstLineChars="200"/>
              <w:jc w:val="left"/>
              <w:rPr>
                <w:rFonts w:ascii="Times New Roman" w:hAnsi="Times New Roman" w:eastAsia="宋体" w:cs="Times New Roman"/>
                <w:b w:val="0"/>
                <w:color w:val="auto"/>
              </w:rPr>
            </w:pPr>
            <w:r>
              <w:rPr>
                <w:rFonts w:hint="eastAsia" w:ascii="Times New Roman" w:hAnsi="Times New Roman" w:eastAsia="宋体" w:cs="Times New Roman"/>
                <w:b w:val="0"/>
                <w:color w:val="auto"/>
              </w:rPr>
              <w:t>②水环境：在开发建设活动中，严格遵守国家及自治区相关法律、法规、标准、规范，全面实现水污染物稳定达标排放，加强污水回用和综合利用，严格控制跑、冒、滴、漏等无组织排放。</w:t>
            </w:r>
          </w:p>
          <w:p w14:paraId="5356D818">
            <w:pPr>
              <w:autoSpaceDE w:val="0"/>
              <w:autoSpaceDN w:val="0"/>
              <w:adjustRightInd w:val="0"/>
              <w:snapToGrid w:val="0"/>
              <w:spacing w:line="480" w:lineRule="exact"/>
              <w:ind w:firstLine="480" w:firstLineChars="200"/>
              <w:jc w:val="left"/>
              <w:rPr>
                <w:rFonts w:hint="eastAsia"/>
                <w:color w:val="auto"/>
                <w:sz w:val="24"/>
              </w:rPr>
            </w:pPr>
            <w:r>
              <w:rPr>
                <w:rFonts w:hint="eastAsia"/>
                <w:color w:val="auto"/>
                <w:sz w:val="24"/>
              </w:rPr>
              <w:t>③土壤环境：严格执行城市总体规划及土地利用总体规划要求。各类涉及土地利用的规划和可能造成土壤污染的建设项目，应当依法进行环境影响评价，对土壤可能造成的不良影响应当采取相应防治措施。禁止在居民区和学校、医院、疗养院、养老院等单位周边新建、改建、扩建可能造成土壤污染的建设项目。对未利用地应当予以保护，不得污染和破坏。</w:t>
            </w:r>
          </w:p>
          <w:p w14:paraId="3E48E13B">
            <w:pPr>
              <w:autoSpaceDE w:val="0"/>
              <w:autoSpaceDN w:val="0"/>
              <w:adjustRightInd w:val="0"/>
              <w:snapToGrid w:val="0"/>
              <w:spacing w:line="480" w:lineRule="exact"/>
              <w:ind w:firstLine="480" w:firstLineChars="200"/>
              <w:jc w:val="left"/>
              <w:rPr>
                <w:rFonts w:hint="eastAsia"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Cs/>
                <w:color w:val="auto"/>
                <w:sz w:val="24"/>
                <w:szCs w:val="24"/>
              </w:rPr>
              <w:t>本项目产生的废气、噪声</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废水</w:t>
            </w:r>
            <w:r>
              <w:rPr>
                <w:rFonts w:hint="default" w:ascii="Times New Roman" w:hAnsi="Times New Roman" w:eastAsia="宋体" w:cs="Times New Roman"/>
                <w:bCs/>
                <w:color w:val="auto"/>
                <w:sz w:val="24"/>
                <w:szCs w:val="24"/>
              </w:rPr>
              <w:t>等污染物均采取了严格的治理和处置措施，污染物能达标排放，采取相应措施后经预测能够满足相关标准要求，符合环境质量底线的要求，不会对环境质量底线产生冲击。</w:t>
            </w:r>
          </w:p>
          <w:p w14:paraId="37519FC2">
            <w:pPr>
              <w:spacing w:line="480" w:lineRule="exact"/>
              <w:ind w:firstLine="482" w:firstLineChars="200"/>
              <w:rPr>
                <w:b/>
                <w:bCs/>
                <w:color w:val="auto"/>
                <w:sz w:val="24"/>
              </w:rPr>
            </w:pPr>
            <w:r>
              <w:rPr>
                <w:rFonts w:hint="eastAsia"/>
                <w:b/>
                <w:bCs/>
                <w:color w:val="auto"/>
                <w:sz w:val="24"/>
                <w:lang w:val="en-US" w:eastAsia="zh-CN"/>
              </w:rPr>
              <w:t>3</w:t>
            </w:r>
            <w:r>
              <w:rPr>
                <w:b/>
                <w:bCs/>
                <w:color w:val="auto"/>
                <w:sz w:val="24"/>
              </w:rPr>
              <w:t>.3资源利用上线</w:t>
            </w:r>
          </w:p>
          <w:p w14:paraId="34B76540">
            <w:pPr>
              <w:pStyle w:val="24"/>
              <w:snapToGrid/>
              <w:spacing w:line="480" w:lineRule="exact"/>
              <w:ind w:firstLine="480" w:firstLineChars="200"/>
              <w:jc w:val="left"/>
              <w:rPr>
                <w:rFonts w:ascii="Times New Roman" w:hAnsi="Times New Roman" w:eastAsia="宋体" w:cs="Times New Roman"/>
                <w:b w:val="0"/>
                <w:bCs/>
                <w:color w:val="auto"/>
              </w:rPr>
            </w:pPr>
            <w:r>
              <w:rPr>
                <w:rFonts w:hint="eastAsia" w:ascii="Times New Roman" w:hAnsi="Times New Roman" w:eastAsia="宋体" w:cs="Times New Roman"/>
                <w:b w:val="0"/>
                <w:bCs/>
                <w:color w:val="auto"/>
              </w:rPr>
              <w:t>资源利用上线。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p w14:paraId="5728080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left="24" w:leftChars="10" w:firstLine="480" w:firstLineChars="200"/>
              <w:jc w:val="both"/>
              <w:textAlignment w:val="auto"/>
              <w:rPr>
                <w:rFonts w:hint="eastAsia"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sz w:val="24"/>
                <w:szCs w:val="24"/>
                <w:lang w:val="en-US" w:eastAsia="zh-CN"/>
              </w:rPr>
              <w:t>本项目建设在</w:t>
            </w:r>
            <w:r>
              <w:rPr>
                <w:rFonts w:hint="eastAsia" w:cs="Times New Roman"/>
                <w:color w:val="auto"/>
                <w:sz w:val="24"/>
                <w:szCs w:val="24"/>
                <w:lang w:val="en-US" w:eastAsia="zh-CN"/>
              </w:rPr>
              <w:t>工业用地</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本项目运营期会消耗一定量的电能</w:t>
            </w:r>
            <w:r>
              <w:rPr>
                <w:rFonts w:hint="eastAsia" w:cs="Times New Roman"/>
                <w:color w:val="auto"/>
                <w:sz w:val="24"/>
                <w:szCs w:val="24"/>
                <w:lang w:eastAsia="zh-CN"/>
              </w:rPr>
              <w:t>、</w:t>
            </w:r>
            <w:r>
              <w:rPr>
                <w:rFonts w:hint="eastAsia" w:cs="Times New Roman"/>
                <w:color w:val="auto"/>
                <w:sz w:val="24"/>
                <w:szCs w:val="24"/>
                <w:lang w:val="en-US" w:eastAsia="zh-CN"/>
              </w:rPr>
              <w:t>水</w:t>
            </w:r>
            <w:r>
              <w:rPr>
                <w:rFonts w:hint="default" w:ascii="Times New Roman" w:hAnsi="Times New Roman" w:eastAsia="宋体" w:cs="Times New Roman"/>
                <w:color w:val="auto"/>
                <w:sz w:val="24"/>
                <w:szCs w:val="24"/>
              </w:rPr>
              <w:t>资源。项目资源消耗相对区域资源利用总量较少，因此项目符合资源利用上线要求。</w:t>
            </w:r>
          </w:p>
          <w:p w14:paraId="03BF527B">
            <w:pPr>
              <w:spacing w:line="480" w:lineRule="exact"/>
              <w:ind w:firstLine="510"/>
              <w:rPr>
                <w:b/>
                <w:bCs/>
                <w:color w:val="auto"/>
                <w:sz w:val="24"/>
              </w:rPr>
            </w:pPr>
            <w:r>
              <w:rPr>
                <w:rFonts w:hint="eastAsia"/>
                <w:b/>
                <w:bCs/>
                <w:color w:val="auto"/>
                <w:sz w:val="24"/>
                <w:lang w:val="en-US" w:eastAsia="zh-CN"/>
              </w:rPr>
              <w:t>3</w:t>
            </w:r>
            <w:r>
              <w:rPr>
                <w:rFonts w:hint="eastAsia"/>
                <w:b/>
                <w:bCs/>
                <w:color w:val="auto"/>
                <w:sz w:val="24"/>
              </w:rPr>
              <w:t>.4生态环境准入</w:t>
            </w:r>
            <w:r>
              <w:rPr>
                <w:b/>
                <w:bCs/>
                <w:color w:val="auto"/>
                <w:sz w:val="24"/>
              </w:rPr>
              <w:t>清单</w:t>
            </w:r>
          </w:p>
          <w:p w14:paraId="56831DA1">
            <w:pPr>
              <w:spacing w:line="480" w:lineRule="exact"/>
              <w:ind w:firstLine="480" w:firstLineChars="200"/>
              <w:rPr>
                <w:rFonts w:hint="eastAsia"/>
                <w:color w:val="auto"/>
                <w:sz w:val="24"/>
              </w:rPr>
            </w:pPr>
            <w:r>
              <w:rPr>
                <w:rFonts w:hint="eastAsia"/>
                <w:color w:val="auto"/>
                <w:sz w:val="24"/>
              </w:rPr>
              <w:t>①空间布局约束：“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p w14:paraId="62DA7D23">
            <w:pPr>
              <w:spacing w:line="480" w:lineRule="exact"/>
              <w:ind w:firstLine="480" w:firstLineChars="200"/>
              <w:rPr>
                <w:rFonts w:hint="eastAsia"/>
                <w:color w:val="auto"/>
                <w:sz w:val="24"/>
              </w:rPr>
            </w:pPr>
            <w:r>
              <w:rPr>
                <w:rFonts w:hint="eastAsia"/>
                <w:color w:val="auto"/>
                <w:sz w:val="24"/>
              </w:rPr>
              <w:t>②污染物排放管控：“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p w14:paraId="0607DEAD">
            <w:pPr>
              <w:spacing w:line="480" w:lineRule="exact"/>
              <w:ind w:firstLine="480" w:firstLineChars="200"/>
              <w:rPr>
                <w:rFonts w:hint="eastAsia"/>
                <w:color w:val="auto"/>
                <w:sz w:val="24"/>
              </w:rPr>
            </w:pPr>
            <w:r>
              <w:rPr>
                <w:rFonts w:hint="eastAsia"/>
                <w:color w:val="auto"/>
                <w:sz w:val="24"/>
              </w:rPr>
              <w:t>③环境风险防控：“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p w14:paraId="33D022EC">
            <w:pPr>
              <w:spacing w:line="480" w:lineRule="exact"/>
              <w:ind w:firstLine="480" w:firstLineChars="200"/>
              <w:rPr>
                <w:rFonts w:hint="eastAsia"/>
                <w:color w:val="auto"/>
                <w:sz w:val="24"/>
              </w:rPr>
            </w:pPr>
            <w:r>
              <w:rPr>
                <w:rFonts w:hint="eastAsia"/>
                <w:color w:val="auto"/>
                <w:sz w:val="24"/>
              </w:rPr>
              <w:t>加快城市建成区、重点流域的重污染企业和危险化学品企业搬迁改造。”</w:t>
            </w:r>
          </w:p>
          <w:p w14:paraId="2DE5438A">
            <w:pPr>
              <w:adjustRightInd w:val="0"/>
              <w:spacing w:line="480" w:lineRule="exact"/>
              <w:ind w:firstLine="480" w:firstLineChars="200"/>
              <w:rPr>
                <w:rFonts w:hint="eastAsia"/>
                <w:color w:val="auto"/>
                <w:sz w:val="24"/>
                <w:szCs w:val="32"/>
              </w:rPr>
            </w:pPr>
            <w:r>
              <w:rPr>
                <w:rFonts w:hint="eastAsia"/>
                <w:color w:val="auto"/>
                <w:sz w:val="24"/>
              </w:rPr>
              <w:t>④</w:t>
            </w:r>
            <w:r>
              <w:rPr>
                <w:rFonts w:hint="eastAsia"/>
                <w:color w:val="auto"/>
                <w:sz w:val="24"/>
                <w:szCs w:val="32"/>
              </w:rPr>
              <w:t>资源利用效率要求：“推进工业集聚区生态化改造，强化企业清洁生产改造，推进节水型企业、节水型工业园区建设，提高资源能源利用效率。”</w:t>
            </w:r>
          </w:p>
          <w:p w14:paraId="79F63BD1">
            <w:pPr>
              <w:adjustRightInd w:val="0"/>
              <w:spacing w:line="480" w:lineRule="exact"/>
              <w:ind w:firstLine="480" w:firstLineChars="200"/>
              <w:rPr>
                <w:rFonts w:hint="eastAsia"/>
                <w:color w:val="auto"/>
                <w:sz w:val="24"/>
              </w:rPr>
            </w:pPr>
            <w:r>
              <w:rPr>
                <w:rFonts w:hint="eastAsia"/>
                <w:color w:val="auto"/>
                <w:sz w:val="24"/>
              </w:rPr>
              <w:t>本项目为</w:t>
            </w:r>
            <w:r>
              <w:rPr>
                <w:rFonts w:hint="eastAsia"/>
                <w:color w:val="auto"/>
                <w:sz w:val="24"/>
                <w:lang w:val="en-US" w:eastAsia="zh-CN"/>
              </w:rPr>
              <w:t>果汁加工</w:t>
            </w:r>
            <w:r>
              <w:rPr>
                <w:rFonts w:hint="eastAsia"/>
                <w:color w:val="auto"/>
                <w:sz w:val="24"/>
              </w:rPr>
              <w:t>项目，符合区域空间布局约束要求。废水防治措施：</w:t>
            </w:r>
            <w:r>
              <w:rPr>
                <w:rFonts w:hint="eastAsia"/>
                <w:color w:val="auto"/>
                <w:sz w:val="24"/>
                <w:lang w:val="en-US" w:eastAsia="zh-CN"/>
              </w:rPr>
              <w:t>生产</w:t>
            </w:r>
            <w:r>
              <w:rPr>
                <w:rFonts w:hint="eastAsia"/>
                <w:color w:val="auto"/>
                <w:sz w:val="24"/>
              </w:rPr>
              <w:t>废水经</w:t>
            </w:r>
            <w:r>
              <w:rPr>
                <w:rFonts w:hint="eastAsia"/>
                <w:color w:val="auto"/>
                <w:sz w:val="24"/>
                <w:lang w:val="en-US" w:eastAsia="zh-CN"/>
              </w:rPr>
              <w:t>污水处理站</w:t>
            </w:r>
            <w:r>
              <w:rPr>
                <w:rFonts w:hint="eastAsia"/>
                <w:color w:val="auto"/>
                <w:sz w:val="24"/>
              </w:rPr>
              <w:t>处置达标后与生活污水一同排入</w:t>
            </w:r>
            <w:r>
              <w:rPr>
                <w:rFonts w:hint="eastAsia"/>
                <w:color w:val="auto"/>
                <w:sz w:val="24"/>
                <w:lang w:val="en-US" w:eastAsia="zh-CN"/>
              </w:rPr>
              <w:t>园区下水管网</w:t>
            </w:r>
            <w:r>
              <w:rPr>
                <w:rFonts w:hint="eastAsia"/>
                <w:color w:val="auto"/>
                <w:sz w:val="24"/>
              </w:rPr>
              <w:t>，</w:t>
            </w:r>
            <w:r>
              <w:rPr>
                <w:rFonts w:hint="eastAsia"/>
                <w:color w:val="auto"/>
                <w:sz w:val="24"/>
                <w:lang w:val="en-US" w:eastAsia="zh-CN"/>
              </w:rPr>
              <w:t>最终依托园区污水处理厂处置</w:t>
            </w:r>
            <w:r>
              <w:rPr>
                <w:rFonts w:hint="eastAsia"/>
                <w:color w:val="auto"/>
                <w:sz w:val="24"/>
                <w:lang w:eastAsia="zh-CN"/>
              </w:rPr>
              <w:t>。</w:t>
            </w:r>
            <w:r>
              <w:rPr>
                <w:rFonts w:hint="eastAsia"/>
                <w:color w:val="auto"/>
                <w:sz w:val="24"/>
              </w:rPr>
              <w:t>废气防治措施：</w:t>
            </w:r>
            <w:r>
              <w:rPr>
                <w:rFonts w:hint="eastAsia"/>
                <w:color w:val="auto"/>
                <w:sz w:val="24"/>
                <w:lang w:val="en-US" w:eastAsia="zh-CN"/>
              </w:rPr>
              <w:t>污水处理站设置封闭措施，同时设置封闭加盖+喷洒除臭剂；生产车间设置排气扇，减少NH</w:t>
            </w:r>
            <w:r>
              <w:rPr>
                <w:rFonts w:hint="eastAsia"/>
                <w:color w:val="auto"/>
                <w:sz w:val="24"/>
                <w:vertAlign w:val="subscript"/>
                <w:lang w:val="en-US" w:eastAsia="zh-CN"/>
              </w:rPr>
              <w:t>3</w:t>
            </w:r>
            <w:r>
              <w:rPr>
                <w:rFonts w:hint="eastAsia"/>
                <w:color w:val="auto"/>
                <w:sz w:val="24"/>
                <w:lang w:val="en-US" w:eastAsia="zh-CN"/>
              </w:rPr>
              <w:t>和H</w:t>
            </w:r>
            <w:r>
              <w:rPr>
                <w:rFonts w:hint="eastAsia"/>
                <w:color w:val="auto"/>
                <w:sz w:val="24"/>
                <w:vertAlign w:val="subscript"/>
                <w:lang w:val="en-US" w:eastAsia="zh-CN"/>
              </w:rPr>
              <w:t>2</w:t>
            </w:r>
            <w:r>
              <w:rPr>
                <w:rFonts w:hint="eastAsia"/>
                <w:color w:val="auto"/>
                <w:sz w:val="24"/>
                <w:lang w:val="en-US" w:eastAsia="zh-CN"/>
              </w:rPr>
              <w:t>S的无组织排放</w:t>
            </w:r>
            <w:r>
              <w:rPr>
                <w:rFonts w:hint="eastAsia"/>
                <w:color w:val="auto"/>
                <w:sz w:val="24"/>
              </w:rPr>
              <w:t>。固废防治措施：</w:t>
            </w:r>
            <w:r>
              <w:rPr>
                <w:rFonts w:hint="eastAsia"/>
                <w:color w:val="auto"/>
                <w:sz w:val="24"/>
                <w:lang w:val="en-US" w:eastAsia="zh-CN"/>
              </w:rPr>
              <w:t>生活垃圾定期交由环卫部门清运，废物暂存于厂区内已建设的危废间内，定期交由资质单位处置</w:t>
            </w:r>
            <w:r>
              <w:rPr>
                <w:rFonts w:hint="eastAsia"/>
                <w:color w:val="auto"/>
                <w:sz w:val="24"/>
              </w:rPr>
              <w:t>。噪声防治措施：在同类设备中选用低噪声设备；</w:t>
            </w:r>
            <w:r>
              <w:rPr>
                <w:rFonts w:hint="eastAsia"/>
                <w:color w:val="auto"/>
                <w:sz w:val="24"/>
                <w:lang w:val="en-US" w:eastAsia="zh-CN"/>
              </w:rPr>
              <w:t>门窗采取双层隔音</w:t>
            </w:r>
            <w:r>
              <w:rPr>
                <w:rFonts w:hint="eastAsia"/>
                <w:color w:val="auto"/>
                <w:sz w:val="24"/>
              </w:rPr>
              <w:t>，以改善敏感区的环境。</w:t>
            </w:r>
          </w:p>
          <w:p w14:paraId="3170A6B2">
            <w:pPr>
              <w:adjustRightInd w:val="0"/>
              <w:spacing w:line="480" w:lineRule="exact"/>
              <w:ind w:firstLine="480" w:firstLineChars="200"/>
              <w:rPr>
                <w:color w:val="auto"/>
                <w:sz w:val="24"/>
              </w:rPr>
            </w:pPr>
            <w:r>
              <w:rPr>
                <w:color w:val="auto"/>
                <w:sz w:val="24"/>
              </w:rPr>
              <w:t>综上本项目建设符合</w:t>
            </w:r>
            <w:r>
              <w:rPr>
                <w:rFonts w:hint="eastAsia"/>
                <w:color w:val="auto"/>
                <w:sz w:val="24"/>
              </w:rPr>
              <w:t>《</w:t>
            </w:r>
            <w:r>
              <w:rPr>
                <w:color w:val="auto"/>
                <w:sz w:val="24"/>
              </w:rPr>
              <w:t>新疆维吾尔自治区“三线一单”生态环境分区管控方案</w:t>
            </w:r>
            <w:r>
              <w:rPr>
                <w:rFonts w:hint="eastAsia"/>
                <w:color w:val="auto"/>
                <w:sz w:val="24"/>
              </w:rPr>
              <w:t>》相关</w:t>
            </w:r>
            <w:r>
              <w:rPr>
                <w:color w:val="auto"/>
                <w:sz w:val="24"/>
              </w:rPr>
              <w:t>要求。</w:t>
            </w:r>
          </w:p>
          <w:p w14:paraId="0C8A118A">
            <w:pPr>
              <w:spacing w:line="360" w:lineRule="auto"/>
              <w:rPr>
                <w:rFonts w:hint="default" w:ascii="Times New Roman" w:hAnsi="Times New Roman" w:eastAsia="宋体" w:cs="宋体"/>
                <w:b/>
                <w:bCs/>
                <w:color w:val="auto"/>
                <w:sz w:val="24"/>
                <w:szCs w:val="24"/>
                <w:lang w:val="en-US" w:eastAsia="zh-CN"/>
              </w:rPr>
            </w:pPr>
            <w:r>
              <w:rPr>
                <w:rFonts w:hint="eastAsia" w:cs="宋体"/>
                <w:b/>
                <w:bCs/>
                <w:color w:val="auto"/>
                <w:sz w:val="24"/>
                <w:szCs w:val="24"/>
                <w:lang w:val="en-US" w:eastAsia="zh-CN"/>
              </w:rPr>
              <w:t>4、</w:t>
            </w:r>
            <w:r>
              <w:rPr>
                <w:rFonts w:hint="eastAsia" w:ascii="Times New Roman" w:hAnsi="Times New Roman" w:eastAsia="宋体" w:cs="宋体"/>
                <w:b/>
                <w:bCs/>
                <w:color w:val="auto"/>
                <w:sz w:val="24"/>
                <w:szCs w:val="24"/>
                <w:lang w:val="en-US" w:eastAsia="zh-CN"/>
              </w:rPr>
              <w:t>与《新疆维吾尔自治区七大片区“三线一单”生态环境分区管控要求》（2021年版）符合性分析</w:t>
            </w:r>
          </w:p>
          <w:p w14:paraId="1542914B">
            <w:pPr>
              <w:keepNext w:val="0"/>
              <w:keepLines w:val="0"/>
              <w:suppressLineNumbers w:val="0"/>
              <w:overflowPunct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按照《新疆维吾尔自治区“三线一单”生态环境分区管控方案》，全区划分为七大片区，包括北疆北部（塔城地区、阿勒泰地区）、伊犁河谷、克奎</w:t>
            </w:r>
            <w:r>
              <w:rPr>
                <w:rFonts w:hint="eastAsia" w:cs="宋体"/>
                <w:color w:val="auto"/>
                <w:highlight w:val="none"/>
                <w:lang w:val="en-US" w:eastAsia="zh-CN"/>
              </w:rPr>
              <w:t>乌</w:t>
            </w:r>
            <w:r>
              <w:rPr>
                <w:rFonts w:hint="eastAsia" w:ascii="Times New Roman" w:hAnsi="Times New Roman" w:eastAsia="宋体" w:cs="宋体"/>
                <w:color w:val="auto"/>
                <w:highlight w:val="none"/>
                <w:lang w:val="en-US" w:eastAsia="zh-CN"/>
              </w:rPr>
              <w:t>-博州、乌昌石、吐哈、天山南坡（巴州、阿克苏地区）和南疆三地州片区，新疆维吾尔自治区生态环境厅制定《新疆维吾尔自治区七大片区“三线一单”生态环境分区管控要求》。本项目位于</w:t>
            </w:r>
            <w:r>
              <w:rPr>
                <w:rFonts w:hint="eastAsia" w:cs="宋体"/>
                <w:color w:val="auto"/>
                <w:highlight w:val="none"/>
                <w:lang w:val="en-US" w:eastAsia="zh-CN"/>
              </w:rPr>
              <w:t>克奎乌-博州片区</w:t>
            </w:r>
            <w:r>
              <w:rPr>
                <w:rFonts w:hint="eastAsia" w:ascii="Times New Roman" w:hAnsi="Times New Roman" w:eastAsia="宋体" w:cs="宋体"/>
                <w:color w:val="auto"/>
                <w:highlight w:val="none"/>
                <w:lang w:val="en-US" w:eastAsia="zh-CN"/>
              </w:rPr>
              <w:t>，本项目在七大片区范围图位置见</w:t>
            </w:r>
            <w:r>
              <w:rPr>
                <w:rFonts w:hint="eastAsia" w:cs="宋体"/>
                <w:color w:val="auto"/>
                <w:highlight w:val="none"/>
                <w:lang w:val="en-US" w:eastAsia="zh-CN"/>
              </w:rPr>
              <w:t>附</w:t>
            </w:r>
            <w:r>
              <w:rPr>
                <w:rFonts w:hint="eastAsia" w:ascii="Times New Roman" w:hAnsi="Times New Roman" w:eastAsia="宋体" w:cs="宋体"/>
                <w:color w:val="auto"/>
                <w:highlight w:val="none"/>
                <w:lang w:val="en-US" w:eastAsia="zh-CN"/>
              </w:rPr>
              <w:t>图</w:t>
            </w:r>
            <w:r>
              <w:rPr>
                <w:rFonts w:hint="eastAsia" w:cs="宋体"/>
                <w:color w:val="auto"/>
                <w:highlight w:val="none"/>
                <w:lang w:val="en-US" w:eastAsia="zh-CN"/>
              </w:rPr>
              <w:t>4</w:t>
            </w:r>
            <w:r>
              <w:rPr>
                <w:rFonts w:hint="eastAsia" w:ascii="Times New Roman" w:hAnsi="Times New Roman" w:eastAsia="宋体" w:cs="宋体"/>
                <w:color w:val="auto"/>
                <w:highlight w:val="none"/>
                <w:lang w:val="en-US" w:eastAsia="zh-CN"/>
              </w:rPr>
              <w:t>。</w:t>
            </w:r>
          </w:p>
          <w:p w14:paraId="161699AB">
            <w:pPr>
              <w:keepNext w:val="0"/>
              <w:keepLines w:val="0"/>
              <w:suppressLineNumbers w:val="0"/>
              <w:overflowPunct w:val="0"/>
              <w:autoSpaceDE w:val="0"/>
              <w:autoSpaceDN w:val="0"/>
              <w:adjustRightInd w:val="0"/>
              <w:snapToGrid w:val="0"/>
              <w:spacing w:before="0" w:beforeAutospacing="0" w:after="0" w:afterAutospacing="0" w:line="360" w:lineRule="auto"/>
              <w:ind w:left="0" w:right="0" w:firstLine="480" w:firstLineChars="200"/>
              <w:jc w:val="left"/>
              <w:rPr>
                <w:rFonts w:hint="eastAsia" w:cs="宋体"/>
                <w:color w:val="auto"/>
                <w:highlight w:val="none"/>
                <w:lang w:val="en-US" w:eastAsia="zh-CN"/>
              </w:rPr>
            </w:pPr>
            <w:r>
              <w:rPr>
                <w:rFonts w:hint="eastAsia" w:cs="宋体"/>
                <w:color w:val="auto"/>
                <w:highlight w:val="none"/>
                <w:lang w:val="en-US" w:eastAsia="zh-CN"/>
              </w:rPr>
              <w:t>克奎乌-博州片区包括克拉玛依市、奎屯市、乌苏市和博尔塔拉蒙古自治州。</w:t>
            </w:r>
          </w:p>
          <w:p w14:paraId="355ACCA7">
            <w:pPr>
              <w:keepNext w:val="0"/>
              <w:keepLines w:val="0"/>
              <w:suppressLineNumbers w:val="0"/>
              <w:overflowPunct w:val="0"/>
              <w:autoSpaceDE w:val="0"/>
              <w:autoSpaceDN w:val="0"/>
              <w:adjustRightInd w:val="0"/>
              <w:snapToGrid w:val="0"/>
              <w:spacing w:before="0" w:beforeAutospacing="0" w:after="0" w:afterAutospacing="0" w:line="360" w:lineRule="auto"/>
              <w:ind w:left="0" w:right="0" w:firstLine="480" w:firstLineChars="200"/>
              <w:jc w:val="left"/>
              <w:rPr>
                <w:rFonts w:hint="eastAsia" w:cs="宋体"/>
                <w:color w:val="auto"/>
                <w:highlight w:val="none"/>
                <w:lang w:val="en-US" w:eastAsia="zh-CN"/>
              </w:rPr>
            </w:pPr>
            <w:r>
              <w:rPr>
                <w:rFonts w:hint="eastAsia" w:cs="宋体"/>
                <w:color w:val="auto"/>
                <w:highlight w:val="none"/>
                <w:lang w:val="en-US" w:eastAsia="zh-CN"/>
              </w:rPr>
              <w:t>严格落实“奎-独-乌”联防联控区内有关法规政策要求。“奎-独-乌”联防联控区所有新建、改建、扩建工业项目执行最严格的大气污染物排放标准。强化与生产建设兵团第七师的联防联控，确保区域环境空气质量持续改善。</w:t>
            </w:r>
          </w:p>
          <w:p w14:paraId="08E10726">
            <w:pPr>
              <w:keepNext w:val="0"/>
              <w:keepLines w:val="0"/>
              <w:suppressLineNumbers w:val="0"/>
              <w:overflowPunct w:val="0"/>
              <w:autoSpaceDE w:val="0"/>
              <w:autoSpaceDN w:val="0"/>
              <w:adjustRightInd w:val="0"/>
              <w:snapToGrid w:val="0"/>
              <w:spacing w:before="0" w:beforeAutospacing="0" w:after="0" w:afterAutospacing="0" w:line="360" w:lineRule="auto"/>
              <w:ind w:left="0" w:right="0" w:firstLine="480" w:firstLineChars="200"/>
              <w:jc w:val="left"/>
              <w:rPr>
                <w:rFonts w:hint="eastAsia" w:cs="宋体"/>
                <w:color w:val="auto"/>
                <w:highlight w:val="none"/>
                <w:lang w:val="en-US" w:eastAsia="zh-CN"/>
              </w:rPr>
            </w:pPr>
            <w:r>
              <w:rPr>
                <w:rFonts w:hint="eastAsia" w:cs="宋体"/>
                <w:color w:val="auto"/>
                <w:highlight w:val="none"/>
                <w:lang w:val="en-US" w:eastAsia="zh-CN"/>
              </w:rPr>
              <w:t>加强艾比湖、赛里木湖周边地区、博尔塔拉河流域生态防护林地保护，维护区域生物多样性功能。</w:t>
            </w:r>
          </w:p>
          <w:p w14:paraId="0E74C28F">
            <w:pPr>
              <w:keepNext w:val="0"/>
              <w:keepLines w:val="0"/>
              <w:suppressLineNumbers w:val="0"/>
              <w:overflowPunct w:val="0"/>
              <w:autoSpaceDE w:val="0"/>
              <w:autoSpaceDN w:val="0"/>
              <w:adjustRightInd w:val="0"/>
              <w:snapToGrid w:val="0"/>
              <w:spacing w:before="0" w:beforeAutospacing="0" w:after="0" w:afterAutospacing="0" w:line="360" w:lineRule="auto"/>
              <w:ind w:left="0" w:right="0" w:firstLine="480" w:firstLineChars="200"/>
              <w:jc w:val="left"/>
              <w:rPr>
                <w:rFonts w:hint="eastAsia" w:cs="宋体"/>
                <w:color w:val="auto"/>
                <w:highlight w:val="none"/>
                <w:lang w:val="en-US" w:eastAsia="zh-CN"/>
              </w:rPr>
            </w:pPr>
            <w:r>
              <w:rPr>
                <w:rFonts w:hint="eastAsia" w:cs="宋体"/>
                <w:color w:val="auto"/>
                <w:highlight w:val="none"/>
                <w:lang w:val="en-US" w:eastAsia="zh-CN"/>
              </w:rPr>
              <w:t>开展奎屯河流域地下水超采治理，逐步压减地下水超采量，实现地下水采补平衡。</w:t>
            </w:r>
          </w:p>
          <w:p w14:paraId="0968E3A4">
            <w:pPr>
              <w:keepNext w:val="0"/>
              <w:keepLines w:val="0"/>
              <w:suppressLineNumbers w:val="0"/>
              <w:overflowPunct w:val="0"/>
              <w:autoSpaceDE w:val="0"/>
              <w:autoSpaceDN w:val="0"/>
              <w:adjustRightInd w:val="0"/>
              <w:snapToGrid w:val="0"/>
              <w:spacing w:before="0" w:beforeAutospacing="0" w:after="0" w:afterAutospacing="0" w:line="360" w:lineRule="auto"/>
              <w:ind w:left="0" w:right="0" w:firstLine="480" w:firstLineChars="200"/>
              <w:jc w:val="left"/>
              <w:rPr>
                <w:rFonts w:hint="eastAsia" w:cs="宋体"/>
                <w:color w:val="auto"/>
                <w:highlight w:val="none"/>
                <w:lang w:val="en-US" w:eastAsia="zh-CN"/>
              </w:rPr>
            </w:pPr>
            <w:r>
              <w:rPr>
                <w:rFonts w:hint="eastAsia" w:cs="宋体"/>
                <w:color w:val="auto"/>
                <w:highlight w:val="none"/>
                <w:lang w:val="en-US" w:eastAsia="zh-CN"/>
              </w:rPr>
              <w:t>持续推进山区森林草原和准噶尔盆地南缘防沙治沙区域的生态恢复治理工作。煤炭、石油、天然气开发单位应当制定生态保护和恢复治理方案，并予以实施。生态保护和恢复治理方案内容应当向社会公布，接受社会监督。</w:t>
            </w:r>
          </w:p>
          <w:p w14:paraId="0B7229B2">
            <w:pPr>
              <w:keepNext w:val="0"/>
              <w:keepLines w:val="0"/>
              <w:suppressLineNumbers w:val="0"/>
              <w:overflowPunct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强化油（气）资源开发区土壤环境污染综合整治。加强涉重金属行业污染防控与工业废物处理处置</w:t>
            </w:r>
            <w:r>
              <w:rPr>
                <w:rFonts w:hint="eastAsia" w:ascii="Times New Roman" w:hAnsi="Times New Roman" w:eastAsia="宋体" w:cs="宋体"/>
                <w:color w:val="auto"/>
                <w:highlight w:val="none"/>
                <w:lang w:val="en-US" w:eastAsia="zh-CN"/>
              </w:rPr>
              <w:t>。</w:t>
            </w:r>
          </w:p>
          <w:p w14:paraId="7C2BF525">
            <w:pPr>
              <w:keepNext w:val="0"/>
              <w:keepLines w:val="0"/>
              <w:suppressLineNumbers w:val="0"/>
              <w:overflowPunct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highlight w:val="none"/>
                <w:lang w:val="en-US" w:eastAsia="zh-CN"/>
              </w:rPr>
            </w:pPr>
            <w:r>
              <w:rPr>
                <w:rFonts w:hint="eastAsia" w:eastAsia="宋体" w:cs="宋体"/>
                <w:color w:val="auto"/>
                <w:highlight w:val="none"/>
                <w:lang w:val="en-US" w:eastAsia="zh-CN"/>
              </w:rPr>
              <w:t>本项目位于</w:t>
            </w:r>
            <w:r>
              <w:rPr>
                <w:rFonts w:hint="eastAsia"/>
                <w:color w:val="auto"/>
                <w:highlight w:val="none"/>
                <w:lang w:val="en-US" w:eastAsia="zh-CN"/>
              </w:rPr>
              <w:t>克奎乌-博州片区，</w:t>
            </w:r>
            <w:r>
              <w:rPr>
                <w:rFonts w:hint="default" w:ascii="Times New Roman" w:hAnsi="Times New Roman" w:eastAsia="宋体" w:cs="Times New Roman"/>
                <w:b w:val="0"/>
                <w:bCs w:val="0"/>
                <w:color w:val="auto"/>
                <w:kern w:val="2"/>
                <w:sz w:val="24"/>
                <w:szCs w:val="24"/>
                <w:highlight w:val="none"/>
                <w:lang w:val="en-US" w:eastAsia="zh-CN" w:bidi="ar-SA"/>
              </w:rPr>
              <w:t>项目</w:t>
            </w:r>
            <w:r>
              <w:rPr>
                <w:rFonts w:hint="eastAsia" w:ascii="Times New Roman" w:hAnsi="Times New Roman" w:eastAsia="宋体" w:cs="Times New Roman"/>
                <w:b w:val="0"/>
                <w:bCs w:val="0"/>
                <w:color w:val="auto"/>
                <w:kern w:val="2"/>
                <w:sz w:val="24"/>
                <w:szCs w:val="24"/>
                <w:highlight w:val="none"/>
                <w:lang w:val="en-US" w:eastAsia="zh-CN" w:bidi="ar-SA"/>
              </w:rPr>
              <w:t>用地</w:t>
            </w:r>
            <w:r>
              <w:rPr>
                <w:rFonts w:hint="default" w:ascii="Times New Roman" w:hAnsi="Times New Roman" w:eastAsia="宋体" w:cs="Times New Roman"/>
                <w:b w:val="0"/>
                <w:bCs w:val="0"/>
                <w:color w:val="auto"/>
                <w:kern w:val="2"/>
                <w:sz w:val="24"/>
                <w:szCs w:val="24"/>
                <w:highlight w:val="none"/>
                <w:lang w:val="en-US" w:eastAsia="zh-CN" w:bidi="ar-SA"/>
              </w:rPr>
              <w:t>为</w:t>
            </w:r>
            <w:r>
              <w:rPr>
                <w:rFonts w:hint="eastAsia" w:cs="Times New Roman"/>
                <w:b w:val="0"/>
                <w:bCs w:val="0"/>
                <w:color w:val="auto"/>
                <w:kern w:val="2"/>
                <w:sz w:val="24"/>
                <w:szCs w:val="24"/>
                <w:highlight w:val="none"/>
                <w:lang w:val="en-US" w:eastAsia="zh-CN" w:bidi="ar-SA"/>
              </w:rPr>
              <w:t>工业用地</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eastAsia" w:eastAsia="宋体" w:cs="Times New Roman"/>
                <w:color w:val="auto"/>
                <w:sz w:val="24"/>
                <w:szCs w:val="24"/>
                <w:highlight w:val="none"/>
                <w:lang w:val="en-US" w:eastAsia="zh-CN" w:bidi="ar-SA"/>
              </w:rPr>
              <w:t>属于</w:t>
            </w:r>
            <w:r>
              <w:rPr>
                <w:rFonts w:hint="eastAsia" w:ascii="Times New Roman" w:hAnsi="Times New Roman" w:eastAsia="宋体" w:cs="宋体"/>
                <w:color w:val="auto"/>
                <w:highlight w:val="none"/>
                <w:lang w:val="en-US" w:eastAsia="zh-CN"/>
              </w:rPr>
              <w:t>克奎乌-博州片区，</w:t>
            </w:r>
            <w:r>
              <w:rPr>
                <w:rFonts w:hint="eastAsia" w:eastAsia="宋体" w:cs="宋体"/>
                <w:color w:val="auto"/>
                <w:highlight w:val="none"/>
                <w:lang w:val="en-US" w:eastAsia="zh-CN"/>
              </w:rPr>
              <w:t>本项目</w:t>
            </w:r>
            <w:r>
              <w:rPr>
                <w:rFonts w:hint="eastAsia" w:cs="宋体"/>
                <w:color w:val="auto"/>
                <w:highlight w:val="none"/>
                <w:lang w:val="en-US" w:eastAsia="zh-CN"/>
              </w:rPr>
              <w:t>为葡萄果汁生产项目</w:t>
            </w:r>
            <w:r>
              <w:rPr>
                <w:rFonts w:hint="eastAsia" w:eastAsia="宋体" w:cs="宋体"/>
                <w:color w:val="auto"/>
                <w:highlight w:val="none"/>
                <w:lang w:val="en-US" w:eastAsia="zh-CN"/>
              </w:rPr>
              <w:t>，</w:t>
            </w:r>
            <w:r>
              <w:rPr>
                <w:rFonts w:hint="eastAsia" w:cs="宋体"/>
                <w:color w:val="auto"/>
                <w:highlight w:val="none"/>
                <w:lang w:val="en-US" w:eastAsia="zh-CN"/>
              </w:rPr>
              <w:t>不位于生态保护区范围内</w:t>
            </w:r>
            <w:r>
              <w:rPr>
                <w:rFonts w:hint="eastAsia" w:eastAsia="宋体" w:cs="宋体"/>
                <w:color w:val="auto"/>
                <w:highlight w:val="none"/>
                <w:lang w:val="en-US" w:eastAsia="zh-CN"/>
              </w:rPr>
              <w:t>，</w:t>
            </w:r>
            <w:r>
              <w:rPr>
                <w:rFonts w:hint="eastAsia" w:cs="宋体"/>
                <w:color w:val="auto"/>
                <w:highlight w:val="none"/>
                <w:lang w:val="en-US" w:eastAsia="zh-CN"/>
              </w:rPr>
              <w:t>生产废水排入厂区污水处理站，处理达标后排入园区下水管网</w:t>
            </w:r>
            <w:r>
              <w:rPr>
                <w:rFonts w:hint="eastAsia" w:eastAsia="宋体" w:cs="宋体"/>
                <w:color w:val="auto"/>
                <w:highlight w:val="none"/>
                <w:lang w:val="en-US" w:eastAsia="zh-CN"/>
              </w:rPr>
              <w:t>，不涉及地下水开采活动，</w:t>
            </w:r>
            <w:r>
              <w:rPr>
                <w:rFonts w:hint="eastAsia" w:ascii="Times New Roman" w:hAnsi="Times New Roman" w:eastAsia="宋体" w:cs="宋体"/>
                <w:color w:val="auto"/>
                <w:highlight w:val="none"/>
                <w:lang w:val="en-US" w:eastAsia="zh-CN"/>
              </w:rPr>
              <w:t>项目建成后将加强厂区及其周围的绿化，加强生态保护，因此本项目符合《新疆维吾尔自治区七大片区“三线一单”生态环境分区管控要求》（2021年版）天山南坡片区管控要求。</w:t>
            </w:r>
          </w:p>
          <w:p w14:paraId="47F0E107">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eastAsia" w:ascii="Times New Roman" w:hAnsi="Times New Roman" w:eastAsia="宋体" w:cs="黑体"/>
                <w:b/>
                <w:color w:val="auto"/>
                <w:sz w:val="24"/>
                <w:szCs w:val="24"/>
                <w:highlight w:val="yellow"/>
                <w:lang w:val="en-US" w:eastAsia="zh-CN" w:bidi="ar-SA"/>
              </w:rPr>
            </w:pPr>
            <w:r>
              <w:rPr>
                <w:rFonts w:hint="eastAsia" w:cs="黑体"/>
                <w:b/>
                <w:color w:val="auto"/>
                <w:sz w:val="24"/>
                <w:szCs w:val="24"/>
                <w:highlight w:val="none"/>
                <w:lang w:val="en-US" w:eastAsia="zh-CN" w:bidi="ar-SA"/>
              </w:rPr>
              <w:t>5、</w:t>
            </w:r>
            <w:r>
              <w:rPr>
                <w:rFonts w:hint="eastAsia" w:ascii="Times New Roman" w:hAnsi="Times New Roman" w:eastAsia="宋体" w:cs="黑体"/>
                <w:b/>
                <w:color w:val="auto"/>
                <w:sz w:val="24"/>
                <w:szCs w:val="24"/>
                <w:highlight w:val="none"/>
                <w:lang w:val="en-US" w:eastAsia="zh-CN" w:bidi="ar-SA"/>
              </w:rPr>
              <w:t>《新疆生态环境保护“十四五”规划》符合性分析</w:t>
            </w:r>
          </w:p>
          <w:p w14:paraId="1B82F56E">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eastAsia" w:cs="Times New Roman"/>
                <w:b w:val="0"/>
                <w:bCs/>
                <w:color w:val="auto"/>
                <w:szCs w:val="24"/>
                <w:highlight w:val="none"/>
              </w:rPr>
            </w:pPr>
            <w:r>
              <w:rPr>
                <w:rFonts w:hint="default" w:cs="Times New Roman"/>
                <w:b w:val="0"/>
                <w:bCs/>
                <w:color w:val="auto"/>
                <w:szCs w:val="24"/>
                <w:highlight w:val="none"/>
              </w:rPr>
              <w:t>《新疆维吾尔自治区环境保护“十</w:t>
            </w:r>
            <w:r>
              <w:rPr>
                <w:rFonts w:hint="eastAsia" w:cs="Times New Roman"/>
                <w:b w:val="0"/>
                <w:bCs/>
                <w:color w:val="auto"/>
                <w:szCs w:val="24"/>
                <w:highlight w:val="none"/>
              </w:rPr>
              <w:t>四</w:t>
            </w:r>
            <w:r>
              <w:rPr>
                <w:rFonts w:hint="default" w:cs="Times New Roman"/>
                <w:b w:val="0"/>
                <w:bCs/>
                <w:color w:val="auto"/>
                <w:szCs w:val="24"/>
                <w:highlight w:val="none"/>
              </w:rPr>
              <w:t>五”规划》中</w:t>
            </w:r>
            <w:r>
              <w:rPr>
                <w:rFonts w:hint="eastAsia" w:cs="Times New Roman"/>
                <w:b w:val="0"/>
                <w:bCs/>
                <w:color w:val="auto"/>
                <w:szCs w:val="24"/>
                <w:highlight w:val="none"/>
              </w:rPr>
              <w:t>提到：落实碳达峰、碳中和的要求，培育绿色新动能，以布局优化、结构调整和效率提升为着力点，加快建立健全绿色低碳循环发展经济体系，促进经济社会发展全面绿色转型。</w:t>
            </w:r>
          </w:p>
          <w:p w14:paraId="2EC0E80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eastAsia" w:cs="Times New Roman"/>
                <w:b w:val="0"/>
                <w:bCs/>
                <w:color w:val="auto"/>
                <w:szCs w:val="24"/>
                <w:highlight w:val="none"/>
              </w:rPr>
            </w:pPr>
            <w:r>
              <w:rPr>
                <w:rFonts w:hint="eastAsia" w:cs="Times New Roman"/>
                <w:b w:val="0"/>
                <w:bCs/>
                <w:color w:val="auto"/>
                <w:szCs w:val="24"/>
                <w:highlight w:val="none"/>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落实最严格的水资源管理制度，科学确定水资源承载能力，严格实行区域用水总量和强度控制，强化节水约束性指标管理。强化地下水超采治理。</w:t>
            </w:r>
          </w:p>
          <w:p w14:paraId="4A460702">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eastAsia" w:cs="Times New Roman"/>
                <w:b w:val="0"/>
                <w:bCs/>
                <w:color w:val="auto"/>
                <w:szCs w:val="24"/>
                <w:highlight w:val="none"/>
              </w:rPr>
            </w:pPr>
            <w:r>
              <w:rPr>
                <w:rFonts w:hint="eastAsia" w:cs="Times New Roman"/>
                <w:b w:val="0"/>
                <w:bCs/>
                <w:color w:val="auto"/>
                <w:szCs w:val="24"/>
                <w:highlight w:val="none"/>
              </w:rPr>
              <w:t>推进产业转型升级。坚持高质量发展与严格环境准入标准相结合，坚持淘汰落后与鼓励先进相结合，支持产业发展向产业链中下游、价值链中高端迈进，坚持推进产业结构优化调整。全力推动节能环保产业发展，引导产业向绿色生产、清洁生产、循环生产转变，加快推进产业转型升级。支持企业实施智能化改造升级，推动石油开采、石油化工、煤化工、有色金属、钢铁、焦化、建材、农副产品加工等传统产业的重点企业改进工艺、节能降耗、提质增效，促进传统产业绿色化、智能化、高端化发展。</w:t>
            </w:r>
          </w:p>
          <w:p w14:paraId="7E1499CB">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eastAsia" w:cs="Times New Roman"/>
                <w:b w:val="0"/>
                <w:bCs/>
                <w:color w:val="auto"/>
                <w:szCs w:val="24"/>
                <w:highlight w:val="none"/>
              </w:rPr>
            </w:pPr>
            <w:r>
              <w:rPr>
                <w:rFonts w:hint="eastAsia" w:cs="Times New Roman"/>
                <w:b w:val="0"/>
                <w:bCs/>
                <w:color w:val="auto"/>
                <w:szCs w:val="24"/>
                <w:highlight w:val="none"/>
              </w:rPr>
              <w:t>严格控制煤炭消费。加强能耗“双控”管理，合理控制能源消费增量，优化能源消费结构，对“乌—昌—石”“奎—独—乌”等重点区域实施新建用煤项目等量或减量替代。合理控制煤电装机规模，有序淘汰煤电落后产能，推进燃煤电厂灵活性和供热改造。按照宜电则电、宜气则气的原则，继续推进“电气化新疆”建设，实施清洁能源行动计划，加快城乡结合部、农村民用和农业生产散烧煤的清洁能源替代，加大可再生能源消纳力度。稳步推进“煤改电”工程，拓展多种清洁供暖方式，提高清洁能源利用水平，暂不能通过清洁供暖替代散煤的地区，严禁使用劣质煤，可利用“洁净煤+节能环保炉具”替代散烧煤，或鼓励在小城镇和农村地区用户使用太阳能供暖系统。</w:t>
            </w:r>
          </w:p>
          <w:p w14:paraId="7FD6BBB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eastAsia" w:cs="Times New Roman"/>
                <w:b w:val="0"/>
                <w:bCs/>
                <w:color w:val="auto"/>
                <w:szCs w:val="24"/>
                <w:highlight w:val="none"/>
              </w:rPr>
            </w:pPr>
            <w:r>
              <w:rPr>
                <w:rFonts w:hint="eastAsia" w:cs="Times New Roman"/>
                <w:b w:val="0"/>
                <w:bCs/>
                <w:color w:val="auto"/>
                <w:szCs w:val="24"/>
                <w:highlight w:val="none"/>
              </w:rPr>
              <w:t>分区推进环境空气质量改善行动。加大天山北坡区域大气污染同防同治力度，巩固和扩大“乌—昌—石”“奎—独—乌”大气污染防治工作成果，推进伊宁市及周边区域大气污染防控，进一步深化工业污染源深度治理，加强采暖季大气污染控制。受自然沙尘影响严重的南疆、东疆区域，因地制宜开展防风固沙生态修复工程，强化沙尘天气颗粒物防控。未达标城市制定或修订大气环境质量限期达标规划，加强达标进程管理，明确环境空气质量达标路线图及污染防治重点任务，并向社会公开。克拉玛依市、阿勒泰地区、塔城地区、博州等环境空气质量较好的地区，继续加大污染防治力度，实现环境空气质量稳定达标。</w:t>
            </w:r>
          </w:p>
          <w:p w14:paraId="2BB4CBAE">
            <w:pPr>
              <w:keepNext w:val="0"/>
              <w:keepLines w:val="0"/>
              <w:pageBreakBefore w:val="0"/>
              <w:widowControl w:val="0"/>
              <w:suppressLineNumbers w:val="0"/>
              <w:kinsoku/>
              <w:wordWrap/>
              <w:topLinePunct w:val="0"/>
              <w:bidi w:val="0"/>
              <w:spacing w:before="0" w:beforeAutospacing="0" w:after="0" w:afterAutospacing="0" w:line="480" w:lineRule="exact"/>
              <w:ind w:left="0" w:right="0" w:firstLine="480" w:firstLineChars="200"/>
              <w:textAlignment w:val="auto"/>
              <w:rPr>
                <w:rFonts w:hint="eastAsia" w:cs="Times New Roman"/>
                <w:b w:val="0"/>
                <w:bCs/>
                <w:color w:val="auto"/>
                <w:szCs w:val="24"/>
                <w:highlight w:val="none"/>
                <w:lang w:eastAsia="zh-CN"/>
              </w:rPr>
            </w:pPr>
            <w:r>
              <w:rPr>
                <w:rFonts w:hint="eastAsia" w:cs="Times New Roman"/>
                <w:b w:val="0"/>
                <w:bCs/>
                <w:color w:val="auto"/>
                <w:szCs w:val="24"/>
                <w:highlight w:val="none"/>
              </w:rPr>
              <w:t>深入推进重点区域大气污染治理。深入推进“乌—昌—石”“奎—独—乌”和伊宁市及周边区域大气污染治理，加快推进“乌—昌—石”区域城市细颗粒物和臭氧协同防控“一市一策”驻点跟踪研究工作。强化区域大气污染联防联控，合理确定产业布局，推动区域内统一产业准入和排放标准。实施钢铁、水泥、焦化等行业季节性生产调控措施，推进散煤整治、挥发性有机污染物（以下简称“VOCs”）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p>
          <w:p w14:paraId="048AAC13">
            <w:pPr>
              <w:keepNext w:val="0"/>
              <w:keepLines w:val="0"/>
              <w:pageBreakBefore w:val="0"/>
              <w:widowControl w:val="0"/>
              <w:suppressLineNumbers w:val="0"/>
              <w:kinsoku/>
              <w:wordWrap/>
              <w:topLinePunct w:val="0"/>
              <w:bidi w:val="0"/>
              <w:spacing w:before="0" w:beforeAutospacing="0" w:after="0" w:afterAutospacing="0" w:line="480" w:lineRule="exact"/>
              <w:ind w:left="0" w:right="0" w:firstLine="480" w:firstLineChars="200"/>
              <w:textAlignment w:val="auto"/>
              <w:rPr>
                <w:rFonts w:hint="default" w:cs="Times New Roman"/>
                <w:color w:val="auto"/>
                <w:szCs w:val="24"/>
                <w:highlight w:val="none"/>
              </w:rPr>
            </w:pPr>
            <w:r>
              <w:rPr>
                <w:rFonts w:hint="default" w:cs="Times New Roman"/>
                <w:color w:val="auto"/>
                <w:szCs w:val="24"/>
                <w:highlight w:val="none"/>
              </w:rPr>
              <w:t>本项目作为</w:t>
            </w:r>
            <w:r>
              <w:rPr>
                <w:rFonts w:hint="eastAsia" w:cs="Times New Roman"/>
                <w:color w:val="auto"/>
                <w:szCs w:val="24"/>
                <w:highlight w:val="none"/>
                <w:lang w:val="en-US" w:eastAsia="zh-CN"/>
              </w:rPr>
              <w:t>葡萄果汁及葡萄果糖生产项目</w:t>
            </w:r>
            <w:r>
              <w:rPr>
                <w:rFonts w:hint="eastAsia" w:cs="Times New Roman"/>
                <w:color w:val="auto"/>
                <w:szCs w:val="24"/>
                <w:highlight w:val="none"/>
              </w:rPr>
              <w:t>，</w:t>
            </w:r>
            <w:r>
              <w:rPr>
                <w:rFonts w:hint="eastAsia" w:cs="Times New Roman"/>
                <w:color w:val="auto"/>
                <w:szCs w:val="24"/>
                <w:highlight w:val="none"/>
                <w:lang w:val="en-US" w:eastAsia="zh-CN"/>
              </w:rPr>
              <w:t>生产废水排入厂区污水处理站处理，处理达标后排入园区下水管网，果皮、葡萄籽综合外售，其他固废按照要求进行同生活垃圾一同运输至垃圾填埋场处置，厂区内不设置燃煤锅炉，生产过程中仅消耗水、电，不使用高污染的化石能源。</w:t>
            </w:r>
            <w:r>
              <w:rPr>
                <w:rFonts w:hint="default" w:cs="Times New Roman"/>
                <w:color w:val="auto"/>
                <w:szCs w:val="24"/>
                <w:highlight w:val="none"/>
              </w:rPr>
              <w:t>因此本项目符合《新疆维吾尔自治区环境保护“十</w:t>
            </w:r>
            <w:r>
              <w:rPr>
                <w:rFonts w:hint="eastAsia" w:cs="Times New Roman"/>
                <w:color w:val="auto"/>
                <w:szCs w:val="24"/>
                <w:highlight w:val="none"/>
              </w:rPr>
              <w:t>四</w:t>
            </w:r>
            <w:r>
              <w:rPr>
                <w:rFonts w:hint="default" w:cs="Times New Roman"/>
                <w:color w:val="auto"/>
                <w:szCs w:val="24"/>
                <w:highlight w:val="none"/>
              </w:rPr>
              <w:t>五”规划》。</w:t>
            </w:r>
          </w:p>
          <w:p w14:paraId="6CD165A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480" w:lineRule="exact"/>
              <w:ind w:right="0" w:rightChars="0"/>
              <w:jc w:val="both"/>
              <w:textAlignment w:val="auto"/>
              <w:rPr>
                <w:rFonts w:hint="eastAsia" w:ascii="Times New Roman" w:hAnsi="Times New Roman" w:eastAsia="宋体" w:cs="黑体"/>
                <w:b/>
                <w:snapToGrid w:val="0"/>
                <w:color w:val="auto"/>
                <w:sz w:val="24"/>
                <w:szCs w:val="24"/>
                <w:highlight w:val="none"/>
                <w:lang w:val="en-US" w:eastAsia="zh-CN" w:bidi="ar-SA"/>
              </w:rPr>
            </w:pPr>
            <w:r>
              <w:rPr>
                <w:rFonts w:hint="eastAsia" w:cs="黑体"/>
                <w:b/>
                <w:snapToGrid w:val="0"/>
                <w:color w:val="auto"/>
                <w:sz w:val="24"/>
                <w:szCs w:val="24"/>
                <w:highlight w:val="none"/>
                <w:lang w:val="en-US" w:eastAsia="zh-CN" w:bidi="ar-SA"/>
              </w:rPr>
              <w:t>6、《新疆维吾尔自治区环境保护条例》（修订本）</w:t>
            </w:r>
            <w:r>
              <w:rPr>
                <w:rFonts w:hint="eastAsia" w:ascii="Times New Roman" w:hAnsi="Times New Roman" w:eastAsia="宋体" w:cs="黑体"/>
                <w:b/>
                <w:snapToGrid w:val="0"/>
                <w:color w:val="auto"/>
                <w:sz w:val="24"/>
                <w:szCs w:val="24"/>
                <w:highlight w:val="none"/>
                <w:lang w:val="en-US" w:eastAsia="zh-CN" w:bidi="ar-SA"/>
              </w:rPr>
              <w:t>符合性分析</w:t>
            </w:r>
          </w:p>
          <w:p w14:paraId="07BE5DB4">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各级人民政府应当采取措施，调整能源结构，淘汰落后产能，加强煤炭清洁高效利用，实施燃煤电厂超低排放和节能改造，鼓励开发利用低污染、无污染的清洁能源。</w:t>
            </w:r>
          </w:p>
          <w:p w14:paraId="4A905325">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各级人民政府应当优先保护饮用水水源，加强重点流域、区域、近岸水域水污染防治和湖泊生态环境保护，严格控制缺水地区、水污染严重区域和敏感区域高耗水、高污染行业发展，改善水环境质量。</w:t>
            </w:r>
          </w:p>
          <w:p w14:paraId="5E55DA27">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在城市市区或者居民区进行建筑施工的，应当符合建筑施工场界噪声排放标准，散装物料、建筑垃圾和渣土，应当采用密闭方式运送，不得抛掷、扬撒。</w:t>
            </w:r>
          </w:p>
          <w:p w14:paraId="5604DBE8">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向城市污水集中处理设施排放水污染物或者城市污水集中处理设施排放经处理后的再利用水，应当符合国家或者自治区规定的限污标准。</w:t>
            </w:r>
          </w:p>
          <w:p w14:paraId="3337B8C1">
            <w:pPr>
              <w:numPr>
                <w:ilvl w:val="0"/>
                <w:numId w:val="0"/>
              </w:numPr>
              <w:overflowPunct w:val="0"/>
              <w:autoSpaceDE w:val="0"/>
              <w:autoSpaceDN w:val="0"/>
              <w:adjustRightInd w:val="0"/>
              <w:snapToGrid w:val="0"/>
              <w:spacing w:before="0" w:after="0" w:line="360" w:lineRule="auto"/>
              <w:ind w:left="0" w:right="0" w:rightChars="0" w:firstLine="480" w:firstLineChars="200"/>
              <w:jc w:val="both"/>
              <w:rPr>
                <w:rFonts w:hint="eastAsia" w:cs="黑体"/>
                <w:b/>
                <w:snapToGrid w:val="0"/>
                <w:color w:val="auto"/>
                <w:sz w:val="24"/>
                <w:szCs w:val="24"/>
                <w:highlight w:val="none"/>
                <w:lang w:val="en-US" w:eastAsia="zh-CN" w:bidi="ar-SA"/>
              </w:rPr>
            </w:pPr>
            <w:r>
              <w:rPr>
                <w:rFonts w:hint="eastAsia" w:ascii="Times New Roman" w:hAnsi="Times New Roman"/>
                <w:color w:val="auto"/>
                <w:sz w:val="24"/>
                <w:szCs w:val="24"/>
                <w:highlight w:val="none"/>
                <w:lang w:val="en-US" w:eastAsia="zh-CN"/>
              </w:rPr>
              <w:t>本项目</w:t>
            </w:r>
            <w:r>
              <w:rPr>
                <w:rFonts w:hint="eastAsia"/>
                <w:color w:val="auto"/>
                <w:sz w:val="24"/>
                <w:szCs w:val="24"/>
                <w:highlight w:val="none"/>
                <w:lang w:val="en-US" w:eastAsia="zh-CN"/>
              </w:rPr>
              <w:t>运营过程中仅消耗电能</w:t>
            </w:r>
            <w:r>
              <w:rPr>
                <w:rFonts w:hint="eastAsia" w:ascii="Times New Roman" w:eastAsia="宋体"/>
                <w:color w:val="auto"/>
                <w:sz w:val="24"/>
                <w:szCs w:val="24"/>
                <w:highlight w:val="none"/>
                <w:lang w:val="en-US" w:eastAsia="zh-CN"/>
              </w:rPr>
              <w:t>，不消耗燃煤，本项目不属于</w:t>
            </w:r>
            <w:r>
              <w:rPr>
                <w:rFonts w:hint="eastAsia" w:ascii="Times New Roman" w:hAnsi="Times New Roman"/>
                <w:color w:val="auto"/>
                <w:sz w:val="24"/>
                <w:szCs w:val="24"/>
                <w:highlight w:val="none"/>
                <w:lang w:val="en-US" w:eastAsia="zh-CN"/>
              </w:rPr>
              <w:t>高耗水、高污染行业，用水仅为生活用水以及</w:t>
            </w:r>
            <w:r>
              <w:rPr>
                <w:rFonts w:hint="eastAsia"/>
                <w:color w:val="auto"/>
                <w:sz w:val="24"/>
                <w:szCs w:val="24"/>
                <w:highlight w:val="none"/>
                <w:lang w:val="en-US" w:eastAsia="zh-CN"/>
              </w:rPr>
              <w:t>生产用水</w:t>
            </w:r>
            <w:r>
              <w:rPr>
                <w:rFonts w:hint="eastAsia" w:ascii="Times New Roman" w:hAnsi="Times New Roman"/>
                <w:color w:val="auto"/>
                <w:sz w:val="24"/>
                <w:szCs w:val="24"/>
                <w:highlight w:val="none"/>
                <w:lang w:val="en-US" w:eastAsia="zh-CN"/>
              </w:rPr>
              <w:t>；本项目</w:t>
            </w:r>
            <w:r>
              <w:rPr>
                <w:rFonts w:hint="eastAsia"/>
                <w:color w:val="auto"/>
                <w:sz w:val="24"/>
                <w:szCs w:val="24"/>
                <w:highlight w:val="none"/>
                <w:lang w:val="en-US" w:eastAsia="zh-CN"/>
              </w:rPr>
              <w:t>产生的生产废水经污水处理站处置达标后与生活污水一同排入园区下水管网依托园区污水处理厂处置</w:t>
            </w:r>
            <w:r>
              <w:rPr>
                <w:rFonts w:hint="eastAsia" w:ascii="Times New Roman" w:hAnsi="Times New Roman"/>
                <w:color w:val="auto"/>
                <w:sz w:val="24"/>
                <w:szCs w:val="24"/>
                <w:highlight w:val="none"/>
                <w:lang w:val="en-US" w:eastAsia="zh-CN"/>
              </w:rPr>
              <w:t>，满足《污水综合排放标准》（GB8978-1996）三级标准</w:t>
            </w:r>
            <w:r>
              <w:rPr>
                <w:rFonts w:hint="eastAsia" w:cs="宋体"/>
                <w:snapToGrid w:val="0"/>
                <w:color w:val="auto"/>
                <w:sz w:val="24"/>
                <w:szCs w:val="24"/>
                <w:highlight w:val="none"/>
                <w:lang w:val="en-US" w:eastAsia="zh-CN" w:bidi="ar-SA"/>
              </w:rPr>
              <w:t>，</w:t>
            </w:r>
            <w:r>
              <w:rPr>
                <w:rFonts w:hint="eastAsia" w:ascii="Times New Roman" w:hAnsi="Times New Roman"/>
                <w:color w:val="auto"/>
                <w:sz w:val="24"/>
                <w:szCs w:val="24"/>
                <w:highlight w:val="none"/>
                <w:lang w:val="en-US" w:eastAsia="zh-CN"/>
              </w:rPr>
              <w:t>符合《新疆维吾尔自治区环境保护条例》相关要求。</w:t>
            </w:r>
          </w:p>
          <w:p w14:paraId="7E7DCA0B">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eastAsia" w:ascii="Times New Roman" w:hAnsi="Times New Roman" w:eastAsia="宋体" w:cs="黑体"/>
                <w:b/>
                <w:color w:val="auto"/>
                <w:sz w:val="24"/>
                <w:szCs w:val="24"/>
                <w:lang w:val="en-US" w:eastAsia="zh-CN" w:bidi="ar-SA"/>
              </w:rPr>
            </w:pPr>
            <w:r>
              <w:rPr>
                <w:rFonts w:hint="eastAsia" w:cs="黑体"/>
                <w:b/>
                <w:color w:val="auto"/>
                <w:sz w:val="24"/>
                <w:szCs w:val="24"/>
                <w:lang w:val="en-US" w:eastAsia="zh-CN" w:bidi="ar-SA"/>
              </w:rPr>
              <w:t>7、</w:t>
            </w:r>
            <w:r>
              <w:rPr>
                <w:rFonts w:hint="eastAsia" w:ascii="Times New Roman" w:hAnsi="Times New Roman" w:eastAsia="宋体" w:cs="黑体"/>
                <w:b/>
                <w:color w:val="auto"/>
                <w:sz w:val="24"/>
                <w:szCs w:val="24"/>
                <w:lang w:val="en-US" w:eastAsia="zh-CN" w:bidi="ar-SA"/>
              </w:rPr>
              <w:t>选址符合性</w:t>
            </w:r>
          </w:p>
          <w:p w14:paraId="177AC93D">
            <w:pPr>
              <w:keepNext w:val="0"/>
              <w:keepLines w:val="0"/>
              <w:suppressLineNumbers w:val="0"/>
              <w:spacing w:before="0" w:beforeAutospacing="0" w:after="0" w:afterAutospacing="0" w:line="480" w:lineRule="exact"/>
              <w:ind w:left="0" w:right="0" w:firstLine="482" w:firstLineChars="200"/>
              <w:rPr>
                <w:rFonts w:hint="default" w:cs="Times New Roman"/>
                <w:b/>
                <w:bCs/>
                <w:color w:val="auto"/>
                <w:kern w:val="2"/>
                <w:szCs w:val="24"/>
                <w:highlight w:val="none"/>
              </w:rPr>
            </w:pPr>
            <w:r>
              <w:rPr>
                <w:rFonts w:hint="eastAsia" w:cs="Times New Roman"/>
                <w:b/>
                <w:bCs/>
                <w:color w:val="auto"/>
                <w:kern w:val="2"/>
                <w:szCs w:val="24"/>
                <w:highlight w:val="none"/>
                <w:lang w:val="en-US" w:eastAsia="zh-CN"/>
              </w:rPr>
              <w:t>7</w:t>
            </w:r>
            <w:r>
              <w:rPr>
                <w:rFonts w:hint="default" w:cs="Times New Roman"/>
                <w:b/>
                <w:bCs/>
                <w:color w:val="auto"/>
                <w:kern w:val="2"/>
                <w:szCs w:val="24"/>
                <w:highlight w:val="none"/>
              </w:rPr>
              <w:t>.1环境容量</w:t>
            </w:r>
          </w:p>
          <w:p w14:paraId="5EE96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Times New Roman"/>
                <w:color w:val="auto"/>
                <w:kern w:val="2"/>
                <w:highlight w:val="none"/>
                <w:lang w:val="en-US" w:eastAsia="zh-CN"/>
              </w:rPr>
            </w:pPr>
            <w:r>
              <w:rPr>
                <w:rFonts w:hint="default" w:cs="Times New Roman"/>
                <w:color w:val="auto"/>
                <w:szCs w:val="24"/>
                <w:highlight w:val="none"/>
              </w:rPr>
              <w:t>项目评价区内现状环境空气中</w:t>
            </w:r>
            <w:r>
              <w:rPr>
                <w:rFonts w:hint="eastAsia" w:cs="Times New Roman"/>
                <w:color w:val="auto"/>
                <w:szCs w:val="24"/>
                <w:highlight w:val="none"/>
              </w:rPr>
              <w:t>常规因子</w:t>
            </w:r>
            <w:r>
              <w:rPr>
                <w:rFonts w:hint="eastAsia" w:cs="Times New Roman"/>
                <w:color w:val="auto"/>
                <w:szCs w:val="24"/>
                <w:highlight w:val="none"/>
                <w:lang w:val="en-US" w:eastAsia="zh-CN"/>
              </w:rPr>
              <w:t>不达</w:t>
            </w:r>
            <w:r>
              <w:rPr>
                <w:rFonts w:hint="eastAsia" w:cs="Times New Roman"/>
                <w:color w:val="auto"/>
                <w:szCs w:val="24"/>
                <w:highlight w:val="none"/>
              </w:rPr>
              <w:t>标，为</w:t>
            </w:r>
            <w:r>
              <w:rPr>
                <w:rFonts w:hint="eastAsia" w:cs="宋体"/>
                <w:color w:val="auto"/>
                <w:lang w:val="en-US" w:eastAsia="zh-CN"/>
              </w:rPr>
              <w:t>不</w:t>
            </w:r>
            <w:r>
              <w:rPr>
                <w:rFonts w:hint="eastAsia" w:cs="Times New Roman"/>
                <w:color w:val="auto"/>
                <w:szCs w:val="24"/>
                <w:highlight w:val="none"/>
              </w:rPr>
              <w:t>达标区</w:t>
            </w:r>
            <w:r>
              <w:rPr>
                <w:rFonts w:hint="default" w:cs="Times New Roman"/>
                <w:color w:val="auto"/>
                <w:szCs w:val="24"/>
                <w:highlight w:val="none"/>
              </w:rPr>
              <w:t>；评价区环境噪声优于《声环境质量标准》（GB3096-2008）中的</w:t>
            </w:r>
            <w:r>
              <w:rPr>
                <w:rFonts w:hint="eastAsia" w:cs="Times New Roman"/>
                <w:color w:val="auto"/>
                <w:szCs w:val="24"/>
                <w:highlight w:val="none"/>
                <w:lang w:val="en-US" w:eastAsia="zh-CN"/>
              </w:rPr>
              <w:t>3</w:t>
            </w:r>
            <w:r>
              <w:rPr>
                <w:rFonts w:hint="default" w:cs="Times New Roman"/>
                <w:color w:val="auto"/>
                <w:szCs w:val="24"/>
                <w:highlight w:val="none"/>
              </w:rPr>
              <w:t>类标准，且厂区周围没有声环境敏感目标。本项目</w:t>
            </w:r>
            <w:r>
              <w:rPr>
                <w:rFonts w:hint="eastAsia" w:cs="Times New Roman"/>
                <w:color w:val="auto"/>
                <w:szCs w:val="24"/>
                <w:highlight w:val="none"/>
                <w:lang w:val="en-US" w:eastAsia="zh-CN"/>
              </w:rPr>
              <w:t>运行</w:t>
            </w:r>
            <w:r>
              <w:rPr>
                <w:rFonts w:hint="default" w:cs="Times New Roman"/>
                <w:color w:val="auto"/>
                <w:szCs w:val="24"/>
                <w:highlight w:val="none"/>
              </w:rPr>
              <w:t>后，</w:t>
            </w:r>
            <w:r>
              <w:rPr>
                <w:rFonts w:hint="eastAsia" w:cs="Times New Roman"/>
                <w:color w:val="auto"/>
                <w:szCs w:val="24"/>
                <w:highlight w:val="none"/>
              </w:rPr>
              <w:t>经一系列环保措施后，</w:t>
            </w:r>
            <w:r>
              <w:rPr>
                <w:rFonts w:hint="default" w:cs="Times New Roman"/>
                <w:color w:val="auto"/>
                <w:szCs w:val="24"/>
                <w:highlight w:val="none"/>
              </w:rPr>
              <w:t>能够保持水、气、声环境质量现状不降低，污染物达标排放，对区域环境影响不大，区域环境仍可保持现有功能水平。因此，项目选址从环境容量角度分析是可行的</w:t>
            </w:r>
            <w:r>
              <w:rPr>
                <w:rFonts w:hint="eastAsia" w:cs="Times New Roman"/>
                <w:color w:val="auto"/>
                <w:szCs w:val="24"/>
                <w:highlight w:val="none"/>
              </w:rPr>
              <w:t>。</w:t>
            </w:r>
          </w:p>
          <w:p w14:paraId="593C943B">
            <w:pPr>
              <w:keepNext w:val="0"/>
              <w:keepLines w:val="0"/>
              <w:pageBreakBefore w:val="0"/>
              <w:widowControl w:val="0"/>
              <w:suppressLineNumbers w:val="0"/>
              <w:kinsoku/>
              <w:wordWrap/>
              <w:topLinePunct w:val="0"/>
              <w:bidi w:val="0"/>
              <w:spacing w:before="0" w:beforeAutospacing="0" w:after="0" w:afterAutospacing="0" w:line="480" w:lineRule="exact"/>
              <w:ind w:left="0" w:right="0" w:firstLine="482" w:firstLineChars="200"/>
              <w:textAlignment w:val="auto"/>
              <w:rPr>
                <w:rFonts w:hint="default" w:cs="Times New Roman"/>
                <w:b/>
                <w:bCs/>
                <w:color w:val="auto"/>
                <w:kern w:val="2"/>
                <w:szCs w:val="24"/>
                <w:highlight w:val="none"/>
              </w:rPr>
            </w:pPr>
            <w:r>
              <w:rPr>
                <w:rFonts w:hint="eastAsia" w:cs="Times New Roman"/>
                <w:b/>
                <w:bCs/>
                <w:color w:val="auto"/>
                <w:kern w:val="2"/>
                <w:szCs w:val="24"/>
                <w:highlight w:val="none"/>
                <w:lang w:val="en-US" w:eastAsia="zh-CN"/>
              </w:rPr>
              <w:t>7</w:t>
            </w:r>
            <w:r>
              <w:rPr>
                <w:rFonts w:hint="default" w:cs="Times New Roman"/>
                <w:b/>
                <w:bCs/>
                <w:color w:val="auto"/>
                <w:kern w:val="2"/>
                <w:szCs w:val="24"/>
                <w:highlight w:val="none"/>
              </w:rPr>
              <w:t>.2用地可行性</w:t>
            </w:r>
          </w:p>
          <w:p w14:paraId="6C9D35D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eastAsia" w:cs="宋体"/>
                <w:color w:val="auto"/>
                <w:highlight w:val="none"/>
                <w:lang w:val="en-US" w:eastAsia="zh-CN"/>
              </w:rPr>
            </w:pPr>
            <w:r>
              <w:rPr>
                <w:rFonts w:hint="default" w:cs="Times New Roman"/>
                <w:color w:val="auto"/>
                <w:szCs w:val="24"/>
                <w:highlight w:val="none"/>
              </w:rPr>
              <w:t>本项目为</w:t>
            </w:r>
            <w:r>
              <w:rPr>
                <w:rFonts w:hint="eastAsia" w:cs="Times New Roman"/>
                <w:color w:val="auto"/>
                <w:szCs w:val="24"/>
                <w:highlight w:val="none"/>
                <w:lang w:val="en-US" w:eastAsia="zh-CN"/>
              </w:rPr>
              <w:t>新建</w:t>
            </w:r>
            <w:r>
              <w:rPr>
                <w:rFonts w:hint="default" w:cs="Times New Roman"/>
                <w:color w:val="auto"/>
                <w:szCs w:val="24"/>
                <w:highlight w:val="none"/>
              </w:rPr>
              <w:t>项目，</w:t>
            </w:r>
            <w:r>
              <w:rPr>
                <w:rFonts w:hint="eastAsia" w:ascii="Times New Roman" w:hAnsi="Times New Roman" w:eastAsia="宋体" w:cs="宋体"/>
                <w:color w:val="auto"/>
                <w:highlight w:val="none"/>
                <w:lang w:val="en-US" w:eastAsia="zh-CN"/>
              </w:rPr>
              <w:t>厂址位于</w:t>
            </w:r>
            <w:r>
              <w:rPr>
                <w:rFonts w:hint="eastAsia" w:cs="宋体"/>
                <w:color w:val="auto"/>
                <w:highlight w:val="none"/>
                <w:lang w:val="en-US" w:eastAsia="zh-CN"/>
              </w:rPr>
              <w:t>新疆维吾尔自治区胡杨河市经济技术开发区</w:t>
            </w:r>
            <w:r>
              <w:rPr>
                <w:rFonts w:hint="eastAsia" w:ascii="Times New Roman" w:hAnsi="Times New Roman" w:eastAsia="宋体" w:cs="宋体"/>
                <w:color w:val="auto"/>
                <w:highlight w:val="none"/>
                <w:lang w:val="en-US" w:eastAsia="zh-CN"/>
              </w:rPr>
              <w:t>。本项目位于</w:t>
            </w:r>
            <w:r>
              <w:rPr>
                <w:rFonts w:hint="eastAsia" w:cs="宋体"/>
                <w:color w:val="auto"/>
                <w:highlight w:val="none"/>
                <w:lang w:val="en-US" w:eastAsia="zh-CN"/>
              </w:rPr>
              <w:t>园区内</w:t>
            </w:r>
            <w:r>
              <w:rPr>
                <w:rFonts w:hint="eastAsia" w:ascii="Times New Roman" w:hAnsi="Times New Roman" w:eastAsia="宋体" w:cs="宋体"/>
                <w:color w:val="auto"/>
                <w:highlight w:val="none"/>
                <w:lang w:val="en-US" w:eastAsia="zh-CN"/>
              </w:rPr>
              <w:t>，项目区</w:t>
            </w:r>
            <w:r>
              <w:rPr>
                <w:rFonts w:hint="eastAsia" w:cs="宋体"/>
                <w:color w:val="auto"/>
                <w:highlight w:val="none"/>
                <w:lang w:val="en-US" w:eastAsia="zh-CN"/>
              </w:rPr>
              <w:t>四周均为其他工业企业厂房。根据产业布局图可知，本项目位于农副产品功能区域，满足园区产业定位。</w:t>
            </w:r>
          </w:p>
          <w:p w14:paraId="2303B64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80" w:lineRule="exact"/>
              <w:ind w:left="0" w:right="0" w:firstLine="480" w:firstLineChars="200"/>
              <w:jc w:val="left"/>
              <w:textAlignment w:val="auto"/>
              <w:rPr>
                <w:rFonts w:hint="default" w:cs="Times New Roman"/>
                <w:color w:val="auto"/>
                <w:szCs w:val="24"/>
                <w:highlight w:val="none"/>
              </w:rPr>
            </w:pPr>
            <w:r>
              <w:rPr>
                <w:rFonts w:hint="eastAsia" w:cs="宋体"/>
                <w:color w:val="auto"/>
                <w:highlight w:val="none"/>
                <w:lang w:val="en-US" w:eastAsia="zh-CN"/>
              </w:rPr>
              <w:t>根据胡杨河市经济技术开发区用地现状图可知，本项目位于工业用地，本项目为果汁加工项目，满足用地属性要求，相关用地文件见附件</w:t>
            </w:r>
            <w:r>
              <w:rPr>
                <w:rFonts w:hint="eastAsia" w:ascii="Times New Roman" w:hAnsi="Times New Roman" w:eastAsia="宋体" w:cs="宋体"/>
                <w:color w:val="auto"/>
                <w:highlight w:val="none"/>
                <w:lang w:val="en-US" w:eastAsia="zh-CN"/>
              </w:rPr>
              <w:t>。</w:t>
            </w:r>
            <w:r>
              <w:rPr>
                <w:rFonts w:hint="default" w:cs="Times New Roman"/>
                <w:color w:val="auto"/>
                <w:szCs w:val="24"/>
                <w:highlight w:val="none"/>
              </w:rPr>
              <w:t>因此，本项目选址用地是可行性的。</w:t>
            </w:r>
          </w:p>
          <w:p w14:paraId="7361CA53">
            <w:pPr>
              <w:keepNext w:val="0"/>
              <w:keepLines w:val="0"/>
              <w:suppressLineNumbers w:val="0"/>
              <w:spacing w:before="0" w:beforeAutospacing="0" w:after="0" w:afterAutospacing="0" w:line="480" w:lineRule="exact"/>
              <w:ind w:left="0" w:right="0" w:firstLine="482" w:firstLineChars="200"/>
              <w:rPr>
                <w:rFonts w:hint="default" w:cs="Times New Roman"/>
                <w:b/>
                <w:bCs/>
                <w:color w:val="auto"/>
                <w:kern w:val="2"/>
                <w:szCs w:val="24"/>
                <w:highlight w:val="none"/>
              </w:rPr>
            </w:pPr>
            <w:r>
              <w:rPr>
                <w:rFonts w:hint="eastAsia" w:cs="Times New Roman"/>
                <w:b/>
                <w:bCs/>
                <w:color w:val="auto"/>
                <w:kern w:val="2"/>
                <w:szCs w:val="24"/>
                <w:highlight w:val="none"/>
                <w:lang w:val="en-US" w:eastAsia="zh-CN"/>
              </w:rPr>
              <w:t>7</w:t>
            </w:r>
            <w:r>
              <w:rPr>
                <w:rFonts w:hint="default" w:cs="Times New Roman"/>
                <w:b/>
                <w:bCs/>
                <w:color w:val="auto"/>
                <w:kern w:val="2"/>
                <w:szCs w:val="24"/>
                <w:highlight w:val="none"/>
              </w:rPr>
              <w:t>.</w:t>
            </w:r>
            <w:r>
              <w:rPr>
                <w:rFonts w:hint="eastAsia" w:cs="Times New Roman"/>
                <w:b/>
                <w:bCs/>
                <w:color w:val="auto"/>
                <w:kern w:val="2"/>
                <w:szCs w:val="24"/>
                <w:highlight w:val="none"/>
              </w:rPr>
              <w:t>3</w:t>
            </w:r>
            <w:r>
              <w:rPr>
                <w:rFonts w:hint="default" w:cs="Times New Roman"/>
                <w:b/>
                <w:bCs/>
                <w:color w:val="auto"/>
                <w:kern w:val="2"/>
                <w:szCs w:val="24"/>
                <w:highlight w:val="none"/>
              </w:rPr>
              <w:t>区域主导风向</w:t>
            </w:r>
          </w:p>
          <w:p w14:paraId="752C8BA4">
            <w:pPr>
              <w:keepNext w:val="0"/>
              <w:keepLines w:val="0"/>
              <w:pageBreakBefore w:val="0"/>
              <w:widowControl w:val="0"/>
              <w:suppressLineNumbers w:val="0"/>
              <w:kinsoku/>
              <w:wordWrap/>
              <w:overflowPunct/>
              <w:topLinePunct/>
              <w:autoSpaceDE/>
              <w:autoSpaceDN/>
              <w:bidi w:val="0"/>
              <w:spacing w:before="0" w:beforeAutospacing="0" w:after="0" w:afterAutospacing="0" w:line="480" w:lineRule="exact"/>
              <w:ind w:left="0" w:right="0" w:firstLine="480" w:firstLineChars="200"/>
              <w:textAlignment w:val="auto"/>
              <w:rPr>
                <w:rFonts w:hint="default" w:cs="Times New Roman"/>
                <w:color w:val="auto"/>
                <w:szCs w:val="24"/>
                <w:highlight w:val="none"/>
              </w:rPr>
            </w:pPr>
            <w:r>
              <w:rPr>
                <w:rFonts w:hint="default" w:cs="Times New Roman"/>
                <w:color w:val="auto"/>
                <w:szCs w:val="24"/>
                <w:highlight w:val="none"/>
              </w:rPr>
              <w:t>区域年主导风向为</w:t>
            </w:r>
            <w:r>
              <w:rPr>
                <w:rFonts w:hint="eastAsia" w:cs="Times New Roman"/>
                <w:color w:val="auto"/>
                <w:szCs w:val="24"/>
                <w:highlight w:val="none"/>
                <w:lang w:val="en-US" w:eastAsia="zh-CN"/>
              </w:rPr>
              <w:t>东北风</w:t>
            </w:r>
            <w:r>
              <w:rPr>
                <w:rFonts w:hint="default" w:cs="Times New Roman"/>
                <w:color w:val="auto"/>
                <w:szCs w:val="24"/>
                <w:highlight w:val="none"/>
              </w:rPr>
              <w:t>，大气污染物主要扩散至项目</w:t>
            </w:r>
            <w:r>
              <w:rPr>
                <w:rFonts w:hint="eastAsia" w:cs="Times New Roman"/>
                <w:color w:val="auto"/>
                <w:szCs w:val="24"/>
                <w:highlight w:val="none"/>
                <w:lang w:val="en-US" w:eastAsia="zh-CN"/>
              </w:rPr>
              <w:t>西南</w:t>
            </w:r>
            <w:r>
              <w:rPr>
                <w:rFonts w:hint="default" w:cs="Times New Roman"/>
                <w:color w:val="auto"/>
                <w:szCs w:val="24"/>
                <w:highlight w:val="none"/>
              </w:rPr>
              <w:t>侧（</w:t>
            </w:r>
            <w:r>
              <w:rPr>
                <w:rFonts w:hint="eastAsia" w:cs="Times New Roman"/>
                <w:color w:val="auto"/>
                <w:szCs w:val="24"/>
                <w:highlight w:val="none"/>
              </w:rPr>
              <w:t>项目区</w:t>
            </w:r>
            <w:r>
              <w:rPr>
                <w:rFonts w:hint="eastAsia" w:cs="Times New Roman"/>
                <w:color w:val="auto"/>
                <w:szCs w:val="24"/>
                <w:highlight w:val="none"/>
                <w:lang w:val="en-US" w:eastAsia="zh-CN"/>
              </w:rPr>
              <w:t>西南侧无居民区等环境敏感目标</w:t>
            </w:r>
            <w:r>
              <w:rPr>
                <w:rFonts w:hint="default" w:cs="Times New Roman"/>
                <w:color w:val="auto"/>
                <w:szCs w:val="24"/>
                <w:highlight w:val="none"/>
              </w:rPr>
              <w:t>），对</w:t>
            </w:r>
            <w:r>
              <w:rPr>
                <w:rFonts w:hint="eastAsia" w:cs="Times New Roman"/>
                <w:color w:val="auto"/>
                <w:szCs w:val="24"/>
                <w:highlight w:val="none"/>
                <w:lang w:val="en-US" w:eastAsia="zh-CN"/>
              </w:rPr>
              <w:t>周边环境</w:t>
            </w:r>
            <w:r>
              <w:rPr>
                <w:rFonts w:hint="default" w:cs="Times New Roman"/>
                <w:color w:val="auto"/>
                <w:szCs w:val="24"/>
                <w:highlight w:val="none"/>
              </w:rPr>
              <w:t>影响较小。</w:t>
            </w:r>
          </w:p>
          <w:p w14:paraId="53D778A4">
            <w:pPr>
              <w:keepNext w:val="0"/>
              <w:keepLines w:val="0"/>
              <w:pageBreakBefore w:val="0"/>
              <w:widowControl w:val="0"/>
              <w:suppressLineNumbers w:val="0"/>
              <w:kinsoku/>
              <w:wordWrap/>
              <w:overflowPunct/>
              <w:autoSpaceDE/>
              <w:autoSpaceDN/>
              <w:bidi w:val="0"/>
              <w:spacing w:before="0" w:beforeAutospacing="0" w:after="0" w:afterAutospacing="0" w:line="480" w:lineRule="exact"/>
              <w:ind w:left="0" w:right="0" w:firstLine="482" w:firstLineChars="200"/>
              <w:textAlignment w:val="auto"/>
              <w:rPr>
                <w:rFonts w:hint="default" w:cs="Times New Roman"/>
                <w:b/>
                <w:bCs/>
                <w:color w:val="auto"/>
                <w:kern w:val="2"/>
                <w:szCs w:val="24"/>
                <w:highlight w:val="none"/>
              </w:rPr>
            </w:pPr>
            <w:r>
              <w:rPr>
                <w:rFonts w:hint="eastAsia" w:cs="Times New Roman"/>
                <w:b/>
                <w:bCs/>
                <w:color w:val="auto"/>
                <w:kern w:val="2"/>
                <w:szCs w:val="24"/>
                <w:highlight w:val="none"/>
                <w:lang w:val="en-US" w:eastAsia="zh-CN"/>
              </w:rPr>
              <w:t>7</w:t>
            </w:r>
            <w:r>
              <w:rPr>
                <w:rFonts w:hint="default" w:cs="Times New Roman"/>
                <w:b/>
                <w:bCs/>
                <w:color w:val="auto"/>
                <w:kern w:val="2"/>
                <w:szCs w:val="24"/>
                <w:highlight w:val="none"/>
              </w:rPr>
              <w:t>.</w:t>
            </w:r>
            <w:r>
              <w:rPr>
                <w:rFonts w:hint="eastAsia" w:cs="Times New Roman"/>
                <w:b/>
                <w:bCs/>
                <w:color w:val="auto"/>
                <w:kern w:val="2"/>
                <w:szCs w:val="24"/>
                <w:highlight w:val="none"/>
                <w:lang w:val="en-US" w:eastAsia="zh-CN"/>
              </w:rPr>
              <w:t>4</w:t>
            </w:r>
            <w:r>
              <w:rPr>
                <w:rFonts w:hint="default" w:cs="Times New Roman"/>
                <w:b/>
                <w:bCs/>
                <w:color w:val="auto"/>
                <w:kern w:val="2"/>
                <w:szCs w:val="24"/>
                <w:highlight w:val="none"/>
              </w:rPr>
              <w:t>区域环境敏感性</w:t>
            </w:r>
          </w:p>
          <w:p w14:paraId="470967A1">
            <w:pPr>
              <w:keepNext w:val="0"/>
              <w:keepLines w:val="0"/>
              <w:pageBreakBefore w:val="0"/>
              <w:widowControl w:val="0"/>
              <w:suppressLineNumbers w:val="0"/>
              <w:kinsoku/>
              <w:wordWrap/>
              <w:overflowPunct/>
              <w:topLinePunct/>
              <w:autoSpaceDE/>
              <w:autoSpaceDN/>
              <w:bidi w:val="0"/>
              <w:spacing w:before="0" w:beforeAutospacing="0" w:after="0" w:afterAutospacing="0" w:line="480" w:lineRule="exact"/>
              <w:ind w:left="0" w:right="0" w:firstLine="480" w:firstLineChars="200"/>
              <w:textAlignment w:val="auto"/>
              <w:rPr>
                <w:rFonts w:hint="eastAsia" w:cs="Times New Roman"/>
                <w:color w:val="auto"/>
                <w:szCs w:val="24"/>
                <w:highlight w:val="none"/>
              </w:rPr>
            </w:pPr>
            <w:r>
              <w:rPr>
                <w:rFonts w:hint="default" w:cs="Times New Roman"/>
                <w:color w:val="auto"/>
                <w:szCs w:val="24"/>
                <w:highlight w:val="none"/>
              </w:rPr>
              <w:t>厂址附近无国家及省级确定的风景名胜区、历史遗迹等保护区，不属于敏感区。厂址所占用土地为工业用地，</w:t>
            </w:r>
            <w:r>
              <w:rPr>
                <w:rFonts w:hint="eastAsia" w:cs="宋体"/>
                <w:color w:val="auto"/>
                <w:highlight w:val="none"/>
                <w:lang w:val="en-US" w:eastAsia="zh-CN"/>
              </w:rPr>
              <w:t>厂区四周均为其他工业企业厂房</w:t>
            </w:r>
            <w:r>
              <w:rPr>
                <w:rFonts w:hint="eastAsia" w:cs="Times New Roman"/>
                <w:color w:val="auto"/>
                <w:kern w:val="2"/>
                <w:szCs w:val="24"/>
                <w:highlight w:val="none"/>
              </w:rPr>
              <w:t>。</w:t>
            </w:r>
            <w:r>
              <w:rPr>
                <w:rFonts w:hint="default" w:cs="Times New Roman"/>
                <w:color w:val="auto"/>
                <w:szCs w:val="24"/>
                <w:highlight w:val="none"/>
              </w:rPr>
              <w:t>区域内无特殊的具有自然观赏价值较高的景观，也不属于土地荒漠化地区。</w:t>
            </w:r>
            <w:r>
              <w:rPr>
                <w:rFonts w:hint="eastAsia" w:cs="Times New Roman"/>
                <w:color w:val="auto"/>
                <w:szCs w:val="24"/>
                <w:highlight w:val="none"/>
              </w:rPr>
              <w:t>本项目</w:t>
            </w:r>
            <w:r>
              <w:rPr>
                <w:rFonts w:hint="eastAsia" w:cs="Times New Roman"/>
                <w:color w:val="auto"/>
                <w:szCs w:val="24"/>
                <w:highlight w:val="none"/>
                <w:lang w:val="en-US" w:eastAsia="zh-CN"/>
              </w:rPr>
              <w:t>生产废水以及生活污水排入一体化污水处理设备，处理达标后排入园区下水管网</w:t>
            </w:r>
            <w:r>
              <w:rPr>
                <w:rFonts w:hint="eastAsia" w:cs="Times New Roman"/>
                <w:color w:val="auto"/>
                <w:szCs w:val="24"/>
                <w:highlight w:val="none"/>
              </w:rPr>
              <w:t>，与地表水体无水力联系。不涉及饮用水源保护区等地表水、地下水等环境敏感区域，因此本项目在风险可接受程度内。</w:t>
            </w:r>
          </w:p>
          <w:p w14:paraId="75AC8895">
            <w:pPr>
              <w:keepNext w:val="0"/>
              <w:keepLines w:val="0"/>
              <w:pageBreakBefore w:val="0"/>
              <w:widowControl w:val="0"/>
              <w:suppressLineNumbers w:val="0"/>
              <w:kinsoku/>
              <w:wordWrap/>
              <w:overflowPunct/>
              <w:topLinePunct/>
              <w:autoSpaceDE/>
              <w:autoSpaceDN/>
              <w:bidi w:val="0"/>
              <w:spacing w:before="0" w:beforeAutospacing="0" w:after="0" w:afterAutospacing="0" w:line="480" w:lineRule="exact"/>
              <w:ind w:left="0" w:right="0" w:firstLine="480" w:firstLineChars="200"/>
              <w:textAlignment w:val="auto"/>
              <w:rPr>
                <w:rFonts w:hint="eastAsia" w:cs="Times New Roman"/>
                <w:color w:val="auto"/>
                <w:szCs w:val="24"/>
                <w:highlight w:val="none"/>
              </w:rPr>
            </w:pPr>
            <w:r>
              <w:rPr>
                <w:rFonts w:hint="default" w:cs="Times New Roman"/>
                <w:color w:val="auto"/>
                <w:szCs w:val="24"/>
                <w:highlight w:val="none"/>
              </w:rPr>
              <w:t>综上所述，按</w:t>
            </w:r>
            <w:r>
              <w:rPr>
                <w:rFonts w:hint="eastAsia" w:cs="Times New Roman"/>
                <w:color w:val="auto"/>
                <w:szCs w:val="24"/>
                <w:highlight w:val="none"/>
                <w:lang w:val="en-US" w:eastAsia="zh-CN"/>
              </w:rPr>
              <w:t>中华人民共和国生态环境部</w:t>
            </w:r>
            <w:r>
              <w:rPr>
                <w:rFonts w:hint="default" w:cs="Times New Roman"/>
                <w:color w:val="auto"/>
                <w:szCs w:val="24"/>
                <w:highlight w:val="none"/>
              </w:rPr>
              <w:t>制定的《建设项目环境影响评价分类管理名录》中关于环境敏感因素的界定原则，经调查本项目选址地区不属于特殊保护地区、社会关注区和特殊地貌景观区，也无重点保护生态品种及濒危生物物种，文物古迹等，区域环境敏感因素较少。</w:t>
            </w:r>
            <w:r>
              <w:rPr>
                <w:rFonts w:hint="eastAsia" w:cs="Times New Roman"/>
                <w:color w:val="auto"/>
                <w:szCs w:val="24"/>
                <w:highlight w:val="none"/>
              </w:rPr>
              <w:t>项目区周边</w:t>
            </w:r>
            <w:r>
              <w:rPr>
                <w:rFonts w:hint="eastAsia" w:cs="Times New Roman"/>
                <w:color w:val="auto"/>
                <w:szCs w:val="24"/>
                <w:highlight w:val="none"/>
                <w:lang w:val="en-US" w:eastAsia="zh-CN"/>
              </w:rPr>
              <w:t>均为其他工业企业厂房</w:t>
            </w:r>
            <w:r>
              <w:rPr>
                <w:rFonts w:hint="eastAsia" w:cs="Times New Roman"/>
                <w:color w:val="auto"/>
                <w:szCs w:val="24"/>
                <w:highlight w:val="none"/>
              </w:rPr>
              <w:t>，无居民点分布。周边关系见项目周边关系图。</w:t>
            </w:r>
          </w:p>
          <w:p w14:paraId="2CA904CA">
            <w:pPr>
              <w:keepNext w:val="0"/>
              <w:keepLines w:val="0"/>
              <w:pageBreakBefore w:val="0"/>
              <w:widowControl w:val="0"/>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default" w:cs="宋体"/>
                <w:snapToGrid w:val="0"/>
                <w:color w:val="auto"/>
                <w:sz w:val="24"/>
                <w:szCs w:val="21"/>
                <w:lang w:val="en-US" w:eastAsia="zh-CN" w:bidi="ar-SA"/>
              </w:rPr>
            </w:pPr>
            <w:r>
              <w:rPr>
                <w:rFonts w:hint="eastAsia" w:cs="Times New Roman"/>
                <w:color w:val="auto"/>
                <w:szCs w:val="24"/>
                <w:highlight w:val="none"/>
                <w:lang w:val="en-US" w:eastAsia="zh-CN"/>
              </w:rPr>
              <w:t>综上所述，本项目选址合理。</w:t>
            </w:r>
          </w:p>
          <w:p w14:paraId="7BEEEA85">
            <w:pPr>
              <w:pageBreakBefore w:val="0"/>
              <w:widowControl w:val="0"/>
              <w:kinsoku/>
              <w:wordWrap/>
              <w:overflowPunct/>
              <w:topLinePunct w:val="0"/>
              <w:autoSpaceDE/>
              <w:autoSpaceDN/>
              <w:bidi w:val="0"/>
              <w:adjustRightInd w:val="0"/>
              <w:snapToGrid w:val="0"/>
              <w:spacing w:before="0" w:after="0" w:line="360" w:lineRule="auto"/>
              <w:ind w:right="0"/>
              <w:jc w:val="both"/>
              <w:textAlignment w:val="auto"/>
              <w:rPr>
                <w:rFonts w:hint="eastAsia" w:cs="宋体"/>
                <w:snapToGrid w:val="0"/>
                <w:color w:val="auto"/>
                <w:sz w:val="24"/>
                <w:szCs w:val="21"/>
                <w:lang w:val="en-US" w:eastAsia="zh-CN" w:bidi="ar-SA"/>
              </w:rPr>
            </w:pPr>
          </w:p>
          <w:p w14:paraId="40B49F3D">
            <w:pPr>
              <w:pageBreakBefore w:val="0"/>
              <w:widowControl w:val="0"/>
              <w:kinsoku/>
              <w:wordWrap/>
              <w:overflowPunct/>
              <w:topLinePunct w:val="0"/>
              <w:autoSpaceDE/>
              <w:autoSpaceDN/>
              <w:bidi w:val="0"/>
              <w:adjustRightInd w:val="0"/>
              <w:snapToGrid w:val="0"/>
              <w:spacing w:before="0" w:after="0" w:line="360" w:lineRule="auto"/>
              <w:ind w:right="0"/>
              <w:jc w:val="both"/>
              <w:textAlignment w:val="auto"/>
              <w:rPr>
                <w:rFonts w:hint="eastAsia" w:cs="宋体"/>
                <w:snapToGrid w:val="0"/>
                <w:color w:val="auto"/>
                <w:sz w:val="24"/>
                <w:szCs w:val="21"/>
                <w:lang w:val="en-US" w:eastAsia="zh-CN" w:bidi="ar-SA"/>
              </w:rPr>
            </w:pPr>
          </w:p>
          <w:p w14:paraId="66CC0573">
            <w:pPr>
              <w:pageBreakBefore w:val="0"/>
              <w:widowControl w:val="0"/>
              <w:kinsoku/>
              <w:wordWrap/>
              <w:overflowPunct/>
              <w:topLinePunct w:val="0"/>
              <w:autoSpaceDE/>
              <w:autoSpaceDN/>
              <w:bidi w:val="0"/>
              <w:adjustRightInd w:val="0"/>
              <w:snapToGrid w:val="0"/>
              <w:spacing w:before="0" w:after="0" w:line="360" w:lineRule="auto"/>
              <w:ind w:right="0"/>
              <w:jc w:val="both"/>
              <w:textAlignment w:val="auto"/>
              <w:rPr>
                <w:rFonts w:hint="eastAsia" w:cs="宋体"/>
                <w:snapToGrid w:val="0"/>
                <w:color w:val="auto"/>
                <w:sz w:val="24"/>
                <w:szCs w:val="21"/>
                <w:lang w:val="en-US" w:eastAsia="zh-CN" w:bidi="ar-SA"/>
              </w:rPr>
            </w:pPr>
          </w:p>
          <w:p w14:paraId="03A30B61">
            <w:pPr>
              <w:pageBreakBefore w:val="0"/>
              <w:widowControl w:val="0"/>
              <w:kinsoku/>
              <w:wordWrap/>
              <w:overflowPunct/>
              <w:topLinePunct w:val="0"/>
              <w:autoSpaceDE/>
              <w:autoSpaceDN/>
              <w:bidi w:val="0"/>
              <w:adjustRightInd w:val="0"/>
              <w:snapToGrid w:val="0"/>
              <w:spacing w:before="0" w:after="0" w:line="360" w:lineRule="auto"/>
              <w:ind w:right="0"/>
              <w:jc w:val="both"/>
              <w:textAlignment w:val="auto"/>
              <w:rPr>
                <w:rFonts w:hint="eastAsia" w:ascii="Times New Roman" w:hAnsi="Times New Roman" w:eastAsia="宋体" w:cs="宋体"/>
                <w:snapToGrid w:val="0"/>
                <w:color w:val="auto"/>
                <w:sz w:val="24"/>
                <w:szCs w:val="21"/>
                <w:lang w:val="en-US" w:eastAsia="zh-CN" w:bidi="ar-SA"/>
              </w:rPr>
            </w:pPr>
          </w:p>
        </w:tc>
      </w:tr>
    </w:tbl>
    <w:p w14:paraId="5A16FDF5">
      <w:pPr>
        <w:widowControl w:val="0"/>
        <w:numPr>
          <w:ilvl w:val="0"/>
          <w:numId w:val="2"/>
        </w:numPr>
        <w:overflowPunct w:val="0"/>
        <w:autoSpaceDE w:val="0"/>
        <w:autoSpaceDN w:val="0"/>
        <w:bidi w:val="0"/>
        <w:adjustRightInd w:val="0"/>
        <w:snapToGrid w:val="0"/>
        <w:spacing w:before="0" w:after="0" w:line="560" w:lineRule="exact"/>
        <w:ind w:left="0" w:leftChars="0" w:right="0" w:rightChars="0" w:firstLine="0" w:firstLineChars="0"/>
        <w:jc w:val="center"/>
        <w:outlineLvl w:val="0"/>
        <w:rPr>
          <w:rFonts w:hint="eastAsia" w:ascii="Times New Roman" w:hAnsi="Times New Roman" w:eastAsia="宋体" w:cs="宋体"/>
          <w:b/>
          <w:color w:val="auto"/>
          <w:kern w:val="44"/>
          <w:sz w:val="28"/>
          <w:szCs w:val="22"/>
          <w:lang w:val="en-US" w:eastAsia="zh-CN" w:bidi="ar-SA"/>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630CE31">
      <w:pPr>
        <w:widowControl w:val="0"/>
        <w:numPr>
          <w:ilvl w:val="0"/>
          <w:numId w:val="2"/>
        </w:numPr>
        <w:overflowPunct w:val="0"/>
        <w:autoSpaceDE w:val="0"/>
        <w:autoSpaceDN w:val="0"/>
        <w:bidi w:val="0"/>
        <w:adjustRightInd w:val="0"/>
        <w:snapToGrid w:val="0"/>
        <w:spacing w:before="0" w:after="0" w:line="560" w:lineRule="exact"/>
        <w:ind w:left="0" w:leftChars="0" w:right="0" w:rightChars="0" w:firstLine="0" w:firstLineChars="0"/>
        <w:jc w:val="center"/>
        <w:outlineLvl w:val="0"/>
        <w:rPr>
          <w:rFonts w:hint="eastAsia" w:ascii="Times New Roman" w:hAnsi="Times New Roman" w:eastAsia="宋体" w:cs="宋体"/>
          <w:b/>
          <w:color w:val="auto"/>
          <w:kern w:val="44"/>
          <w:sz w:val="28"/>
          <w:szCs w:val="22"/>
          <w:lang w:val="en-US" w:eastAsia="zh-CN" w:bidi="ar-SA"/>
        </w:rPr>
      </w:pPr>
      <w:bookmarkStart w:id="4" w:name="_Toc10854"/>
      <w:r>
        <w:rPr>
          <w:rFonts w:hint="eastAsia" w:ascii="Times New Roman" w:hAnsi="Times New Roman" w:eastAsia="宋体" w:cs="宋体"/>
          <w:b/>
          <w:color w:val="auto"/>
          <w:kern w:val="44"/>
          <w:sz w:val="28"/>
          <w:szCs w:val="22"/>
          <w:lang w:val="en-US" w:eastAsia="zh-CN" w:bidi="ar-SA"/>
        </w:rPr>
        <w:t>建设项目工程分析</w:t>
      </w:r>
      <w:bookmarkEnd w:id="4"/>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50"/>
      </w:tblGrid>
      <w:tr w14:paraId="1D0C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3" w:hRule="atLeast"/>
          <w:jc w:val="center"/>
        </w:trPr>
        <w:tc>
          <w:tcPr>
            <w:tcW w:w="811" w:type="dxa"/>
            <w:vAlign w:val="center"/>
          </w:tcPr>
          <w:p w14:paraId="4114DE08">
            <w:pPr>
              <w:numPr>
                <w:ilvl w:val="0"/>
                <w:numId w:val="0"/>
              </w:numPr>
              <w:overflowPunct w:val="0"/>
              <w:autoSpaceDE w:val="0"/>
              <w:autoSpaceDN w:val="0"/>
              <w:adjustRightInd w:val="0"/>
              <w:snapToGrid w:val="0"/>
              <w:spacing w:before="0" w:after="0" w:line="500" w:lineRule="exact"/>
              <w:ind w:right="0" w:rightChars="0"/>
              <w:jc w:val="both"/>
              <w:rPr>
                <w:rFonts w:hint="default" w:ascii="Times New Roman" w:hAnsi="Times New Roman" w:eastAsia="宋体" w:cs="宋体"/>
                <w:color w:val="auto"/>
                <w:vertAlign w:val="baseline"/>
                <w:lang w:val="en-US" w:eastAsia="zh-CN"/>
              </w:rPr>
            </w:pPr>
            <w:r>
              <w:rPr>
                <w:rFonts w:hint="eastAsia" w:ascii="宋体" w:hAnsi="宋体" w:eastAsia="宋体" w:cs="宋体"/>
                <w:color w:val="auto"/>
                <w:sz w:val="24"/>
                <w:szCs w:val="24"/>
                <w:lang w:val="en-US" w:eastAsia="zh-CN" w:bidi="ar-SA"/>
              </w:rPr>
              <w:t>建设内容</w:t>
            </w:r>
          </w:p>
        </w:tc>
        <w:tc>
          <w:tcPr>
            <w:tcW w:w="7711" w:type="dxa"/>
            <w:vAlign w:val="top"/>
          </w:tcPr>
          <w:p w14:paraId="465EE2D5">
            <w:pPr>
              <w:keepNext w:val="0"/>
              <w:keepLines w:val="0"/>
              <w:pageBreakBefore w:val="0"/>
              <w:widowControl w:val="0"/>
              <w:kinsoku/>
              <w:wordWrap/>
              <w:overflowPunct w:val="0"/>
              <w:topLinePunct w:val="0"/>
              <w:autoSpaceDE w:val="0"/>
              <w:autoSpaceDN w:val="0"/>
              <w:bidi w:val="0"/>
              <w:adjustRightInd w:val="0"/>
              <w:snapToGrid w:val="0"/>
              <w:spacing w:after="0" w:line="500" w:lineRule="exact"/>
              <w:ind w:right="0"/>
              <w:jc w:val="left"/>
              <w:textAlignment w:val="auto"/>
              <w:outlineLvl w:val="1"/>
              <w:rPr>
                <w:rFonts w:hint="default"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1、</w:t>
            </w:r>
            <w:r>
              <w:rPr>
                <w:rFonts w:hint="eastAsia" w:ascii="Times New Roman" w:hAnsi="Times New Roman" w:eastAsia="宋体" w:cs="黑体"/>
                <w:b/>
                <w:color w:val="auto"/>
                <w:sz w:val="28"/>
                <w:szCs w:val="30"/>
                <w:lang w:val="en-US" w:eastAsia="zh-CN" w:bidi="ar-SA"/>
              </w:rPr>
              <w:t>项目</w:t>
            </w:r>
            <w:r>
              <w:rPr>
                <w:rFonts w:hint="eastAsia" w:cs="黑体"/>
                <w:b/>
                <w:color w:val="auto"/>
                <w:sz w:val="28"/>
                <w:szCs w:val="30"/>
                <w:lang w:val="en-US" w:eastAsia="zh-CN" w:bidi="ar-SA"/>
              </w:rPr>
              <w:t>由来</w:t>
            </w:r>
          </w:p>
          <w:p w14:paraId="1C824F3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rPr>
            </w:pPr>
            <w:r>
              <w:rPr>
                <w:rFonts w:hint="eastAsia" w:cs="Times New Roman"/>
                <w:color w:val="auto"/>
                <w:lang w:val="en-US" w:eastAsia="zh-CN"/>
              </w:rPr>
              <w:t>胡杨河东智果业有限公司于2024年03月28日成立，经营范围：一般项目:农产品的生产、销售、加工、运输、贮藏及其他相关服务(除依法须经批准的项目外，凭营业执照依法自主开展经营活动)许可项目:食品销售，饮料生产，食品添加剂生产(依法须经批准的项目，经相关部门批准后方可开展经营活动，具体经营项目以相关部门批准文件或许可证件为准)。</w:t>
            </w:r>
            <w:r>
              <w:rPr>
                <w:rFonts w:hint="default" w:ascii="Times New Roman" w:hAnsi="Times New Roman" w:eastAsia="宋体" w:cs="Times New Roman"/>
                <w:color w:val="auto"/>
              </w:rPr>
              <w:t>2</w:t>
            </w:r>
            <w:r>
              <w:rPr>
                <w:rFonts w:hint="default" w:ascii="Times New Roman" w:hAnsi="Times New Roman" w:eastAsia="宋体" w:cs="Times New Roman"/>
                <w:snapToGrid w:val="0"/>
                <w:color w:val="auto"/>
                <w:kern w:val="0"/>
              </w:rPr>
              <w:t>02</w:t>
            </w:r>
            <w:r>
              <w:rPr>
                <w:rFonts w:hint="eastAsia" w:cs="Times New Roman"/>
                <w:snapToGrid w:val="0"/>
                <w:color w:val="auto"/>
                <w:kern w:val="0"/>
                <w:lang w:val="en-US" w:eastAsia="zh-CN"/>
              </w:rPr>
              <w:t>4</w:t>
            </w:r>
            <w:r>
              <w:rPr>
                <w:rFonts w:hint="default" w:ascii="Times New Roman" w:hAnsi="Times New Roman" w:eastAsia="宋体" w:cs="Times New Roman"/>
                <w:snapToGrid w:val="0"/>
                <w:color w:val="auto"/>
                <w:kern w:val="0"/>
              </w:rPr>
              <w:t>年</w:t>
            </w:r>
            <w:r>
              <w:rPr>
                <w:rFonts w:hint="eastAsia" w:cs="Times New Roman"/>
                <w:snapToGrid w:val="0"/>
                <w:color w:val="auto"/>
                <w:kern w:val="0"/>
                <w:lang w:val="en-US" w:eastAsia="zh-CN"/>
              </w:rPr>
              <w:t>7</w:t>
            </w:r>
            <w:r>
              <w:rPr>
                <w:rFonts w:hint="default" w:ascii="Times New Roman" w:hAnsi="Times New Roman" w:eastAsia="宋体" w:cs="Times New Roman"/>
                <w:snapToGrid w:val="0"/>
                <w:color w:val="auto"/>
                <w:kern w:val="0"/>
              </w:rPr>
              <w:t>月</w:t>
            </w:r>
            <w:r>
              <w:rPr>
                <w:rFonts w:hint="eastAsia" w:ascii="Times New Roman" w:hAnsi="Times New Roman" w:eastAsia="宋体" w:cs="Times New Roman"/>
                <w:color w:val="auto"/>
                <w:lang w:eastAsia="zh-CN"/>
              </w:rPr>
              <w:t>，</w:t>
            </w:r>
            <w:r>
              <w:rPr>
                <w:rFonts w:hint="eastAsia" w:cs="Times New Roman"/>
                <w:color w:val="auto"/>
                <w:lang w:eastAsia="zh-CN"/>
              </w:rPr>
              <w:t>胡杨河东智果业有限公司</w:t>
            </w:r>
            <w:r>
              <w:rPr>
                <w:rFonts w:hint="eastAsia" w:cs="Times New Roman"/>
                <w:color w:val="auto"/>
                <w:lang w:val="en-US" w:eastAsia="zh-CN"/>
              </w:rPr>
              <w:t>计划投资建设胡杨河东智果业有限公司年产7000吨浓缩葡萄计、葡萄果糖厂建设项目</w:t>
            </w:r>
            <w:r>
              <w:rPr>
                <w:rFonts w:hint="eastAsia" w:ascii="Times New Roman" w:hAnsi="Times New Roman" w:eastAsia="宋体" w:cs="Times New Roman"/>
                <w:color w:val="auto"/>
                <w:lang w:val="en-US" w:eastAsia="zh-CN"/>
              </w:rPr>
              <w:t>。</w:t>
            </w:r>
          </w:p>
          <w:p w14:paraId="62F2685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500" w:lineRule="exact"/>
              <w:ind w:leftChars="0" w:right="0" w:rightChars="0" w:firstLine="480" w:firstLineChars="200"/>
              <w:jc w:val="left"/>
              <w:textAlignment w:val="auto"/>
              <w:rPr>
                <w:rFonts w:hint="eastAsia" w:cs="Times New Roman"/>
                <w:color w:val="auto"/>
                <w:lang w:val="en-US" w:eastAsia="zh-CN"/>
              </w:rPr>
            </w:pPr>
            <w:r>
              <w:rPr>
                <w:rFonts w:hint="eastAsia" w:cs="Times New Roman"/>
                <w:color w:val="auto"/>
                <w:lang w:val="en-US" w:eastAsia="zh-CN"/>
              </w:rPr>
              <w:t>根据《中华人民共和国环境影响评价法》及《建设项目环境保护管理条例》（中华人民共和国国务院令第 682 号）中有关规定，本项目应进行环境影响评价。依据《建设项目环境影响评价分类管理名录》（2021 版），确定本项目类别为“十二、酒、饮料制造业15—26饮料制造152—原汁生产的；十、农副食品加工业13—制糖业134—其他（单纯分装的除外）因此，综合判定环评类别为“环境影响报告表”。</w:t>
            </w:r>
          </w:p>
          <w:p w14:paraId="77076888">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right="0"/>
              <w:jc w:val="left"/>
              <w:textAlignment w:val="auto"/>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2、</w:t>
            </w:r>
            <w:r>
              <w:rPr>
                <w:rFonts w:hint="eastAsia" w:ascii="Times New Roman" w:hAnsi="Times New Roman" w:eastAsia="宋体" w:cs="黑体"/>
                <w:b/>
                <w:color w:val="auto"/>
                <w:sz w:val="28"/>
                <w:szCs w:val="30"/>
                <w:lang w:val="en-US" w:eastAsia="zh-CN" w:bidi="ar-SA"/>
              </w:rPr>
              <w:t>项目概况</w:t>
            </w:r>
          </w:p>
          <w:p w14:paraId="48C1906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60" w:lineRule="auto"/>
              <w:ind w:right="0" w:rightChars="0" w:firstLine="48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项目名称：</w:t>
            </w:r>
            <w:r>
              <w:rPr>
                <w:rFonts w:hint="eastAsia" w:cs="Times New Roman"/>
                <w:color w:val="auto"/>
                <w:lang w:val="en-US" w:eastAsia="zh-CN"/>
              </w:rPr>
              <w:t>胡杨河东智果业有限公司年产7000吨浓缩葡萄计、葡萄果糖厂建设项目</w:t>
            </w:r>
          </w:p>
          <w:p w14:paraId="4DB7555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0" w:after="0" w:line="360" w:lineRule="auto"/>
              <w:ind w:leftChars="200" w:right="0" w:rightChars="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（2）建设单位：</w:t>
            </w:r>
            <w:r>
              <w:rPr>
                <w:rFonts w:hint="eastAsia" w:cs="Times New Roman"/>
                <w:color w:val="auto"/>
                <w:lang w:val="en-US" w:eastAsia="zh-CN"/>
              </w:rPr>
              <w:t>胡杨河东智果业有限公司</w:t>
            </w:r>
          </w:p>
          <w:p w14:paraId="7353041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Times New Roman"/>
                <w:color w:val="auto"/>
                <w:lang w:val="en-US" w:eastAsia="zh-CN"/>
              </w:rPr>
            </w:pPr>
            <w:bookmarkStart w:id="5" w:name="_Toc287434123"/>
            <w:bookmarkStart w:id="6" w:name="_Toc287433921"/>
            <w:bookmarkStart w:id="7" w:name="_Toc287433051"/>
            <w:r>
              <w:rPr>
                <w:rFonts w:hint="default" w:ascii="Times New Roman" w:hAnsi="Times New Roman" w:eastAsia="宋体" w:cs="Times New Roman"/>
                <w:color w:val="auto"/>
                <w:lang w:val="en-US" w:eastAsia="zh-CN"/>
              </w:rPr>
              <w:t>（3）项目性质</w:t>
            </w:r>
            <w:bookmarkEnd w:id="5"/>
            <w:bookmarkEnd w:id="6"/>
            <w:bookmarkEnd w:id="7"/>
            <w:r>
              <w:rPr>
                <w:rFonts w:hint="default" w:ascii="Times New Roman" w:hAnsi="Times New Roman" w:eastAsia="宋体" w:cs="Times New Roman"/>
                <w:color w:val="auto"/>
                <w:lang w:val="en-US" w:eastAsia="zh-CN"/>
              </w:rPr>
              <w:t>：</w:t>
            </w:r>
            <w:r>
              <w:rPr>
                <w:rFonts w:hint="eastAsia" w:cs="Times New Roman"/>
                <w:color w:val="auto"/>
                <w:lang w:val="en-US" w:eastAsia="zh-CN"/>
              </w:rPr>
              <w:t>新建</w:t>
            </w:r>
          </w:p>
          <w:p w14:paraId="6F55EF11">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highlight w:val="none"/>
                <w:lang w:val="en-US" w:eastAsia="zh-CN"/>
              </w:rPr>
            </w:pPr>
            <w:bookmarkStart w:id="8" w:name="_Toc287433922"/>
            <w:bookmarkStart w:id="9" w:name="_Toc287434124"/>
            <w:bookmarkStart w:id="10" w:name="_Toc287433052"/>
            <w:r>
              <w:rPr>
                <w:rFonts w:hint="default" w:ascii="Times New Roman" w:hAnsi="Times New Roman" w:eastAsia="宋体" w:cs="Times New Roman"/>
                <w:color w:val="auto"/>
                <w:lang w:val="en-US" w:eastAsia="zh-CN"/>
              </w:rPr>
              <w:t>（4）建设地点</w:t>
            </w:r>
            <w:bookmarkEnd w:id="8"/>
            <w:bookmarkEnd w:id="9"/>
            <w:bookmarkEnd w:id="10"/>
            <w:r>
              <w:rPr>
                <w:rFonts w:hint="default" w:ascii="Times New Roman" w:hAnsi="Times New Roman" w:eastAsia="宋体" w:cs="Times New Roman"/>
                <w:color w:val="auto"/>
                <w:lang w:val="en-US" w:eastAsia="zh-CN"/>
              </w:rPr>
              <w:t>：本项</w:t>
            </w:r>
            <w:r>
              <w:rPr>
                <w:rFonts w:hint="default" w:ascii="Times New Roman" w:hAnsi="Times New Roman" w:eastAsia="宋体" w:cs="Times New Roman"/>
                <w:color w:val="auto"/>
                <w:highlight w:val="none"/>
                <w:lang w:val="en-US" w:eastAsia="zh-CN"/>
              </w:rPr>
              <w:t>目选址位于</w:t>
            </w:r>
            <w:r>
              <w:rPr>
                <w:rFonts w:hint="eastAsia" w:cs="Times New Roman"/>
                <w:color w:val="auto"/>
                <w:sz w:val="24"/>
                <w:szCs w:val="24"/>
                <w:highlight w:val="none"/>
                <w:lang w:val="en-US" w:eastAsia="zh-CN" w:bidi="ar-SA"/>
              </w:rPr>
              <w:t>新疆生产建设兵团第七师胡杨河市胡杨河经济技术开发区</w:t>
            </w:r>
            <w:r>
              <w:rPr>
                <w:rFonts w:hint="default" w:ascii="Times New Roman" w:hAnsi="Times New Roman" w:eastAsia="宋体" w:cs="Times New Roman"/>
                <w:color w:val="auto"/>
                <w:highlight w:val="none"/>
                <w:lang w:val="en-US" w:eastAsia="zh-CN"/>
              </w:rPr>
              <w:t>，场界中心地理坐标为：</w:t>
            </w:r>
            <w:r>
              <w:rPr>
                <w:rFonts w:hint="eastAsia" w:cs="仿宋_GB2312"/>
                <w:color w:val="auto"/>
                <w:sz w:val="24"/>
                <w:szCs w:val="24"/>
                <w:highlight w:val="none"/>
                <w:shd w:val="clear" w:color="auto" w:fill="auto"/>
                <w:lang w:val="en-US" w:eastAsia="zh-CN"/>
              </w:rPr>
              <w:t>E：</w:t>
            </w:r>
            <w:r>
              <w:rPr>
                <w:rFonts w:hint="eastAsia" w:ascii="宋体" w:hAnsi="宋体" w:cs="宋体"/>
                <w:b/>
                <w:color w:val="auto"/>
                <w:sz w:val="24"/>
                <w:szCs w:val="24"/>
                <w:highlight w:val="none"/>
                <w:shd w:val="clear" w:color="auto" w:fill="auto"/>
                <w:lang w:val="en-US" w:eastAsia="zh-CN"/>
              </w:rPr>
              <w:t>84°55′35.425″</w:t>
            </w:r>
            <w:r>
              <w:rPr>
                <w:rFonts w:hint="eastAsia" w:cs="仿宋_GB2312"/>
                <w:color w:val="auto"/>
                <w:sz w:val="24"/>
                <w:szCs w:val="24"/>
                <w:highlight w:val="none"/>
                <w:shd w:val="clear" w:color="auto" w:fill="auto"/>
              </w:rPr>
              <w:t>，</w:t>
            </w:r>
            <w:r>
              <w:rPr>
                <w:rFonts w:hint="eastAsia" w:cs="仿宋_GB2312"/>
                <w:color w:val="auto"/>
                <w:sz w:val="24"/>
                <w:szCs w:val="24"/>
                <w:highlight w:val="none"/>
                <w:shd w:val="clear" w:color="auto" w:fill="auto"/>
                <w:lang w:val="en-US" w:eastAsia="zh-CN"/>
              </w:rPr>
              <w:t>N：</w:t>
            </w:r>
            <w:r>
              <w:rPr>
                <w:rFonts w:hint="eastAsia" w:ascii="宋体" w:hAnsi="宋体" w:cs="宋体"/>
                <w:b/>
                <w:color w:val="auto"/>
                <w:sz w:val="24"/>
                <w:szCs w:val="24"/>
                <w:highlight w:val="none"/>
                <w:shd w:val="clear" w:color="auto" w:fill="auto"/>
                <w:lang w:val="en-US" w:eastAsia="zh-CN"/>
              </w:rPr>
              <w:t>44°44′34.125″</w:t>
            </w:r>
            <w:r>
              <w:rPr>
                <w:rFonts w:hint="default" w:ascii="Times New Roman" w:hAnsi="Times New Roman" w:eastAsia="宋体" w:cs="Times New Roman"/>
                <w:color w:val="auto"/>
                <w:highlight w:val="none"/>
                <w:lang w:val="en-US" w:eastAsia="zh-CN"/>
              </w:rPr>
              <w:t>。本项目地理位置图见图</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p>
          <w:p w14:paraId="069F2D97">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eastAsia" w:ascii="Times New Roman" w:hAnsi="Times New Roman" w:eastAsia="宋体" w:cs="宋体"/>
                <w:color w:val="auto"/>
                <w:highlight w:val="none"/>
                <w:lang w:val="en-US" w:eastAsia="zh-CN"/>
              </w:rPr>
            </w:pPr>
            <w:bookmarkStart w:id="11" w:name="_Toc287434125"/>
            <w:bookmarkStart w:id="12" w:name="_Toc287433923"/>
            <w:bookmarkStart w:id="13" w:name="_Toc287433053"/>
            <w:r>
              <w:rPr>
                <w:rFonts w:hint="eastAsia" w:ascii="Times New Roman" w:hAnsi="Times New Roman" w:eastAsia="宋体" w:cs="宋体"/>
                <w:color w:val="auto"/>
                <w:highlight w:val="none"/>
                <w:lang w:val="en-US" w:eastAsia="zh-CN"/>
              </w:rPr>
              <w:t>（5）项目投资</w:t>
            </w:r>
            <w:bookmarkEnd w:id="11"/>
            <w:bookmarkEnd w:id="12"/>
            <w:bookmarkEnd w:id="13"/>
            <w:r>
              <w:rPr>
                <w:rFonts w:hint="eastAsia" w:ascii="Times New Roman" w:hAnsi="Times New Roman" w:eastAsia="宋体" w:cs="宋体"/>
                <w:color w:val="auto"/>
                <w:highlight w:val="none"/>
                <w:lang w:val="en-US" w:eastAsia="zh-CN"/>
              </w:rPr>
              <w:t>：项目总投资</w:t>
            </w:r>
            <w:r>
              <w:rPr>
                <w:rFonts w:hint="eastAsia" w:cs="宋体"/>
                <w:color w:val="auto"/>
                <w:highlight w:val="none"/>
                <w:lang w:val="en-US" w:eastAsia="zh-CN"/>
              </w:rPr>
              <w:t>5000</w:t>
            </w:r>
            <w:r>
              <w:rPr>
                <w:rFonts w:hint="eastAsia" w:ascii="Times New Roman" w:hAnsi="Times New Roman" w:eastAsia="宋体" w:cs="宋体"/>
                <w:color w:val="auto"/>
                <w:highlight w:val="none"/>
                <w:lang w:val="en-US" w:eastAsia="zh-CN"/>
              </w:rPr>
              <w:t>万元，均为企业自有资金。</w:t>
            </w:r>
          </w:p>
          <w:p w14:paraId="7744A17B">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b w:val="0"/>
                <w:bCs w:val="0"/>
                <w:color w:val="auto"/>
                <w:highlight w:val="none"/>
                <w:lang w:val="en-US" w:eastAsia="zh-CN"/>
              </w:rPr>
            </w:pPr>
            <w:r>
              <w:rPr>
                <w:rFonts w:hint="eastAsia" w:ascii="Times New Roman" w:hAnsi="Times New Roman" w:eastAsia="宋体" w:cs="宋体"/>
                <w:b w:val="0"/>
                <w:bCs w:val="0"/>
                <w:color w:val="auto"/>
                <w:highlight w:val="none"/>
                <w:lang w:val="en-US" w:eastAsia="zh-CN"/>
              </w:rPr>
              <w:t>（6）组织结构及生产制度；年操作时间按</w:t>
            </w:r>
            <w:r>
              <w:rPr>
                <w:rFonts w:hint="eastAsia" w:cs="宋体"/>
                <w:b w:val="0"/>
                <w:bCs w:val="0"/>
                <w:color w:val="auto"/>
                <w:highlight w:val="none"/>
                <w:lang w:val="en-US" w:eastAsia="zh-CN"/>
              </w:rPr>
              <w:t>180</w:t>
            </w:r>
            <w:r>
              <w:rPr>
                <w:rFonts w:hint="eastAsia" w:ascii="Times New Roman" w:hAnsi="Times New Roman" w:eastAsia="宋体" w:cs="宋体"/>
                <w:b w:val="0"/>
                <w:bCs w:val="0"/>
                <w:color w:val="auto"/>
                <w:highlight w:val="none"/>
                <w:lang w:val="en-US" w:eastAsia="zh-CN"/>
              </w:rPr>
              <w:t>天计，每天工作</w:t>
            </w:r>
            <w:r>
              <w:rPr>
                <w:rFonts w:hint="eastAsia" w:cs="宋体"/>
                <w:b w:val="0"/>
                <w:bCs w:val="0"/>
                <w:color w:val="auto"/>
                <w:highlight w:val="none"/>
                <w:lang w:val="en-US" w:eastAsia="zh-CN"/>
              </w:rPr>
              <w:t>24</w:t>
            </w:r>
            <w:r>
              <w:rPr>
                <w:rFonts w:hint="eastAsia" w:ascii="Times New Roman" w:hAnsi="Times New Roman" w:eastAsia="宋体" w:cs="宋体"/>
                <w:b w:val="0"/>
                <w:bCs w:val="0"/>
                <w:color w:val="auto"/>
                <w:highlight w:val="none"/>
                <w:lang w:val="en-US" w:eastAsia="zh-CN"/>
              </w:rPr>
              <w:t>小时。</w:t>
            </w:r>
          </w:p>
          <w:p w14:paraId="4849249E">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eastAsia" w:ascii="Times New Roman" w:hAnsi="Times New Roman" w:eastAsia="宋体" w:cs="宋体"/>
                <w:b w:val="0"/>
                <w:bCs w:val="0"/>
                <w:color w:val="auto"/>
                <w:lang w:val="en-US" w:eastAsia="zh-CN"/>
              </w:rPr>
            </w:pPr>
            <w:r>
              <w:rPr>
                <w:rFonts w:hint="eastAsia" w:ascii="Times New Roman" w:hAnsi="Times New Roman" w:eastAsia="宋体" w:cs="宋体"/>
                <w:b w:val="0"/>
                <w:bCs w:val="0"/>
                <w:color w:val="auto"/>
                <w:lang w:val="en-US" w:eastAsia="zh-CN"/>
              </w:rPr>
              <w:t>（7）劳动定员及人员培训：根据本项目生产管理的需要，本项目新增劳动</w:t>
            </w:r>
            <w:r>
              <w:rPr>
                <w:rFonts w:hint="eastAsia" w:cs="宋体"/>
                <w:b w:val="0"/>
                <w:bCs w:val="0"/>
                <w:color w:val="auto"/>
                <w:lang w:val="en-US" w:eastAsia="zh-CN"/>
              </w:rPr>
              <w:t>定员</w:t>
            </w:r>
            <w:r>
              <w:rPr>
                <w:rFonts w:hint="eastAsia" w:ascii="Times New Roman" w:hAnsi="Times New Roman" w:eastAsia="宋体" w:cs="宋体"/>
                <w:b w:val="0"/>
                <w:bCs w:val="0"/>
                <w:color w:val="auto"/>
                <w:lang w:val="en-US" w:eastAsia="zh-CN"/>
              </w:rPr>
              <w:t>为</w:t>
            </w:r>
            <w:r>
              <w:rPr>
                <w:rFonts w:hint="eastAsia" w:cs="宋体"/>
                <w:b w:val="0"/>
                <w:bCs w:val="0"/>
                <w:color w:val="auto"/>
                <w:lang w:val="en-US" w:eastAsia="zh-CN"/>
              </w:rPr>
              <w:t>40</w:t>
            </w:r>
            <w:r>
              <w:rPr>
                <w:rFonts w:hint="eastAsia" w:ascii="Times New Roman" w:hAnsi="Times New Roman" w:eastAsia="宋体" w:cs="宋体"/>
                <w:b w:val="0"/>
                <w:bCs w:val="0"/>
                <w:color w:val="auto"/>
                <w:lang w:val="en-US" w:eastAsia="zh-CN"/>
              </w:rPr>
              <w:t>人。</w:t>
            </w:r>
          </w:p>
          <w:p w14:paraId="1C84FE0C">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b w:val="0"/>
                <w:bCs w:val="0"/>
                <w:color w:val="auto"/>
                <w:lang w:val="en-US" w:eastAsia="zh-CN"/>
              </w:rPr>
            </w:pPr>
            <w:r>
              <w:rPr>
                <w:rFonts w:hint="eastAsia" w:ascii="Times New Roman" w:hAnsi="Times New Roman" w:eastAsia="宋体" w:cs="宋体"/>
                <w:b w:val="0"/>
                <w:bCs w:val="0"/>
                <w:color w:val="auto"/>
                <w:lang w:val="en-US" w:eastAsia="zh-CN"/>
              </w:rPr>
              <w:t>（8）用地情况：本项目用地</w:t>
            </w:r>
            <w:r>
              <w:rPr>
                <w:rFonts w:hint="eastAsia" w:cs="宋体"/>
                <w:b w:val="0"/>
                <w:bCs w:val="0"/>
                <w:color w:val="auto"/>
                <w:lang w:val="en-US" w:eastAsia="zh-CN"/>
              </w:rPr>
              <w:t>属性为工业用地，从第七师自然资源和规划局处挂牌出让获得。</w:t>
            </w:r>
          </w:p>
          <w:p w14:paraId="76663521">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default" w:ascii="Times New Roman" w:hAnsi="Times New Roman" w:eastAsia="宋体" w:cs="Times New Roman"/>
                <w:b/>
                <w:bCs/>
                <w:color w:val="auto"/>
                <w:sz w:val="28"/>
                <w:szCs w:val="30"/>
                <w:lang w:val="en-US" w:eastAsia="zh-CN" w:bidi="ar-SA"/>
              </w:rPr>
            </w:pPr>
            <w:bookmarkStart w:id="14" w:name="3、生产规模及内容"/>
            <w:bookmarkEnd w:id="14"/>
            <w:r>
              <w:rPr>
                <w:rFonts w:hint="eastAsia" w:cs="Times New Roman"/>
                <w:b/>
                <w:bCs/>
                <w:color w:val="auto"/>
                <w:sz w:val="28"/>
                <w:szCs w:val="30"/>
                <w:lang w:val="en-US" w:eastAsia="zh-CN" w:bidi="ar-SA"/>
              </w:rPr>
              <w:t>3、</w:t>
            </w:r>
            <w:r>
              <w:rPr>
                <w:rFonts w:hint="default" w:ascii="Times New Roman" w:hAnsi="Times New Roman" w:eastAsia="宋体" w:cs="Times New Roman"/>
                <w:b/>
                <w:bCs/>
                <w:color w:val="auto"/>
                <w:sz w:val="28"/>
                <w:szCs w:val="30"/>
                <w:lang w:val="en-US" w:eastAsia="zh-CN" w:bidi="ar-SA"/>
              </w:rPr>
              <w:t>建设内容</w:t>
            </w:r>
            <w:r>
              <w:rPr>
                <w:rFonts w:hint="eastAsia" w:ascii="Times New Roman" w:hAnsi="Times New Roman" w:eastAsia="宋体" w:cs="Times New Roman"/>
                <w:b/>
                <w:bCs/>
                <w:color w:val="auto"/>
                <w:sz w:val="28"/>
                <w:szCs w:val="30"/>
                <w:lang w:val="en-US" w:eastAsia="zh-CN" w:bidi="ar-SA"/>
              </w:rPr>
              <w:t xml:space="preserve"> </w:t>
            </w:r>
          </w:p>
          <w:p w14:paraId="0F92F2F3">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b w:val="0"/>
                <w:bCs w:val="0"/>
                <w:color w:val="auto"/>
                <w:lang w:val="en-US" w:eastAsia="zh-CN"/>
              </w:rPr>
            </w:pPr>
            <w:r>
              <w:rPr>
                <w:rFonts w:hint="default" w:ascii="Times New Roman" w:hAnsi="Times New Roman" w:eastAsia="宋体" w:cs="宋体"/>
                <w:b w:val="0"/>
                <w:bCs w:val="0"/>
                <w:color w:val="auto"/>
                <w:lang w:val="en-US" w:eastAsia="zh-CN"/>
              </w:rPr>
              <w:t>本项目总占地面积</w:t>
            </w:r>
            <w:r>
              <w:rPr>
                <w:rFonts w:hint="eastAsia" w:cs="Times New Roman"/>
                <w:color w:val="auto"/>
                <w:sz w:val="24"/>
                <w:szCs w:val="24"/>
                <w:lang w:val="en-US" w:eastAsia="zh-CN" w:bidi="ar-SA"/>
              </w:rPr>
              <w:t>14209.89</w:t>
            </w:r>
            <w:r>
              <w:rPr>
                <w:rFonts w:hint="default" w:ascii="Times New Roman" w:hAnsi="Times New Roman" w:eastAsia="宋体" w:cs="宋体"/>
                <w:b w:val="0"/>
                <w:bCs w:val="0"/>
                <w:color w:val="auto"/>
                <w:lang w:val="en-US" w:eastAsia="zh-CN"/>
              </w:rPr>
              <w:t>m</w:t>
            </w:r>
            <w:r>
              <w:rPr>
                <w:rFonts w:hint="default" w:ascii="Times New Roman" w:hAnsi="Times New Roman" w:eastAsia="宋体" w:cs="宋体"/>
                <w:b w:val="0"/>
                <w:bCs w:val="0"/>
                <w:color w:val="auto"/>
                <w:vertAlign w:val="superscript"/>
                <w:lang w:val="en-US" w:eastAsia="zh-CN"/>
              </w:rPr>
              <w:t>2</w:t>
            </w:r>
            <w:r>
              <w:rPr>
                <w:rFonts w:hint="default" w:ascii="Times New Roman" w:hAnsi="Times New Roman" w:eastAsia="宋体" w:cs="宋体"/>
                <w:b w:val="0"/>
                <w:bCs w:val="0"/>
                <w:color w:val="auto"/>
                <w:lang w:val="en-US" w:eastAsia="zh-CN"/>
              </w:rPr>
              <w:t>，主要建设内容为</w:t>
            </w:r>
            <w:r>
              <w:rPr>
                <w:rFonts w:hint="eastAsia" w:ascii="Times New Roman" w:hAnsi="Times New Roman" w:eastAsia="宋体" w:cs="宋体"/>
                <w:b w:val="0"/>
                <w:bCs w:val="0"/>
                <w:color w:val="auto"/>
                <w:lang w:val="en-US" w:eastAsia="zh-CN"/>
              </w:rPr>
              <w:t>：</w:t>
            </w:r>
            <w:r>
              <w:rPr>
                <w:rFonts w:hint="eastAsia" w:cs="宋体"/>
                <w:b w:val="0"/>
                <w:bCs w:val="0"/>
                <w:color w:val="auto"/>
                <w:lang w:val="en-US" w:eastAsia="zh-CN"/>
              </w:rPr>
              <w:t>生产车间1座，内含1条年产6500吨的果汁生产线，1条年产500吨葡萄果糖生产线；冷库1座；宿舍楼1座，污水处理站1座</w:t>
            </w:r>
            <w:r>
              <w:rPr>
                <w:rFonts w:hint="default" w:ascii="Times New Roman" w:hAnsi="Times New Roman" w:eastAsia="宋体" w:cs="宋体"/>
                <w:b w:val="0"/>
                <w:bCs w:val="0"/>
                <w:color w:val="auto"/>
                <w:lang w:val="en-US" w:eastAsia="zh-CN"/>
              </w:rPr>
              <w:t>。</w:t>
            </w:r>
          </w:p>
          <w:p w14:paraId="6C3E5677">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主要建设内容及建设情况见</w:t>
            </w:r>
            <w:r>
              <w:rPr>
                <w:rFonts w:hint="eastAsia" w:cs="Times New Roman"/>
                <w:b w:val="0"/>
                <w:bCs w:val="0"/>
                <w:color w:val="auto"/>
                <w:lang w:val="en-US" w:eastAsia="zh-CN"/>
              </w:rPr>
              <w:t>1</w:t>
            </w:r>
            <w:r>
              <w:rPr>
                <w:rFonts w:hint="default" w:ascii="Times New Roman" w:hAnsi="Times New Roman" w:eastAsia="宋体" w:cs="Times New Roman"/>
                <w:b w:val="0"/>
                <w:bCs w:val="0"/>
                <w:color w:val="auto"/>
                <w:lang w:val="en-US" w:eastAsia="zh-CN"/>
              </w:rPr>
              <w:t>.</w:t>
            </w:r>
            <w:r>
              <w:rPr>
                <w:rFonts w:hint="eastAsia" w:cs="Times New Roman"/>
                <w:b w:val="0"/>
                <w:bCs w:val="0"/>
                <w:color w:val="auto"/>
                <w:lang w:val="en-US" w:eastAsia="zh-CN"/>
              </w:rPr>
              <w:t>3</w:t>
            </w:r>
            <w:r>
              <w:rPr>
                <w:rFonts w:hint="default" w:ascii="Times New Roman" w:hAnsi="Times New Roman" w:eastAsia="宋体" w:cs="Times New Roman"/>
                <w:b w:val="0"/>
                <w:bCs w:val="0"/>
                <w:color w:val="auto"/>
                <w:lang w:val="en-US" w:eastAsia="zh-CN"/>
              </w:rPr>
              <w:t>-1。</w:t>
            </w:r>
          </w:p>
          <w:p w14:paraId="771B06D2">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0" w:firstLineChars="0"/>
              <w:jc w:val="center"/>
              <w:textAlignment w:val="auto"/>
              <w:rPr>
                <w:rFonts w:hint="eastAsia" w:ascii="Times New Roman" w:hAnsi="Times New Roman" w:eastAsia="宋体" w:cs="宋体"/>
                <w:b/>
                <w:color w:val="auto"/>
                <w:sz w:val="24"/>
                <w:szCs w:val="24"/>
                <w:lang w:val="en-US" w:eastAsia="zh-CN" w:bidi="ar-SA"/>
              </w:rPr>
            </w:pPr>
            <w:r>
              <w:rPr>
                <w:rFonts w:ascii="Times New Roman" w:hAnsi="Times New Roman" w:eastAsia="宋体" w:cs="宋体"/>
                <w:b/>
                <w:color w:val="auto"/>
                <w:sz w:val="24"/>
                <w:szCs w:val="24"/>
                <w:lang w:val="en-US" w:eastAsia="zh-CN" w:bidi="ar-SA"/>
              </w:rPr>
              <w:t>表</w:t>
            </w:r>
            <w:r>
              <w:rPr>
                <w:rFonts w:hint="eastAsia" w:cs="宋体"/>
                <w:b/>
                <w:color w:val="auto"/>
                <w:sz w:val="24"/>
                <w:szCs w:val="24"/>
                <w:lang w:val="en-US" w:eastAsia="zh-CN" w:bidi="ar-SA"/>
              </w:rPr>
              <w:t>1</w:t>
            </w:r>
            <w:r>
              <w:rPr>
                <w:rFonts w:hint="eastAsia" w:ascii="Times New Roman" w:hAnsi="Times New Roman" w:eastAsia="宋体" w:cs="宋体"/>
                <w:b/>
                <w:color w:val="auto"/>
                <w:sz w:val="24"/>
                <w:szCs w:val="24"/>
                <w:lang w:val="en-US" w:eastAsia="zh-CN" w:bidi="ar-SA"/>
              </w:rPr>
              <w:t>.</w:t>
            </w:r>
            <w:r>
              <w:rPr>
                <w:rFonts w:hint="eastAsia" w:cs="宋体"/>
                <w:b/>
                <w:color w:val="auto"/>
                <w:sz w:val="24"/>
                <w:szCs w:val="24"/>
                <w:lang w:val="en-US" w:eastAsia="zh-CN" w:bidi="ar-SA"/>
              </w:rPr>
              <w:t>3</w:t>
            </w:r>
            <w:r>
              <w:rPr>
                <w:rFonts w:ascii="Times New Roman" w:hAnsi="Times New Roman" w:eastAsia="宋体" w:cs="宋体"/>
                <w:b/>
                <w:color w:val="auto"/>
                <w:sz w:val="24"/>
                <w:szCs w:val="24"/>
                <w:lang w:val="en-US" w:eastAsia="zh-CN" w:bidi="ar-SA"/>
              </w:rPr>
              <w:t>-1建设项目</w:t>
            </w:r>
            <w:r>
              <w:rPr>
                <w:rFonts w:hint="eastAsia" w:ascii="Times New Roman" w:hAnsi="Times New Roman" w:eastAsia="宋体" w:cs="宋体"/>
                <w:b/>
                <w:color w:val="auto"/>
                <w:sz w:val="24"/>
                <w:szCs w:val="24"/>
                <w:lang w:val="en-US" w:eastAsia="zh-Hans" w:bidi="ar-SA"/>
              </w:rPr>
              <w:t>内容</w:t>
            </w:r>
            <w:r>
              <w:rPr>
                <w:rFonts w:hint="eastAsia" w:ascii="Times New Roman" w:hAnsi="Times New Roman" w:eastAsia="宋体" w:cs="宋体"/>
                <w:b/>
                <w:color w:val="auto"/>
                <w:sz w:val="24"/>
                <w:szCs w:val="24"/>
                <w:lang w:val="en-US" w:eastAsia="zh-CN" w:bidi="ar-SA"/>
              </w:rPr>
              <w:t xml:space="preserve"> </w:t>
            </w:r>
          </w:p>
          <w:tbl>
            <w:tblPr>
              <w:tblStyle w:val="20"/>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77"/>
              <w:gridCol w:w="1155"/>
              <w:gridCol w:w="5745"/>
              <w:gridCol w:w="1027"/>
            </w:tblGrid>
            <w:tr w14:paraId="4E513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32" w:type="dxa"/>
                  <w:gridSpan w:val="2"/>
                  <w:noWrap w:val="0"/>
                  <w:vAlign w:val="center"/>
                </w:tcPr>
                <w:p w14:paraId="529C70F7">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项目名称</w:t>
                  </w:r>
                </w:p>
              </w:tc>
              <w:tc>
                <w:tcPr>
                  <w:tcW w:w="5745" w:type="dxa"/>
                  <w:noWrap w:val="0"/>
                  <w:vAlign w:val="center"/>
                </w:tcPr>
                <w:p w14:paraId="69C0CFF1">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建设内容</w:t>
                  </w:r>
                </w:p>
              </w:tc>
              <w:tc>
                <w:tcPr>
                  <w:tcW w:w="1027" w:type="dxa"/>
                  <w:noWrap w:val="0"/>
                  <w:vAlign w:val="center"/>
                </w:tcPr>
                <w:p w14:paraId="6B797772">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备注</w:t>
                  </w:r>
                </w:p>
              </w:tc>
            </w:tr>
            <w:tr w14:paraId="4B53A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7" w:type="dxa"/>
                  <w:vMerge w:val="restart"/>
                  <w:noWrap w:val="0"/>
                  <w:vAlign w:val="center"/>
                </w:tcPr>
                <w:p w14:paraId="077E3471">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4"/>
                      <w:highlight w:val="none"/>
                      <w:lang w:val="en-US" w:eastAsia="zh-CN" w:bidi="ar-SA"/>
                    </w:rPr>
                  </w:pPr>
                  <w:r>
                    <w:rPr>
                      <w:rFonts w:hint="default" w:ascii="Times New Roman" w:hAnsi="Times New Roman" w:eastAsia="宋体" w:cs="Times New Roman"/>
                      <w:bCs/>
                      <w:color w:val="auto"/>
                      <w:kern w:val="0"/>
                      <w:sz w:val="21"/>
                      <w:szCs w:val="24"/>
                      <w:highlight w:val="none"/>
                      <w:lang w:val="en-US" w:eastAsia="zh-CN" w:bidi="ar-SA"/>
                    </w:rPr>
                    <w:t>主体工程</w:t>
                  </w:r>
                </w:p>
              </w:tc>
              <w:tc>
                <w:tcPr>
                  <w:tcW w:w="1155" w:type="dxa"/>
                  <w:noWrap w:val="0"/>
                  <w:vAlign w:val="center"/>
                </w:tcPr>
                <w:p w14:paraId="68E6A8E4">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生产车间</w:t>
                  </w:r>
                </w:p>
              </w:tc>
              <w:tc>
                <w:tcPr>
                  <w:tcW w:w="5745" w:type="dxa"/>
                  <w:noWrap w:val="0"/>
                  <w:vAlign w:val="center"/>
                </w:tcPr>
                <w:p w14:paraId="7D085D73">
                  <w:pPr>
                    <w:keepNext w:val="0"/>
                    <w:keepLines w:val="0"/>
                    <w:pageBreakBefore w:val="0"/>
                    <w:kinsoku/>
                    <w:wordWrap/>
                    <w:overflowPunct/>
                    <w:topLinePunct/>
                    <w:autoSpaceDE/>
                    <w:autoSpaceDN/>
                    <w:bidi w:val="0"/>
                    <w:adjustRightInd/>
                    <w:snapToGrid/>
                    <w:spacing w:line="280" w:lineRule="exact"/>
                    <w:ind w:firstLine="0" w:firstLineChars="0"/>
                    <w:jc w:val="center"/>
                    <w:textAlignment w:val="auto"/>
                    <w:rPr>
                      <w:rFonts w:hint="default" w:ascii="Times New Roman" w:hAnsi="Times New Roman" w:eastAsia="宋体" w:cs="宋体"/>
                      <w:snapToGrid w:val="0"/>
                      <w:color w:val="auto"/>
                      <w:kern w:val="0"/>
                      <w:sz w:val="21"/>
                      <w:szCs w:val="21"/>
                      <w:vertAlign w:val="baseline"/>
                      <w:lang w:val="en-US" w:eastAsia="zh-CN" w:bidi="ar-SA"/>
                    </w:rPr>
                  </w:pPr>
                  <w:r>
                    <w:rPr>
                      <w:rFonts w:hint="eastAsia" w:cs="宋体"/>
                      <w:snapToGrid w:val="0"/>
                      <w:color w:val="auto"/>
                      <w:kern w:val="0"/>
                      <w:sz w:val="21"/>
                      <w:szCs w:val="21"/>
                      <w:vertAlign w:val="baseline"/>
                      <w:lang w:val="en-US" w:eastAsia="zh-CN" w:bidi="ar-SA"/>
                    </w:rPr>
                    <w:t>占地面积为2587.22m</w:t>
                  </w:r>
                  <w:r>
                    <w:rPr>
                      <w:rFonts w:hint="eastAsia" w:cs="宋体"/>
                      <w:snapToGrid w:val="0"/>
                      <w:color w:val="auto"/>
                      <w:kern w:val="0"/>
                      <w:sz w:val="21"/>
                      <w:szCs w:val="21"/>
                      <w:vertAlign w:val="superscript"/>
                      <w:lang w:val="en-US" w:eastAsia="zh-CN" w:bidi="ar-SA"/>
                    </w:rPr>
                    <w:t>2</w:t>
                  </w:r>
                  <w:r>
                    <w:rPr>
                      <w:rFonts w:hint="eastAsia" w:cs="宋体"/>
                      <w:snapToGrid w:val="0"/>
                      <w:color w:val="auto"/>
                      <w:kern w:val="0"/>
                      <w:sz w:val="21"/>
                      <w:szCs w:val="21"/>
                      <w:vertAlign w:val="baseline"/>
                      <w:lang w:val="en-US" w:eastAsia="zh-CN" w:bidi="ar-SA"/>
                    </w:rPr>
                    <w:t>，厂房占地设置一条年产6500吨果汁生产线；一条年产500吨葡萄果糖生产线。</w:t>
                  </w:r>
                </w:p>
              </w:tc>
              <w:tc>
                <w:tcPr>
                  <w:tcW w:w="1027" w:type="dxa"/>
                  <w:noWrap w:val="0"/>
                  <w:vAlign w:val="center"/>
                </w:tcPr>
                <w:p w14:paraId="635A12BB">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新建</w:t>
                  </w:r>
                </w:p>
              </w:tc>
            </w:tr>
            <w:tr w14:paraId="20E06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7" w:type="dxa"/>
                  <w:vMerge w:val="restart"/>
                  <w:noWrap w:val="0"/>
                  <w:vAlign w:val="center"/>
                </w:tcPr>
                <w:p w14:paraId="4FD8EB62">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4"/>
                      <w:highlight w:val="none"/>
                      <w:lang w:val="en-US" w:eastAsia="zh-CN" w:bidi="ar-SA"/>
                    </w:rPr>
                  </w:pPr>
                  <w:r>
                    <w:rPr>
                      <w:rFonts w:hint="eastAsia" w:cs="Times New Roman"/>
                      <w:bCs/>
                      <w:color w:val="auto"/>
                      <w:kern w:val="0"/>
                      <w:sz w:val="21"/>
                      <w:szCs w:val="24"/>
                      <w:highlight w:val="none"/>
                      <w:lang w:val="en-US" w:eastAsia="zh-CN" w:bidi="ar-SA"/>
                    </w:rPr>
                    <w:t>储运工程</w:t>
                  </w:r>
                </w:p>
              </w:tc>
              <w:tc>
                <w:tcPr>
                  <w:tcW w:w="1155" w:type="dxa"/>
                  <w:noWrap w:val="0"/>
                  <w:vAlign w:val="center"/>
                </w:tcPr>
                <w:p w14:paraId="1495A503">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罐区</w:t>
                  </w:r>
                </w:p>
              </w:tc>
              <w:tc>
                <w:tcPr>
                  <w:tcW w:w="5745" w:type="dxa"/>
                  <w:noWrap w:val="0"/>
                  <w:vAlign w:val="center"/>
                </w:tcPr>
                <w:p w14:paraId="505F265C">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cs="宋体"/>
                      <w:snapToGrid w:val="0"/>
                      <w:color w:val="auto"/>
                      <w:kern w:val="0"/>
                      <w:sz w:val="21"/>
                      <w:szCs w:val="21"/>
                      <w:highlight w:val="none"/>
                      <w:lang w:val="en-US" w:eastAsia="zh-CN" w:bidi="ar-SA"/>
                    </w:rPr>
                    <w:t>5座10m</w:t>
                  </w:r>
                  <w:r>
                    <w:rPr>
                      <w:rFonts w:hint="eastAsia" w:cs="宋体"/>
                      <w:snapToGrid w:val="0"/>
                      <w:color w:val="auto"/>
                      <w:kern w:val="0"/>
                      <w:sz w:val="21"/>
                      <w:szCs w:val="21"/>
                      <w:highlight w:val="none"/>
                      <w:vertAlign w:val="superscript"/>
                      <w:lang w:val="en-US" w:eastAsia="zh-CN" w:bidi="ar-SA"/>
                    </w:rPr>
                    <w:t>3</w:t>
                  </w:r>
                  <w:r>
                    <w:rPr>
                      <w:rFonts w:hint="eastAsia" w:cs="宋体"/>
                      <w:snapToGrid w:val="0"/>
                      <w:color w:val="auto"/>
                      <w:kern w:val="0"/>
                      <w:sz w:val="21"/>
                      <w:szCs w:val="21"/>
                      <w:highlight w:val="none"/>
                      <w:lang w:val="en-US" w:eastAsia="zh-CN" w:bidi="ar-SA"/>
                    </w:rPr>
                    <w:t>储罐（2座为树脂滤罐，3座为CIP清洗罐）；10座30m</w:t>
                  </w:r>
                  <w:r>
                    <w:rPr>
                      <w:rFonts w:hint="eastAsia" w:cs="宋体"/>
                      <w:snapToGrid w:val="0"/>
                      <w:color w:val="auto"/>
                      <w:kern w:val="0"/>
                      <w:sz w:val="21"/>
                      <w:szCs w:val="21"/>
                      <w:highlight w:val="none"/>
                      <w:vertAlign w:val="superscript"/>
                      <w:lang w:val="en-US" w:eastAsia="zh-CN" w:bidi="ar-SA"/>
                    </w:rPr>
                    <w:t>3</w:t>
                  </w:r>
                  <w:r>
                    <w:rPr>
                      <w:rFonts w:hint="eastAsia" w:cs="宋体"/>
                      <w:snapToGrid w:val="0"/>
                      <w:color w:val="auto"/>
                      <w:kern w:val="0"/>
                      <w:sz w:val="21"/>
                      <w:szCs w:val="21"/>
                      <w:highlight w:val="none"/>
                      <w:lang w:val="en-US" w:eastAsia="zh-CN" w:bidi="ar-SA"/>
                    </w:rPr>
                    <w:t>储罐（2座为果浆罐，2座为生汁罐，6座位酶解罐）；3座60m</w:t>
                  </w:r>
                  <w:r>
                    <w:rPr>
                      <w:rFonts w:hint="eastAsia" w:cs="宋体"/>
                      <w:snapToGrid w:val="0"/>
                      <w:color w:val="auto"/>
                      <w:kern w:val="0"/>
                      <w:sz w:val="21"/>
                      <w:szCs w:val="21"/>
                      <w:highlight w:val="none"/>
                      <w:vertAlign w:val="superscript"/>
                      <w:lang w:val="en-US" w:eastAsia="zh-CN" w:bidi="ar-SA"/>
                    </w:rPr>
                    <w:t>3</w:t>
                  </w:r>
                  <w:r>
                    <w:rPr>
                      <w:rFonts w:hint="eastAsia" w:cs="宋体"/>
                      <w:snapToGrid w:val="0"/>
                      <w:color w:val="auto"/>
                      <w:kern w:val="0"/>
                      <w:sz w:val="21"/>
                      <w:szCs w:val="21"/>
                      <w:highlight w:val="none"/>
                      <w:lang w:val="en-US" w:eastAsia="zh-CN" w:bidi="ar-SA"/>
                    </w:rPr>
                    <w:t>储罐（3座均为成品罐）；</w:t>
                  </w:r>
                </w:p>
              </w:tc>
              <w:tc>
                <w:tcPr>
                  <w:tcW w:w="1027" w:type="dxa"/>
                  <w:noWrap w:val="0"/>
                  <w:vAlign w:val="center"/>
                </w:tcPr>
                <w:p w14:paraId="6744DE1E">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宋体"/>
                      <w:color w:val="auto"/>
                      <w:sz w:val="21"/>
                      <w:szCs w:val="21"/>
                      <w:lang w:val="en-US" w:eastAsia="zh-CN"/>
                    </w:rPr>
                  </w:pPr>
                  <w:r>
                    <w:rPr>
                      <w:rFonts w:hint="eastAsia" w:cs="Times New Roman"/>
                      <w:color w:val="auto"/>
                      <w:kern w:val="0"/>
                      <w:sz w:val="21"/>
                      <w:szCs w:val="24"/>
                      <w:highlight w:val="none"/>
                      <w:lang w:val="en-US" w:eastAsia="zh-CN" w:bidi="ar-SA"/>
                    </w:rPr>
                    <w:t>新建</w:t>
                  </w:r>
                </w:p>
              </w:tc>
            </w:tr>
            <w:tr w14:paraId="3F2B4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7" w:type="dxa"/>
                  <w:vMerge w:val="continue"/>
                  <w:noWrap w:val="0"/>
                  <w:vAlign w:val="center"/>
                </w:tcPr>
                <w:p w14:paraId="072CE256">
                  <w:pPr>
                    <w:widowControl w:val="0"/>
                    <w:overflowPunct w:val="0"/>
                    <w:autoSpaceDE w:val="0"/>
                    <w:autoSpaceDN w:val="0"/>
                    <w:adjustRightInd w:val="0"/>
                    <w:snapToGrid w:val="0"/>
                    <w:spacing w:before="0" w:after="0" w:line="240" w:lineRule="auto"/>
                    <w:ind w:left="0" w:right="0" w:firstLine="0" w:firstLineChars="0"/>
                    <w:jc w:val="center"/>
                    <w:rPr>
                      <w:rFonts w:hint="eastAsia" w:cs="Times New Roman"/>
                      <w:bCs/>
                      <w:color w:val="auto"/>
                      <w:kern w:val="0"/>
                      <w:sz w:val="21"/>
                      <w:szCs w:val="24"/>
                      <w:highlight w:val="none"/>
                      <w:lang w:val="en-US" w:eastAsia="zh-CN" w:bidi="ar-SA"/>
                    </w:rPr>
                  </w:pPr>
                </w:p>
              </w:tc>
              <w:tc>
                <w:tcPr>
                  <w:tcW w:w="1155" w:type="dxa"/>
                  <w:noWrap w:val="0"/>
                  <w:vAlign w:val="center"/>
                </w:tcPr>
                <w:p w14:paraId="79983933">
                  <w:pPr>
                    <w:widowControl w:val="0"/>
                    <w:overflowPunct w:val="0"/>
                    <w:autoSpaceDE w:val="0"/>
                    <w:autoSpaceDN w:val="0"/>
                    <w:adjustRightInd w:val="0"/>
                    <w:snapToGrid w:val="0"/>
                    <w:spacing w:before="0" w:after="0" w:line="240" w:lineRule="auto"/>
                    <w:ind w:left="0" w:right="0" w:firstLine="0" w:firstLineChars="0"/>
                    <w:jc w:val="center"/>
                    <w:rPr>
                      <w:rFonts w:hint="default"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冷库</w:t>
                  </w:r>
                </w:p>
              </w:tc>
              <w:tc>
                <w:tcPr>
                  <w:tcW w:w="5745" w:type="dxa"/>
                  <w:noWrap w:val="0"/>
                  <w:vAlign w:val="center"/>
                </w:tcPr>
                <w:p w14:paraId="71382BCA">
                  <w:pPr>
                    <w:widowControl w:val="0"/>
                    <w:overflowPunct w:val="0"/>
                    <w:autoSpaceDE w:val="0"/>
                    <w:autoSpaceDN w:val="0"/>
                    <w:adjustRightInd w:val="0"/>
                    <w:snapToGrid w:val="0"/>
                    <w:spacing w:before="0" w:after="0" w:line="240" w:lineRule="auto"/>
                    <w:ind w:left="0" w:right="0" w:firstLine="0" w:firstLineChars="0"/>
                    <w:jc w:val="center"/>
                    <w:rPr>
                      <w:rFonts w:hint="default" w:cs="宋体"/>
                      <w:snapToGrid w:val="0"/>
                      <w:color w:val="auto"/>
                      <w:kern w:val="0"/>
                      <w:sz w:val="21"/>
                      <w:szCs w:val="21"/>
                      <w:highlight w:val="none"/>
                      <w:lang w:val="en-US" w:eastAsia="zh-CN" w:bidi="ar-SA"/>
                    </w:rPr>
                  </w:pPr>
                  <w:r>
                    <w:rPr>
                      <w:rFonts w:hint="eastAsia" w:cs="宋体"/>
                      <w:snapToGrid w:val="0"/>
                      <w:color w:val="auto"/>
                      <w:kern w:val="0"/>
                      <w:sz w:val="21"/>
                      <w:szCs w:val="21"/>
                      <w:highlight w:val="none"/>
                      <w:lang w:val="en-US" w:eastAsia="zh-CN" w:bidi="ar-SA"/>
                    </w:rPr>
                    <w:t>占地面积为2304.42m</w:t>
                  </w:r>
                  <w:r>
                    <w:rPr>
                      <w:rFonts w:hint="eastAsia" w:cs="宋体"/>
                      <w:snapToGrid w:val="0"/>
                      <w:color w:val="auto"/>
                      <w:kern w:val="0"/>
                      <w:sz w:val="21"/>
                      <w:szCs w:val="21"/>
                      <w:highlight w:val="none"/>
                      <w:vertAlign w:val="superscript"/>
                      <w:lang w:val="en-US" w:eastAsia="zh-CN" w:bidi="ar-SA"/>
                    </w:rPr>
                    <w:t>2</w:t>
                  </w:r>
                  <w:r>
                    <w:rPr>
                      <w:rFonts w:hint="eastAsia" w:cs="宋体"/>
                      <w:snapToGrid w:val="0"/>
                      <w:color w:val="auto"/>
                      <w:kern w:val="0"/>
                      <w:sz w:val="21"/>
                      <w:szCs w:val="21"/>
                      <w:highlight w:val="none"/>
                      <w:lang w:val="en-US" w:eastAsia="zh-CN" w:bidi="ar-SA"/>
                    </w:rPr>
                    <w:t>，容积为15000m</w:t>
                  </w:r>
                  <w:r>
                    <w:rPr>
                      <w:rFonts w:hint="eastAsia" w:cs="宋体"/>
                      <w:snapToGrid w:val="0"/>
                      <w:color w:val="auto"/>
                      <w:kern w:val="0"/>
                      <w:sz w:val="21"/>
                      <w:szCs w:val="21"/>
                      <w:highlight w:val="none"/>
                      <w:vertAlign w:val="superscript"/>
                      <w:lang w:val="en-US" w:eastAsia="zh-CN" w:bidi="ar-SA"/>
                    </w:rPr>
                    <w:t>3</w:t>
                  </w:r>
                  <w:r>
                    <w:rPr>
                      <w:rFonts w:hint="eastAsia" w:cs="宋体"/>
                      <w:snapToGrid w:val="0"/>
                      <w:color w:val="auto"/>
                      <w:kern w:val="0"/>
                      <w:sz w:val="21"/>
                      <w:szCs w:val="21"/>
                      <w:highlight w:val="none"/>
                      <w:vertAlign w:val="baseline"/>
                      <w:lang w:val="en-US" w:eastAsia="zh-CN" w:bidi="ar-SA"/>
                    </w:rPr>
                    <w:t>，</w:t>
                  </w:r>
                  <w:r>
                    <w:rPr>
                      <w:rFonts w:hint="eastAsia"/>
                      <w:color w:val="auto"/>
                      <w:sz w:val="21"/>
                      <w:szCs w:val="20"/>
                      <w:lang w:val="en-US" w:eastAsia="zh-CN"/>
                    </w:rPr>
                    <w:t>用于原料以及产品的临时冷藏存储。</w:t>
                  </w:r>
                </w:p>
              </w:tc>
              <w:tc>
                <w:tcPr>
                  <w:tcW w:w="1027" w:type="dxa"/>
                  <w:noWrap w:val="0"/>
                  <w:vAlign w:val="center"/>
                </w:tcPr>
                <w:p w14:paraId="720D6640">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宋体"/>
                      <w:color w:val="auto"/>
                      <w:sz w:val="21"/>
                      <w:szCs w:val="21"/>
                      <w:lang w:val="en-US" w:eastAsia="zh-CN"/>
                    </w:rPr>
                  </w:pPr>
                  <w:r>
                    <w:rPr>
                      <w:rFonts w:hint="eastAsia" w:cs="Times New Roman"/>
                      <w:color w:val="auto"/>
                      <w:kern w:val="0"/>
                      <w:sz w:val="21"/>
                      <w:szCs w:val="24"/>
                      <w:highlight w:val="none"/>
                      <w:lang w:val="en-US" w:eastAsia="zh-CN" w:bidi="ar-SA"/>
                    </w:rPr>
                    <w:t>新建</w:t>
                  </w:r>
                </w:p>
              </w:tc>
            </w:tr>
            <w:tr w14:paraId="74EEA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7" w:type="dxa"/>
                  <w:vMerge w:val="restart"/>
                  <w:noWrap w:val="0"/>
                  <w:vAlign w:val="center"/>
                </w:tcPr>
                <w:p w14:paraId="1A540196">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4"/>
                      <w:highlight w:val="none"/>
                      <w:lang w:val="en-US" w:eastAsia="zh-CN" w:bidi="ar-SA"/>
                    </w:rPr>
                  </w:pPr>
                  <w:r>
                    <w:rPr>
                      <w:rFonts w:hint="default" w:ascii="Times New Roman" w:hAnsi="Times New Roman" w:eastAsia="宋体" w:cs="Times New Roman"/>
                      <w:bCs/>
                      <w:color w:val="auto"/>
                      <w:kern w:val="0"/>
                      <w:sz w:val="21"/>
                      <w:szCs w:val="24"/>
                      <w:highlight w:val="none"/>
                      <w:lang w:val="en-US" w:eastAsia="zh-CN" w:bidi="ar-SA"/>
                    </w:rPr>
                    <w:t>公用工程</w:t>
                  </w:r>
                </w:p>
              </w:tc>
              <w:tc>
                <w:tcPr>
                  <w:tcW w:w="1155" w:type="dxa"/>
                  <w:noWrap w:val="0"/>
                  <w:vAlign w:val="center"/>
                </w:tcPr>
                <w:p w14:paraId="327BB2D8">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供水系统</w:t>
                  </w:r>
                </w:p>
              </w:tc>
              <w:tc>
                <w:tcPr>
                  <w:tcW w:w="5745" w:type="dxa"/>
                  <w:noWrap w:val="0"/>
                  <w:vAlign w:val="center"/>
                </w:tcPr>
                <w:p w14:paraId="661B6AA6">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供水由</w:t>
                  </w:r>
                  <w:r>
                    <w:rPr>
                      <w:rFonts w:hint="eastAsia" w:cs="Times New Roman"/>
                      <w:color w:val="auto"/>
                      <w:kern w:val="0"/>
                      <w:sz w:val="21"/>
                      <w:szCs w:val="24"/>
                      <w:highlight w:val="none"/>
                      <w:lang w:val="en-US" w:eastAsia="zh-CN" w:bidi="ar-SA"/>
                    </w:rPr>
                    <w:t>园区</w:t>
                  </w:r>
                  <w:r>
                    <w:rPr>
                      <w:rFonts w:hint="eastAsia" w:ascii="Times New Roman" w:hAnsi="Times New Roman" w:eastAsia="宋体" w:cs="Times New Roman"/>
                      <w:color w:val="auto"/>
                      <w:kern w:val="0"/>
                      <w:sz w:val="21"/>
                      <w:szCs w:val="24"/>
                      <w:highlight w:val="none"/>
                      <w:lang w:val="en-US" w:eastAsia="zh-CN" w:bidi="ar-SA"/>
                    </w:rPr>
                    <w:t>供水管网提供</w:t>
                  </w:r>
                  <w:r>
                    <w:rPr>
                      <w:rFonts w:hint="eastAsia" w:cs="Times New Roman"/>
                      <w:color w:val="auto"/>
                      <w:kern w:val="0"/>
                      <w:sz w:val="21"/>
                      <w:szCs w:val="24"/>
                      <w:highlight w:val="none"/>
                      <w:lang w:val="en-US" w:eastAsia="zh-CN" w:bidi="ar-SA"/>
                    </w:rPr>
                    <w:t>。</w:t>
                  </w:r>
                </w:p>
              </w:tc>
              <w:tc>
                <w:tcPr>
                  <w:tcW w:w="1027" w:type="dxa"/>
                  <w:noWrap w:val="0"/>
                  <w:vAlign w:val="center"/>
                </w:tcPr>
                <w:p w14:paraId="0C6B3B67">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宋体"/>
                      <w:color w:val="auto"/>
                      <w:sz w:val="21"/>
                      <w:szCs w:val="21"/>
                      <w:lang w:val="en-US" w:eastAsia="zh-CN"/>
                    </w:rPr>
                    <w:t>依托</w:t>
                  </w:r>
                </w:p>
              </w:tc>
            </w:tr>
            <w:tr w14:paraId="23CDB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8" w:hRule="atLeast"/>
                <w:jc w:val="center"/>
              </w:trPr>
              <w:tc>
                <w:tcPr>
                  <w:tcW w:w="577" w:type="dxa"/>
                  <w:vMerge w:val="continue"/>
                  <w:noWrap w:val="0"/>
                  <w:vAlign w:val="center"/>
                </w:tcPr>
                <w:p w14:paraId="3FC54336">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4"/>
                      <w:highlight w:val="none"/>
                      <w:lang w:val="en-US" w:eastAsia="zh-CN" w:bidi="ar-SA"/>
                    </w:rPr>
                  </w:pPr>
                </w:p>
              </w:tc>
              <w:tc>
                <w:tcPr>
                  <w:tcW w:w="1155" w:type="dxa"/>
                  <w:noWrap w:val="0"/>
                  <w:vAlign w:val="center"/>
                </w:tcPr>
                <w:p w14:paraId="5244FE3C">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排水系统</w:t>
                  </w:r>
                </w:p>
              </w:tc>
              <w:tc>
                <w:tcPr>
                  <w:tcW w:w="5745" w:type="dxa"/>
                  <w:noWrap w:val="0"/>
                  <w:vAlign w:val="center"/>
                </w:tcPr>
                <w:p w14:paraId="20538830">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生产废水经厂区自建污水处理站处置达标后与生活污水一同排入下水管网，最终排放至园区污水处理厂处理。</w:t>
                  </w:r>
                </w:p>
              </w:tc>
              <w:tc>
                <w:tcPr>
                  <w:tcW w:w="1027" w:type="dxa"/>
                  <w:noWrap w:val="0"/>
                  <w:vAlign w:val="center"/>
                </w:tcPr>
                <w:p w14:paraId="30899735">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宋体"/>
                      <w:color w:val="auto"/>
                      <w:sz w:val="21"/>
                      <w:szCs w:val="21"/>
                      <w:lang w:val="en-US" w:eastAsia="zh-CN"/>
                    </w:rPr>
                    <w:t>依托</w:t>
                  </w:r>
                </w:p>
              </w:tc>
            </w:tr>
            <w:tr w14:paraId="28EA1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7" w:type="dxa"/>
                  <w:vMerge w:val="continue"/>
                  <w:noWrap w:val="0"/>
                  <w:vAlign w:val="center"/>
                </w:tcPr>
                <w:p w14:paraId="7FD0C7B3">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4"/>
                      <w:highlight w:val="none"/>
                      <w:lang w:val="en-US" w:eastAsia="zh-CN" w:bidi="ar-SA"/>
                    </w:rPr>
                  </w:pPr>
                </w:p>
              </w:tc>
              <w:tc>
                <w:tcPr>
                  <w:tcW w:w="1155" w:type="dxa"/>
                  <w:noWrap w:val="0"/>
                  <w:vAlign w:val="center"/>
                </w:tcPr>
                <w:p w14:paraId="3E916AE0">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供电系统</w:t>
                  </w:r>
                </w:p>
              </w:tc>
              <w:tc>
                <w:tcPr>
                  <w:tcW w:w="5745" w:type="dxa"/>
                  <w:noWrap w:val="0"/>
                  <w:vAlign w:val="center"/>
                </w:tcPr>
                <w:p w14:paraId="4A8738E8">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由</w:t>
                  </w:r>
                  <w:r>
                    <w:rPr>
                      <w:rFonts w:hint="eastAsia" w:cs="Times New Roman"/>
                      <w:color w:val="auto"/>
                      <w:sz w:val="21"/>
                      <w:szCs w:val="21"/>
                      <w:highlight w:val="none"/>
                      <w:lang w:val="en-US" w:eastAsia="zh-CN"/>
                    </w:rPr>
                    <w:t>园区</w:t>
                  </w:r>
                  <w:r>
                    <w:rPr>
                      <w:rFonts w:hint="default" w:ascii="Times New Roman" w:hAnsi="Times New Roman" w:eastAsia="宋体" w:cs="Times New Roman"/>
                      <w:color w:val="auto"/>
                      <w:sz w:val="21"/>
                      <w:szCs w:val="21"/>
                      <w:highlight w:val="none"/>
                    </w:rPr>
                    <w:t>电力管网供给</w:t>
                  </w:r>
                  <w:r>
                    <w:rPr>
                      <w:rFonts w:hint="eastAsia" w:cs="Times New Roman"/>
                      <w:color w:val="auto"/>
                      <w:sz w:val="21"/>
                      <w:szCs w:val="21"/>
                      <w:highlight w:val="none"/>
                      <w:lang w:eastAsia="zh-CN"/>
                    </w:rPr>
                    <w:t>。</w:t>
                  </w:r>
                </w:p>
              </w:tc>
              <w:tc>
                <w:tcPr>
                  <w:tcW w:w="1027" w:type="dxa"/>
                  <w:noWrap w:val="0"/>
                  <w:vAlign w:val="center"/>
                </w:tcPr>
                <w:p w14:paraId="620310E7">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宋体"/>
                      <w:color w:val="auto"/>
                      <w:sz w:val="21"/>
                      <w:szCs w:val="21"/>
                      <w:lang w:val="en-US" w:eastAsia="zh-CN"/>
                    </w:rPr>
                    <w:t>依托</w:t>
                  </w:r>
                </w:p>
              </w:tc>
            </w:tr>
            <w:tr w14:paraId="34396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7" w:type="dxa"/>
                  <w:vMerge w:val="continue"/>
                  <w:noWrap w:val="0"/>
                  <w:vAlign w:val="center"/>
                </w:tcPr>
                <w:p w14:paraId="16011DE2">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4"/>
                      <w:highlight w:val="none"/>
                      <w:lang w:val="en-US" w:eastAsia="zh-CN" w:bidi="ar-SA"/>
                    </w:rPr>
                  </w:pPr>
                </w:p>
              </w:tc>
              <w:tc>
                <w:tcPr>
                  <w:tcW w:w="1155" w:type="dxa"/>
                  <w:noWrap w:val="0"/>
                  <w:vAlign w:val="center"/>
                </w:tcPr>
                <w:p w14:paraId="3276AD44">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供热系统</w:t>
                  </w:r>
                </w:p>
              </w:tc>
              <w:tc>
                <w:tcPr>
                  <w:tcW w:w="5745" w:type="dxa"/>
                  <w:noWrap w:val="0"/>
                  <w:vAlign w:val="center"/>
                </w:tcPr>
                <w:p w14:paraId="688F4F30">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4"/>
                      <w:highlight w:val="none"/>
                      <w:lang w:val="en-US" w:eastAsia="zh-CN" w:bidi="ar-SA"/>
                    </w:rPr>
                    <w:t>冬季不生产不涉及供暖，生产供热通过电厂蒸汽管道供热。</w:t>
                  </w:r>
                </w:p>
              </w:tc>
              <w:tc>
                <w:tcPr>
                  <w:tcW w:w="1027" w:type="dxa"/>
                  <w:noWrap w:val="0"/>
                  <w:vAlign w:val="center"/>
                </w:tcPr>
                <w:p w14:paraId="7D723C42">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宋体"/>
                      <w:color w:val="auto"/>
                      <w:sz w:val="21"/>
                      <w:szCs w:val="21"/>
                      <w:lang w:val="en-US" w:eastAsia="zh-CN"/>
                    </w:rPr>
                    <w:t>依托</w:t>
                  </w:r>
                </w:p>
              </w:tc>
            </w:tr>
            <w:tr w14:paraId="40BAE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6" w:hRule="atLeast"/>
                <w:jc w:val="center"/>
              </w:trPr>
              <w:tc>
                <w:tcPr>
                  <w:tcW w:w="577" w:type="dxa"/>
                  <w:vMerge w:val="restart"/>
                  <w:noWrap w:val="0"/>
                  <w:vAlign w:val="center"/>
                </w:tcPr>
                <w:p w14:paraId="4E0C69C4">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bCs/>
                      <w:color w:val="auto"/>
                      <w:kern w:val="0"/>
                      <w:sz w:val="21"/>
                      <w:szCs w:val="24"/>
                      <w:highlight w:val="none"/>
                      <w:lang w:val="en-US" w:eastAsia="zh-CN" w:bidi="ar-SA"/>
                    </w:rPr>
                  </w:pPr>
                  <w:r>
                    <w:rPr>
                      <w:rFonts w:hint="default" w:ascii="Times New Roman" w:hAnsi="Times New Roman" w:eastAsia="宋体" w:cs="Times New Roman"/>
                      <w:bCs/>
                      <w:color w:val="auto"/>
                      <w:kern w:val="0"/>
                      <w:sz w:val="21"/>
                      <w:szCs w:val="24"/>
                      <w:highlight w:val="none"/>
                      <w:lang w:val="en-US" w:eastAsia="zh-CN" w:bidi="ar-SA"/>
                    </w:rPr>
                    <w:t>环保工程</w:t>
                  </w:r>
                </w:p>
              </w:tc>
              <w:tc>
                <w:tcPr>
                  <w:tcW w:w="1155" w:type="dxa"/>
                  <w:noWrap w:val="0"/>
                  <w:vAlign w:val="center"/>
                </w:tcPr>
                <w:p w14:paraId="23F29630">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废气治理</w:t>
                  </w:r>
                </w:p>
              </w:tc>
              <w:tc>
                <w:tcPr>
                  <w:tcW w:w="5745" w:type="dxa"/>
                  <w:noWrap w:val="0"/>
                  <w:vAlign w:val="center"/>
                </w:tcPr>
                <w:p w14:paraId="0AAFFB40">
                  <w:pPr>
                    <w:keepNext w:val="0"/>
                    <w:keepLines w:val="0"/>
                    <w:widowControl/>
                    <w:suppressLineNumbers w:val="0"/>
                    <w:jc w:val="center"/>
                    <w:rPr>
                      <w:rFonts w:hint="default" w:ascii="Times New Roman" w:hAnsi="Times New Roman" w:eastAsia="宋体" w:cs="Times New Roman"/>
                      <w:color w:val="auto"/>
                      <w:kern w:val="0"/>
                      <w:sz w:val="21"/>
                      <w:szCs w:val="24"/>
                      <w:highlight w:val="none"/>
                      <w:lang w:val="en-US" w:eastAsia="zh-CN" w:bidi="ar-SA"/>
                    </w:rPr>
                  </w:pPr>
                  <w:r>
                    <w:rPr>
                      <w:rFonts w:hint="eastAsia" w:ascii="宋体" w:hAnsi="宋体" w:eastAsia="宋体" w:cs="宋体"/>
                      <w:color w:val="auto"/>
                      <w:kern w:val="0"/>
                      <w:sz w:val="21"/>
                      <w:szCs w:val="21"/>
                      <w:lang w:val="en-US" w:eastAsia="zh-CN" w:bidi="ar"/>
                    </w:rPr>
                    <w:t>加强生产管理、车间通风、污水池加盖密闭、</w:t>
                  </w:r>
                  <w:r>
                    <w:rPr>
                      <w:rFonts w:hint="eastAsia" w:ascii="宋体" w:hAnsi="宋体" w:cs="宋体"/>
                      <w:color w:val="auto"/>
                      <w:kern w:val="0"/>
                      <w:sz w:val="21"/>
                      <w:szCs w:val="21"/>
                      <w:lang w:val="en-US" w:eastAsia="zh-CN" w:bidi="ar"/>
                    </w:rPr>
                    <w:t>喷洒除臭剂</w:t>
                  </w:r>
                  <w:r>
                    <w:rPr>
                      <w:rFonts w:hint="eastAsia" w:ascii="宋体" w:hAnsi="宋体" w:eastAsia="宋体" w:cs="宋体"/>
                      <w:color w:val="auto"/>
                      <w:kern w:val="0"/>
                      <w:sz w:val="21"/>
                      <w:szCs w:val="21"/>
                      <w:lang w:val="en-US" w:eastAsia="zh-CN" w:bidi="ar"/>
                    </w:rPr>
                    <w:t>。</w:t>
                  </w:r>
                </w:p>
              </w:tc>
              <w:tc>
                <w:tcPr>
                  <w:tcW w:w="1027" w:type="dxa"/>
                  <w:noWrap w:val="0"/>
                  <w:vAlign w:val="center"/>
                </w:tcPr>
                <w:p w14:paraId="15A9D650">
                  <w:pPr>
                    <w:widowControl w:val="0"/>
                    <w:overflowPunct w:val="0"/>
                    <w:autoSpaceDE w:val="0"/>
                    <w:autoSpaceDN w:val="0"/>
                    <w:adjustRightInd w:val="0"/>
                    <w:snapToGrid w:val="0"/>
                    <w:spacing w:before="0" w:after="0" w:line="240" w:lineRule="auto"/>
                    <w:ind w:left="0" w:right="0" w:firstLine="0" w:firstLineChars="0"/>
                    <w:jc w:val="center"/>
                    <w:rPr>
                      <w:rFonts w:hint="eastAsia"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新建</w:t>
                  </w:r>
                </w:p>
              </w:tc>
            </w:tr>
            <w:tr w14:paraId="0B2E9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7" w:type="dxa"/>
                  <w:vMerge w:val="continue"/>
                  <w:noWrap w:val="0"/>
                  <w:vAlign w:val="center"/>
                </w:tcPr>
                <w:p w14:paraId="3E171AEA">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55" w:type="dxa"/>
                  <w:noWrap w:val="0"/>
                  <w:vAlign w:val="center"/>
                </w:tcPr>
                <w:p w14:paraId="2F522D9B">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废水治理</w:t>
                  </w:r>
                </w:p>
              </w:tc>
              <w:tc>
                <w:tcPr>
                  <w:tcW w:w="5745" w:type="dxa"/>
                  <w:noWrap w:val="0"/>
                  <w:vAlign w:val="center"/>
                </w:tcPr>
                <w:p w14:paraId="5EE01973">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cs="Times New Roman"/>
                      <w:color w:val="auto"/>
                      <w:kern w:val="0"/>
                      <w:sz w:val="21"/>
                      <w:szCs w:val="24"/>
                      <w:highlight w:val="none"/>
                      <w:lang w:val="en-US" w:eastAsia="zh-CN" w:bidi="ar-SA"/>
                    </w:rPr>
                    <w:t>项目生产废水和生活污水均排入公司污水处理站（处理工艺为：格栅+调节沉淀+水解酸化+接触氧化+二次沉淀），处理达标后</w:t>
                  </w:r>
                  <w:r>
                    <w:rPr>
                      <w:rFonts w:hint="default" w:ascii="Times New Roman" w:hAnsi="Times New Roman" w:eastAsia="宋体" w:cs="Times New Roman"/>
                      <w:color w:val="auto"/>
                      <w:kern w:val="0"/>
                      <w:sz w:val="21"/>
                      <w:szCs w:val="24"/>
                      <w:highlight w:val="none"/>
                      <w:lang w:val="en-US" w:eastAsia="zh-CN" w:bidi="ar-SA"/>
                    </w:rPr>
                    <w:t>排至</w:t>
                  </w:r>
                  <w:r>
                    <w:rPr>
                      <w:rFonts w:hint="eastAsia" w:cs="Times New Roman"/>
                      <w:color w:val="auto"/>
                      <w:kern w:val="0"/>
                      <w:sz w:val="21"/>
                      <w:szCs w:val="24"/>
                      <w:highlight w:val="none"/>
                      <w:lang w:val="en-US" w:eastAsia="zh-CN" w:bidi="ar-SA"/>
                    </w:rPr>
                    <w:t>园区</w:t>
                  </w:r>
                  <w:r>
                    <w:rPr>
                      <w:rFonts w:hint="default" w:ascii="Times New Roman" w:hAnsi="Times New Roman" w:eastAsia="宋体" w:cs="Times New Roman"/>
                      <w:color w:val="auto"/>
                      <w:kern w:val="0"/>
                      <w:sz w:val="21"/>
                      <w:szCs w:val="24"/>
                      <w:highlight w:val="none"/>
                      <w:lang w:val="en-US" w:eastAsia="zh-CN" w:bidi="ar-SA"/>
                    </w:rPr>
                    <w:t>污水管网，最终进入</w:t>
                  </w:r>
                  <w:r>
                    <w:rPr>
                      <w:rFonts w:hint="eastAsia" w:cs="Times New Roman"/>
                      <w:color w:val="auto"/>
                      <w:kern w:val="0"/>
                      <w:sz w:val="21"/>
                      <w:szCs w:val="24"/>
                      <w:highlight w:val="none"/>
                      <w:lang w:val="en-US" w:eastAsia="zh-CN" w:bidi="ar-SA"/>
                    </w:rPr>
                    <w:t>园区</w:t>
                  </w:r>
                  <w:r>
                    <w:rPr>
                      <w:rFonts w:hint="default" w:ascii="Times New Roman" w:hAnsi="Times New Roman" w:eastAsia="宋体" w:cs="Times New Roman"/>
                      <w:color w:val="auto"/>
                      <w:kern w:val="0"/>
                      <w:sz w:val="21"/>
                      <w:szCs w:val="24"/>
                      <w:highlight w:val="none"/>
                      <w:lang w:val="en-US" w:eastAsia="zh-CN" w:bidi="ar-SA"/>
                    </w:rPr>
                    <w:t>污水处理厂处理</w:t>
                  </w:r>
                </w:p>
              </w:tc>
              <w:tc>
                <w:tcPr>
                  <w:tcW w:w="1027" w:type="dxa"/>
                  <w:noWrap w:val="0"/>
                  <w:vAlign w:val="center"/>
                </w:tcPr>
                <w:p w14:paraId="25FC09EA">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新建</w:t>
                  </w:r>
                </w:p>
              </w:tc>
            </w:tr>
            <w:tr w14:paraId="1DB33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8" w:hRule="atLeast"/>
                <w:jc w:val="center"/>
              </w:trPr>
              <w:tc>
                <w:tcPr>
                  <w:tcW w:w="577" w:type="dxa"/>
                  <w:vMerge w:val="continue"/>
                  <w:noWrap w:val="0"/>
                  <w:vAlign w:val="center"/>
                </w:tcPr>
                <w:p w14:paraId="52B58D95">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55" w:type="dxa"/>
                  <w:vMerge w:val="restart"/>
                  <w:noWrap w:val="0"/>
                  <w:vAlign w:val="center"/>
                </w:tcPr>
                <w:p w14:paraId="36759C0E">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固废治理</w:t>
                  </w:r>
                </w:p>
              </w:tc>
              <w:tc>
                <w:tcPr>
                  <w:tcW w:w="5745" w:type="dxa"/>
                  <w:noWrap w:val="0"/>
                  <w:vAlign w:val="center"/>
                </w:tcPr>
                <w:p w14:paraId="3EF17896">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一般工业废物全部合理处置，生活垃圾</w:t>
                  </w:r>
                  <w:r>
                    <w:rPr>
                      <w:rFonts w:hint="eastAsia" w:ascii="Times New Roman" w:hAnsi="Times New Roman" w:eastAsia="宋体" w:cs="Times New Roman"/>
                      <w:color w:val="auto"/>
                      <w:kern w:val="0"/>
                      <w:sz w:val="21"/>
                      <w:szCs w:val="24"/>
                      <w:highlight w:val="none"/>
                      <w:lang w:val="en-US" w:eastAsia="zh-CN" w:bidi="ar-SA"/>
                    </w:rPr>
                    <w:t>集中收集后委托环卫部门定期清运</w:t>
                  </w:r>
                  <w:r>
                    <w:rPr>
                      <w:rFonts w:hint="eastAsia" w:cs="Times New Roman"/>
                      <w:color w:val="auto"/>
                      <w:kern w:val="0"/>
                      <w:sz w:val="21"/>
                      <w:szCs w:val="24"/>
                      <w:highlight w:val="none"/>
                      <w:lang w:val="en-US" w:eastAsia="zh-CN" w:bidi="ar-SA"/>
                    </w:rPr>
                    <w:t>。</w:t>
                  </w:r>
                </w:p>
              </w:tc>
              <w:tc>
                <w:tcPr>
                  <w:tcW w:w="1027" w:type="dxa"/>
                  <w:noWrap w:val="0"/>
                  <w:vAlign w:val="center"/>
                </w:tcPr>
                <w:p w14:paraId="7D603634">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新建</w:t>
                  </w:r>
                </w:p>
              </w:tc>
            </w:tr>
            <w:tr w14:paraId="09483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8" w:hRule="atLeast"/>
                <w:jc w:val="center"/>
              </w:trPr>
              <w:tc>
                <w:tcPr>
                  <w:tcW w:w="577" w:type="dxa"/>
                  <w:vMerge w:val="continue"/>
                  <w:noWrap w:val="0"/>
                  <w:vAlign w:val="center"/>
                </w:tcPr>
                <w:p w14:paraId="61741DDE">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55" w:type="dxa"/>
                  <w:vMerge w:val="continue"/>
                  <w:noWrap w:val="0"/>
                  <w:vAlign w:val="center"/>
                </w:tcPr>
                <w:p w14:paraId="199C9677">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5745" w:type="dxa"/>
                  <w:noWrap w:val="0"/>
                  <w:vAlign w:val="center"/>
                </w:tcPr>
                <w:p w14:paraId="085930DB">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一般工业废物全部合理处置</w:t>
                  </w:r>
                  <w:r>
                    <w:rPr>
                      <w:rFonts w:hint="eastAsia" w:eastAsia="宋体" w:cs="Times New Roman"/>
                      <w:color w:val="auto"/>
                      <w:kern w:val="0"/>
                      <w:sz w:val="21"/>
                      <w:szCs w:val="24"/>
                      <w:highlight w:val="none"/>
                      <w:lang w:val="en-US" w:eastAsia="zh-CN" w:bidi="ar-SA"/>
                    </w:rPr>
                    <w:t>：</w:t>
                  </w:r>
                  <w:r>
                    <w:rPr>
                      <w:rFonts w:hint="eastAsia" w:cs="Times New Roman"/>
                      <w:color w:val="auto"/>
                      <w:kern w:val="0"/>
                      <w:sz w:val="21"/>
                      <w:szCs w:val="24"/>
                      <w:highlight w:val="none"/>
                      <w:lang w:val="en-US" w:eastAsia="zh-CN" w:bidi="ar-SA"/>
                    </w:rPr>
                    <w:t>①霉烂果粒、 枝叶、 葡萄梗、 葡萄籽、 皮渣等收集至塑料桶内，日产日期清，综合外售处置；②废纸箱、废饮料瓶等，收集后外售综合利用（废品回收站）③④污泥定期收集，后运输至垃圾填埋场处理⑤</w:t>
                  </w:r>
                  <w:r>
                    <w:rPr>
                      <w:rFonts w:hint="default" w:ascii="Times New Roman" w:hAnsi="Times New Roman" w:eastAsia="宋体" w:cs="Times New Roman"/>
                      <w:color w:val="auto"/>
                      <w:kern w:val="0"/>
                      <w:sz w:val="21"/>
                      <w:szCs w:val="24"/>
                      <w:highlight w:val="none"/>
                      <w:lang w:val="en-US" w:eastAsia="zh-CN" w:bidi="ar-SA"/>
                    </w:rPr>
                    <w:t>生活垃圾</w:t>
                  </w:r>
                  <w:r>
                    <w:rPr>
                      <w:rFonts w:hint="eastAsia" w:ascii="Times New Roman" w:hAnsi="Times New Roman" w:eastAsia="宋体" w:cs="Times New Roman"/>
                      <w:color w:val="auto"/>
                      <w:kern w:val="0"/>
                      <w:sz w:val="21"/>
                      <w:szCs w:val="24"/>
                      <w:highlight w:val="none"/>
                      <w:lang w:val="en-US" w:eastAsia="zh-CN" w:bidi="ar-SA"/>
                    </w:rPr>
                    <w:t>集中收集后</w:t>
                  </w:r>
                  <w:r>
                    <w:rPr>
                      <w:rFonts w:hint="eastAsia" w:cs="Times New Roman"/>
                      <w:color w:val="auto"/>
                      <w:kern w:val="0"/>
                      <w:sz w:val="21"/>
                      <w:szCs w:val="24"/>
                      <w:highlight w:val="none"/>
                      <w:lang w:val="en-US" w:eastAsia="zh-CN" w:bidi="ar-SA"/>
                    </w:rPr>
                    <w:t>委托环卫部门定期清运。</w:t>
                  </w:r>
                </w:p>
              </w:tc>
              <w:tc>
                <w:tcPr>
                  <w:tcW w:w="1027" w:type="dxa"/>
                  <w:noWrap w:val="0"/>
                  <w:vAlign w:val="center"/>
                </w:tcPr>
                <w:p w14:paraId="195AFA7A">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新建</w:t>
                  </w:r>
                </w:p>
              </w:tc>
            </w:tr>
            <w:tr w14:paraId="4A5A1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7" w:type="dxa"/>
                  <w:vMerge w:val="continue"/>
                  <w:noWrap w:val="0"/>
                  <w:vAlign w:val="center"/>
                </w:tcPr>
                <w:p w14:paraId="60A96A58">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55" w:type="dxa"/>
                  <w:noWrap w:val="0"/>
                  <w:vAlign w:val="center"/>
                </w:tcPr>
                <w:p w14:paraId="657DE6D5">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噪声治理</w:t>
                  </w:r>
                </w:p>
              </w:tc>
              <w:tc>
                <w:tcPr>
                  <w:tcW w:w="5745" w:type="dxa"/>
                  <w:noWrap w:val="0"/>
                  <w:vAlign w:val="center"/>
                </w:tcPr>
                <w:p w14:paraId="3BA2C108">
                  <w:pPr>
                    <w:widowControl w:val="0"/>
                    <w:overflowPunct w:val="0"/>
                    <w:autoSpaceDE w:val="0"/>
                    <w:autoSpaceDN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采取减震、隔声等措施</w:t>
                  </w:r>
                </w:p>
              </w:tc>
              <w:tc>
                <w:tcPr>
                  <w:tcW w:w="1027" w:type="dxa"/>
                  <w:noWrap w:val="0"/>
                  <w:vAlign w:val="center"/>
                </w:tcPr>
                <w:p w14:paraId="2F4F5E8D">
                  <w:pPr>
                    <w:keepNext w:val="0"/>
                    <w:keepLines w:val="0"/>
                    <w:pageBreakBefore w:val="0"/>
                    <w:widowControl w:val="0"/>
                    <w:kinsoku/>
                    <w:wordWrap/>
                    <w:overflowPunct w:val="0"/>
                    <w:topLinePunct w:val="0"/>
                    <w:autoSpaceDE w:val="0"/>
                    <w:autoSpaceDN w:val="0"/>
                    <w:bidi w:val="0"/>
                    <w:adjustRightInd w:val="0"/>
                    <w:snapToGrid w:val="0"/>
                    <w:spacing w:before="0" w:after="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新建</w:t>
                  </w:r>
                </w:p>
              </w:tc>
            </w:tr>
          </w:tbl>
          <w:p w14:paraId="7039720E">
            <w:pPr>
              <w:widowControl w:val="0"/>
              <w:overflowPunct w:val="0"/>
              <w:autoSpaceDE w:val="0"/>
              <w:autoSpaceDN w:val="0"/>
              <w:adjustRightInd w:val="0"/>
              <w:snapToGrid w:val="0"/>
              <w:spacing w:line="360" w:lineRule="auto"/>
              <w:jc w:val="both"/>
              <w:outlineLvl w:val="1"/>
              <w:rPr>
                <w:rFonts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4、</w:t>
            </w:r>
            <w:r>
              <w:rPr>
                <w:rFonts w:hint="eastAsia" w:ascii="Times New Roman" w:hAnsi="Times New Roman" w:eastAsia="宋体" w:cs="黑体"/>
                <w:b/>
                <w:color w:val="auto"/>
                <w:sz w:val="28"/>
                <w:szCs w:val="30"/>
                <w:highlight w:val="none"/>
                <w:lang w:val="en-US" w:eastAsia="zh-CN" w:bidi="ar-SA"/>
              </w:rPr>
              <w:t>原辅材料</w:t>
            </w:r>
            <w:r>
              <w:rPr>
                <w:rFonts w:hint="eastAsia" w:cs="黑体"/>
                <w:b/>
                <w:color w:val="auto"/>
                <w:sz w:val="28"/>
                <w:szCs w:val="30"/>
                <w:highlight w:val="none"/>
                <w:lang w:val="en-US" w:eastAsia="zh-CN" w:bidi="ar-SA"/>
              </w:rPr>
              <w:t>、</w:t>
            </w:r>
            <w:r>
              <w:rPr>
                <w:rFonts w:hint="eastAsia" w:ascii="Times New Roman" w:hAnsi="Times New Roman" w:eastAsia="宋体" w:cs="黑体"/>
                <w:b/>
                <w:color w:val="auto"/>
                <w:sz w:val="28"/>
                <w:szCs w:val="30"/>
                <w:highlight w:val="none"/>
                <w:lang w:val="en-US" w:eastAsia="zh-CN" w:bidi="ar-SA"/>
              </w:rPr>
              <w:t>生产设备</w:t>
            </w:r>
            <w:r>
              <w:rPr>
                <w:rFonts w:hint="eastAsia" w:cs="黑体"/>
                <w:b/>
                <w:color w:val="auto"/>
                <w:sz w:val="28"/>
                <w:szCs w:val="30"/>
                <w:highlight w:val="none"/>
                <w:lang w:val="en-US" w:eastAsia="zh-CN" w:bidi="ar-SA"/>
              </w:rPr>
              <w:t>及产量</w:t>
            </w:r>
          </w:p>
          <w:p w14:paraId="4FEE4FB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color w:val="auto"/>
                <w:highlight w:val="none"/>
              </w:rPr>
            </w:pPr>
            <w:r>
              <w:rPr>
                <w:rFonts w:hint="eastAsia" w:eastAsia="宋体"/>
                <w:color w:val="auto"/>
                <w:highlight w:val="none"/>
                <w:lang w:eastAsia="zh-CN"/>
              </w:rPr>
              <w:t>（</w:t>
            </w:r>
            <w:r>
              <w:rPr>
                <w:rFonts w:hint="eastAsia" w:ascii="Times New Roman" w:eastAsia="宋体"/>
                <w:color w:val="auto"/>
                <w:highlight w:val="none"/>
                <w:lang w:val="en-US" w:eastAsia="zh-CN"/>
              </w:rPr>
              <w:t>1</w:t>
            </w:r>
            <w:r>
              <w:rPr>
                <w:rFonts w:hint="eastAsia" w:eastAsia="宋体"/>
                <w:color w:val="auto"/>
                <w:highlight w:val="none"/>
                <w:lang w:eastAsia="zh-CN"/>
              </w:rPr>
              <w:t>）</w:t>
            </w:r>
            <w:r>
              <w:rPr>
                <w:rFonts w:hint="default"/>
                <w:color w:val="auto"/>
                <w:highlight w:val="none"/>
              </w:rPr>
              <w:t>原辅材料</w:t>
            </w:r>
          </w:p>
          <w:p w14:paraId="0EE152CA">
            <w:pPr>
              <w:overflowPunct w:val="0"/>
              <w:autoSpaceDE w:val="0"/>
              <w:autoSpaceDN w:val="0"/>
              <w:adjustRightInd w:val="0"/>
              <w:snapToGrid w:val="0"/>
              <w:spacing w:line="360" w:lineRule="auto"/>
              <w:ind w:firstLine="480" w:firstLineChars="200"/>
              <w:jc w:val="both"/>
              <w:rPr>
                <w:rFonts w:ascii="Times New Roman" w:hAnsi="Times New Roman"/>
                <w:color w:val="auto"/>
              </w:rPr>
            </w:pPr>
            <w:r>
              <w:rPr>
                <w:rFonts w:hint="eastAsia" w:ascii="Times New Roman" w:eastAsia="宋体"/>
                <w:color w:val="auto"/>
                <w:highlight w:val="none"/>
                <w:lang w:val="en-US" w:eastAsia="zh-CN"/>
              </w:rPr>
              <w:t>本项目所需原辅材料名称及用量见表</w:t>
            </w:r>
            <w:r>
              <w:rPr>
                <w:rFonts w:hint="eastAsia"/>
                <w:color w:val="auto"/>
                <w:highlight w:val="none"/>
                <w:lang w:val="en-US" w:eastAsia="zh-CN"/>
              </w:rPr>
              <w:t>2.4-1</w:t>
            </w:r>
            <w:r>
              <w:rPr>
                <w:rFonts w:ascii="Times New Roman" w:hAnsi="Times New Roman"/>
                <w:color w:val="auto"/>
              </w:rPr>
              <w:t>。</w:t>
            </w:r>
          </w:p>
          <w:p w14:paraId="2990E2BC">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2" w:firstLineChars="200"/>
              <w:jc w:val="center"/>
              <w:textAlignment w:val="auto"/>
              <w:rPr>
                <w:rFonts w:hint="default" w:ascii="Times New Roman" w:hAnsi="Times New Roman" w:eastAsia="宋体" w:cs="Times New Roman"/>
                <w:b/>
                <w:color w:val="auto"/>
                <w:sz w:val="24"/>
                <w:szCs w:val="24"/>
                <w:lang w:val="en-US" w:eastAsia="zh-CN" w:bidi="ar-SA"/>
              </w:rPr>
            </w:pPr>
            <w:r>
              <w:rPr>
                <w:rFonts w:hint="default" w:ascii="Times New Roman" w:hAnsi="Times New Roman" w:eastAsia="宋体" w:cs="Times New Roman"/>
                <w:b/>
                <w:color w:val="auto"/>
                <w:sz w:val="24"/>
                <w:szCs w:val="24"/>
                <w:lang w:val="en-US" w:eastAsia="zh-CN" w:bidi="ar-SA"/>
              </w:rPr>
              <w:t>表2.</w:t>
            </w:r>
            <w:r>
              <w:rPr>
                <w:rFonts w:hint="eastAsia" w:cs="Times New Roman"/>
                <w:b/>
                <w:color w:val="auto"/>
                <w:sz w:val="24"/>
                <w:szCs w:val="24"/>
                <w:lang w:val="en-US" w:eastAsia="zh-CN" w:bidi="ar-SA"/>
              </w:rPr>
              <w:t>4</w:t>
            </w:r>
            <w:r>
              <w:rPr>
                <w:rFonts w:hint="default" w:ascii="Times New Roman" w:hAnsi="Times New Roman" w:eastAsia="宋体" w:cs="Times New Roman"/>
                <w:b/>
                <w:color w:val="auto"/>
                <w:sz w:val="24"/>
                <w:szCs w:val="24"/>
                <w:lang w:val="en-US" w:eastAsia="zh-CN" w:bidi="ar-SA"/>
              </w:rPr>
              <w:t>-1</w:t>
            </w:r>
            <w:r>
              <w:rPr>
                <w:rFonts w:hint="eastAsia" w:cs="Times New Roman"/>
                <w:b/>
                <w:color w:val="auto"/>
                <w:sz w:val="24"/>
                <w:szCs w:val="24"/>
                <w:lang w:val="en-US" w:eastAsia="zh-CN" w:bidi="ar-SA"/>
              </w:rPr>
              <w:t>原料</w:t>
            </w:r>
            <w:r>
              <w:rPr>
                <w:rFonts w:hint="default" w:ascii="Times New Roman" w:hAnsi="Times New Roman" w:eastAsia="宋体" w:cs="Times New Roman"/>
                <w:b/>
                <w:color w:val="auto"/>
                <w:sz w:val="24"/>
                <w:szCs w:val="24"/>
                <w:lang w:val="en-US" w:eastAsia="zh-CN" w:bidi="ar-SA"/>
              </w:rPr>
              <w:t>名称及用量一览表</w:t>
            </w:r>
          </w:p>
          <w:tbl>
            <w:tblPr>
              <w:tblStyle w:val="20"/>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250"/>
              <w:gridCol w:w="997"/>
              <w:gridCol w:w="1875"/>
              <w:gridCol w:w="3618"/>
            </w:tblGrid>
            <w:tr w14:paraId="3DA47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noWrap w:val="0"/>
                  <w:vAlign w:val="center"/>
                </w:tcPr>
                <w:p w14:paraId="2205BA61">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序号</w:t>
                  </w:r>
                </w:p>
              </w:tc>
              <w:tc>
                <w:tcPr>
                  <w:tcW w:w="1250" w:type="dxa"/>
                  <w:noWrap w:val="0"/>
                  <w:vAlign w:val="center"/>
                </w:tcPr>
                <w:p w14:paraId="08A60ED6">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名称</w:t>
                  </w:r>
                </w:p>
              </w:tc>
              <w:tc>
                <w:tcPr>
                  <w:tcW w:w="997" w:type="dxa"/>
                  <w:noWrap w:val="0"/>
                  <w:vAlign w:val="center"/>
                </w:tcPr>
                <w:p w14:paraId="4B77A317">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单位</w:t>
                  </w:r>
                </w:p>
              </w:tc>
              <w:tc>
                <w:tcPr>
                  <w:tcW w:w="1875" w:type="dxa"/>
                  <w:noWrap w:val="0"/>
                  <w:vAlign w:val="center"/>
                </w:tcPr>
                <w:p w14:paraId="2D4B61B6">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eastAsia" w:cs="Times New Roman"/>
                      <w:color w:val="auto"/>
                      <w:sz w:val="21"/>
                      <w:szCs w:val="21"/>
                      <w:highlight w:val="none"/>
                      <w:lang w:val="en-US" w:eastAsia="zh-CN" w:bidi="ar-SA"/>
                    </w:rPr>
                    <w:t>本项目</w:t>
                  </w:r>
                  <w:r>
                    <w:rPr>
                      <w:rFonts w:hint="default" w:cs="Times New Roman"/>
                      <w:color w:val="auto"/>
                      <w:sz w:val="21"/>
                      <w:szCs w:val="21"/>
                      <w:highlight w:val="none"/>
                      <w:lang w:val="zh-CN" w:eastAsia="zh-CN" w:bidi="ar-SA"/>
                    </w:rPr>
                    <w:t>用量</w:t>
                  </w:r>
                </w:p>
              </w:tc>
              <w:tc>
                <w:tcPr>
                  <w:tcW w:w="3618" w:type="dxa"/>
                  <w:noWrap w:val="0"/>
                  <w:vAlign w:val="center"/>
                </w:tcPr>
                <w:p w14:paraId="380A185D">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备注</w:t>
                  </w:r>
                </w:p>
              </w:tc>
            </w:tr>
            <w:tr w14:paraId="271B7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noWrap w:val="0"/>
                  <w:vAlign w:val="center"/>
                </w:tcPr>
                <w:p w14:paraId="661515E2">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1</w:t>
                  </w:r>
                </w:p>
              </w:tc>
              <w:tc>
                <w:tcPr>
                  <w:tcW w:w="1250" w:type="dxa"/>
                  <w:noWrap w:val="0"/>
                  <w:vAlign w:val="center"/>
                </w:tcPr>
                <w:p w14:paraId="5BD0C2FB">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水果葡萄</w:t>
                  </w:r>
                </w:p>
              </w:tc>
              <w:tc>
                <w:tcPr>
                  <w:tcW w:w="997" w:type="dxa"/>
                  <w:noWrap w:val="0"/>
                  <w:vAlign w:val="center"/>
                </w:tcPr>
                <w:p w14:paraId="50232C04">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eastAsia" w:cs="Times New Roman"/>
                      <w:color w:val="auto"/>
                      <w:sz w:val="21"/>
                      <w:szCs w:val="21"/>
                      <w:highlight w:val="none"/>
                      <w:lang w:val="en-US" w:eastAsia="zh-CN" w:bidi="ar-SA"/>
                    </w:rPr>
                    <w:t>t</w:t>
                  </w:r>
                  <w:r>
                    <w:rPr>
                      <w:rFonts w:hint="default" w:cs="Times New Roman"/>
                      <w:color w:val="auto"/>
                      <w:sz w:val="21"/>
                      <w:szCs w:val="21"/>
                      <w:highlight w:val="none"/>
                      <w:lang w:val="zh-CN" w:eastAsia="zh-CN" w:bidi="ar-SA"/>
                    </w:rPr>
                    <w:t>/</w:t>
                  </w:r>
                  <w:r>
                    <w:rPr>
                      <w:rFonts w:hint="eastAsia" w:cs="Times New Roman"/>
                      <w:color w:val="auto"/>
                      <w:sz w:val="21"/>
                      <w:szCs w:val="21"/>
                      <w:highlight w:val="none"/>
                      <w:lang w:val="en-US" w:eastAsia="zh-CN" w:bidi="ar-SA"/>
                    </w:rPr>
                    <w:t>a</w:t>
                  </w:r>
                </w:p>
              </w:tc>
              <w:tc>
                <w:tcPr>
                  <w:tcW w:w="1875" w:type="dxa"/>
                  <w:noWrap w:val="0"/>
                  <w:vAlign w:val="center"/>
                </w:tcPr>
                <w:p w14:paraId="3D84435B">
                  <w:pPr>
                    <w:pStyle w:val="24"/>
                    <w:jc w:val="center"/>
                    <w:rPr>
                      <w:rFonts w:hint="default"/>
                      <w:color w:val="auto"/>
                      <w:lang w:val="en-US" w:eastAsia="zh-CN"/>
                    </w:rPr>
                  </w:pPr>
                  <w:r>
                    <w:rPr>
                      <w:rFonts w:hint="eastAsia" w:ascii="Times New Roman" w:cs="Times New Roman"/>
                      <w:color w:val="auto"/>
                      <w:sz w:val="21"/>
                      <w:szCs w:val="21"/>
                      <w:lang w:val="en-US" w:eastAsia="zh-CN"/>
                    </w:rPr>
                    <w:t>10667</w:t>
                  </w:r>
                </w:p>
              </w:tc>
              <w:tc>
                <w:tcPr>
                  <w:tcW w:w="3618" w:type="dxa"/>
                  <w:noWrap w:val="0"/>
                  <w:vAlign w:val="center"/>
                </w:tcPr>
                <w:p w14:paraId="4F512E51">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疆内外购，散装，贮存于冷库内</w:t>
                  </w:r>
                </w:p>
              </w:tc>
            </w:tr>
            <w:tr w14:paraId="75866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noWrap w:val="0"/>
                  <w:vAlign w:val="center"/>
                </w:tcPr>
                <w:p w14:paraId="39468C14">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w:t>
                  </w:r>
                </w:p>
              </w:tc>
              <w:tc>
                <w:tcPr>
                  <w:tcW w:w="1250" w:type="dxa"/>
                  <w:noWrap w:val="0"/>
                  <w:vAlign w:val="center"/>
                </w:tcPr>
                <w:p w14:paraId="4E8023E1">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果汁瓶/袋</w:t>
                  </w:r>
                </w:p>
              </w:tc>
              <w:tc>
                <w:tcPr>
                  <w:tcW w:w="997" w:type="dxa"/>
                  <w:noWrap w:val="0"/>
                  <w:vAlign w:val="center"/>
                </w:tcPr>
                <w:p w14:paraId="24B8B073">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eastAsia" w:cs="Times New Roman"/>
                      <w:color w:val="auto"/>
                      <w:sz w:val="21"/>
                      <w:szCs w:val="21"/>
                      <w:highlight w:val="none"/>
                      <w:lang w:val="en-US" w:eastAsia="zh-CN" w:bidi="ar-SA"/>
                    </w:rPr>
                    <w:t>万个</w:t>
                  </w:r>
                  <w:r>
                    <w:rPr>
                      <w:rFonts w:hint="default" w:cs="Times New Roman"/>
                      <w:color w:val="auto"/>
                      <w:sz w:val="21"/>
                      <w:szCs w:val="21"/>
                      <w:highlight w:val="none"/>
                      <w:lang w:val="zh-CN" w:eastAsia="zh-CN" w:bidi="ar-SA"/>
                    </w:rPr>
                    <w:t>/</w:t>
                  </w:r>
                  <w:r>
                    <w:rPr>
                      <w:rFonts w:hint="eastAsia" w:cs="Times New Roman"/>
                      <w:color w:val="auto"/>
                      <w:sz w:val="21"/>
                      <w:szCs w:val="21"/>
                      <w:highlight w:val="none"/>
                      <w:lang w:val="en-US" w:eastAsia="zh-CN" w:bidi="ar-SA"/>
                    </w:rPr>
                    <w:t>a</w:t>
                  </w:r>
                </w:p>
              </w:tc>
              <w:tc>
                <w:tcPr>
                  <w:tcW w:w="1875" w:type="dxa"/>
                  <w:noWrap w:val="0"/>
                  <w:vAlign w:val="center"/>
                </w:tcPr>
                <w:p w14:paraId="7D22441B">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3500</w:t>
                  </w:r>
                </w:p>
              </w:tc>
              <w:tc>
                <w:tcPr>
                  <w:tcW w:w="3618" w:type="dxa"/>
                  <w:noWrap w:val="0"/>
                  <w:vAlign w:val="center"/>
                </w:tcPr>
                <w:p w14:paraId="0FAB0ABC">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疆内外购，生产车间库房暂存</w:t>
                  </w:r>
                </w:p>
              </w:tc>
            </w:tr>
            <w:tr w14:paraId="292C3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noWrap w:val="0"/>
                  <w:vAlign w:val="center"/>
                </w:tcPr>
                <w:p w14:paraId="3CD6473C">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default" w:cs="Times New Roman"/>
                      <w:color w:val="auto"/>
                      <w:sz w:val="21"/>
                      <w:szCs w:val="21"/>
                      <w:highlight w:val="none"/>
                      <w:lang w:val="zh-CN" w:eastAsia="zh-CN" w:bidi="ar-SA"/>
                    </w:rPr>
                    <w:t>二</w:t>
                  </w:r>
                </w:p>
              </w:tc>
              <w:tc>
                <w:tcPr>
                  <w:tcW w:w="7740" w:type="dxa"/>
                  <w:gridSpan w:val="4"/>
                  <w:noWrap w:val="0"/>
                  <w:vAlign w:val="center"/>
                </w:tcPr>
                <w:p w14:paraId="7788E232">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动力消耗</w:t>
                  </w:r>
                </w:p>
              </w:tc>
            </w:tr>
            <w:tr w14:paraId="31F2E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noWrap w:val="0"/>
                  <w:vAlign w:val="center"/>
                </w:tcPr>
                <w:p w14:paraId="434DD943">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1</w:t>
                  </w:r>
                </w:p>
              </w:tc>
              <w:tc>
                <w:tcPr>
                  <w:tcW w:w="1250" w:type="dxa"/>
                  <w:noWrap w:val="0"/>
                  <w:vAlign w:val="center"/>
                </w:tcPr>
                <w:p w14:paraId="2EA5AA10">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电</w:t>
                  </w:r>
                </w:p>
              </w:tc>
              <w:tc>
                <w:tcPr>
                  <w:tcW w:w="997" w:type="dxa"/>
                  <w:noWrap w:val="0"/>
                  <w:vAlign w:val="center"/>
                </w:tcPr>
                <w:p w14:paraId="3AA01A2E">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kWh/</w:t>
                  </w:r>
                  <w:r>
                    <w:rPr>
                      <w:rFonts w:hint="eastAsia" w:cs="Times New Roman"/>
                      <w:color w:val="auto"/>
                      <w:sz w:val="21"/>
                      <w:szCs w:val="21"/>
                      <w:highlight w:val="none"/>
                      <w:lang w:val="en-US" w:eastAsia="zh-CN" w:bidi="ar-SA"/>
                    </w:rPr>
                    <w:t>a</w:t>
                  </w:r>
                </w:p>
              </w:tc>
              <w:tc>
                <w:tcPr>
                  <w:tcW w:w="1875" w:type="dxa"/>
                  <w:noWrap w:val="0"/>
                  <w:vAlign w:val="center"/>
                </w:tcPr>
                <w:p w14:paraId="15447145">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50000</w:t>
                  </w:r>
                </w:p>
              </w:tc>
              <w:tc>
                <w:tcPr>
                  <w:tcW w:w="3618" w:type="dxa"/>
                  <w:noWrap w:val="0"/>
                  <w:vAlign w:val="center"/>
                </w:tcPr>
                <w:p w14:paraId="0DB825BC">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市政电力</w:t>
                  </w:r>
                  <w:r>
                    <w:rPr>
                      <w:rFonts w:hint="default" w:cs="Times New Roman"/>
                      <w:color w:val="auto"/>
                      <w:sz w:val="21"/>
                      <w:szCs w:val="21"/>
                      <w:highlight w:val="none"/>
                      <w:lang w:val="en-US" w:eastAsia="zh-CN" w:bidi="ar-SA"/>
                    </w:rPr>
                    <w:t>管网</w:t>
                  </w:r>
                </w:p>
              </w:tc>
            </w:tr>
            <w:tr w14:paraId="14384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noWrap w:val="0"/>
                  <w:vAlign w:val="center"/>
                </w:tcPr>
                <w:p w14:paraId="2292B705">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2</w:t>
                  </w:r>
                </w:p>
              </w:tc>
              <w:tc>
                <w:tcPr>
                  <w:tcW w:w="1250" w:type="dxa"/>
                  <w:noWrap w:val="0"/>
                  <w:vAlign w:val="center"/>
                </w:tcPr>
                <w:p w14:paraId="56FBAE8C">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新鲜水</w:t>
                  </w:r>
                </w:p>
              </w:tc>
              <w:tc>
                <w:tcPr>
                  <w:tcW w:w="997" w:type="dxa"/>
                  <w:noWrap w:val="0"/>
                  <w:vAlign w:val="center"/>
                </w:tcPr>
                <w:p w14:paraId="6414AFE1">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eastAsia" w:cs="Times New Roman"/>
                      <w:color w:val="auto"/>
                      <w:sz w:val="21"/>
                      <w:szCs w:val="21"/>
                      <w:highlight w:val="none"/>
                      <w:lang w:val="en-US" w:eastAsia="zh-CN" w:bidi="ar-SA"/>
                    </w:rPr>
                    <w:t>m</w:t>
                  </w:r>
                  <w:r>
                    <w:rPr>
                      <w:rFonts w:hint="eastAsia" w:cs="Times New Roman"/>
                      <w:color w:val="auto"/>
                      <w:sz w:val="21"/>
                      <w:szCs w:val="21"/>
                      <w:highlight w:val="none"/>
                      <w:vertAlign w:val="superscript"/>
                      <w:lang w:val="en-US" w:eastAsia="zh-CN" w:bidi="ar-SA"/>
                    </w:rPr>
                    <w:t>3</w:t>
                  </w:r>
                  <w:r>
                    <w:rPr>
                      <w:rFonts w:hint="default" w:cs="Times New Roman"/>
                      <w:color w:val="auto"/>
                      <w:sz w:val="21"/>
                      <w:szCs w:val="21"/>
                      <w:highlight w:val="none"/>
                      <w:lang w:val="zh-CN" w:eastAsia="zh-CN" w:bidi="ar-SA"/>
                    </w:rPr>
                    <w:t>/</w:t>
                  </w:r>
                  <w:r>
                    <w:rPr>
                      <w:rFonts w:hint="eastAsia" w:cs="Times New Roman"/>
                      <w:color w:val="auto"/>
                      <w:sz w:val="21"/>
                      <w:szCs w:val="21"/>
                      <w:highlight w:val="none"/>
                      <w:lang w:val="en-US" w:eastAsia="zh-CN" w:bidi="ar-SA"/>
                    </w:rPr>
                    <w:t>a</w:t>
                  </w:r>
                </w:p>
              </w:tc>
              <w:tc>
                <w:tcPr>
                  <w:tcW w:w="1875" w:type="dxa"/>
                  <w:noWrap w:val="0"/>
                  <w:vAlign w:val="center"/>
                </w:tcPr>
                <w:p w14:paraId="5C1FE309">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16662.9</w:t>
                  </w:r>
                </w:p>
              </w:tc>
              <w:tc>
                <w:tcPr>
                  <w:tcW w:w="3618" w:type="dxa"/>
                  <w:noWrap w:val="0"/>
                  <w:vAlign w:val="center"/>
                </w:tcPr>
                <w:p w14:paraId="01A70B50">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市政</w:t>
                  </w:r>
                  <w:r>
                    <w:rPr>
                      <w:rFonts w:hint="default" w:cs="Times New Roman"/>
                      <w:color w:val="auto"/>
                      <w:sz w:val="21"/>
                      <w:szCs w:val="21"/>
                      <w:highlight w:val="none"/>
                      <w:lang w:val="en-US" w:eastAsia="zh-CN" w:bidi="ar-SA"/>
                    </w:rPr>
                    <w:t>供水管网</w:t>
                  </w:r>
                </w:p>
              </w:tc>
            </w:tr>
          </w:tbl>
          <w:p w14:paraId="08363294">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ascii="Times New Roman" w:hAnsi="Times New Roman" w:eastAsia="宋体" w:cs="宋体"/>
                <w:color w:val="auto"/>
              </w:rPr>
            </w:pPr>
            <w:r>
              <w:rPr>
                <w:rFonts w:hint="eastAsia" w:ascii="Times New Roman" w:hAnsi="Times New Roman" w:eastAsia="宋体" w:cs="宋体"/>
                <w:color w:val="auto"/>
                <w:lang w:val="en-US" w:eastAsia="zh-CN"/>
              </w:rPr>
              <w:t>（2）</w:t>
            </w:r>
            <w:r>
              <w:rPr>
                <w:rFonts w:ascii="Times New Roman" w:hAnsi="Times New Roman" w:eastAsia="宋体" w:cs="宋体"/>
                <w:color w:val="auto"/>
              </w:rPr>
              <w:t>主要设施</w:t>
            </w:r>
            <w:r>
              <w:rPr>
                <w:rFonts w:hint="eastAsia"/>
                <w:color w:val="auto"/>
                <w:sz w:val="21"/>
                <w:szCs w:val="21"/>
                <w:lang w:val="en-US" w:eastAsia="zh-CN"/>
              </w:rPr>
              <w:t>外购</w:t>
            </w:r>
          </w:p>
          <w:p w14:paraId="0B7D633B">
            <w:pPr>
              <w:keepNext w:val="0"/>
              <w:keepLines w:val="0"/>
              <w:pageBreakBefore w:val="0"/>
              <w:widowControl w:val="0"/>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auto"/>
              <w:rPr>
                <w:rFonts w:hint="eastAsia" w:ascii="Times New Roman" w:hAnsi="Times New Roman" w:eastAsia="宋体" w:cs="宋体"/>
                <w:b/>
                <w:color w:val="auto"/>
                <w:sz w:val="24"/>
                <w:szCs w:val="24"/>
                <w:lang w:val="en-US" w:eastAsia="zh-CN" w:bidi="ar-SA"/>
              </w:rPr>
            </w:pPr>
            <w:r>
              <w:rPr>
                <w:rFonts w:ascii="Times New Roman" w:hAnsi="Times New Roman" w:eastAsia="宋体" w:cs="宋体"/>
                <w:b/>
                <w:color w:val="auto"/>
                <w:sz w:val="24"/>
                <w:szCs w:val="24"/>
                <w:lang w:val="en-US" w:eastAsia="zh-CN" w:bidi="ar-SA"/>
              </w:rPr>
              <w:t>表</w:t>
            </w:r>
            <w:r>
              <w:rPr>
                <w:rFonts w:hint="eastAsia" w:ascii="Times New Roman" w:hAnsi="Times New Roman" w:eastAsia="宋体" w:cs="宋体"/>
                <w:b/>
                <w:color w:val="auto"/>
                <w:sz w:val="24"/>
                <w:szCs w:val="24"/>
                <w:lang w:val="en-US" w:eastAsia="zh-CN" w:bidi="ar-SA"/>
              </w:rPr>
              <w:t>2.</w:t>
            </w:r>
            <w:r>
              <w:rPr>
                <w:rFonts w:hint="eastAsia" w:cs="宋体"/>
                <w:b/>
                <w:color w:val="auto"/>
                <w:sz w:val="24"/>
                <w:szCs w:val="24"/>
                <w:lang w:val="en-US" w:eastAsia="zh-CN" w:bidi="ar-SA"/>
              </w:rPr>
              <w:t>4</w:t>
            </w:r>
            <w:r>
              <w:rPr>
                <w:rFonts w:hint="eastAsia" w:ascii="Times New Roman" w:hAnsi="Times New Roman" w:eastAsia="宋体" w:cs="宋体"/>
                <w:b/>
                <w:color w:val="auto"/>
                <w:sz w:val="24"/>
                <w:szCs w:val="24"/>
                <w:lang w:val="en-US" w:eastAsia="zh-CN" w:bidi="ar-SA"/>
              </w:rPr>
              <w:t>-</w:t>
            </w:r>
            <w:r>
              <w:rPr>
                <w:rFonts w:hint="eastAsia" w:cs="宋体"/>
                <w:b/>
                <w:color w:val="auto"/>
                <w:sz w:val="24"/>
                <w:szCs w:val="24"/>
                <w:lang w:val="en-US" w:eastAsia="zh-CN" w:bidi="ar-SA"/>
              </w:rPr>
              <w:t>2</w:t>
            </w:r>
            <w:r>
              <w:rPr>
                <w:rFonts w:ascii="Times New Roman" w:hAnsi="Times New Roman" w:eastAsia="宋体" w:cs="宋体"/>
                <w:b/>
                <w:color w:val="auto"/>
                <w:sz w:val="24"/>
                <w:szCs w:val="24"/>
                <w:lang w:val="en-US" w:eastAsia="zh-CN" w:bidi="ar-SA"/>
              </w:rPr>
              <w:t>主要生产设施一览表</w:t>
            </w:r>
            <w:r>
              <w:rPr>
                <w:rFonts w:hint="eastAsia" w:ascii="Times New Roman" w:hAnsi="Times New Roman" w:eastAsia="宋体" w:cs="宋体"/>
                <w:b/>
                <w:color w:val="auto"/>
                <w:sz w:val="24"/>
                <w:szCs w:val="24"/>
                <w:lang w:val="en-US" w:eastAsia="zh-CN" w:bidi="ar-SA"/>
              </w:rPr>
              <w:t xml:space="preserve"> </w:t>
            </w:r>
          </w:p>
          <w:tbl>
            <w:tblPr>
              <w:tblStyle w:val="21"/>
              <w:tblW w:w="0" w:type="auto"/>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548"/>
              <w:gridCol w:w="640"/>
              <w:gridCol w:w="2222"/>
              <w:gridCol w:w="875"/>
              <w:gridCol w:w="1469"/>
              <w:gridCol w:w="796"/>
            </w:tblGrid>
            <w:tr w14:paraId="12468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11373E6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color w:val="auto"/>
                      <w:sz w:val="21"/>
                      <w:szCs w:val="21"/>
                      <w:highlight w:val="none"/>
                      <w:vertAlign w:val="baseline"/>
                      <w:lang w:val="en-US" w:eastAsia="zh-CN" w:bidi="ar-SA"/>
                    </w:rPr>
                  </w:pPr>
                  <w:r>
                    <w:rPr>
                      <w:rFonts w:hint="eastAsia" w:ascii="Times New Roman" w:hAnsi="Times New Roman" w:cs="Times New Roman"/>
                      <w:b/>
                      <w:color w:val="auto"/>
                      <w:sz w:val="21"/>
                      <w:szCs w:val="21"/>
                      <w:highlight w:val="none"/>
                      <w:vertAlign w:val="baseline"/>
                      <w:lang w:val="en-US" w:eastAsia="zh-CN" w:bidi="ar-SA"/>
                    </w:rPr>
                    <w:t>产污单位类别</w:t>
                  </w:r>
                </w:p>
              </w:tc>
              <w:tc>
                <w:tcPr>
                  <w:tcW w:w="1548" w:type="dxa"/>
                  <w:vAlign w:val="center"/>
                </w:tcPr>
                <w:p w14:paraId="196AD7EC">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color w:val="auto"/>
                      <w:sz w:val="21"/>
                      <w:szCs w:val="21"/>
                      <w:highlight w:val="none"/>
                      <w:vertAlign w:val="baseline"/>
                      <w:lang w:val="en-US" w:eastAsia="zh-CN" w:bidi="ar-SA"/>
                    </w:rPr>
                  </w:pPr>
                  <w:r>
                    <w:rPr>
                      <w:rFonts w:hint="eastAsia" w:ascii="Times New Roman" w:hAnsi="Times New Roman" w:cs="Times New Roman"/>
                      <w:b/>
                      <w:color w:val="auto"/>
                      <w:sz w:val="21"/>
                      <w:szCs w:val="21"/>
                      <w:highlight w:val="none"/>
                      <w:vertAlign w:val="baseline"/>
                      <w:lang w:val="en-US" w:eastAsia="zh-CN" w:bidi="ar-SA"/>
                    </w:rPr>
                    <w:t>主要生产单元名称</w:t>
                  </w:r>
                </w:p>
              </w:tc>
              <w:tc>
                <w:tcPr>
                  <w:tcW w:w="640" w:type="dxa"/>
                  <w:vAlign w:val="center"/>
                </w:tcPr>
                <w:p w14:paraId="51783B3E">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color w:val="auto"/>
                      <w:sz w:val="21"/>
                      <w:szCs w:val="21"/>
                      <w:highlight w:val="none"/>
                      <w:vertAlign w:val="baseline"/>
                      <w:lang w:val="en-US" w:eastAsia="zh-CN" w:bidi="ar-SA"/>
                    </w:rPr>
                  </w:pPr>
                  <w:r>
                    <w:rPr>
                      <w:rFonts w:hint="eastAsia" w:ascii="Times New Roman" w:hAnsi="Times New Roman" w:cs="Times New Roman"/>
                      <w:b/>
                      <w:color w:val="auto"/>
                      <w:sz w:val="21"/>
                      <w:szCs w:val="21"/>
                      <w:highlight w:val="none"/>
                      <w:vertAlign w:val="baseline"/>
                      <w:lang w:val="en-US" w:eastAsia="zh-CN" w:bidi="ar-SA"/>
                    </w:rPr>
                    <w:t>数量</w:t>
                  </w:r>
                </w:p>
              </w:tc>
              <w:tc>
                <w:tcPr>
                  <w:tcW w:w="2222" w:type="dxa"/>
                  <w:vAlign w:val="center"/>
                </w:tcPr>
                <w:p w14:paraId="32A8B4E0">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cs="Times New Roman"/>
                      <w:b/>
                      <w:color w:val="auto"/>
                      <w:sz w:val="21"/>
                      <w:szCs w:val="21"/>
                      <w:highlight w:val="none"/>
                      <w:vertAlign w:val="baseline"/>
                      <w:lang w:val="en-US" w:eastAsia="zh-CN" w:bidi="ar-SA"/>
                    </w:rPr>
                  </w:pPr>
                  <w:r>
                    <w:rPr>
                      <w:rFonts w:hint="eastAsia" w:ascii="Times New Roman" w:hAnsi="Times New Roman" w:cs="Times New Roman"/>
                      <w:b/>
                      <w:color w:val="auto"/>
                      <w:sz w:val="21"/>
                      <w:szCs w:val="21"/>
                      <w:highlight w:val="none"/>
                      <w:vertAlign w:val="baseline"/>
                      <w:lang w:val="en-US" w:eastAsia="zh-CN" w:bidi="ar-SA"/>
                    </w:rPr>
                    <w:t>生产设施名称</w:t>
                  </w:r>
                </w:p>
              </w:tc>
              <w:tc>
                <w:tcPr>
                  <w:tcW w:w="875" w:type="dxa"/>
                  <w:vAlign w:val="center"/>
                </w:tcPr>
                <w:p w14:paraId="38E1E16C">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cs="Times New Roman"/>
                      <w:b/>
                      <w:color w:val="auto"/>
                      <w:sz w:val="21"/>
                      <w:szCs w:val="21"/>
                      <w:highlight w:val="none"/>
                      <w:vertAlign w:val="baseline"/>
                      <w:lang w:val="en-US" w:eastAsia="zh-CN" w:bidi="ar-SA"/>
                    </w:rPr>
                  </w:pPr>
                  <w:r>
                    <w:rPr>
                      <w:rFonts w:hint="eastAsia" w:ascii="Times New Roman" w:hAnsi="Times New Roman" w:cs="Times New Roman"/>
                      <w:b/>
                      <w:color w:val="auto"/>
                      <w:sz w:val="21"/>
                      <w:szCs w:val="21"/>
                      <w:highlight w:val="none"/>
                      <w:vertAlign w:val="baseline"/>
                      <w:lang w:val="en-US" w:eastAsia="zh-CN" w:bidi="ar-SA"/>
                    </w:rPr>
                    <w:t>功耗</w:t>
                  </w:r>
                </w:p>
              </w:tc>
              <w:tc>
                <w:tcPr>
                  <w:tcW w:w="1469" w:type="dxa"/>
                  <w:vAlign w:val="center"/>
                </w:tcPr>
                <w:p w14:paraId="63CB1F1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color w:val="auto"/>
                      <w:sz w:val="21"/>
                      <w:szCs w:val="21"/>
                      <w:highlight w:val="none"/>
                      <w:vertAlign w:val="baseline"/>
                      <w:lang w:val="en-US" w:eastAsia="zh-CN" w:bidi="ar-SA"/>
                    </w:rPr>
                  </w:pPr>
                  <w:r>
                    <w:rPr>
                      <w:rFonts w:hint="eastAsia" w:ascii="Times New Roman" w:hAnsi="Times New Roman" w:cs="Times New Roman"/>
                      <w:b/>
                      <w:color w:val="auto"/>
                      <w:sz w:val="21"/>
                      <w:szCs w:val="21"/>
                      <w:highlight w:val="none"/>
                      <w:vertAlign w:val="baseline"/>
                      <w:lang w:val="en-US" w:eastAsia="zh-CN" w:bidi="ar-SA"/>
                    </w:rPr>
                    <w:t>设备参数</w:t>
                  </w:r>
                </w:p>
              </w:tc>
              <w:tc>
                <w:tcPr>
                  <w:tcW w:w="796" w:type="dxa"/>
                  <w:vAlign w:val="center"/>
                </w:tcPr>
                <w:p w14:paraId="3D18FC8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color w:val="auto"/>
                      <w:sz w:val="21"/>
                      <w:szCs w:val="21"/>
                      <w:highlight w:val="none"/>
                      <w:vertAlign w:val="baseline"/>
                      <w:lang w:val="en-US" w:eastAsia="zh-CN" w:bidi="ar-SA"/>
                    </w:rPr>
                  </w:pPr>
                  <w:r>
                    <w:rPr>
                      <w:rFonts w:hint="eastAsia" w:ascii="Times New Roman" w:hAnsi="Times New Roman" w:cs="Times New Roman"/>
                      <w:b/>
                      <w:color w:val="auto"/>
                      <w:sz w:val="21"/>
                      <w:szCs w:val="21"/>
                      <w:highlight w:val="none"/>
                      <w:vertAlign w:val="baseline"/>
                      <w:lang w:val="en-US" w:eastAsia="zh-CN" w:bidi="ar-SA"/>
                    </w:rPr>
                    <w:t>单位</w:t>
                  </w:r>
                </w:p>
              </w:tc>
            </w:tr>
            <w:tr w14:paraId="7262B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restart"/>
                  <w:vAlign w:val="center"/>
                </w:tcPr>
                <w:p w14:paraId="4CA9F28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果汁生产</w:t>
                  </w:r>
                </w:p>
              </w:tc>
              <w:tc>
                <w:tcPr>
                  <w:tcW w:w="1548" w:type="dxa"/>
                  <w:vMerge w:val="restart"/>
                  <w:vAlign w:val="center"/>
                </w:tcPr>
                <w:p w14:paraId="4924FA9C">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原料</w:t>
                  </w:r>
                  <w:r>
                    <w:rPr>
                      <w:rFonts w:hint="eastAsia" w:ascii="Times New Roman" w:cs="Times New Roman"/>
                      <w:b w:val="0"/>
                      <w:bCs/>
                      <w:color w:val="auto"/>
                      <w:sz w:val="21"/>
                      <w:szCs w:val="21"/>
                      <w:highlight w:val="none"/>
                      <w:vertAlign w:val="baseline"/>
                      <w:lang w:val="en-US" w:eastAsia="zh-CN" w:bidi="ar-SA"/>
                    </w:rPr>
                    <w:t>挑选系统</w:t>
                  </w:r>
                </w:p>
              </w:tc>
              <w:tc>
                <w:tcPr>
                  <w:tcW w:w="640" w:type="dxa"/>
                  <w:vAlign w:val="center"/>
                </w:tcPr>
                <w:p w14:paraId="342B753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1台</w:t>
                  </w:r>
                </w:p>
              </w:tc>
              <w:tc>
                <w:tcPr>
                  <w:tcW w:w="2222" w:type="dxa"/>
                  <w:vAlign w:val="center"/>
                </w:tcPr>
                <w:p w14:paraId="5975E253">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cs="Times New Roman"/>
                      <w:b w:val="0"/>
                      <w:bCs/>
                      <w:i w:val="0"/>
                      <w:iCs w:val="0"/>
                      <w:color w:val="auto"/>
                      <w:kern w:val="0"/>
                      <w:sz w:val="21"/>
                      <w:szCs w:val="21"/>
                      <w:highlight w:val="none"/>
                      <w:u w:val="none"/>
                      <w:lang w:val="en-US" w:eastAsia="zh-CN" w:bidi="ar"/>
                    </w:rPr>
                    <w:t>果槽</w:t>
                  </w:r>
                </w:p>
              </w:tc>
              <w:tc>
                <w:tcPr>
                  <w:tcW w:w="875" w:type="dxa"/>
                  <w:vAlign w:val="center"/>
                </w:tcPr>
                <w:p w14:paraId="53C34BFE">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4F948F86">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30</w:t>
                  </w:r>
                </w:p>
              </w:tc>
              <w:tc>
                <w:tcPr>
                  <w:tcW w:w="796" w:type="dxa"/>
                  <w:vAlign w:val="center"/>
                </w:tcPr>
                <w:p w14:paraId="4A8E27DE">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m</w:t>
                  </w:r>
                  <w:r>
                    <w:rPr>
                      <w:rFonts w:hint="default" w:ascii="Times New Roman" w:hAnsi="Times New Roman" w:eastAsia="宋体" w:cs="Times New Roman"/>
                      <w:b w:val="0"/>
                      <w:bCs/>
                      <w:color w:val="auto"/>
                      <w:sz w:val="21"/>
                      <w:szCs w:val="21"/>
                      <w:highlight w:val="none"/>
                      <w:vertAlign w:val="superscript"/>
                      <w:lang w:val="en-US" w:eastAsia="zh-CN" w:bidi="ar-SA"/>
                    </w:rPr>
                    <w:t>3</w:t>
                  </w:r>
                </w:p>
              </w:tc>
            </w:tr>
            <w:tr w14:paraId="4CAA9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25FC0BD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16EF3D3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640" w:type="dxa"/>
                  <w:vAlign w:val="center"/>
                </w:tcPr>
                <w:p w14:paraId="3488A22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1座</w:t>
                  </w:r>
                </w:p>
              </w:tc>
              <w:tc>
                <w:tcPr>
                  <w:tcW w:w="2222" w:type="dxa"/>
                  <w:vAlign w:val="center"/>
                </w:tcPr>
                <w:p w14:paraId="205D66C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挑选台</w:t>
                  </w:r>
                </w:p>
              </w:tc>
              <w:tc>
                <w:tcPr>
                  <w:tcW w:w="875" w:type="dxa"/>
                  <w:vAlign w:val="center"/>
                </w:tcPr>
                <w:p w14:paraId="431F3EC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29988FA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20</w:t>
                  </w:r>
                </w:p>
              </w:tc>
              <w:tc>
                <w:tcPr>
                  <w:tcW w:w="796" w:type="dxa"/>
                  <w:vAlign w:val="center"/>
                </w:tcPr>
                <w:p w14:paraId="59275A9E">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t/h</w:t>
                  </w:r>
                </w:p>
              </w:tc>
            </w:tr>
            <w:tr w14:paraId="5D47F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46212966">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78878386">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hAnsi="Times New Roman" w:cs="Times New Roman"/>
                      <w:b w:val="0"/>
                      <w:bCs/>
                      <w:color w:val="auto"/>
                      <w:sz w:val="21"/>
                      <w:szCs w:val="21"/>
                      <w:highlight w:val="none"/>
                      <w:vertAlign w:val="baseline"/>
                      <w:lang w:val="en-US" w:eastAsia="zh-CN" w:bidi="ar-SA"/>
                    </w:rPr>
                  </w:pPr>
                </w:p>
              </w:tc>
              <w:tc>
                <w:tcPr>
                  <w:tcW w:w="640" w:type="dxa"/>
                  <w:vAlign w:val="center"/>
                </w:tcPr>
                <w:p w14:paraId="0CB8BEC8">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2</w:t>
                  </w:r>
                  <w:r>
                    <w:rPr>
                      <w:rFonts w:hint="eastAsia" w:ascii="Times New Roman" w:hAnsi="Times New Roman" w:cs="Times New Roman"/>
                      <w:b w:val="0"/>
                      <w:bCs/>
                      <w:color w:val="auto"/>
                      <w:sz w:val="21"/>
                      <w:szCs w:val="21"/>
                      <w:highlight w:val="none"/>
                      <w:vertAlign w:val="baseline"/>
                      <w:lang w:val="en-US" w:eastAsia="zh-CN" w:bidi="ar-SA"/>
                    </w:rPr>
                    <w:t>台</w:t>
                  </w:r>
                </w:p>
              </w:tc>
              <w:tc>
                <w:tcPr>
                  <w:tcW w:w="2222" w:type="dxa"/>
                  <w:vAlign w:val="center"/>
                </w:tcPr>
                <w:p w14:paraId="18B0E1A6">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eastAsia="宋体" w:cs="Times New Roman"/>
                      <w:b w:val="0"/>
                      <w:bCs/>
                      <w:color w:val="auto"/>
                      <w:kern w:val="2"/>
                      <w:sz w:val="21"/>
                      <w:szCs w:val="21"/>
                      <w:highlight w:val="none"/>
                      <w:vertAlign w:val="baseline"/>
                      <w:lang w:val="en-US" w:eastAsia="zh-CN" w:bidi="ar-SA"/>
                    </w:rPr>
                    <w:t>提升机</w:t>
                  </w:r>
                </w:p>
              </w:tc>
              <w:tc>
                <w:tcPr>
                  <w:tcW w:w="875" w:type="dxa"/>
                  <w:vAlign w:val="center"/>
                </w:tcPr>
                <w:p w14:paraId="506C54C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7AFAB8EC">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20</w:t>
                  </w:r>
                </w:p>
              </w:tc>
              <w:tc>
                <w:tcPr>
                  <w:tcW w:w="796" w:type="dxa"/>
                  <w:vAlign w:val="center"/>
                </w:tcPr>
                <w:p w14:paraId="23DCBA7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t/h</w:t>
                  </w:r>
                </w:p>
              </w:tc>
            </w:tr>
            <w:tr w14:paraId="222E4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280C94D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729549A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hAnsi="Times New Roman" w:cs="Times New Roman"/>
                      <w:b w:val="0"/>
                      <w:bCs/>
                      <w:color w:val="auto"/>
                      <w:sz w:val="21"/>
                      <w:szCs w:val="21"/>
                      <w:highlight w:val="none"/>
                      <w:vertAlign w:val="baseline"/>
                      <w:lang w:val="en-US" w:eastAsia="zh-CN" w:bidi="ar-SA"/>
                    </w:rPr>
                  </w:pPr>
                </w:p>
              </w:tc>
              <w:tc>
                <w:tcPr>
                  <w:tcW w:w="640" w:type="dxa"/>
                  <w:vAlign w:val="center"/>
                </w:tcPr>
                <w:p w14:paraId="549D422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1台</w:t>
                  </w:r>
                </w:p>
              </w:tc>
              <w:tc>
                <w:tcPr>
                  <w:tcW w:w="2222" w:type="dxa"/>
                  <w:vAlign w:val="center"/>
                </w:tcPr>
                <w:p w14:paraId="20FE61C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cs="Times New Roman"/>
                      <w:b w:val="0"/>
                      <w:bCs/>
                      <w:i w:val="0"/>
                      <w:iCs w:val="0"/>
                      <w:color w:val="auto"/>
                      <w:kern w:val="0"/>
                      <w:sz w:val="21"/>
                      <w:szCs w:val="21"/>
                      <w:highlight w:val="none"/>
                      <w:u w:val="none"/>
                      <w:lang w:val="en-US" w:eastAsia="zh-CN" w:bidi="ar"/>
                    </w:rPr>
                    <w:t>去梗机</w:t>
                  </w:r>
                </w:p>
              </w:tc>
              <w:tc>
                <w:tcPr>
                  <w:tcW w:w="875" w:type="dxa"/>
                  <w:vAlign w:val="center"/>
                </w:tcPr>
                <w:p w14:paraId="35E474B2">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4kw</w:t>
                  </w:r>
                </w:p>
              </w:tc>
              <w:tc>
                <w:tcPr>
                  <w:tcW w:w="1469" w:type="dxa"/>
                  <w:vAlign w:val="center"/>
                </w:tcPr>
                <w:p w14:paraId="71CD324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20</w:t>
                  </w:r>
                </w:p>
              </w:tc>
              <w:tc>
                <w:tcPr>
                  <w:tcW w:w="796" w:type="dxa"/>
                  <w:vAlign w:val="center"/>
                </w:tcPr>
                <w:p w14:paraId="4A34EF7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t/h</w:t>
                  </w:r>
                </w:p>
              </w:tc>
            </w:tr>
            <w:tr w14:paraId="3E6C6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3855C5E9">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752F4A3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hAnsi="Times New Roman" w:cs="Times New Roman"/>
                      <w:b w:val="0"/>
                      <w:bCs/>
                      <w:color w:val="auto"/>
                      <w:sz w:val="21"/>
                      <w:szCs w:val="21"/>
                      <w:highlight w:val="none"/>
                      <w:vertAlign w:val="baseline"/>
                      <w:lang w:val="en-US" w:eastAsia="zh-CN" w:bidi="ar-SA"/>
                    </w:rPr>
                  </w:pPr>
                </w:p>
              </w:tc>
              <w:tc>
                <w:tcPr>
                  <w:tcW w:w="640" w:type="dxa"/>
                  <w:vAlign w:val="center"/>
                </w:tcPr>
                <w:p w14:paraId="75A1FF1C">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1</w:t>
                  </w:r>
                  <w:r>
                    <w:rPr>
                      <w:rFonts w:hint="eastAsia" w:ascii="Times New Roman" w:cs="Times New Roman"/>
                      <w:b w:val="0"/>
                      <w:bCs/>
                      <w:color w:val="auto"/>
                      <w:sz w:val="21"/>
                      <w:szCs w:val="21"/>
                      <w:highlight w:val="none"/>
                      <w:vertAlign w:val="baseline"/>
                      <w:lang w:val="en-US" w:eastAsia="zh-CN" w:bidi="ar-SA"/>
                    </w:rPr>
                    <w:t>台</w:t>
                  </w:r>
                </w:p>
              </w:tc>
              <w:tc>
                <w:tcPr>
                  <w:tcW w:w="2222" w:type="dxa"/>
                  <w:vAlign w:val="center"/>
                </w:tcPr>
                <w:p w14:paraId="7FD865B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eastAsia="宋体" w:cs="Times New Roman"/>
                      <w:b w:val="0"/>
                      <w:bCs/>
                      <w:i w:val="0"/>
                      <w:iCs w:val="0"/>
                      <w:color w:val="auto"/>
                      <w:kern w:val="0"/>
                      <w:sz w:val="21"/>
                      <w:szCs w:val="21"/>
                      <w:highlight w:val="none"/>
                      <w:u w:val="none"/>
                      <w:lang w:val="en-US" w:eastAsia="zh-CN" w:bidi="ar"/>
                    </w:rPr>
                    <w:t>破碎机</w:t>
                  </w:r>
                </w:p>
              </w:tc>
              <w:tc>
                <w:tcPr>
                  <w:tcW w:w="875" w:type="dxa"/>
                  <w:vAlign w:val="center"/>
                </w:tcPr>
                <w:p w14:paraId="2A4721AC">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17F6461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20</w:t>
                  </w:r>
                </w:p>
              </w:tc>
              <w:tc>
                <w:tcPr>
                  <w:tcW w:w="796" w:type="dxa"/>
                  <w:vAlign w:val="center"/>
                </w:tcPr>
                <w:p w14:paraId="59EB867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t/h</w:t>
                  </w:r>
                </w:p>
              </w:tc>
            </w:tr>
            <w:tr w14:paraId="68537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34B616A9">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Align w:val="center"/>
                </w:tcPr>
                <w:p w14:paraId="7091BB29">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榨汁系统</w:t>
                  </w:r>
                </w:p>
              </w:tc>
              <w:tc>
                <w:tcPr>
                  <w:tcW w:w="640" w:type="dxa"/>
                  <w:vAlign w:val="center"/>
                </w:tcPr>
                <w:p w14:paraId="784B3DA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2</w:t>
                  </w:r>
                  <w:r>
                    <w:rPr>
                      <w:rFonts w:hint="eastAsia" w:ascii="Times New Roman" w:cs="Times New Roman"/>
                      <w:b w:val="0"/>
                      <w:bCs/>
                      <w:color w:val="auto"/>
                      <w:sz w:val="21"/>
                      <w:szCs w:val="21"/>
                      <w:highlight w:val="none"/>
                      <w:vertAlign w:val="baseline"/>
                      <w:lang w:val="en-US" w:eastAsia="zh-CN" w:bidi="ar-SA"/>
                    </w:rPr>
                    <w:t>台</w:t>
                  </w:r>
                </w:p>
              </w:tc>
              <w:tc>
                <w:tcPr>
                  <w:tcW w:w="2222" w:type="dxa"/>
                  <w:vAlign w:val="center"/>
                </w:tcPr>
                <w:p w14:paraId="2152B709">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eastAsia="宋体" w:cs="Times New Roman"/>
                      <w:b w:val="0"/>
                      <w:bCs/>
                      <w:i w:val="0"/>
                      <w:iCs w:val="0"/>
                      <w:color w:val="auto"/>
                      <w:kern w:val="0"/>
                      <w:sz w:val="21"/>
                      <w:szCs w:val="21"/>
                      <w:highlight w:val="none"/>
                      <w:u w:val="none"/>
                      <w:lang w:val="en-US" w:eastAsia="zh-CN" w:bidi="ar"/>
                    </w:rPr>
                  </w:pPr>
                  <w:r>
                    <w:rPr>
                      <w:rFonts w:hint="eastAsia" w:ascii="Times New Roman" w:eastAsia="宋体" w:cs="Times New Roman"/>
                      <w:b w:val="0"/>
                      <w:bCs/>
                      <w:i w:val="0"/>
                      <w:iCs w:val="0"/>
                      <w:color w:val="auto"/>
                      <w:kern w:val="0"/>
                      <w:sz w:val="21"/>
                      <w:szCs w:val="21"/>
                      <w:highlight w:val="none"/>
                      <w:u w:val="none"/>
                      <w:lang w:val="en-US" w:eastAsia="zh-CN" w:bidi="ar"/>
                    </w:rPr>
                    <w:t>榨汁机</w:t>
                  </w:r>
                </w:p>
              </w:tc>
              <w:tc>
                <w:tcPr>
                  <w:tcW w:w="875" w:type="dxa"/>
                  <w:vAlign w:val="center"/>
                </w:tcPr>
                <w:p w14:paraId="337EA34B">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35C8E61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20</w:t>
                  </w:r>
                </w:p>
              </w:tc>
              <w:tc>
                <w:tcPr>
                  <w:tcW w:w="796" w:type="dxa"/>
                  <w:vAlign w:val="center"/>
                </w:tcPr>
                <w:p w14:paraId="77F36166">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t/h</w:t>
                  </w:r>
                </w:p>
              </w:tc>
            </w:tr>
            <w:tr w14:paraId="6030F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0AD4CB90">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restart"/>
                  <w:vAlign w:val="center"/>
                </w:tcPr>
                <w:p w14:paraId="0923A213">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调配系统</w:t>
                  </w:r>
                </w:p>
              </w:tc>
              <w:tc>
                <w:tcPr>
                  <w:tcW w:w="640" w:type="dxa"/>
                  <w:vAlign w:val="center"/>
                </w:tcPr>
                <w:p w14:paraId="2D17DE53">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2</w:t>
                  </w:r>
                  <w:r>
                    <w:rPr>
                      <w:rFonts w:hint="default" w:ascii="Times New Roman" w:hAnsi="Times New Roman" w:eastAsia="宋体" w:cs="Times New Roman"/>
                      <w:b w:val="0"/>
                      <w:bCs/>
                      <w:i w:val="0"/>
                      <w:iCs w:val="0"/>
                      <w:color w:val="auto"/>
                      <w:kern w:val="0"/>
                      <w:sz w:val="21"/>
                      <w:szCs w:val="21"/>
                      <w:highlight w:val="none"/>
                      <w:u w:val="none"/>
                      <w:lang w:val="en-US" w:eastAsia="zh-CN" w:bidi="ar"/>
                    </w:rPr>
                    <w:t>座</w:t>
                  </w:r>
                </w:p>
              </w:tc>
              <w:tc>
                <w:tcPr>
                  <w:tcW w:w="2222" w:type="dxa"/>
                  <w:vAlign w:val="center"/>
                </w:tcPr>
                <w:p w14:paraId="61CFA95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eastAsia="宋体" w:cs="Times New Roman"/>
                      <w:b w:val="0"/>
                      <w:bCs/>
                      <w:i w:val="0"/>
                      <w:iCs w:val="0"/>
                      <w:color w:val="auto"/>
                      <w:kern w:val="0"/>
                      <w:sz w:val="21"/>
                      <w:szCs w:val="21"/>
                      <w:highlight w:val="none"/>
                      <w:u w:val="none"/>
                      <w:lang w:val="en-US" w:eastAsia="zh-CN" w:bidi="ar"/>
                    </w:rPr>
                  </w:pPr>
                  <w:r>
                    <w:rPr>
                      <w:rFonts w:hint="eastAsia" w:ascii="Times New Roman" w:eastAsia="宋体" w:cs="Times New Roman"/>
                      <w:b w:val="0"/>
                      <w:bCs/>
                      <w:i w:val="0"/>
                      <w:iCs w:val="0"/>
                      <w:color w:val="auto"/>
                      <w:kern w:val="0"/>
                      <w:sz w:val="21"/>
                      <w:szCs w:val="21"/>
                      <w:highlight w:val="none"/>
                      <w:u w:val="none"/>
                      <w:lang w:val="en-US" w:eastAsia="zh-CN" w:bidi="ar"/>
                    </w:rPr>
                    <w:t>生汁罐</w:t>
                  </w:r>
                </w:p>
              </w:tc>
              <w:tc>
                <w:tcPr>
                  <w:tcW w:w="875" w:type="dxa"/>
                  <w:vAlign w:val="center"/>
                </w:tcPr>
                <w:p w14:paraId="69A359E3">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53384E4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30</w:t>
                  </w:r>
                </w:p>
              </w:tc>
              <w:tc>
                <w:tcPr>
                  <w:tcW w:w="796" w:type="dxa"/>
                  <w:vAlign w:val="center"/>
                </w:tcPr>
                <w:p w14:paraId="46BB167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m</w:t>
                  </w:r>
                  <w:r>
                    <w:rPr>
                      <w:rFonts w:hint="default" w:ascii="Times New Roman" w:hAnsi="Times New Roman" w:eastAsia="宋体" w:cs="Times New Roman"/>
                      <w:b w:val="0"/>
                      <w:bCs/>
                      <w:color w:val="auto"/>
                      <w:sz w:val="21"/>
                      <w:szCs w:val="21"/>
                      <w:highlight w:val="none"/>
                      <w:vertAlign w:val="superscript"/>
                      <w:lang w:val="en-US" w:eastAsia="zh-CN" w:bidi="ar-SA"/>
                    </w:rPr>
                    <w:t>3</w:t>
                  </w:r>
                </w:p>
              </w:tc>
            </w:tr>
            <w:tr w14:paraId="262A4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0D67CDB3">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28D16F5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cs="Times New Roman"/>
                      <w:b w:val="0"/>
                      <w:bCs/>
                      <w:color w:val="auto"/>
                      <w:sz w:val="21"/>
                      <w:szCs w:val="21"/>
                      <w:highlight w:val="none"/>
                      <w:vertAlign w:val="baseline"/>
                      <w:lang w:val="en-US" w:eastAsia="zh-CN" w:bidi="ar-SA"/>
                    </w:rPr>
                  </w:pPr>
                </w:p>
              </w:tc>
              <w:tc>
                <w:tcPr>
                  <w:tcW w:w="640" w:type="dxa"/>
                  <w:vAlign w:val="center"/>
                </w:tcPr>
                <w:p w14:paraId="7D8B7789">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6</w:t>
                  </w:r>
                  <w:r>
                    <w:rPr>
                      <w:rFonts w:hint="default" w:ascii="Times New Roman" w:hAnsi="Times New Roman" w:eastAsia="宋体" w:cs="Times New Roman"/>
                      <w:b w:val="0"/>
                      <w:bCs/>
                      <w:i w:val="0"/>
                      <w:iCs w:val="0"/>
                      <w:color w:val="auto"/>
                      <w:kern w:val="0"/>
                      <w:sz w:val="21"/>
                      <w:szCs w:val="21"/>
                      <w:highlight w:val="none"/>
                      <w:u w:val="none"/>
                      <w:lang w:val="en-US" w:eastAsia="zh-CN" w:bidi="ar"/>
                    </w:rPr>
                    <w:t>座</w:t>
                  </w:r>
                </w:p>
              </w:tc>
              <w:tc>
                <w:tcPr>
                  <w:tcW w:w="2222" w:type="dxa"/>
                  <w:vAlign w:val="center"/>
                </w:tcPr>
                <w:p w14:paraId="37FB5148">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eastAsia="宋体" w:cs="Times New Roman"/>
                      <w:b w:val="0"/>
                      <w:bCs/>
                      <w:i w:val="0"/>
                      <w:iCs w:val="0"/>
                      <w:color w:val="auto"/>
                      <w:kern w:val="0"/>
                      <w:sz w:val="21"/>
                      <w:szCs w:val="21"/>
                      <w:highlight w:val="none"/>
                      <w:u w:val="none"/>
                      <w:lang w:val="en-US" w:eastAsia="zh-CN" w:bidi="ar"/>
                    </w:rPr>
                  </w:pPr>
                  <w:r>
                    <w:rPr>
                      <w:rFonts w:hint="eastAsia" w:ascii="Times New Roman" w:eastAsia="宋体" w:cs="Times New Roman"/>
                      <w:b w:val="0"/>
                      <w:bCs/>
                      <w:i w:val="0"/>
                      <w:iCs w:val="0"/>
                      <w:color w:val="auto"/>
                      <w:kern w:val="0"/>
                      <w:sz w:val="21"/>
                      <w:szCs w:val="21"/>
                      <w:highlight w:val="none"/>
                      <w:u w:val="none"/>
                      <w:lang w:val="en-US" w:eastAsia="zh-CN" w:bidi="ar"/>
                    </w:rPr>
                    <w:t>酶解罐</w:t>
                  </w:r>
                </w:p>
              </w:tc>
              <w:tc>
                <w:tcPr>
                  <w:tcW w:w="875" w:type="dxa"/>
                  <w:vAlign w:val="center"/>
                </w:tcPr>
                <w:p w14:paraId="4AB0CDBC">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05D69BF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30</w:t>
                  </w:r>
                </w:p>
              </w:tc>
              <w:tc>
                <w:tcPr>
                  <w:tcW w:w="796" w:type="dxa"/>
                  <w:vAlign w:val="center"/>
                </w:tcPr>
                <w:p w14:paraId="106BBD8B">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m</w:t>
                  </w:r>
                  <w:r>
                    <w:rPr>
                      <w:rFonts w:hint="default" w:ascii="Times New Roman" w:hAnsi="Times New Roman" w:eastAsia="宋体" w:cs="Times New Roman"/>
                      <w:b w:val="0"/>
                      <w:bCs/>
                      <w:color w:val="auto"/>
                      <w:sz w:val="21"/>
                      <w:szCs w:val="21"/>
                      <w:highlight w:val="none"/>
                      <w:vertAlign w:val="superscript"/>
                      <w:lang w:val="en-US" w:eastAsia="zh-CN" w:bidi="ar-SA"/>
                    </w:rPr>
                    <w:t>3</w:t>
                  </w:r>
                </w:p>
              </w:tc>
            </w:tr>
            <w:tr w14:paraId="3DF53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5EB203A6">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526348D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cs="Times New Roman"/>
                      <w:b w:val="0"/>
                      <w:bCs/>
                      <w:color w:val="auto"/>
                      <w:sz w:val="21"/>
                      <w:szCs w:val="21"/>
                      <w:highlight w:val="none"/>
                      <w:vertAlign w:val="baseline"/>
                      <w:lang w:val="en-US" w:eastAsia="zh-CN" w:bidi="ar-SA"/>
                    </w:rPr>
                  </w:pPr>
                </w:p>
              </w:tc>
              <w:tc>
                <w:tcPr>
                  <w:tcW w:w="640" w:type="dxa"/>
                  <w:vAlign w:val="center"/>
                </w:tcPr>
                <w:p w14:paraId="7CCC5B52">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4</w:t>
                  </w:r>
                  <w:r>
                    <w:rPr>
                      <w:rFonts w:hint="default" w:ascii="Times New Roman" w:hAnsi="Times New Roman" w:eastAsia="宋体" w:cs="Times New Roman"/>
                      <w:b w:val="0"/>
                      <w:bCs/>
                      <w:i w:val="0"/>
                      <w:iCs w:val="0"/>
                      <w:color w:val="auto"/>
                      <w:kern w:val="0"/>
                      <w:sz w:val="21"/>
                      <w:szCs w:val="21"/>
                      <w:highlight w:val="none"/>
                      <w:u w:val="none"/>
                      <w:lang w:val="en-US" w:eastAsia="zh-CN" w:bidi="ar"/>
                    </w:rPr>
                    <w:t>座</w:t>
                  </w:r>
                </w:p>
              </w:tc>
              <w:tc>
                <w:tcPr>
                  <w:tcW w:w="2222" w:type="dxa"/>
                  <w:vAlign w:val="center"/>
                </w:tcPr>
                <w:p w14:paraId="2145BD68">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eastAsia="宋体" w:cs="Times New Roman"/>
                      <w:b w:val="0"/>
                      <w:bCs/>
                      <w:i w:val="0"/>
                      <w:iCs w:val="0"/>
                      <w:color w:val="auto"/>
                      <w:kern w:val="0"/>
                      <w:sz w:val="21"/>
                      <w:szCs w:val="21"/>
                      <w:highlight w:val="none"/>
                      <w:u w:val="none"/>
                      <w:lang w:val="en-US" w:eastAsia="zh-CN" w:bidi="ar"/>
                    </w:rPr>
                  </w:pPr>
                  <w:r>
                    <w:rPr>
                      <w:rFonts w:hint="eastAsia" w:ascii="Times New Roman" w:eastAsia="宋体" w:cs="Times New Roman"/>
                      <w:b w:val="0"/>
                      <w:bCs/>
                      <w:i w:val="0"/>
                      <w:iCs w:val="0"/>
                      <w:color w:val="auto"/>
                      <w:kern w:val="0"/>
                      <w:sz w:val="21"/>
                      <w:szCs w:val="21"/>
                      <w:highlight w:val="none"/>
                      <w:u w:val="none"/>
                      <w:lang w:val="en-US" w:eastAsia="zh-CN" w:bidi="ar"/>
                    </w:rPr>
                    <w:t>清汁罐</w:t>
                  </w:r>
                </w:p>
              </w:tc>
              <w:tc>
                <w:tcPr>
                  <w:tcW w:w="875" w:type="dxa"/>
                  <w:vAlign w:val="center"/>
                </w:tcPr>
                <w:p w14:paraId="3FF8562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62892196">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30</w:t>
                  </w:r>
                </w:p>
              </w:tc>
              <w:tc>
                <w:tcPr>
                  <w:tcW w:w="796" w:type="dxa"/>
                  <w:vAlign w:val="center"/>
                </w:tcPr>
                <w:p w14:paraId="28C4DA2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m</w:t>
                  </w:r>
                  <w:r>
                    <w:rPr>
                      <w:rFonts w:hint="default" w:ascii="Times New Roman" w:hAnsi="Times New Roman" w:eastAsia="宋体" w:cs="Times New Roman"/>
                      <w:b w:val="0"/>
                      <w:bCs/>
                      <w:color w:val="auto"/>
                      <w:sz w:val="21"/>
                      <w:szCs w:val="21"/>
                      <w:highlight w:val="none"/>
                      <w:vertAlign w:val="superscript"/>
                      <w:lang w:val="en-US" w:eastAsia="zh-CN" w:bidi="ar-SA"/>
                    </w:rPr>
                    <w:t>3</w:t>
                  </w:r>
                </w:p>
              </w:tc>
            </w:tr>
            <w:tr w14:paraId="02E29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02C577E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11B45EA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cs="Times New Roman"/>
                      <w:b w:val="0"/>
                      <w:bCs/>
                      <w:color w:val="auto"/>
                      <w:sz w:val="21"/>
                      <w:szCs w:val="21"/>
                      <w:highlight w:val="none"/>
                      <w:vertAlign w:val="baseline"/>
                      <w:lang w:val="en-US" w:eastAsia="zh-CN" w:bidi="ar-SA"/>
                    </w:rPr>
                  </w:pPr>
                </w:p>
              </w:tc>
              <w:tc>
                <w:tcPr>
                  <w:tcW w:w="640" w:type="dxa"/>
                  <w:vAlign w:val="center"/>
                </w:tcPr>
                <w:p w14:paraId="10F3112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3</w:t>
                  </w:r>
                  <w:r>
                    <w:rPr>
                      <w:rFonts w:hint="default" w:ascii="Times New Roman" w:hAnsi="Times New Roman" w:eastAsia="宋体" w:cs="Times New Roman"/>
                      <w:b w:val="0"/>
                      <w:bCs/>
                      <w:i w:val="0"/>
                      <w:iCs w:val="0"/>
                      <w:color w:val="auto"/>
                      <w:kern w:val="0"/>
                      <w:sz w:val="21"/>
                      <w:szCs w:val="21"/>
                      <w:highlight w:val="none"/>
                      <w:u w:val="none"/>
                      <w:lang w:val="en-US" w:eastAsia="zh-CN" w:bidi="ar"/>
                    </w:rPr>
                    <w:t>座</w:t>
                  </w:r>
                </w:p>
              </w:tc>
              <w:tc>
                <w:tcPr>
                  <w:tcW w:w="2222" w:type="dxa"/>
                  <w:vAlign w:val="center"/>
                </w:tcPr>
                <w:p w14:paraId="1894BBB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eastAsia="宋体" w:cs="Times New Roman"/>
                      <w:b w:val="0"/>
                      <w:bCs/>
                      <w:i w:val="0"/>
                      <w:iCs w:val="0"/>
                      <w:color w:val="auto"/>
                      <w:kern w:val="0"/>
                      <w:sz w:val="21"/>
                      <w:szCs w:val="21"/>
                      <w:highlight w:val="none"/>
                      <w:u w:val="none"/>
                      <w:lang w:val="en-US" w:eastAsia="zh-CN" w:bidi="ar"/>
                    </w:rPr>
                  </w:pPr>
                  <w:r>
                    <w:rPr>
                      <w:rFonts w:hint="eastAsia" w:ascii="Times New Roman" w:eastAsia="宋体" w:cs="Times New Roman"/>
                      <w:b w:val="0"/>
                      <w:bCs/>
                      <w:i w:val="0"/>
                      <w:iCs w:val="0"/>
                      <w:color w:val="auto"/>
                      <w:kern w:val="0"/>
                      <w:sz w:val="21"/>
                      <w:szCs w:val="21"/>
                      <w:highlight w:val="none"/>
                      <w:u w:val="none"/>
                      <w:lang w:val="en-US" w:eastAsia="zh-CN" w:bidi="ar"/>
                    </w:rPr>
                    <w:t>成品罐</w:t>
                  </w:r>
                </w:p>
              </w:tc>
              <w:tc>
                <w:tcPr>
                  <w:tcW w:w="875" w:type="dxa"/>
                  <w:vAlign w:val="center"/>
                </w:tcPr>
                <w:p w14:paraId="295C1590">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1496669B">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kern w:val="2"/>
                      <w:sz w:val="21"/>
                      <w:szCs w:val="21"/>
                      <w:highlight w:val="none"/>
                      <w:vertAlign w:val="baseline"/>
                      <w:lang w:val="en-US" w:eastAsia="zh-CN" w:bidi="ar-SA"/>
                    </w:rPr>
                    <w:t>60</w:t>
                  </w:r>
                </w:p>
              </w:tc>
              <w:tc>
                <w:tcPr>
                  <w:tcW w:w="796" w:type="dxa"/>
                  <w:vAlign w:val="center"/>
                </w:tcPr>
                <w:p w14:paraId="0E97A5CE">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m</w:t>
                  </w:r>
                  <w:r>
                    <w:rPr>
                      <w:rFonts w:hint="default" w:ascii="Times New Roman" w:hAnsi="Times New Roman" w:eastAsia="宋体" w:cs="Times New Roman"/>
                      <w:b w:val="0"/>
                      <w:bCs/>
                      <w:color w:val="auto"/>
                      <w:sz w:val="21"/>
                      <w:szCs w:val="21"/>
                      <w:highlight w:val="none"/>
                      <w:vertAlign w:val="superscript"/>
                      <w:lang w:val="en-US" w:eastAsia="zh-CN" w:bidi="ar-SA"/>
                    </w:rPr>
                    <w:t>3</w:t>
                  </w:r>
                </w:p>
              </w:tc>
            </w:tr>
            <w:tr w14:paraId="34EF6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25E5DB7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restart"/>
                  <w:vAlign w:val="center"/>
                </w:tcPr>
                <w:p w14:paraId="1F63EFAC">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过滤脱色系统</w:t>
                  </w:r>
                </w:p>
              </w:tc>
              <w:tc>
                <w:tcPr>
                  <w:tcW w:w="640" w:type="dxa"/>
                  <w:vAlign w:val="center"/>
                </w:tcPr>
                <w:p w14:paraId="610BEFE6">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i w:val="0"/>
                      <w:iCs w:val="0"/>
                      <w:color w:val="auto"/>
                      <w:kern w:val="0"/>
                      <w:sz w:val="21"/>
                      <w:szCs w:val="21"/>
                      <w:highlight w:val="none"/>
                      <w:u w:val="none"/>
                      <w:lang w:val="en-US" w:eastAsia="zh-CN" w:bidi="ar"/>
                    </w:rPr>
                    <w:t>2</w:t>
                  </w:r>
                  <w:r>
                    <w:rPr>
                      <w:rFonts w:hint="eastAsia" w:ascii="Times New Roman" w:hAnsi="Times New Roman" w:cs="Times New Roman"/>
                      <w:b w:val="0"/>
                      <w:bCs/>
                      <w:color w:val="auto"/>
                      <w:sz w:val="21"/>
                      <w:szCs w:val="21"/>
                      <w:highlight w:val="none"/>
                      <w:vertAlign w:val="baseline"/>
                      <w:lang w:val="en-US" w:eastAsia="zh-CN" w:bidi="ar-SA"/>
                    </w:rPr>
                    <w:t>台</w:t>
                  </w:r>
                </w:p>
              </w:tc>
              <w:tc>
                <w:tcPr>
                  <w:tcW w:w="2222" w:type="dxa"/>
                  <w:vAlign w:val="center"/>
                </w:tcPr>
                <w:p w14:paraId="638CF5E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i w:val="0"/>
                      <w:iCs w:val="0"/>
                      <w:color w:val="auto"/>
                      <w:kern w:val="0"/>
                      <w:sz w:val="21"/>
                      <w:szCs w:val="21"/>
                      <w:highlight w:val="none"/>
                      <w:u w:val="none"/>
                      <w:lang w:val="en-US" w:eastAsia="zh-CN" w:bidi="ar"/>
                    </w:rPr>
                    <w:t>超滤机</w:t>
                  </w:r>
                </w:p>
              </w:tc>
              <w:tc>
                <w:tcPr>
                  <w:tcW w:w="875" w:type="dxa"/>
                  <w:vAlign w:val="center"/>
                </w:tcPr>
                <w:p w14:paraId="3407A3CC">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6D0695A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20</w:t>
                  </w:r>
                </w:p>
              </w:tc>
              <w:tc>
                <w:tcPr>
                  <w:tcW w:w="796" w:type="dxa"/>
                  <w:vAlign w:val="center"/>
                </w:tcPr>
                <w:p w14:paraId="19F1831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t/h</w:t>
                  </w:r>
                </w:p>
              </w:tc>
            </w:tr>
            <w:tr w14:paraId="23B1F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649B0FA8">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015DC3D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cs="Times New Roman"/>
                      <w:b w:val="0"/>
                      <w:bCs/>
                      <w:color w:val="auto"/>
                      <w:sz w:val="21"/>
                      <w:szCs w:val="21"/>
                      <w:highlight w:val="none"/>
                      <w:vertAlign w:val="baseline"/>
                      <w:lang w:val="en-US" w:eastAsia="zh-CN" w:bidi="ar-SA"/>
                    </w:rPr>
                  </w:pPr>
                </w:p>
              </w:tc>
              <w:tc>
                <w:tcPr>
                  <w:tcW w:w="640" w:type="dxa"/>
                  <w:vAlign w:val="center"/>
                </w:tcPr>
                <w:p w14:paraId="082110BB">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cs="Times New Roman"/>
                      <w:b w:val="0"/>
                      <w:bCs/>
                      <w:i w:val="0"/>
                      <w:iCs w:val="0"/>
                      <w:color w:val="auto"/>
                      <w:kern w:val="0"/>
                      <w:sz w:val="21"/>
                      <w:szCs w:val="21"/>
                      <w:highlight w:val="none"/>
                      <w:u w:val="none"/>
                      <w:lang w:val="en-US" w:eastAsia="zh-CN" w:bidi="ar"/>
                    </w:rPr>
                  </w:pPr>
                  <w:r>
                    <w:rPr>
                      <w:rFonts w:hint="eastAsia" w:ascii="Times New Roman" w:cs="Times New Roman"/>
                      <w:b w:val="0"/>
                      <w:bCs/>
                      <w:i w:val="0"/>
                      <w:iCs w:val="0"/>
                      <w:color w:val="auto"/>
                      <w:kern w:val="0"/>
                      <w:sz w:val="21"/>
                      <w:szCs w:val="21"/>
                      <w:highlight w:val="none"/>
                      <w:u w:val="none"/>
                      <w:lang w:val="en-US" w:eastAsia="zh-CN" w:bidi="ar"/>
                    </w:rPr>
                    <w:t>2</w:t>
                  </w:r>
                  <w:r>
                    <w:rPr>
                      <w:rFonts w:hint="default" w:ascii="Times New Roman" w:hAnsi="Times New Roman" w:eastAsia="宋体" w:cs="Times New Roman"/>
                      <w:b w:val="0"/>
                      <w:bCs/>
                      <w:i w:val="0"/>
                      <w:iCs w:val="0"/>
                      <w:color w:val="auto"/>
                      <w:kern w:val="0"/>
                      <w:sz w:val="21"/>
                      <w:szCs w:val="21"/>
                      <w:highlight w:val="none"/>
                      <w:u w:val="none"/>
                      <w:lang w:val="en-US" w:eastAsia="zh-CN" w:bidi="ar"/>
                    </w:rPr>
                    <w:t>座</w:t>
                  </w:r>
                </w:p>
              </w:tc>
              <w:tc>
                <w:tcPr>
                  <w:tcW w:w="2222" w:type="dxa"/>
                  <w:vAlign w:val="center"/>
                </w:tcPr>
                <w:p w14:paraId="60D121A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eastAsia" w:ascii="Times New Roman" w:cs="Times New Roman"/>
                      <w:b w:val="0"/>
                      <w:bCs/>
                      <w:i w:val="0"/>
                      <w:iCs w:val="0"/>
                      <w:color w:val="auto"/>
                      <w:kern w:val="0"/>
                      <w:sz w:val="21"/>
                      <w:szCs w:val="21"/>
                      <w:highlight w:val="none"/>
                      <w:u w:val="none"/>
                      <w:lang w:val="en-US" w:eastAsia="zh-CN" w:bidi="ar"/>
                    </w:rPr>
                  </w:pPr>
                  <w:r>
                    <w:rPr>
                      <w:rFonts w:hint="eastAsia" w:ascii="Times New Roman" w:cs="Times New Roman"/>
                      <w:b w:val="0"/>
                      <w:bCs/>
                      <w:i w:val="0"/>
                      <w:iCs w:val="0"/>
                      <w:color w:val="auto"/>
                      <w:kern w:val="0"/>
                      <w:sz w:val="21"/>
                      <w:szCs w:val="21"/>
                      <w:highlight w:val="none"/>
                      <w:u w:val="none"/>
                      <w:lang w:val="en-US" w:eastAsia="zh-CN" w:bidi="ar"/>
                    </w:rPr>
                    <w:t>树脂罐</w:t>
                  </w:r>
                </w:p>
              </w:tc>
              <w:tc>
                <w:tcPr>
                  <w:tcW w:w="875" w:type="dxa"/>
                  <w:vAlign w:val="center"/>
                </w:tcPr>
                <w:p w14:paraId="03155D2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6F83274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10</w:t>
                  </w:r>
                </w:p>
              </w:tc>
              <w:tc>
                <w:tcPr>
                  <w:tcW w:w="796" w:type="dxa"/>
                  <w:vAlign w:val="center"/>
                </w:tcPr>
                <w:p w14:paraId="58637FC8">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m</w:t>
                  </w:r>
                  <w:r>
                    <w:rPr>
                      <w:rFonts w:hint="default" w:ascii="Times New Roman" w:hAnsi="Times New Roman" w:eastAsia="宋体" w:cs="Times New Roman"/>
                      <w:b w:val="0"/>
                      <w:bCs/>
                      <w:color w:val="auto"/>
                      <w:sz w:val="21"/>
                      <w:szCs w:val="21"/>
                      <w:highlight w:val="none"/>
                      <w:vertAlign w:val="superscript"/>
                      <w:lang w:val="en-US" w:eastAsia="zh-CN" w:bidi="ar-SA"/>
                    </w:rPr>
                    <w:t>3</w:t>
                  </w:r>
                </w:p>
              </w:tc>
            </w:tr>
            <w:tr w14:paraId="72755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vMerge w:val="continue"/>
                  <w:vAlign w:val="center"/>
                </w:tcPr>
                <w:p w14:paraId="7232BE8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restart"/>
                  <w:vAlign w:val="center"/>
                </w:tcPr>
                <w:p w14:paraId="63A8DF11">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灭菌系统</w:t>
                  </w:r>
                </w:p>
              </w:tc>
              <w:tc>
                <w:tcPr>
                  <w:tcW w:w="640" w:type="dxa"/>
                  <w:vAlign w:val="center"/>
                </w:tcPr>
                <w:p w14:paraId="5F56B6E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1</w:t>
                  </w:r>
                  <w:r>
                    <w:rPr>
                      <w:rFonts w:hint="eastAsia" w:ascii="Times New Roman" w:hAnsi="Times New Roman" w:cs="Times New Roman"/>
                      <w:b w:val="0"/>
                      <w:bCs/>
                      <w:color w:val="auto"/>
                      <w:sz w:val="21"/>
                      <w:szCs w:val="21"/>
                      <w:highlight w:val="none"/>
                      <w:vertAlign w:val="baseline"/>
                      <w:lang w:val="en-US" w:eastAsia="zh-CN" w:bidi="ar-SA"/>
                    </w:rPr>
                    <w:t>台</w:t>
                  </w:r>
                </w:p>
              </w:tc>
              <w:tc>
                <w:tcPr>
                  <w:tcW w:w="2222" w:type="dxa"/>
                  <w:vAlign w:val="center"/>
                </w:tcPr>
                <w:p w14:paraId="3DA695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五效降膜蒸发器</w:t>
                  </w:r>
                </w:p>
              </w:tc>
              <w:tc>
                <w:tcPr>
                  <w:tcW w:w="875" w:type="dxa"/>
                  <w:vAlign w:val="center"/>
                </w:tcPr>
                <w:p w14:paraId="5FDEF7F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7BCFADD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20</w:t>
                  </w:r>
                </w:p>
              </w:tc>
              <w:tc>
                <w:tcPr>
                  <w:tcW w:w="796" w:type="dxa"/>
                  <w:vAlign w:val="center"/>
                </w:tcPr>
                <w:p w14:paraId="67972D13">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t/h</w:t>
                  </w:r>
                </w:p>
              </w:tc>
            </w:tr>
            <w:tr w14:paraId="39964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5F6DCF0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239DAA1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hAnsi="Times New Roman" w:cs="Times New Roman"/>
                      <w:b w:val="0"/>
                      <w:bCs/>
                      <w:color w:val="auto"/>
                      <w:sz w:val="21"/>
                      <w:szCs w:val="21"/>
                      <w:highlight w:val="none"/>
                      <w:vertAlign w:val="baseline"/>
                      <w:lang w:val="en-US" w:eastAsia="zh-CN" w:bidi="ar-SA"/>
                    </w:rPr>
                  </w:pPr>
                </w:p>
              </w:tc>
              <w:tc>
                <w:tcPr>
                  <w:tcW w:w="640" w:type="dxa"/>
                  <w:vAlign w:val="center"/>
                </w:tcPr>
                <w:p w14:paraId="45BDC32B">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default" w:ascii="Times New Roman" w:hAnsi="Times New Roman"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1</w:t>
                  </w:r>
                  <w:r>
                    <w:rPr>
                      <w:rFonts w:hint="eastAsia" w:ascii="Times New Roman" w:hAnsi="Times New Roman" w:cs="Times New Roman"/>
                      <w:b w:val="0"/>
                      <w:bCs/>
                      <w:color w:val="auto"/>
                      <w:sz w:val="21"/>
                      <w:szCs w:val="21"/>
                      <w:highlight w:val="none"/>
                      <w:vertAlign w:val="baseline"/>
                      <w:lang w:val="en-US" w:eastAsia="zh-CN" w:bidi="ar-SA"/>
                    </w:rPr>
                    <w:t>台</w:t>
                  </w:r>
                </w:p>
              </w:tc>
              <w:tc>
                <w:tcPr>
                  <w:tcW w:w="2222" w:type="dxa"/>
                  <w:vAlign w:val="center"/>
                </w:tcPr>
                <w:p w14:paraId="06AA1A5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后巴氏杀菌机菌</w:t>
                  </w:r>
                </w:p>
              </w:tc>
              <w:tc>
                <w:tcPr>
                  <w:tcW w:w="875" w:type="dxa"/>
                  <w:vAlign w:val="center"/>
                </w:tcPr>
                <w:p w14:paraId="4FA3B3E3">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24A4700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8</w:t>
                  </w:r>
                </w:p>
              </w:tc>
              <w:tc>
                <w:tcPr>
                  <w:tcW w:w="796" w:type="dxa"/>
                  <w:vAlign w:val="center"/>
                </w:tcPr>
                <w:p w14:paraId="020F17B2">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t/h</w:t>
                  </w:r>
                </w:p>
              </w:tc>
            </w:tr>
            <w:tr w14:paraId="43C61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6078F83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Merge w:val="continue"/>
                  <w:vAlign w:val="center"/>
                </w:tcPr>
                <w:p w14:paraId="201DD7C7">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hAnsi="Times New Roman" w:cs="Times New Roman"/>
                      <w:b w:val="0"/>
                      <w:bCs/>
                      <w:color w:val="auto"/>
                      <w:sz w:val="21"/>
                      <w:szCs w:val="21"/>
                      <w:highlight w:val="none"/>
                      <w:vertAlign w:val="baseline"/>
                      <w:lang w:val="en-US" w:eastAsia="zh-CN" w:bidi="ar-SA"/>
                    </w:rPr>
                  </w:pPr>
                </w:p>
              </w:tc>
              <w:tc>
                <w:tcPr>
                  <w:tcW w:w="640" w:type="dxa"/>
                  <w:vAlign w:val="center"/>
                </w:tcPr>
                <w:p w14:paraId="766260F6">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3</w:t>
                  </w:r>
                  <w:r>
                    <w:rPr>
                      <w:rFonts w:hint="default" w:ascii="Times New Roman" w:hAnsi="Times New Roman" w:eastAsia="宋体" w:cs="Times New Roman"/>
                      <w:b w:val="0"/>
                      <w:bCs/>
                      <w:i w:val="0"/>
                      <w:iCs w:val="0"/>
                      <w:color w:val="auto"/>
                      <w:kern w:val="0"/>
                      <w:sz w:val="21"/>
                      <w:szCs w:val="21"/>
                      <w:highlight w:val="none"/>
                      <w:u w:val="none"/>
                      <w:lang w:val="en-US" w:eastAsia="zh-CN" w:bidi="ar"/>
                    </w:rPr>
                    <w:t>座</w:t>
                  </w:r>
                </w:p>
              </w:tc>
              <w:tc>
                <w:tcPr>
                  <w:tcW w:w="2222" w:type="dxa"/>
                  <w:vAlign w:val="center"/>
                </w:tcPr>
                <w:p w14:paraId="233DD689">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CIP清洗罐</w:t>
                  </w:r>
                </w:p>
              </w:tc>
              <w:tc>
                <w:tcPr>
                  <w:tcW w:w="875" w:type="dxa"/>
                  <w:vAlign w:val="center"/>
                </w:tcPr>
                <w:p w14:paraId="48D072A4">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34496C69">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10</w:t>
                  </w:r>
                </w:p>
              </w:tc>
              <w:tc>
                <w:tcPr>
                  <w:tcW w:w="796" w:type="dxa"/>
                  <w:vAlign w:val="center"/>
                </w:tcPr>
                <w:p w14:paraId="6AD37CB8">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bidi="ar-SA"/>
                    </w:rPr>
                    <w:t>m</w:t>
                  </w:r>
                  <w:r>
                    <w:rPr>
                      <w:rFonts w:hint="default" w:ascii="Times New Roman" w:hAnsi="Times New Roman" w:eastAsia="宋体" w:cs="Times New Roman"/>
                      <w:b w:val="0"/>
                      <w:bCs/>
                      <w:color w:val="auto"/>
                      <w:sz w:val="21"/>
                      <w:szCs w:val="21"/>
                      <w:highlight w:val="none"/>
                      <w:vertAlign w:val="superscript"/>
                      <w:lang w:val="en-US" w:eastAsia="zh-CN" w:bidi="ar-SA"/>
                    </w:rPr>
                    <w:t>3</w:t>
                  </w:r>
                </w:p>
              </w:tc>
            </w:tr>
            <w:tr w14:paraId="0AB27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5CDD63F0">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Align w:val="center"/>
                </w:tcPr>
                <w:p w14:paraId="17A64AE9">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灌装系统</w:t>
                  </w:r>
                </w:p>
              </w:tc>
              <w:tc>
                <w:tcPr>
                  <w:tcW w:w="640" w:type="dxa"/>
                  <w:vAlign w:val="center"/>
                </w:tcPr>
                <w:p w14:paraId="383504B3">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1</w:t>
                  </w:r>
                  <w:r>
                    <w:rPr>
                      <w:rFonts w:hint="eastAsia" w:ascii="Times New Roman" w:hAnsi="Times New Roman" w:cs="Times New Roman"/>
                      <w:b w:val="0"/>
                      <w:bCs/>
                      <w:color w:val="auto"/>
                      <w:sz w:val="21"/>
                      <w:szCs w:val="21"/>
                      <w:highlight w:val="none"/>
                      <w:vertAlign w:val="baseline"/>
                      <w:lang w:val="en-US" w:eastAsia="zh-CN" w:bidi="ar-SA"/>
                    </w:rPr>
                    <w:t>台</w:t>
                  </w:r>
                </w:p>
              </w:tc>
              <w:tc>
                <w:tcPr>
                  <w:tcW w:w="2222" w:type="dxa"/>
                  <w:vAlign w:val="center"/>
                </w:tcPr>
                <w:p w14:paraId="20D4C52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vertAlign w:val="baseline"/>
                      <w:lang w:val="en-US" w:eastAsia="zh-CN" w:bidi="ar-SA"/>
                    </w:rPr>
                    <w:t>双头无菌灌装机</w:t>
                  </w:r>
                </w:p>
              </w:tc>
              <w:tc>
                <w:tcPr>
                  <w:tcW w:w="875" w:type="dxa"/>
                  <w:vAlign w:val="center"/>
                </w:tcPr>
                <w:p w14:paraId="0B6DF0A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cs="Times New Roman"/>
                      <w:b w:val="0"/>
                      <w:bCs/>
                      <w:color w:val="auto"/>
                      <w:sz w:val="21"/>
                      <w:szCs w:val="21"/>
                      <w:highlight w:val="none"/>
                      <w:vertAlign w:val="baseline"/>
                      <w:lang w:val="en-US" w:eastAsia="zh-CN" w:bidi="ar-SA"/>
                    </w:rPr>
                    <w:t>/</w:t>
                  </w:r>
                </w:p>
              </w:tc>
              <w:tc>
                <w:tcPr>
                  <w:tcW w:w="1469" w:type="dxa"/>
                  <w:vAlign w:val="center"/>
                </w:tcPr>
                <w:p w14:paraId="3F24C89F">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cs="Times New Roman"/>
                      <w:b w:val="0"/>
                      <w:bCs/>
                      <w:color w:val="auto"/>
                      <w:sz w:val="21"/>
                      <w:szCs w:val="21"/>
                      <w:highlight w:val="none"/>
                      <w:vertAlign w:val="baseline"/>
                      <w:lang w:val="en-US" w:eastAsia="zh-CN" w:bidi="ar-SA"/>
                    </w:rPr>
                    <w:t>8</w:t>
                  </w:r>
                </w:p>
              </w:tc>
              <w:tc>
                <w:tcPr>
                  <w:tcW w:w="796" w:type="dxa"/>
                  <w:vAlign w:val="center"/>
                </w:tcPr>
                <w:p w14:paraId="11CDAA2D">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t/h</w:t>
                  </w:r>
                </w:p>
              </w:tc>
            </w:tr>
            <w:tr w14:paraId="03D1C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4" w:type="dxa"/>
                  <w:vMerge w:val="continue"/>
                  <w:vAlign w:val="center"/>
                </w:tcPr>
                <w:p w14:paraId="103F679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highlight w:val="none"/>
                      <w:vertAlign w:val="baseline"/>
                      <w:lang w:val="en-US" w:eastAsia="zh-CN" w:bidi="ar-SA"/>
                    </w:rPr>
                  </w:pPr>
                </w:p>
              </w:tc>
              <w:tc>
                <w:tcPr>
                  <w:tcW w:w="1548" w:type="dxa"/>
                  <w:vAlign w:val="center"/>
                </w:tcPr>
                <w:p w14:paraId="3491432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default" w:ascii="Times New Roman" w:hAnsi="Times New Roman" w:cs="Times New Roman"/>
                      <w:b w:val="0"/>
                      <w:bCs/>
                      <w:color w:val="auto"/>
                      <w:sz w:val="21"/>
                      <w:szCs w:val="21"/>
                      <w:highlight w:val="none"/>
                      <w:vertAlign w:val="baseline"/>
                      <w:lang w:val="en-US" w:eastAsia="zh-CN" w:bidi="ar-SA"/>
                    </w:rPr>
                  </w:pPr>
                  <w:r>
                    <w:rPr>
                      <w:rFonts w:hint="eastAsia" w:ascii="Times New Roman" w:hAnsi="Times New Roman" w:cs="Times New Roman"/>
                      <w:b w:val="0"/>
                      <w:bCs/>
                      <w:color w:val="auto"/>
                      <w:sz w:val="21"/>
                      <w:szCs w:val="21"/>
                      <w:highlight w:val="none"/>
                      <w:vertAlign w:val="baseline"/>
                      <w:lang w:val="en-US" w:eastAsia="zh-CN" w:bidi="ar-SA"/>
                    </w:rPr>
                    <w:t>水处理系统</w:t>
                  </w:r>
                </w:p>
              </w:tc>
              <w:tc>
                <w:tcPr>
                  <w:tcW w:w="640" w:type="dxa"/>
                  <w:vAlign w:val="center"/>
                </w:tcPr>
                <w:p w14:paraId="3492384A">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textAlignment w:val="auto"/>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w:t>
                  </w:r>
                  <w:r>
                    <w:rPr>
                      <w:rFonts w:hint="eastAsia" w:ascii="Times New Roman" w:hAnsi="Times New Roman" w:cs="Times New Roman"/>
                      <w:b w:val="0"/>
                      <w:bCs/>
                      <w:color w:val="auto"/>
                      <w:sz w:val="21"/>
                      <w:szCs w:val="21"/>
                      <w:highlight w:val="none"/>
                      <w:vertAlign w:val="baseline"/>
                      <w:lang w:val="en-US" w:eastAsia="zh-CN" w:bidi="ar-SA"/>
                    </w:rPr>
                    <w:t>台</w:t>
                  </w:r>
                </w:p>
              </w:tc>
              <w:tc>
                <w:tcPr>
                  <w:tcW w:w="2222" w:type="dxa"/>
                  <w:vAlign w:val="center"/>
                </w:tcPr>
                <w:p w14:paraId="293414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水处理设备</w:t>
                  </w:r>
                </w:p>
              </w:tc>
              <w:tc>
                <w:tcPr>
                  <w:tcW w:w="875" w:type="dxa"/>
                  <w:vAlign w:val="center"/>
                </w:tcPr>
                <w:p w14:paraId="2A18C2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0.03kw</w:t>
                  </w:r>
                </w:p>
              </w:tc>
              <w:tc>
                <w:tcPr>
                  <w:tcW w:w="1469" w:type="dxa"/>
                  <w:vAlign w:val="center"/>
                </w:tcPr>
                <w:p w14:paraId="2E7864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cs="Times New Roman"/>
                      <w:b w:val="0"/>
                      <w:bCs/>
                      <w:i w:val="0"/>
                      <w:iCs w:val="0"/>
                      <w:color w:val="auto"/>
                      <w:kern w:val="0"/>
                      <w:sz w:val="21"/>
                      <w:szCs w:val="21"/>
                      <w:highlight w:val="none"/>
                      <w:u w:val="none"/>
                      <w:lang w:val="en-US" w:eastAsia="zh-CN" w:bidi="ar"/>
                    </w:rPr>
                    <w:t>30</w:t>
                  </w:r>
                </w:p>
              </w:tc>
              <w:tc>
                <w:tcPr>
                  <w:tcW w:w="796" w:type="dxa"/>
                  <w:vAlign w:val="center"/>
                </w:tcPr>
                <w:p w14:paraId="56925740">
                  <w:pPr>
                    <w:pStyle w:val="2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textAlignment w:val="auto"/>
                    <w:rPr>
                      <w:rFonts w:hint="eastAsia" w:ascii="Times New Roman" w:hAnsi="Times New Roman"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t/h</w:t>
                  </w:r>
                </w:p>
              </w:tc>
            </w:tr>
          </w:tbl>
          <w:p w14:paraId="6B3DB47E">
            <w:pPr>
              <w:keepNext w:val="0"/>
              <w:keepLines w:val="0"/>
              <w:pageBreakBefore w:val="0"/>
              <w:widowControl w:val="0"/>
              <w:numPr>
                <w:ilvl w:val="0"/>
                <w:numId w:val="0"/>
              </w:numPr>
              <w:suppressLineNumbers w:val="0"/>
              <w:kinsoku/>
              <w:wordWrap/>
              <w:overflowPunct w:val="0"/>
              <w:topLinePunct w:val="0"/>
              <w:autoSpaceDE w:val="0"/>
              <w:autoSpaceDN w:val="0"/>
              <w:bidi w:val="0"/>
              <w:adjustRightInd w:val="0"/>
              <w:snapToGrid w:val="0"/>
              <w:spacing w:before="0" w:beforeAutospacing="0" w:after="0" w:afterAutospacing="0" w:line="460" w:lineRule="exact"/>
              <w:ind w:left="0" w:leftChars="0" w:right="0" w:rightChars="0" w:firstLine="480" w:firstLineChars="200"/>
              <w:jc w:val="left"/>
              <w:textAlignment w:val="auto"/>
              <w:rPr>
                <w:rFonts w:hint="eastAsia"/>
                <w:color w:val="auto"/>
                <w:highlight w:val="none"/>
                <w:lang w:val="en-US" w:eastAsia="zh-CN"/>
              </w:rPr>
            </w:pPr>
            <w:r>
              <w:rPr>
                <w:rFonts w:hint="eastAsia" w:ascii="Times New Roman" w:hAnsi="Times New Roman" w:eastAsia="宋体" w:cs="宋体"/>
                <w:color w:val="auto"/>
                <w:sz w:val="24"/>
                <w:szCs w:val="22"/>
                <w:highlight w:val="none"/>
                <w:lang w:val="en-US" w:eastAsia="zh-CN" w:bidi="ar-SA"/>
              </w:rPr>
              <w:t>（3）</w:t>
            </w:r>
            <w:r>
              <w:rPr>
                <w:rFonts w:hint="eastAsia"/>
                <w:color w:val="auto"/>
                <w:highlight w:val="none"/>
                <w:lang w:val="en-US" w:eastAsia="zh-CN"/>
              </w:rPr>
              <w:t>产品规格</w:t>
            </w:r>
          </w:p>
          <w:p w14:paraId="73A92D2C">
            <w:pPr>
              <w:keepNext w:val="0"/>
              <w:keepLines w:val="0"/>
              <w:pageBreakBefore w:val="0"/>
              <w:widowControl w:val="0"/>
              <w:numPr>
                <w:ilvl w:val="0"/>
                <w:numId w:val="0"/>
              </w:numPr>
              <w:suppressLineNumbers w:val="0"/>
              <w:kinsoku/>
              <w:wordWrap/>
              <w:overflowPunct w:val="0"/>
              <w:topLinePunct w:val="0"/>
              <w:autoSpaceDE w:val="0"/>
              <w:autoSpaceDN w:val="0"/>
              <w:bidi w:val="0"/>
              <w:adjustRightInd w:val="0"/>
              <w:snapToGrid w:val="0"/>
              <w:spacing w:before="0" w:beforeAutospacing="0" w:after="0" w:afterAutospacing="0" w:line="460" w:lineRule="exact"/>
              <w:ind w:left="0" w:leftChars="0" w:right="0" w:rightChars="0" w:firstLine="480" w:firstLineChars="200"/>
              <w:jc w:val="left"/>
              <w:textAlignment w:val="auto"/>
              <w:rPr>
                <w:rFonts w:hint="default" w:eastAsia="宋体"/>
                <w:color w:val="auto"/>
                <w:highlight w:val="none"/>
                <w:lang w:val="en-US" w:eastAsia="zh-CN"/>
              </w:rPr>
            </w:pPr>
            <w:r>
              <w:rPr>
                <w:rFonts w:hint="eastAsia"/>
                <w:color w:val="auto"/>
                <w:highlight w:val="none"/>
                <w:lang w:val="en-US" w:eastAsia="zh-CN"/>
              </w:rPr>
              <w:t>本项目产品为葡萄汁，采取瓶装/袋装方式包装，具体参数见下表2-4。</w:t>
            </w:r>
          </w:p>
          <w:p w14:paraId="2C75B1E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color w:val="auto"/>
                <w:sz w:val="21"/>
                <w:szCs w:val="21"/>
                <w:highlight w:val="none"/>
                <w:lang w:val="en-US" w:eastAsia="zh-CN" w:bidi="ar-SA"/>
              </w:rPr>
            </w:pPr>
            <w:r>
              <w:rPr>
                <w:rFonts w:hint="default" w:ascii="Times New Roman" w:hAnsi="Times New Roman" w:eastAsia="宋体" w:cs="Times New Roman"/>
                <w:b/>
                <w:color w:val="auto"/>
                <w:sz w:val="21"/>
                <w:szCs w:val="21"/>
                <w:highlight w:val="none"/>
                <w:lang w:val="en-US" w:eastAsia="zh-CN" w:bidi="ar-SA"/>
              </w:rPr>
              <w:t>表2</w:t>
            </w:r>
            <w:r>
              <w:rPr>
                <w:rFonts w:hint="eastAsia" w:cs="Times New Roman"/>
                <w:b/>
                <w:color w:val="auto"/>
                <w:sz w:val="21"/>
                <w:szCs w:val="21"/>
                <w:highlight w:val="none"/>
                <w:lang w:val="en-US" w:eastAsia="zh-CN" w:bidi="ar-SA"/>
              </w:rPr>
              <w:t xml:space="preserve">-4   </w:t>
            </w:r>
            <w:r>
              <w:rPr>
                <w:rFonts w:hint="eastAsia" w:ascii="Times New Roman" w:hAnsi="Times New Roman" w:eastAsia="宋体" w:cs="Times New Roman"/>
                <w:b/>
                <w:color w:val="auto"/>
                <w:sz w:val="21"/>
                <w:szCs w:val="21"/>
                <w:highlight w:val="none"/>
                <w:lang w:val="en-US" w:eastAsia="zh-CN" w:bidi="ar-SA"/>
              </w:rPr>
              <w:t>本项目</w:t>
            </w:r>
            <w:r>
              <w:rPr>
                <w:rFonts w:hint="eastAsia" w:cs="Times New Roman"/>
                <w:b/>
                <w:color w:val="auto"/>
                <w:sz w:val="21"/>
                <w:szCs w:val="21"/>
                <w:highlight w:val="none"/>
                <w:lang w:val="en-US" w:eastAsia="zh-CN" w:bidi="ar-SA"/>
              </w:rPr>
              <w:t>产品规格</w:t>
            </w:r>
            <w:r>
              <w:rPr>
                <w:rFonts w:hint="default" w:ascii="Times New Roman" w:hAnsi="Times New Roman" w:eastAsia="宋体" w:cs="Times New Roman"/>
                <w:b/>
                <w:color w:val="auto"/>
                <w:sz w:val="21"/>
                <w:szCs w:val="21"/>
                <w:highlight w:val="none"/>
                <w:lang w:val="en-US" w:eastAsia="zh-CN" w:bidi="ar-SA"/>
              </w:rPr>
              <w:t>一览表</w:t>
            </w:r>
          </w:p>
          <w:tbl>
            <w:tblPr>
              <w:tblStyle w:val="20"/>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284"/>
              <w:gridCol w:w="997"/>
              <w:gridCol w:w="1875"/>
              <w:gridCol w:w="3618"/>
            </w:tblGrid>
            <w:tr w14:paraId="50AFF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noWrap w:val="0"/>
                  <w:vAlign w:val="center"/>
                </w:tcPr>
                <w:p w14:paraId="13B3438B">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序号</w:t>
                  </w:r>
                </w:p>
              </w:tc>
              <w:tc>
                <w:tcPr>
                  <w:tcW w:w="1284" w:type="dxa"/>
                  <w:noWrap w:val="0"/>
                  <w:vAlign w:val="center"/>
                </w:tcPr>
                <w:p w14:paraId="5EB7AED4">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名称</w:t>
                  </w:r>
                </w:p>
              </w:tc>
              <w:tc>
                <w:tcPr>
                  <w:tcW w:w="997" w:type="dxa"/>
                  <w:noWrap w:val="0"/>
                  <w:vAlign w:val="center"/>
                </w:tcPr>
                <w:p w14:paraId="39A8A7F0">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单位</w:t>
                  </w:r>
                </w:p>
              </w:tc>
              <w:tc>
                <w:tcPr>
                  <w:tcW w:w="1875" w:type="dxa"/>
                  <w:noWrap w:val="0"/>
                  <w:vAlign w:val="center"/>
                </w:tcPr>
                <w:p w14:paraId="78F63FDA">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eastAsia" w:cs="Times New Roman"/>
                      <w:color w:val="auto"/>
                      <w:sz w:val="21"/>
                      <w:szCs w:val="21"/>
                      <w:highlight w:val="none"/>
                      <w:lang w:val="en-US" w:eastAsia="zh-CN" w:bidi="ar-SA"/>
                    </w:rPr>
                    <w:t>规格</w:t>
                  </w:r>
                </w:p>
              </w:tc>
              <w:tc>
                <w:tcPr>
                  <w:tcW w:w="3618" w:type="dxa"/>
                  <w:noWrap w:val="0"/>
                  <w:vAlign w:val="center"/>
                </w:tcPr>
                <w:p w14:paraId="429206A9">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zh-CN" w:eastAsia="zh-CN" w:bidi="ar-SA"/>
                    </w:rPr>
                  </w:pPr>
                  <w:r>
                    <w:rPr>
                      <w:rFonts w:hint="default" w:cs="Times New Roman"/>
                      <w:color w:val="auto"/>
                      <w:sz w:val="21"/>
                      <w:szCs w:val="21"/>
                      <w:highlight w:val="none"/>
                      <w:lang w:val="zh-CN" w:eastAsia="zh-CN" w:bidi="ar-SA"/>
                    </w:rPr>
                    <w:t>备注</w:t>
                  </w:r>
                </w:p>
              </w:tc>
            </w:tr>
            <w:tr w14:paraId="39A2F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noWrap w:val="0"/>
                  <w:vAlign w:val="center"/>
                </w:tcPr>
                <w:p w14:paraId="4FA25DB5">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1</w:t>
                  </w:r>
                </w:p>
              </w:tc>
              <w:tc>
                <w:tcPr>
                  <w:tcW w:w="1284" w:type="dxa"/>
                  <w:noWrap w:val="0"/>
                  <w:vAlign w:val="center"/>
                </w:tcPr>
                <w:p w14:paraId="2A13A808">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葡萄汁</w:t>
                  </w:r>
                </w:p>
              </w:tc>
              <w:tc>
                <w:tcPr>
                  <w:tcW w:w="997" w:type="dxa"/>
                  <w:noWrap w:val="0"/>
                  <w:vAlign w:val="center"/>
                </w:tcPr>
                <w:p w14:paraId="6CEE2BEF">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t/a</w:t>
                  </w:r>
                </w:p>
              </w:tc>
              <w:tc>
                <w:tcPr>
                  <w:tcW w:w="1875" w:type="dxa"/>
                  <w:noWrap w:val="0"/>
                  <w:vAlign w:val="center"/>
                </w:tcPr>
                <w:p w14:paraId="03DE4C0D">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6500</w:t>
                  </w:r>
                </w:p>
              </w:tc>
              <w:tc>
                <w:tcPr>
                  <w:tcW w:w="3618" w:type="dxa"/>
                  <w:noWrap w:val="0"/>
                  <w:vAlign w:val="center"/>
                </w:tcPr>
                <w:p w14:paraId="52D468CB">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瓶装/袋装（200ml）</w:t>
                  </w:r>
                </w:p>
              </w:tc>
            </w:tr>
            <w:tr w14:paraId="2B9AD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noWrap w:val="0"/>
                  <w:vAlign w:val="center"/>
                </w:tcPr>
                <w:p w14:paraId="66D56851">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w:t>
                  </w:r>
                </w:p>
              </w:tc>
              <w:tc>
                <w:tcPr>
                  <w:tcW w:w="1284" w:type="dxa"/>
                  <w:noWrap w:val="0"/>
                  <w:vAlign w:val="center"/>
                </w:tcPr>
                <w:p w14:paraId="6D0183D3">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葡萄果糖</w:t>
                  </w:r>
                </w:p>
              </w:tc>
              <w:tc>
                <w:tcPr>
                  <w:tcW w:w="997" w:type="dxa"/>
                  <w:noWrap w:val="0"/>
                  <w:vAlign w:val="center"/>
                </w:tcPr>
                <w:p w14:paraId="3E6296AA">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t/a</w:t>
                  </w:r>
                </w:p>
              </w:tc>
              <w:tc>
                <w:tcPr>
                  <w:tcW w:w="1875" w:type="dxa"/>
                  <w:noWrap w:val="0"/>
                  <w:vAlign w:val="center"/>
                </w:tcPr>
                <w:p w14:paraId="600C3850">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500</w:t>
                  </w:r>
                </w:p>
              </w:tc>
              <w:tc>
                <w:tcPr>
                  <w:tcW w:w="3618" w:type="dxa"/>
                  <w:noWrap w:val="0"/>
                  <w:vAlign w:val="center"/>
                </w:tcPr>
                <w:p w14:paraId="5629FCA6">
                  <w:pPr>
                    <w:keepNext w:val="0"/>
                    <w:keepLines w:val="0"/>
                    <w:widowControl/>
                    <w:suppressLineNumbers w:val="0"/>
                    <w:overflow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瓶装/袋装（200g）</w:t>
                  </w:r>
                </w:p>
              </w:tc>
            </w:tr>
          </w:tbl>
          <w:p w14:paraId="20310905">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hint="eastAsia" w:cs="黑体"/>
                <w:b/>
                <w:color w:val="auto"/>
                <w:sz w:val="28"/>
                <w:szCs w:val="30"/>
                <w:lang w:val="en-US" w:eastAsia="zh-CN" w:bidi="ar-SA"/>
              </w:rPr>
            </w:pPr>
          </w:p>
          <w:p w14:paraId="7CD5DB6F">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5、</w:t>
            </w:r>
            <w:r>
              <w:rPr>
                <w:rFonts w:ascii="Times New Roman" w:hAnsi="Times New Roman" w:eastAsia="宋体" w:cs="黑体"/>
                <w:b/>
                <w:color w:val="auto"/>
                <w:sz w:val="28"/>
                <w:szCs w:val="30"/>
                <w:lang w:val="en-US" w:eastAsia="zh-CN" w:bidi="ar-SA"/>
              </w:rPr>
              <w:t>公用及辅助工程</w:t>
            </w:r>
          </w:p>
          <w:p w14:paraId="0863B0B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60" w:lineRule="exact"/>
              <w:ind w:left="0" w:right="0" w:firstLine="480" w:firstLineChars="200"/>
              <w:jc w:val="left"/>
              <w:textAlignment w:val="auto"/>
              <w:rPr>
                <w:rFonts w:hint="default"/>
                <w:color w:val="auto"/>
                <w:highlight w:val="none"/>
                <w:lang w:val="en-US" w:eastAsia="zh-CN"/>
              </w:rPr>
            </w:pPr>
            <w:r>
              <w:rPr>
                <w:rFonts w:hint="eastAsia" w:ascii="Times New Roman" w:eastAsia="宋体"/>
                <w:color w:val="auto"/>
                <w:highlight w:val="none"/>
                <w:lang w:val="en-US" w:eastAsia="zh-CN"/>
              </w:rPr>
              <w:t>（1）</w:t>
            </w:r>
            <w:r>
              <w:rPr>
                <w:rFonts w:hint="default"/>
                <w:color w:val="auto"/>
                <w:highlight w:val="none"/>
                <w:lang w:val="en-US" w:eastAsia="zh-CN"/>
              </w:rPr>
              <w:t>供水</w:t>
            </w:r>
          </w:p>
          <w:p w14:paraId="28A64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本项目供水主要为生活用水以及生产用水，本项目生活用水均由市政供水管网提供，水量及水压可满足需求。</w:t>
            </w:r>
          </w:p>
          <w:p w14:paraId="2D114E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本项目生产用水主要包括生产工艺用水</w:t>
            </w:r>
            <w:r>
              <w:rPr>
                <w:rFonts w:hint="eastAsia"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软水制备用水</w:t>
            </w:r>
            <w:r>
              <w:rPr>
                <w:rFonts w:hint="eastAsia" w:cs="Times New Roman"/>
                <w:color w:val="auto"/>
                <w:sz w:val="24"/>
                <w:szCs w:val="24"/>
                <w:highlight w:val="none"/>
                <w:lang w:val="en-US" w:eastAsia="zh-CN" w:bidi="ar-SA"/>
              </w:rPr>
              <w:t>、设备冲洗用水</w:t>
            </w:r>
            <w:r>
              <w:rPr>
                <w:rFonts w:hint="default" w:ascii="Times New Roman" w:hAnsi="Times New Roman" w:eastAsia="宋体" w:cs="Times New Roman"/>
                <w:color w:val="auto"/>
                <w:sz w:val="24"/>
                <w:szCs w:val="24"/>
                <w:highlight w:val="none"/>
                <w:lang w:val="en-US" w:eastAsia="zh-CN" w:bidi="ar-SA"/>
              </w:rPr>
              <w:t>。</w:t>
            </w:r>
          </w:p>
          <w:p w14:paraId="3B7295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根据企业提供资料可知</w:t>
            </w:r>
            <w:r>
              <w:rPr>
                <w:rFonts w:hint="eastAsia" w:cs="Times New Roman"/>
                <w:color w:val="auto"/>
                <w:sz w:val="24"/>
                <w:szCs w:val="24"/>
                <w:highlight w:val="none"/>
                <w:lang w:val="en-US" w:eastAsia="zh-CN" w:bidi="ar-SA"/>
              </w:rPr>
              <w:t>：</w:t>
            </w:r>
          </w:p>
          <w:p w14:paraId="30A55FCA">
            <w:pPr>
              <w:keepNext w:val="0"/>
              <w:keepLines w:val="0"/>
              <w:pageBreakBefore w:val="0"/>
              <w:widowControl w:val="0"/>
              <w:suppressLineNumbers w:val="0"/>
              <w:kinsoku/>
              <w:wordWrap/>
              <w:topLinePunct w:val="0"/>
              <w:bidi w:val="0"/>
              <w:spacing w:before="0" w:beforeAutospacing="0" w:after="0" w:afterAutospacing="0" w:line="460" w:lineRule="exact"/>
              <w:ind w:left="0" w:right="0" w:firstLine="480" w:firstLineChars="200"/>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①水果清洗用水</w:t>
            </w:r>
          </w:p>
          <w:p w14:paraId="7BB28860">
            <w:pPr>
              <w:keepNext w:val="0"/>
              <w:keepLines w:val="0"/>
              <w:pageBreakBefore w:val="0"/>
              <w:widowControl w:val="0"/>
              <w:suppressLineNumbers w:val="0"/>
              <w:kinsoku/>
              <w:wordWrap/>
              <w:topLinePunct w:val="0"/>
              <w:bidi w:val="0"/>
              <w:spacing w:before="0" w:beforeAutospacing="0" w:after="0" w:afterAutospacing="0" w:line="460" w:lineRule="exact"/>
              <w:ind w:left="0" w:right="0" w:firstLine="480" w:firstLineChars="200"/>
              <w:textAlignment w:val="auto"/>
              <w:rPr>
                <w:rFonts w:hint="default"/>
                <w:color w:val="auto"/>
                <w:sz w:val="24"/>
                <w:highlight w:val="none"/>
              </w:rPr>
            </w:pPr>
            <w:r>
              <w:rPr>
                <w:rFonts w:hint="eastAsia" w:cs="Times New Roman"/>
                <w:color w:val="auto"/>
                <w:sz w:val="24"/>
                <w:szCs w:val="24"/>
                <w:highlight w:val="none"/>
                <w:lang w:val="en-US" w:eastAsia="zh-CN" w:bidi="ar-SA"/>
              </w:rPr>
              <w:t>根据企业提供资料可知，清洗用水量按照每清洗1.0t原料果品消耗0.8m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水计算，根据原料果品用量情况，水果年用量为10667t，则清洗用水量为8533.6m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w:t>
            </w:r>
          </w:p>
          <w:p w14:paraId="681C0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②设备清洗用水</w:t>
            </w:r>
          </w:p>
          <w:p w14:paraId="12F05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根据企业提供资料，项目需定期对生产线部分设备进行清洗，项目车间生产线设备清洗水用量为8400m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/a，均为纯水。</w:t>
            </w:r>
          </w:p>
          <w:p w14:paraId="160D0E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③去离子水用水</w:t>
            </w:r>
          </w:p>
          <w:p w14:paraId="28ED7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根据建设单位提供资料，由于冲洗设备所需用水均为纯水，用水量8400m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 厂内纯水制备装置制水率为80%，经计算，项目设备清洗用水补充用水纯水制备需新鲜水10500m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w:t>
            </w:r>
          </w:p>
          <w:p w14:paraId="771DC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④车间清洗用水</w:t>
            </w:r>
          </w:p>
          <w:p w14:paraId="36B95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cs="Times New Roman"/>
                <w:color w:val="auto"/>
                <w:sz w:val="24"/>
                <w:szCs w:val="24"/>
                <w:highlight w:val="none"/>
                <w:lang w:val="en-US" w:eastAsia="zh-CN" w:bidi="ar-SA"/>
              </w:rPr>
            </w:pPr>
            <w:r>
              <w:rPr>
                <w:color w:val="auto"/>
                <w:sz w:val="24"/>
              </w:rPr>
              <w:t>生产车间地面按班次进行冲洗，每天</w:t>
            </w:r>
            <w:r>
              <w:rPr>
                <w:rFonts w:hint="eastAsia"/>
                <w:color w:val="auto"/>
                <w:sz w:val="24"/>
                <w:lang w:val="en-US" w:eastAsia="zh-CN"/>
              </w:rPr>
              <w:t>1</w:t>
            </w:r>
            <w:r>
              <w:rPr>
                <w:color w:val="auto"/>
                <w:sz w:val="24"/>
              </w:rPr>
              <w:t>次，需要冲洗地面</w:t>
            </w:r>
            <w:r>
              <w:rPr>
                <w:rFonts w:hint="eastAsia"/>
                <w:color w:val="auto"/>
                <w:sz w:val="24"/>
                <w:lang w:val="en-US" w:eastAsia="zh-CN"/>
              </w:rPr>
              <w:t>2000</w:t>
            </w:r>
            <w:r>
              <w:rPr>
                <w:color w:val="auto"/>
                <w:sz w:val="24"/>
              </w:rPr>
              <w:t>m</w:t>
            </w:r>
            <w:r>
              <w:rPr>
                <w:color w:val="auto"/>
                <w:sz w:val="24"/>
                <w:vertAlign w:val="superscript"/>
              </w:rPr>
              <w:t>2</w:t>
            </w:r>
            <w:r>
              <w:rPr>
                <w:color w:val="auto"/>
                <w:sz w:val="24"/>
              </w:rPr>
              <w:t>，用水按</w:t>
            </w:r>
            <w:r>
              <w:rPr>
                <w:rFonts w:hint="eastAsia"/>
                <w:color w:val="auto"/>
                <w:sz w:val="24"/>
              </w:rPr>
              <w:t>2</w:t>
            </w:r>
            <w:r>
              <w:rPr>
                <w:color w:val="auto"/>
                <w:sz w:val="24"/>
              </w:rPr>
              <w:t>L/m</w:t>
            </w:r>
            <w:r>
              <w:rPr>
                <w:color w:val="auto"/>
                <w:sz w:val="24"/>
                <w:vertAlign w:val="superscript"/>
              </w:rPr>
              <w:t>2</w:t>
            </w:r>
            <w:r>
              <w:rPr>
                <w:color w:val="auto"/>
                <w:sz w:val="24"/>
              </w:rPr>
              <w:t>计，则用水量为</w:t>
            </w:r>
            <w:r>
              <w:rPr>
                <w:rFonts w:hint="eastAsia"/>
                <w:color w:val="auto"/>
                <w:sz w:val="24"/>
                <w:lang w:val="en-US" w:eastAsia="zh-CN"/>
              </w:rPr>
              <w:t>4</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720</w:t>
            </w:r>
            <w:r>
              <w:rPr>
                <w:color w:val="auto"/>
                <w:sz w:val="24"/>
              </w:rPr>
              <w:t>m</w:t>
            </w:r>
            <w:r>
              <w:rPr>
                <w:color w:val="auto"/>
                <w:sz w:val="24"/>
                <w:vertAlign w:val="superscript"/>
              </w:rPr>
              <w:t>3</w:t>
            </w:r>
            <w:r>
              <w:rPr>
                <w:color w:val="auto"/>
                <w:sz w:val="24"/>
              </w:rPr>
              <w:t>/</w:t>
            </w:r>
            <w:r>
              <w:rPr>
                <w:rFonts w:hint="eastAsia"/>
                <w:color w:val="auto"/>
                <w:sz w:val="24"/>
                <w:lang w:val="en-US" w:eastAsia="zh-CN"/>
              </w:rPr>
              <w:t>a</w:t>
            </w:r>
            <w:r>
              <w:rPr>
                <w:color w:val="auto"/>
                <w:sz w:val="24"/>
              </w:rPr>
              <w:t>。</w:t>
            </w:r>
          </w:p>
          <w:p w14:paraId="07E15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⑤生活用水</w:t>
            </w:r>
          </w:p>
          <w:p w14:paraId="79E50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本项目新增员工</w:t>
            </w:r>
            <w:r>
              <w:rPr>
                <w:rFonts w:hint="eastAsia" w:cs="Times New Roman"/>
                <w:color w:val="auto"/>
                <w:sz w:val="24"/>
                <w:szCs w:val="24"/>
                <w:highlight w:val="none"/>
                <w:lang w:val="en-US" w:eastAsia="zh-CN" w:bidi="ar-SA"/>
              </w:rPr>
              <w:t>40</w:t>
            </w:r>
            <w:r>
              <w:rPr>
                <w:rFonts w:hint="default" w:ascii="Times New Roman" w:hAnsi="Times New Roman" w:eastAsia="宋体" w:cs="Times New Roman"/>
                <w:color w:val="auto"/>
                <w:sz w:val="24"/>
                <w:szCs w:val="24"/>
                <w:highlight w:val="none"/>
                <w:lang w:val="en-US" w:eastAsia="zh-CN" w:bidi="ar-SA"/>
              </w:rPr>
              <w:t>人，根据《新疆维吾尔自治区生活用水定额》集体宿舍取80L/人•d，职工生活用水量为</w:t>
            </w:r>
            <w:r>
              <w:rPr>
                <w:rFonts w:hint="eastAsia" w:cs="Times New Roman"/>
                <w:color w:val="auto"/>
                <w:sz w:val="24"/>
                <w:szCs w:val="24"/>
                <w:highlight w:val="none"/>
                <w:lang w:val="en-US" w:eastAsia="zh-CN" w:bidi="ar-SA"/>
              </w:rPr>
              <w:t>3.2</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w:t>
            </w:r>
            <w:r>
              <w:rPr>
                <w:rFonts w:hint="eastAsia" w:cs="Times New Roman"/>
                <w:color w:val="auto"/>
                <w:sz w:val="24"/>
                <w:szCs w:val="24"/>
                <w:highlight w:val="none"/>
                <w:lang w:val="en-US" w:eastAsia="zh-CN" w:bidi="ar-SA"/>
              </w:rPr>
              <w:t>576</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/a。</w:t>
            </w:r>
          </w:p>
          <w:p w14:paraId="12AD36F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60" w:lineRule="exact"/>
              <w:ind w:left="0" w:right="0" w:firstLine="480" w:firstLineChars="200"/>
              <w:jc w:val="both"/>
              <w:textAlignment w:val="auto"/>
              <w:rPr>
                <w:rFonts w:hint="default"/>
                <w:color w:val="auto"/>
                <w:highlight w:val="none"/>
                <w:lang w:val="en-US" w:eastAsia="zh-CN"/>
              </w:rPr>
            </w:pPr>
            <w:r>
              <w:rPr>
                <w:rFonts w:hint="eastAsia" w:ascii="Times New Roman" w:eastAsia="宋体"/>
                <w:color w:val="auto"/>
                <w:highlight w:val="none"/>
                <w:lang w:val="en-US" w:eastAsia="zh-CN"/>
              </w:rPr>
              <w:t>（2）</w:t>
            </w:r>
            <w:r>
              <w:rPr>
                <w:rFonts w:hint="default"/>
                <w:color w:val="auto"/>
                <w:highlight w:val="none"/>
                <w:lang w:val="en-US" w:eastAsia="zh-CN"/>
              </w:rPr>
              <w:t>排水</w:t>
            </w:r>
          </w:p>
          <w:p w14:paraId="46E23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①项目膜浓缩及蒸发浓缩过程会产生膜交换水/冷凝水，根据建设单位提供的资料产生量为3666.7m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/a。该部分回用于果品清洗使用。</w:t>
            </w:r>
          </w:p>
          <w:p w14:paraId="193E0C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eastAsia"/>
                <w:color w:val="auto"/>
                <w:sz w:val="24"/>
                <w:highlight w:val="none"/>
                <w:lang w:val="en-US" w:eastAsia="zh-CN"/>
              </w:rPr>
              <w:t>②</w:t>
            </w:r>
            <w:r>
              <w:rPr>
                <w:rFonts w:hint="eastAsia" w:cs="Times New Roman"/>
                <w:color w:val="auto"/>
                <w:sz w:val="24"/>
                <w:szCs w:val="24"/>
                <w:highlight w:val="none"/>
                <w:lang w:val="en-US" w:eastAsia="zh-CN" w:bidi="ar-SA"/>
              </w:rPr>
              <w:t>项目果品清洗用水量为8533.6m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/a，部分从冷凝水提供，按照20%的损耗计，产生量为6826.88m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w:t>
            </w:r>
            <w:r>
              <w:rPr>
                <w:rFonts w:hint="default" w:ascii="Times New Roman" w:hAnsi="Times New Roman" w:eastAsia="宋体" w:cs="Times New Roman"/>
                <w:color w:val="auto"/>
                <w:sz w:val="24"/>
                <w:szCs w:val="24"/>
                <w:highlight w:val="none"/>
                <w:lang w:val="en-US" w:eastAsia="zh-CN" w:bidi="ar-SA"/>
              </w:rPr>
              <w:t>。</w:t>
            </w:r>
          </w:p>
          <w:p w14:paraId="6F81F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eastAsia"/>
                <w:color w:val="auto"/>
                <w:sz w:val="24"/>
                <w:highlight w:val="none"/>
                <w:lang w:val="en-US" w:eastAsia="zh-CN"/>
              </w:rPr>
              <w:t>③</w:t>
            </w:r>
            <w:r>
              <w:rPr>
                <w:rFonts w:hint="eastAsia" w:cs="Times New Roman"/>
                <w:color w:val="auto"/>
                <w:sz w:val="24"/>
                <w:szCs w:val="24"/>
                <w:highlight w:val="none"/>
                <w:lang w:val="en-US" w:eastAsia="zh-CN" w:bidi="ar-SA"/>
              </w:rPr>
              <w:t>项目设备冲洗用水量为8400m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/a，按照10%的损耗计，产生量为7560m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w:t>
            </w:r>
            <w:r>
              <w:rPr>
                <w:rFonts w:hint="default" w:ascii="Times New Roman" w:hAnsi="Times New Roman" w:eastAsia="宋体" w:cs="Times New Roman"/>
                <w:color w:val="auto"/>
                <w:sz w:val="24"/>
                <w:szCs w:val="24"/>
                <w:highlight w:val="none"/>
                <w:lang w:val="en-US" w:eastAsia="zh-CN" w:bidi="ar-SA"/>
              </w:rPr>
              <w:t>。</w:t>
            </w:r>
          </w:p>
          <w:p w14:paraId="6EE79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color w:val="auto"/>
                <w:sz w:val="24"/>
                <w:highlight w:val="none"/>
              </w:rPr>
            </w:pPr>
            <w:r>
              <w:rPr>
                <w:rFonts w:hint="eastAsia" w:cs="Times New Roman"/>
                <w:color w:val="auto"/>
                <w:sz w:val="24"/>
                <w:szCs w:val="24"/>
                <w:highlight w:val="none"/>
                <w:lang w:val="en-US" w:eastAsia="zh-CN" w:bidi="ar-SA"/>
              </w:rPr>
              <w:t>④</w:t>
            </w:r>
            <w:r>
              <w:rPr>
                <w:rFonts w:hint="eastAsia"/>
                <w:color w:val="auto"/>
                <w:sz w:val="24"/>
                <w:highlight w:val="none"/>
                <w:lang w:val="en-US" w:eastAsia="zh-CN"/>
              </w:rPr>
              <w:t>项目制备去离子水所需新鲜水量为10500</w:t>
            </w:r>
            <w:r>
              <w:rPr>
                <w:rFonts w:hint="eastAsia" w:cs="Times New Roman"/>
                <w:color w:val="auto"/>
                <w:sz w:val="24"/>
                <w:szCs w:val="24"/>
                <w:highlight w:val="none"/>
                <w:lang w:val="en-US" w:eastAsia="zh-CN" w:bidi="ar-SA"/>
              </w:rPr>
              <w:t>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w:t>
            </w:r>
            <w:r>
              <w:rPr>
                <w:rFonts w:hint="eastAsia"/>
                <w:color w:val="auto"/>
                <w:sz w:val="24"/>
                <w:highlight w:val="none"/>
                <w:lang w:val="en-US" w:eastAsia="zh-CN"/>
              </w:rPr>
              <w:t>，制备率为80%，因此废水产生量为2100</w:t>
            </w:r>
            <w:r>
              <w:rPr>
                <w:rFonts w:hint="eastAsia" w:cs="Times New Roman"/>
                <w:color w:val="auto"/>
                <w:sz w:val="24"/>
                <w:szCs w:val="24"/>
                <w:highlight w:val="none"/>
                <w:lang w:val="en-US" w:eastAsia="zh-CN" w:bidi="ar-SA"/>
              </w:rPr>
              <w:t>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w:t>
            </w:r>
            <w:r>
              <w:rPr>
                <w:rFonts w:hint="default"/>
                <w:color w:val="auto"/>
                <w:sz w:val="24"/>
                <w:highlight w:val="none"/>
              </w:rPr>
              <w:t>。</w:t>
            </w:r>
          </w:p>
          <w:p w14:paraId="0D2A9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⑤项目车间冲洗用水量为720m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/a，按照10%的损耗计，产生量为648m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w:t>
            </w:r>
            <w:r>
              <w:rPr>
                <w:rFonts w:hint="default" w:ascii="Times New Roman" w:hAnsi="Times New Roman" w:eastAsia="宋体" w:cs="Times New Roman"/>
                <w:color w:val="auto"/>
                <w:sz w:val="24"/>
                <w:szCs w:val="24"/>
                <w:highlight w:val="none"/>
                <w:lang w:val="en-US" w:eastAsia="zh-CN" w:bidi="ar-SA"/>
              </w:rPr>
              <w:t>。</w:t>
            </w:r>
          </w:p>
          <w:p w14:paraId="0A094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color w:val="auto"/>
                <w:highlight w:val="none"/>
                <w:lang w:val="en-US" w:eastAsia="zh-CN"/>
              </w:rPr>
            </w:pPr>
            <w:r>
              <w:rPr>
                <w:rFonts w:hint="eastAsia" w:cs="Times New Roman"/>
                <w:color w:val="auto"/>
                <w:sz w:val="24"/>
                <w:szCs w:val="24"/>
                <w:highlight w:val="none"/>
                <w:lang w:val="en-US" w:eastAsia="zh-CN" w:bidi="ar-SA"/>
              </w:rPr>
              <w:t>⑥</w:t>
            </w:r>
            <w:r>
              <w:rPr>
                <w:rFonts w:hint="default" w:ascii="Times New Roman" w:hAnsi="Times New Roman" w:eastAsia="宋体" w:cs="Times New Roman"/>
                <w:color w:val="auto"/>
                <w:sz w:val="24"/>
                <w:szCs w:val="24"/>
                <w:highlight w:val="none"/>
                <w:lang w:val="en-US" w:eastAsia="zh-CN" w:bidi="ar-SA"/>
              </w:rPr>
              <w:t>本项目新增员工</w:t>
            </w:r>
            <w:r>
              <w:rPr>
                <w:rFonts w:hint="eastAsia" w:cs="Times New Roman"/>
                <w:color w:val="auto"/>
                <w:sz w:val="24"/>
                <w:szCs w:val="24"/>
                <w:highlight w:val="none"/>
                <w:lang w:val="en-US" w:eastAsia="zh-CN" w:bidi="ar-SA"/>
              </w:rPr>
              <w:t>40</w:t>
            </w:r>
            <w:r>
              <w:rPr>
                <w:rFonts w:hint="default" w:ascii="Times New Roman" w:hAnsi="Times New Roman" w:eastAsia="宋体" w:cs="Times New Roman"/>
                <w:color w:val="auto"/>
                <w:sz w:val="24"/>
                <w:szCs w:val="24"/>
                <w:highlight w:val="none"/>
                <w:lang w:val="en-US" w:eastAsia="zh-CN" w:bidi="ar-SA"/>
              </w:rPr>
              <w:t>人，根据《新疆维吾尔自治区生活用水定额》集体宿舍取80L/人•d，职工生活用水量为</w:t>
            </w:r>
            <w:r>
              <w:rPr>
                <w:rFonts w:hint="eastAsia" w:cs="Times New Roman"/>
                <w:color w:val="auto"/>
                <w:sz w:val="24"/>
                <w:szCs w:val="24"/>
                <w:highlight w:val="none"/>
                <w:lang w:val="en-US" w:eastAsia="zh-CN" w:bidi="ar-SA"/>
              </w:rPr>
              <w:t>3.2</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w:t>
            </w:r>
            <w:r>
              <w:rPr>
                <w:rFonts w:hint="eastAsia" w:cs="Times New Roman"/>
                <w:color w:val="auto"/>
                <w:sz w:val="24"/>
                <w:szCs w:val="24"/>
                <w:highlight w:val="none"/>
                <w:lang w:val="en-US" w:eastAsia="zh-CN" w:bidi="ar-SA"/>
              </w:rPr>
              <w:t>576</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/a。生活污水产污系数以0.8计</w:t>
            </w:r>
            <w:r>
              <w:rPr>
                <w:rFonts w:hint="eastAsia" w:ascii="Times New Roman" w:hAnsi="Times New Roman" w:eastAsia="宋体" w:cs="Times New Roman"/>
                <w:color w:val="auto"/>
                <w:sz w:val="24"/>
                <w:szCs w:val="24"/>
                <w:highlight w:val="none"/>
                <w:lang w:val="en-US" w:eastAsia="zh-CN" w:bidi="ar-SA"/>
              </w:rPr>
              <w:t>，即</w:t>
            </w:r>
            <w:r>
              <w:rPr>
                <w:rFonts w:hint="eastAsia" w:cs="Times New Roman"/>
                <w:color w:val="auto"/>
                <w:sz w:val="24"/>
                <w:szCs w:val="24"/>
                <w:highlight w:val="none"/>
                <w:lang w:val="en-US" w:eastAsia="zh-CN" w:bidi="ar-SA"/>
              </w:rPr>
              <w:t>2.56</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w:t>
            </w:r>
            <w:r>
              <w:rPr>
                <w:rFonts w:hint="eastAsia" w:cs="Times New Roman"/>
                <w:color w:val="auto"/>
                <w:sz w:val="24"/>
                <w:szCs w:val="24"/>
                <w:highlight w:val="none"/>
                <w:lang w:val="en-US" w:eastAsia="zh-CN" w:bidi="ar-SA"/>
              </w:rPr>
              <w:t>460.8</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/a</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废水中含COD、BOD</w:t>
            </w:r>
            <w:r>
              <w:rPr>
                <w:rFonts w:hint="default" w:ascii="Times New Roman" w:hAnsi="Times New Roman" w:eastAsia="宋体" w:cs="Times New Roman"/>
                <w:color w:val="auto"/>
                <w:sz w:val="24"/>
                <w:szCs w:val="24"/>
                <w:highlight w:val="none"/>
                <w:vertAlign w:val="subscript"/>
                <w:lang w:val="en-US" w:eastAsia="zh-CN" w:bidi="ar-SA"/>
              </w:rPr>
              <w:t>5</w:t>
            </w:r>
            <w:r>
              <w:rPr>
                <w:rFonts w:hint="default" w:ascii="Times New Roman" w:hAnsi="Times New Roman" w:eastAsia="宋体" w:cs="Times New Roman"/>
                <w:color w:val="auto"/>
                <w:sz w:val="24"/>
                <w:szCs w:val="24"/>
                <w:highlight w:val="none"/>
                <w:lang w:val="en-US" w:eastAsia="zh-CN" w:bidi="ar-SA"/>
              </w:rPr>
              <w:t>、SS、氨氮等污染物</w:t>
            </w:r>
            <w:r>
              <w:rPr>
                <w:rFonts w:hint="eastAsia" w:cs="Times New Roman"/>
                <w:color w:val="auto"/>
                <w:kern w:val="2"/>
                <w:sz w:val="24"/>
                <w:szCs w:val="24"/>
                <w:highlight w:val="none"/>
                <w:lang w:val="en-US" w:eastAsia="zh-CN" w:bidi="ar-SA"/>
              </w:rPr>
              <w:t>。</w:t>
            </w:r>
          </w:p>
          <w:p w14:paraId="106DD9EF">
            <w:pPr>
              <w:keepNext/>
              <w:keepLines/>
              <w:pageBreakBefore w:val="0"/>
              <w:widowControl w:val="0"/>
              <w:kinsoku/>
              <w:wordWrap/>
              <w:overflowPunct/>
              <w:topLinePunct w:val="0"/>
              <w:autoSpaceDE/>
              <w:autoSpaceDN/>
              <w:bidi w:val="0"/>
              <w:spacing w:line="360" w:lineRule="auto"/>
              <w:ind w:firstLine="480" w:firstLineChars="200"/>
              <w:jc w:val="both"/>
              <w:textAlignment w:val="auto"/>
              <w:outlineLvl w:val="2"/>
              <w:rPr>
                <w:rFonts w:hint="eastAsia"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本项目水平衡见图</w:t>
            </w:r>
            <w:r>
              <w:rPr>
                <w:rFonts w:hint="eastAsia"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lang w:val="en-US" w:eastAsia="zh-CN"/>
              </w:rPr>
              <w:t>。</w:t>
            </w:r>
          </w:p>
          <w:p w14:paraId="5109CAE6">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eastAsia" w:ascii="Times New Roman" w:hAnsi="Times New Roman" w:eastAsia="宋体" w:cs="宋体"/>
                <w:color w:val="auto"/>
                <w:lang w:val="en-US" w:eastAsia="zh-CN"/>
              </w:rPr>
            </w:pPr>
            <w:r>
              <w:rPr>
                <w:color w:val="auto"/>
              </w:rPr>
              <w:drawing>
                <wp:inline distT="0" distB="0" distL="114300" distR="114300">
                  <wp:extent cx="4137660" cy="5739130"/>
                  <wp:effectExtent l="0" t="0" r="571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rcRect t="634"/>
                          <a:stretch>
                            <a:fillRect/>
                          </a:stretch>
                        </pic:blipFill>
                        <pic:spPr>
                          <a:xfrm>
                            <a:off x="0" y="0"/>
                            <a:ext cx="4137660" cy="5739130"/>
                          </a:xfrm>
                          <a:prstGeom prst="rect">
                            <a:avLst/>
                          </a:prstGeom>
                          <a:noFill/>
                          <a:ln>
                            <a:noFill/>
                          </a:ln>
                        </pic:spPr>
                      </pic:pic>
                    </a:graphicData>
                  </a:graphic>
                </wp:inline>
              </w:drawing>
            </w:r>
          </w:p>
          <w:p w14:paraId="0F5386A2">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center"/>
              <w:textAlignment w:val="auto"/>
              <w:rPr>
                <w:rFonts w:hint="default" w:ascii="Times New Roman" w:hAnsi="Times New Roman" w:eastAsia="宋体" w:cs="宋体"/>
                <w:b/>
                <w:color w:val="auto"/>
                <w:sz w:val="24"/>
                <w:szCs w:val="24"/>
                <w:highlight w:val="none"/>
                <w:lang w:val="en-US" w:eastAsia="zh-CN" w:bidi="ar-SA"/>
              </w:rPr>
            </w:pPr>
            <w:r>
              <w:rPr>
                <w:rFonts w:hint="eastAsia" w:ascii="Times New Roman" w:hAnsi="Times New Roman" w:eastAsia="宋体" w:cs="宋体"/>
                <w:b/>
                <w:color w:val="auto"/>
                <w:sz w:val="24"/>
                <w:szCs w:val="24"/>
                <w:highlight w:val="none"/>
                <w:lang w:val="en-US" w:eastAsia="zh-CN" w:bidi="ar-SA"/>
              </w:rPr>
              <w:t>图</w:t>
            </w:r>
            <w:r>
              <w:rPr>
                <w:rFonts w:hint="eastAsia" w:cs="宋体"/>
                <w:b/>
                <w:color w:val="auto"/>
                <w:sz w:val="24"/>
                <w:szCs w:val="24"/>
                <w:highlight w:val="none"/>
                <w:lang w:val="en-US" w:eastAsia="zh-CN" w:bidi="ar-SA"/>
              </w:rPr>
              <w:t>1</w:t>
            </w:r>
            <w:r>
              <w:rPr>
                <w:rFonts w:hint="eastAsia" w:ascii="Times New Roman" w:hAnsi="Times New Roman" w:eastAsia="宋体" w:cs="宋体"/>
                <w:b/>
                <w:color w:val="auto"/>
                <w:sz w:val="24"/>
                <w:szCs w:val="24"/>
                <w:highlight w:val="none"/>
                <w:lang w:val="en-US" w:eastAsia="zh-CN" w:bidi="ar-SA"/>
              </w:rPr>
              <w:t>本项目水</w:t>
            </w:r>
            <w:r>
              <w:rPr>
                <w:rFonts w:hint="default" w:ascii="Times New Roman" w:hAnsi="Times New Roman" w:eastAsia="宋体" w:cs="宋体"/>
                <w:b/>
                <w:color w:val="auto"/>
                <w:sz w:val="24"/>
                <w:szCs w:val="24"/>
                <w:highlight w:val="none"/>
                <w:lang w:val="en-US" w:eastAsia="zh-CN" w:bidi="ar-SA"/>
              </w:rPr>
              <w:t>平衡</w:t>
            </w:r>
            <w:r>
              <w:rPr>
                <w:rFonts w:hint="eastAsia" w:ascii="Times New Roman" w:hAnsi="Times New Roman" w:eastAsia="宋体" w:cs="宋体"/>
                <w:b/>
                <w:color w:val="auto"/>
                <w:sz w:val="24"/>
                <w:szCs w:val="24"/>
                <w:highlight w:val="none"/>
                <w:lang w:val="en-US" w:eastAsia="zh-CN" w:bidi="ar-SA"/>
              </w:rPr>
              <w:t>图（t/a）</w:t>
            </w:r>
          </w:p>
          <w:p w14:paraId="027A09B6">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firstLine="480" w:firstLineChars="200"/>
              <w:jc w:val="left"/>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w:t>
            </w:r>
            <w:r>
              <w:rPr>
                <w:rFonts w:hint="default" w:ascii="Times New Roman" w:hAnsi="Times New Roman" w:eastAsia="宋体" w:cs="宋体"/>
                <w:color w:val="auto"/>
                <w:lang w:val="en-US" w:eastAsia="zh-CN"/>
              </w:rPr>
              <w:t>供电</w:t>
            </w:r>
          </w:p>
          <w:p w14:paraId="19F3CF22">
            <w:pPr>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bidi="ar-SA"/>
              </w:rPr>
              <w:t>本项目供电由</w:t>
            </w:r>
            <w:r>
              <w:rPr>
                <w:rFonts w:hint="eastAsia" w:cs="Times New Roman"/>
                <w:color w:val="auto"/>
                <w:kern w:val="2"/>
                <w:sz w:val="24"/>
                <w:szCs w:val="24"/>
                <w:lang w:val="en-US" w:eastAsia="zh-CN" w:bidi="ar-SA"/>
              </w:rPr>
              <w:t>园区电网供电</w:t>
            </w:r>
            <w:r>
              <w:rPr>
                <w:rFonts w:hint="default" w:ascii="Times New Roman" w:hAnsi="Times New Roman" w:eastAsia="宋体" w:cs="Times New Roman"/>
                <w:color w:val="auto"/>
                <w:kern w:val="2"/>
                <w:sz w:val="24"/>
                <w:szCs w:val="24"/>
                <w:lang w:val="en-US" w:eastAsia="zh-CN" w:bidi="ar-SA"/>
              </w:rPr>
              <w:t>。</w:t>
            </w:r>
          </w:p>
          <w:p w14:paraId="4C5494C9">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480" w:firstLineChars="200"/>
              <w:jc w:val="left"/>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（4）</w:t>
            </w:r>
            <w:r>
              <w:rPr>
                <w:rFonts w:hint="default" w:ascii="Times New Roman" w:hAnsi="Times New Roman" w:eastAsia="宋体" w:cs="宋体"/>
                <w:color w:val="auto"/>
                <w:lang w:val="en-US" w:eastAsia="zh-CN"/>
              </w:rPr>
              <w:t>供热</w:t>
            </w:r>
          </w:p>
          <w:p w14:paraId="53E760BA">
            <w:pPr>
              <w:widowControl w:val="0"/>
              <w:overflowPunct w:val="0"/>
              <w:autoSpaceDE w:val="0"/>
              <w:autoSpaceDN w:val="0"/>
              <w:adjustRightInd w:val="0"/>
              <w:snapToGrid w:val="0"/>
              <w:spacing w:before="0" w:after="0" w:line="360" w:lineRule="auto"/>
              <w:ind w:right="0" w:firstLine="480" w:firstLineChars="200"/>
              <w:jc w:val="both"/>
              <w:rPr>
                <w:rFonts w:hint="default" w:ascii="Times New Roman" w:hAnsi="Times New Roman" w:eastAsia="宋体" w:cs="Times New Roman"/>
                <w:color w:val="auto"/>
                <w:kern w:val="2"/>
                <w:sz w:val="24"/>
                <w:szCs w:val="28"/>
                <w:lang w:val="en-US" w:eastAsia="zh-CN" w:bidi="ar-SA"/>
              </w:rPr>
            </w:pPr>
            <w:r>
              <w:rPr>
                <w:rFonts w:hint="eastAsia" w:ascii="Times New Roman" w:hAnsi="Times New Roman" w:eastAsia="宋体" w:cs="Times New Roman"/>
                <w:color w:val="auto"/>
                <w:kern w:val="2"/>
                <w:sz w:val="24"/>
                <w:szCs w:val="28"/>
                <w:lang w:val="en-US" w:eastAsia="zh-CN" w:bidi="ar-SA"/>
              </w:rPr>
              <w:t>本项目冬季</w:t>
            </w:r>
            <w:r>
              <w:rPr>
                <w:rFonts w:hint="eastAsia" w:cs="Times New Roman"/>
                <w:color w:val="auto"/>
                <w:kern w:val="2"/>
                <w:sz w:val="24"/>
                <w:szCs w:val="28"/>
                <w:lang w:val="en-US" w:eastAsia="zh-CN" w:bidi="ar-SA"/>
              </w:rPr>
              <w:t>不生产，项目生产所需蒸汽由园区电厂蒸汽管道供给</w:t>
            </w:r>
            <w:r>
              <w:rPr>
                <w:rFonts w:hint="default" w:ascii="Times New Roman" w:hAnsi="Times New Roman" w:eastAsia="宋体" w:cs="Times New Roman"/>
                <w:color w:val="auto"/>
                <w:kern w:val="2"/>
                <w:sz w:val="24"/>
                <w:szCs w:val="28"/>
                <w:lang w:val="en-US" w:eastAsia="zh-CN" w:bidi="ar-SA"/>
              </w:rPr>
              <w:t>。</w:t>
            </w:r>
          </w:p>
          <w:p w14:paraId="01E07A5A">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right="0"/>
              <w:jc w:val="left"/>
              <w:textAlignment w:val="auto"/>
              <w:outlineLvl w:val="1"/>
              <w:rPr>
                <w:rFonts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6、</w:t>
            </w:r>
            <w:r>
              <w:rPr>
                <w:rFonts w:hint="eastAsia" w:ascii="Times New Roman" w:hAnsi="Times New Roman" w:eastAsia="宋体" w:cs="黑体"/>
                <w:b/>
                <w:color w:val="auto"/>
                <w:sz w:val="28"/>
                <w:szCs w:val="30"/>
                <w:lang w:val="en-US" w:eastAsia="zh-CN" w:bidi="ar-SA"/>
              </w:rPr>
              <w:t xml:space="preserve"> </w:t>
            </w:r>
            <w:r>
              <w:rPr>
                <w:rFonts w:ascii="Times New Roman" w:hAnsi="Times New Roman" w:eastAsia="宋体" w:cs="黑体"/>
                <w:b/>
                <w:color w:val="auto"/>
                <w:sz w:val="28"/>
                <w:szCs w:val="30"/>
                <w:lang w:val="en-US" w:eastAsia="zh-CN" w:bidi="ar-SA"/>
              </w:rPr>
              <w:t>厂区平面布置</w:t>
            </w:r>
          </w:p>
          <w:p w14:paraId="1178E1AC">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color w:val="auto"/>
                <w:kern w:val="0"/>
                <w:sz w:val="24"/>
                <w:szCs w:val="22"/>
                <w:lang w:val="en-US" w:eastAsia="zh-CN"/>
              </w:rPr>
            </w:pPr>
            <w:r>
              <w:rPr>
                <w:rFonts w:hint="default" w:ascii="Times New Roman" w:hAnsi="Times New Roman" w:eastAsia="宋体" w:cs="Times New Roman"/>
                <w:color w:val="auto"/>
                <w:kern w:val="0"/>
                <w:sz w:val="24"/>
                <w:szCs w:val="22"/>
                <w:lang w:val="en-US" w:eastAsia="zh-CN"/>
              </w:rPr>
              <w:t>本项目为</w:t>
            </w:r>
            <w:r>
              <w:rPr>
                <w:rFonts w:hint="eastAsia" w:cs="Times New Roman"/>
                <w:color w:val="auto"/>
                <w:kern w:val="0"/>
                <w:sz w:val="24"/>
                <w:szCs w:val="22"/>
                <w:lang w:val="en-US" w:eastAsia="zh-CN"/>
              </w:rPr>
              <w:t>果汁加工项目</w:t>
            </w:r>
            <w:r>
              <w:rPr>
                <w:rFonts w:hint="default" w:ascii="Times New Roman" w:hAnsi="Times New Roman" w:eastAsia="宋体" w:cs="Times New Roman"/>
                <w:color w:val="auto"/>
                <w:kern w:val="0"/>
                <w:sz w:val="24"/>
                <w:szCs w:val="22"/>
                <w:lang w:val="en-US" w:eastAsia="zh-CN"/>
              </w:rPr>
              <w:t>，企业厂区分为贮存区和生产区。贮存区独立成区，与生产区隔离，且靠近厂区主入口和主要道路，便于人员出入。本项目布局充分考虑各分区功能及产排污的收集处理，科学排布空间，布置满足《建筑设计防火规范》（GB50016-2014）要求。</w:t>
            </w:r>
          </w:p>
          <w:p w14:paraId="2130A006">
            <w:pPr>
              <w:widowControl w:val="0"/>
              <w:overflowPunct w:val="0"/>
              <w:autoSpaceDE w:val="0"/>
              <w:autoSpaceDN w:val="0"/>
              <w:adjustRightInd w:val="0"/>
              <w:snapToGrid w:val="0"/>
              <w:spacing w:before="0" w:after="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项目所处位置地势平坦，根据本产品的工艺、运输、消防、安全的要求，结合地形等因素，按照国家有关标准和规定，对生产、运输、绿化进行了优化，并供有完善的供水、供电、排水等设施。</w:t>
            </w:r>
          </w:p>
          <w:p w14:paraId="713A8C5E">
            <w:pPr>
              <w:widowControl w:val="0"/>
              <w:overflowPunct w:val="0"/>
              <w:autoSpaceDE/>
              <w:autoSpaceDN/>
              <w:adjustRightInd/>
              <w:snapToGrid w:val="0"/>
              <w:spacing w:before="0" w:after="120" w:line="360" w:lineRule="auto"/>
              <w:ind w:left="0" w:leftChars="0" w:right="0" w:firstLine="480" w:firstLineChars="200"/>
              <w:jc w:val="both"/>
              <w:textAlignment w:val="auto"/>
              <w:rPr>
                <w:rFonts w:hint="default" w:ascii="Times New Roman" w:hAnsi="Times New Roman" w:eastAsia="宋体" w:cs="宋体"/>
                <w:snapToGrid w:val="0"/>
                <w:color w:val="auto"/>
                <w:sz w:val="24"/>
                <w:szCs w:val="21"/>
                <w:lang w:val="en-US" w:eastAsia="zh-CN" w:bidi="ar-SA"/>
              </w:rPr>
            </w:pPr>
            <w:r>
              <w:rPr>
                <w:rFonts w:hint="default" w:ascii="Times New Roman" w:hAnsi="Times New Roman" w:eastAsia="宋体" w:cs="Times New Roman"/>
                <w:color w:val="auto"/>
                <w:kern w:val="0"/>
                <w:sz w:val="24"/>
                <w:szCs w:val="22"/>
                <w:lang w:val="en-US" w:eastAsia="zh-CN" w:bidi="ar-SA"/>
              </w:rPr>
              <w:t>因此，本项目布置功能布置明确，各单元由厂内道路衔接。平面布置按照企业生产要求，合理划分场内的功能区域，布置紧凑合理，生产线结构紧凑，工艺流程顺畅，交通运输安全方便。项目总平面布置图见</w:t>
            </w:r>
            <w:r>
              <w:rPr>
                <w:rFonts w:hint="eastAsia" w:cs="Times New Roman"/>
                <w:color w:val="auto"/>
                <w:kern w:val="0"/>
                <w:sz w:val="24"/>
                <w:szCs w:val="22"/>
                <w:lang w:val="en-US" w:eastAsia="zh-CN" w:bidi="ar-SA"/>
              </w:rPr>
              <w:t>附图6</w:t>
            </w:r>
            <w:r>
              <w:rPr>
                <w:rFonts w:hint="eastAsia" w:ascii="Times New Roman" w:hAnsi="Times New Roman" w:eastAsia="宋体" w:cs="Times New Roman"/>
                <w:color w:val="auto"/>
                <w:kern w:val="0"/>
                <w:sz w:val="24"/>
                <w:szCs w:val="22"/>
                <w:lang w:val="en-US" w:eastAsia="zh-CN" w:bidi="ar-SA"/>
              </w:rPr>
              <w:t>。</w:t>
            </w:r>
          </w:p>
        </w:tc>
      </w:tr>
    </w:tbl>
    <w:p w14:paraId="14688E0F">
      <w:pPr>
        <w:keepNext w:val="0"/>
        <w:keepLines w:val="0"/>
        <w:pageBreakBefore w:val="0"/>
        <w:widowControl w:val="0"/>
        <w:kinsoku/>
        <w:wordWrap/>
        <w:overflowPunct w:val="0"/>
        <w:topLinePunct w:val="0"/>
        <w:autoSpaceDE w:val="0"/>
        <w:autoSpaceDN w:val="0"/>
        <w:bidi w:val="0"/>
        <w:adjustRightInd w:val="0"/>
        <w:snapToGrid w:val="0"/>
        <w:textAlignment w:val="auto"/>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8368"/>
      </w:tblGrid>
      <w:tr w14:paraId="5B2B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Align w:val="center"/>
          </w:tcPr>
          <w:p w14:paraId="70DF044B">
            <w:pPr>
              <w:overflowPunct w:val="0"/>
              <w:autoSpaceDE w:val="0"/>
              <w:autoSpaceDN w:val="0"/>
              <w:bidi w:val="0"/>
              <w:adjustRightInd w:val="0"/>
              <w:snapToGrid w:val="0"/>
              <w:spacing w:before="0" w:after="0" w:line="500" w:lineRule="exact"/>
              <w:ind w:left="0" w:leftChars="0" w:right="0" w:firstLine="0" w:firstLineChars="0"/>
              <w:jc w:val="center"/>
              <w:rPr>
                <w:rFonts w:ascii="Times New Roman" w:hAnsi="Times New Roman" w:eastAsia="宋体" w:cs="宋体"/>
                <w:color w:val="auto"/>
              </w:rPr>
            </w:pPr>
            <w:r>
              <w:rPr>
                <w:rFonts w:hint="eastAsia" w:ascii="Times New Roman" w:hAnsi="Times New Roman" w:eastAsia="宋体" w:cs="宋体"/>
                <w:color w:val="auto"/>
                <w:lang w:val="en-US" w:eastAsia="zh-Hans"/>
              </w:rPr>
              <w:t>工</w:t>
            </w:r>
            <w:r>
              <w:rPr>
                <w:rFonts w:ascii="Times New Roman" w:hAnsi="Times New Roman" w:eastAsia="宋体" w:cs="宋体"/>
                <w:color w:val="auto"/>
              </w:rPr>
              <w:t>艺流程和产排污环节</w:t>
            </w:r>
          </w:p>
          <w:p w14:paraId="161378D3">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38853651">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44C03EB8">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7B8000B8">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521BE28B">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247D5D9F">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185E38F5">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4E3E1F84">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1D383823">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6613132E">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0520458C">
            <w:pPr>
              <w:keepNext/>
              <w:keepLines/>
              <w:widowControl w:val="0"/>
              <w:overflowPunct w:val="0"/>
              <w:autoSpaceDE w:val="0"/>
              <w:autoSpaceDN w:val="0"/>
              <w:adjustRightInd w:val="0"/>
              <w:snapToGrid w:val="0"/>
              <w:spacing w:before="0" w:beforeLines="0" w:beforeAutospacing="0" w:after="0" w:afterLines="0" w:afterAutospacing="0" w:line="560" w:lineRule="atLeast"/>
              <w:ind w:left="0" w:right="0" w:firstLine="562" w:firstLineChars="200"/>
              <w:jc w:val="center"/>
              <w:outlineLvl w:val="9"/>
              <w:rPr>
                <w:rFonts w:ascii="Times New Roman" w:hAnsi="Times New Roman" w:eastAsia="宋体" w:cs="宋体"/>
                <w:b/>
                <w:color w:val="auto"/>
                <w:sz w:val="28"/>
                <w:szCs w:val="22"/>
                <w:lang w:val="en-US" w:eastAsia="zh-CN" w:bidi="ar-SA"/>
              </w:rPr>
            </w:pPr>
          </w:p>
          <w:p w14:paraId="294FC8E1">
            <w:pPr>
              <w:overflowPunct w:val="0"/>
              <w:autoSpaceDE w:val="0"/>
              <w:autoSpaceDN w:val="0"/>
              <w:adjustRightInd w:val="0"/>
              <w:snapToGrid w:val="0"/>
              <w:spacing w:before="0" w:after="0" w:line="500" w:lineRule="exact"/>
              <w:ind w:left="0" w:right="0" w:firstLine="480" w:firstLineChars="200"/>
              <w:jc w:val="center"/>
              <w:rPr>
                <w:rFonts w:ascii="Times New Roman" w:hAnsi="Times New Roman" w:eastAsia="宋体" w:cs="宋体"/>
                <w:color w:val="auto"/>
              </w:rPr>
            </w:pPr>
          </w:p>
          <w:p w14:paraId="0A4F74E1">
            <w:pPr>
              <w:keepNext/>
              <w:keepLines/>
              <w:widowControl w:val="0"/>
              <w:overflowPunct w:val="0"/>
              <w:autoSpaceDE w:val="0"/>
              <w:autoSpaceDN w:val="0"/>
              <w:adjustRightInd w:val="0"/>
              <w:snapToGrid w:val="0"/>
              <w:spacing w:before="0" w:beforeLines="0" w:beforeAutospacing="0" w:after="0" w:afterLines="0" w:afterAutospacing="0" w:line="560" w:lineRule="atLeast"/>
              <w:ind w:left="0" w:leftChars="0" w:right="0" w:rightChars="0" w:firstLine="0" w:firstLineChars="0"/>
              <w:jc w:val="center"/>
              <w:outlineLvl w:val="9"/>
              <w:rPr>
                <w:rFonts w:ascii="Times New Roman" w:hAnsi="Times New Roman" w:eastAsia="宋体" w:cs="宋体"/>
                <w:b/>
                <w:color w:val="auto"/>
                <w:sz w:val="28"/>
                <w:szCs w:val="22"/>
                <w:vertAlign w:val="baseline"/>
                <w:lang w:val="en-US" w:eastAsia="zh-CN" w:bidi="ar-SA"/>
              </w:rPr>
            </w:pPr>
          </w:p>
        </w:tc>
        <w:tc>
          <w:tcPr>
            <w:tcW w:w="8368" w:type="dxa"/>
            <w:vAlign w:val="top"/>
          </w:tcPr>
          <w:p w14:paraId="111E18D8">
            <w:pPr>
              <w:pStyle w:val="3"/>
              <w:keepNext/>
              <w:keepLines/>
              <w:pageBreakBefore w:val="0"/>
              <w:widowControl w:val="0"/>
              <w:kinsoku/>
              <w:wordWrap/>
              <w:overflowPunct/>
              <w:topLinePunct w:val="0"/>
              <w:autoSpaceDE/>
              <w:autoSpaceDN/>
              <w:bidi w:val="0"/>
              <w:adjustRightInd/>
              <w:snapToGrid/>
              <w:spacing w:before="0" w:after="0" w:line="480" w:lineRule="exact"/>
              <w:jc w:val="both"/>
              <w:textAlignment w:val="auto"/>
              <w:rPr>
                <w:rFonts w:hint="default" w:ascii="Times New Roman" w:hAnsi="Times New Roman" w:eastAsia="宋体" w:cs="Times New Roman"/>
                <w:color w:val="auto"/>
                <w:sz w:val="28"/>
                <w:szCs w:val="21"/>
                <w:lang w:val="en-US" w:eastAsia="zh-CN"/>
              </w:rPr>
            </w:pPr>
            <w:r>
              <w:rPr>
                <w:rFonts w:hint="default" w:ascii="Times New Roman" w:hAnsi="Times New Roman" w:eastAsia="宋体" w:cs="Times New Roman"/>
                <w:color w:val="auto"/>
                <w:sz w:val="28"/>
                <w:szCs w:val="21"/>
                <w:lang w:val="en-US" w:eastAsia="zh-CN"/>
              </w:rPr>
              <w:t>1、施工期工艺流程</w:t>
            </w:r>
          </w:p>
          <w:p w14:paraId="1CE8BE95">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right="0" w:firstLine="480" w:firstLineChars="200"/>
              <w:jc w:val="left"/>
              <w:textAlignment w:val="auto"/>
              <w:rPr>
                <w:rFonts w:hint="default"/>
                <w:color w:val="auto"/>
                <w:lang w:val="en-US" w:eastAsia="zh-CN"/>
              </w:rPr>
            </w:pPr>
            <w:r>
              <w:rPr>
                <w:color w:val="auto"/>
              </w:rPr>
              <w:drawing>
                <wp:anchor distT="0" distB="0" distL="114300" distR="114300" simplePos="0" relativeHeight="251666432" behindDoc="0" locked="0" layoutInCell="1" allowOverlap="1">
                  <wp:simplePos x="0" y="0"/>
                  <wp:positionH relativeFrom="column">
                    <wp:posOffset>96520</wp:posOffset>
                  </wp:positionH>
                  <wp:positionV relativeFrom="paragraph">
                    <wp:posOffset>629285</wp:posOffset>
                  </wp:positionV>
                  <wp:extent cx="5078095" cy="1691640"/>
                  <wp:effectExtent l="0" t="0" r="8255" b="3810"/>
                  <wp:wrapNone/>
                  <wp:docPr id="181" name="图片 3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81" descr="IMG_256"/>
                          <pic:cNvPicPr>
                            <a:picLocks noChangeAspect="1"/>
                          </pic:cNvPicPr>
                        </pic:nvPicPr>
                        <pic:blipFill>
                          <a:blip r:embed="rId24"/>
                          <a:srcRect b="2960"/>
                          <a:stretch>
                            <a:fillRect/>
                          </a:stretch>
                        </pic:blipFill>
                        <pic:spPr>
                          <a:xfrm>
                            <a:off x="0" y="0"/>
                            <a:ext cx="5078095" cy="1691640"/>
                          </a:xfrm>
                          <a:prstGeom prst="rect">
                            <a:avLst/>
                          </a:prstGeom>
                          <a:noFill/>
                          <a:ln>
                            <a:noFill/>
                          </a:ln>
                        </pic:spPr>
                      </pic:pic>
                    </a:graphicData>
                  </a:graphic>
                </wp:anchor>
              </w:drawing>
            </w:r>
            <w:r>
              <w:rPr>
                <w:color w:val="auto"/>
              </w:rPr>
              <w:t>施工期</w:t>
            </w:r>
            <w:r>
              <w:rPr>
                <w:rFonts w:hint="eastAsia"/>
                <w:color w:val="auto"/>
              </w:rPr>
              <w:t>工程内容主要为厂房的建设及设备的安装，期</w:t>
            </w:r>
            <w:r>
              <w:rPr>
                <w:color w:val="auto"/>
              </w:rPr>
              <w:t>间产生施工</w:t>
            </w:r>
            <w:r>
              <w:rPr>
                <w:rFonts w:hint="eastAsia"/>
                <w:color w:val="auto"/>
              </w:rPr>
              <w:t>扬尘、装修废气，</w:t>
            </w:r>
            <w:r>
              <w:rPr>
                <w:color w:val="auto"/>
              </w:rPr>
              <w:t>噪声、建筑垃圾</w:t>
            </w:r>
            <w:r>
              <w:rPr>
                <w:rFonts w:hint="eastAsia"/>
                <w:color w:val="auto"/>
              </w:rPr>
              <w:t>等，其生产工艺流程及产污节点见图</w:t>
            </w:r>
            <w:r>
              <w:rPr>
                <w:rFonts w:hint="eastAsia"/>
                <w:color w:val="auto"/>
                <w:lang w:val="en-US" w:eastAsia="zh-CN"/>
              </w:rPr>
              <w:t>2.8-1。</w:t>
            </w:r>
          </w:p>
          <w:p w14:paraId="2C077AB1">
            <w:pPr>
              <w:overflowPunct w:val="0"/>
              <w:autoSpaceDE w:val="0"/>
              <w:autoSpaceDN w:val="0"/>
              <w:bidi w:val="0"/>
              <w:adjustRightInd w:val="0"/>
              <w:snapToGrid w:val="0"/>
              <w:spacing w:before="0" w:after="0" w:line="500" w:lineRule="exact"/>
              <w:ind w:left="0" w:right="0" w:firstLine="480" w:firstLineChars="200"/>
              <w:jc w:val="left"/>
              <w:rPr>
                <w:rFonts w:hint="default"/>
                <w:color w:val="auto"/>
              </w:rPr>
            </w:pPr>
          </w:p>
          <w:p w14:paraId="3ABA5F1C">
            <w:pPr>
              <w:overflowPunct w:val="0"/>
              <w:autoSpaceDE w:val="0"/>
              <w:autoSpaceDN w:val="0"/>
              <w:bidi w:val="0"/>
              <w:adjustRightInd w:val="0"/>
              <w:snapToGrid w:val="0"/>
              <w:spacing w:before="0" w:after="0" w:line="500" w:lineRule="exact"/>
              <w:ind w:left="0" w:right="0" w:firstLine="480" w:firstLineChars="200"/>
              <w:jc w:val="left"/>
              <w:rPr>
                <w:rFonts w:hint="default"/>
                <w:color w:val="auto"/>
              </w:rPr>
            </w:pPr>
          </w:p>
          <w:p w14:paraId="09BF2EB7">
            <w:pPr>
              <w:overflowPunct w:val="0"/>
              <w:autoSpaceDE w:val="0"/>
              <w:autoSpaceDN w:val="0"/>
              <w:bidi w:val="0"/>
              <w:adjustRightInd w:val="0"/>
              <w:snapToGrid w:val="0"/>
              <w:spacing w:before="0" w:after="0" w:line="500" w:lineRule="exact"/>
              <w:ind w:left="0" w:right="0" w:firstLine="480" w:firstLineChars="200"/>
              <w:jc w:val="left"/>
              <w:rPr>
                <w:rFonts w:hint="default"/>
                <w:color w:val="auto"/>
              </w:rPr>
            </w:pPr>
          </w:p>
          <w:p w14:paraId="15F5A988">
            <w:pPr>
              <w:widowControl w:val="0"/>
              <w:overflowPunct w:val="0"/>
              <w:autoSpaceDE w:val="0"/>
              <w:autoSpaceDN w:val="0"/>
              <w:bidi w:val="0"/>
              <w:adjustRightInd w:val="0"/>
              <w:snapToGrid w:val="0"/>
              <w:spacing w:before="0" w:after="0" w:line="400" w:lineRule="exact"/>
              <w:ind w:left="0" w:right="0" w:firstLine="0" w:firstLineChars="0"/>
              <w:jc w:val="center"/>
              <w:rPr>
                <w:rFonts w:hint="default"/>
                <w:color w:val="auto"/>
                <w:lang w:val="en-US" w:eastAsia="zh-CN"/>
              </w:rPr>
            </w:pPr>
          </w:p>
          <w:p w14:paraId="231CE847">
            <w:pPr>
              <w:widowControl w:val="0"/>
              <w:overflowPunct w:val="0"/>
              <w:autoSpaceDE w:val="0"/>
              <w:autoSpaceDN w:val="0"/>
              <w:bidi w:val="0"/>
              <w:adjustRightInd w:val="0"/>
              <w:snapToGrid w:val="0"/>
              <w:spacing w:before="0" w:after="0" w:line="400" w:lineRule="exact"/>
              <w:ind w:left="0" w:right="0" w:firstLine="0" w:firstLineChars="0"/>
              <w:jc w:val="center"/>
              <w:rPr>
                <w:rFonts w:hint="default"/>
                <w:color w:val="auto"/>
                <w:lang w:val="en-US" w:eastAsia="zh-CN"/>
              </w:rPr>
            </w:pPr>
          </w:p>
          <w:p w14:paraId="1A23A224">
            <w:pPr>
              <w:pStyle w:val="44"/>
              <w:bidi w:val="0"/>
              <w:rPr>
                <w:rFonts w:hint="default"/>
                <w:color w:val="auto"/>
                <w:lang w:val="en-US" w:eastAsia="zh-CN"/>
              </w:rPr>
            </w:pPr>
          </w:p>
          <w:p w14:paraId="34C5E365">
            <w:pPr>
              <w:pStyle w:val="44"/>
              <w:bidi w:val="0"/>
              <w:rPr>
                <w:rFonts w:hint="default"/>
                <w:color w:val="auto"/>
                <w:lang w:val="en-US" w:eastAsia="zh-CN"/>
              </w:rPr>
            </w:pPr>
            <w:r>
              <w:rPr>
                <w:rFonts w:hint="default"/>
                <w:color w:val="auto"/>
                <w:lang w:val="en-US" w:eastAsia="zh-CN"/>
              </w:rPr>
              <w:t>图</w:t>
            </w:r>
            <w:r>
              <w:rPr>
                <w:rFonts w:hint="eastAsia"/>
                <w:color w:val="auto"/>
                <w:lang w:val="en-US" w:eastAsia="zh-CN"/>
              </w:rPr>
              <w:t xml:space="preserve">2.8-1 </w:t>
            </w:r>
            <w:r>
              <w:rPr>
                <w:rFonts w:hint="default"/>
                <w:color w:val="auto"/>
                <w:lang w:val="en-US" w:eastAsia="zh-CN"/>
              </w:rPr>
              <w:t xml:space="preserve"> 施工期工艺流程及产污节点图</w:t>
            </w:r>
          </w:p>
          <w:p w14:paraId="4C1EDA45">
            <w:pPr>
              <w:overflowPunct w:val="0"/>
              <w:autoSpaceDE w:val="0"/>
              <w:autoSpaceDN w:val="0"/>
              <w:bidi w:val="0"/>
              <w:adjustRightInd w:val="0"/>
              <w:snapToGrid w:val="0"/>
              <w:spacing w:before="0" w:after="0" w:line="500" w:lineRule="exact"/>
              <w:ind w:left="0" w:right="0" w:firstLine="480" w:firstLineChars="200"/>
              <w:jc w:val="left"/>
              <w:rPr>
                <w:rFonts w:hint="default"/>
                <w:color w:val="auto"/>
              </w:rPr>
            </w:pPr>
            <w:r>
              <w:rPr>
                <w:rFonts w:hint="default"/>
                <w:color w:val="auto"/>
              </w:rPr>
              <w:t>废气：土建工程的土方挖填、运输过程产生的扬尘、装修废气及施工设备和运输设备产生的废气。</w:t>
            </w:r>
          </w:p>
          <w:p w14:paraId="5D22881A">
            <w:pPr>
              <w:overflowPunct w:val="0"/>
              <w:autoSpaceDE w:val="0"/>
              <w:autoSpaceDN w:val="0"/>
              <w:bidi w:val="0"/>
              <w:adjustRightInd w:val="0"/>
              <w:snapToGrid w:val="0"/>
              <w:spacing w:before="0" w:after="0" w:line="500" w:lineRule="exact"/>
              <w:ind w:left="0" w:right="0" w:firstLine="480" w:firstLineChars="200"/>
              <w:jc w:val="left"/>
              <w:rPr>
                <w:rFonts w:hint="default"/>
                <w:color w:val="auto"/>
              </w:rPr>
            </w:pPr>
            <w:r>
              <w:rPr>
                <w:rFonts w:hint="default"/>
                <w:color w:val="auto"/>
              </w:rPr>
              <w:t>废水：主要为施工废水。施工废水主要来源于混凝土冲洗、养护等作业中多余或泄露的废水，清洗机具、运输车辆等少量废水。</w:t>
            </w:r>
          </w:p>
          <w:p w14:paraId="7EEADEC3">
            <w:pPr>
              <w:overflowPunct w:val="0"/>
              <w:autoSpaceDE w:val="0"/>
              <w:autoSpaceDN w:val="0"/>
              <w:bidi w:val="0"/>
              <w:adjustRightInd w:val="0"/>
              <w:snapToGrid w:val="0"/>
              <w:spacing w:before="0" w:after="0" w:line="500" w:lineRule="exact"/>
              <w:ind w:left="0" w:right="0" w:firstLine="480" w:firstLineChars="200"/>
              <w:jc w:val="left"/>
              <w:rPr>
                <w:rFonts w:hint="default"/>
                <w:color w:val="auto"/>
              </w:rPr>
            </w:pPr>
            <w:r>
              <w:rPr>
                <w:rFonts w:hint="default"/>
                <w:color w:val="auto"/>
              </w:rPr>
              <w:t>噪声：土石方阶段的挖土机、冲击机、底板及结构阶段的电焊机、空压机等，运输车辆产生的噪声、设备安装过程中产生的噪声。</w:t>
            </w:r>
          </w:p>
          <w:p w14:paraId="6FCA0582">
            <w:pPr>
              <w:overflowPunct w:val="0"/>
              <w:autoSpaceDE w:val="0"/>
              <w:autoSpaceDN w:val="0"/>
              <w:bidi w:val="0"/>
              <w:adjustRightInd w:val="0"/>
              <w:snapToGrid w:val="0"/>
              <w:spacing w:before="0" w:after="0" w:line="500" w:lineRule="exact"/>
              <w:ind w:left="0" w:right="0" w:firstLine="480" w:firstLineChars="200"/>
              <w:jc w:val="left"/>
              <w:rPr>
                <w:rFonts w:hint="default"/>
                <w:color w:val="auto"/>
              </w:rPr>
            </w:pPr>
            <w:r>
              <w:rPr>
                <w:rFonts w:hint="default"/>
                <w:color w:val="auto"/>
              </w:rPr>
              <w:t>废渣：主要来源于施工过程中开挖的土石方、建筑垃圾及施工人员产生的生活垃圾。</w:t>
            </w:r>
          </w:p>
          <w:p w14:paraId="760B2FE2">
            <w:pPr>
              <w:overflowPunct w:val="0"/>
              <w:autoSpaceDE w:val="0"/>
              <w:autoSpaceDN w:val="0"/>
              <w:bidi w:val="0"/>
              <w:adjustRightInd w:val="0"/>
              <w:snapToGrid w:val="0"/>
              <w:spacing w:before="0" w:after="0" w:line="500" w:lineRule="exact"/>
              <w:ind w:left="0" w:right="0" w:firstLine="480" w:firstLineChars="200"/>
              <w:jc w:val="left"/>
              <w:rPr>
                <w:rFonts w:hint="default"/>
                <w:color w:val="auto"/>
              </w:rPr>
            </w:pPr>
            <w:r>
              <w:rPr>
                <w:rFonts w:hint="default"/>
                <w:color w:val="auto"/>
              </w:rPr>
              <w:t>项目施工期主要污染源分析如表</w:t>
            </w:r>
            <w:r>
              <w:rPr>
                <w:rFonts w:hint="eastAsia"/>
                <w:color w:val="auto"/>
                <w:lang w:val="en-US" w:eastAsia="zh-CN"/>
              </w:rPr>
              <w:t>2.8-1</w:t>
            </w:r>
            <w:r>
              <w:rPr>
                <w:rFonts w:hint="default"/>
                <w:color w:val="auto"/>
              </w:rPr>
              <w:t>。</w:t>
            </w:r>
          </w:p>
          <w:p w14:paraId="3AD2699F">
            <w:pPr>
              <w:pStyle w:val="44"/>
              <w:bidi w:val="0"/>
              <w:rPr>
                <w:rFonts w:hint="eastAsia"/>
                <w:color w:val="auto"/>
                <w:lang w:val="en-US" w:eastAsia="zh-CN"/>
              </w:rPr>
            </w:pPr>
            <w:r>
              <w:rPr>
                <w:rFonts w:hint="eastAsia"/>
                <w:color w:val="auto"/>
                <w:lang w:val="en-US" w:eastAsia="zh-CN"/>
              </w:rPr>
              <w:t>表2.8-1施工期主要污染工序一览表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342"/>
              <w:gridCol w:w="1859"/>
              <w:gridCol w:w="3895"/>
            </w:tblGrid>
            <w:tr w14:paraId="6FEAF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tcBorders>
                    <w:top w:val="single" w:color="auto" w:sz="12" w:space="0"/>
                    <w:left w:val="single" w:color="auto" w:sz="12" w:space="0"/>
                    <w:tl2br w:val="nil"/>
                    <w:tr2bl w:val="nil"/>
                  </w:tcBorders>
                  <w:vAlign w:val="center"/>
                </w:tcPr>
                <w:p w14:paraId="498F7F30">
                  <w:pPr>
                    <w:pStyle w:val="46"/>
                    <w:bidi w:val="0"/>
                    <w:ind w:firstLine="0" w:firstLineChars="0"/>
                    <w:jc w:val="center"/>
                    <w:rPr>
                      <w:rFonts w:hint="eastAsia"/>
                      <w:color w:val="auto"/>
                      <w:lang w:val="en-US" w:eastAsia="zh-CN"/>
                    </w:rPr>
                  </w:pPr>
                  <w:r>
                    <w:rPr>
                      <w:rFonts w:hint="eastAsia"/>
                      <w:color w:val="auto"/>
                      <w:lang w:val="en-US" w:eastAsia="zh-CN"/>
                    </w:rPr>
                    <w:t>污染类别</w:t>
                  </w:r>
                </w:p>
              </w:tc>
              <w:tc>
                <w:tcPr>
                  <w:tcW w:w="823" w:type="pct"/>
                  <w:tcBorders>
                    <w:top w:val="single" w:color="auto" w:sz="12" w:space="0"/>
                    <w:tl2br w:val="nil"/>
                    <w:tr2bl w:val="nil"/>
                  </w:tcBorders>
                  <w:vAlign w:val="center"/>
                </w:tcPr>
                <w:p w14:paraId="6541C345">
                  <w:pPr>
                    <w:pStyle w:val="46"/>
                    <w:bidi w:val="0"/>
                    <w:jc w:val="center"/>
                    <w:rPr>
                      <w:rFonts w:hint="eastAsia"/>
                      <w:color w:val="auto"/>
                      <w:lang w:val="en-US" w:eastAsia="zh-CN"/>
                    </w:rPr>
                  </w:pPr>
                  <w:r>
                    <w:rPr>
                      <w:rFonts w:hint="eastAsia"/>
                      <w:color w:val="auto"/>
                      <w:lang w:val="en-US" w:eastAsia="zh-CN"/>
                    </w:rPr>
                    <w:t>污染源名称</w:t>
                  </w:r>
                </w:p>
              </w:tc>
              <w:tc>
                <w:tcPr>
                  <w:tcW w:w="1140" w:type="pct"/>
                  <w:tcBorders>
                    <w:top w:val="single" w:color="auto" w:sz="12" w:space="0"/>
                    <w:tl2br w:val="nil"/>
                    <w:tr2bl w:val="nil"/>
                  </w:tcBorders>
                  <w:vAlign w:val="center"/>
                </w:tcPr>
                <w:p w14:paraId="66F0A272">
                  <w:pPr>
                    <w:pStyle w:val="46"/>
                    <w:bidi w:val="0"/>
                    <w:jc w:val="center"/>
                    <w:rPr>
                      <w:rFonts w:hint="eastAsia"/>
                      <w:color w:val="auto"/>
                      <w:lang w:val="en-US" w:eastAsia="zh-CN"/>
                    </w:rPr>
                  </w:pPr>
                  <w:r>
                    <w:rPr>
                      <w:rFonts w:hint="eastAsia"/>
                      <w:color w:val="auto"/>
                      <w:lang w:val="en-US" w:eastAsia="zh-CN"/>
                    </w:rPr>
                    <w:t>产生工序</w:t>
                  </w:r>
                </w:p>
              </w:tc>
              <w:tc>
                <w:tcPr>
                  <w:tcW w:w="2389" w:type="pct"/>
                  <w:tcBorders>
                    <w:top w:val="single" w:color="auto" w:sz="12" w:space="0"/>
                    <w:right w:val="single" w:color="auto" w:sz="12" w:space="0"/>
                    <w:tl2br w:val="nil"/>
                    <w:tr2bl w:val="nil"/>
                  </w:tcBorders>
                  <w:vAlign w:val="center"/>
                </w:tcPr>
                <w:p w14:paraId="425F1A47">
                  <w:pPr>
                    <w:pStyle w:val="46"/>
                    <w:bidi w:val="0"/>
                    <w:jc w:val="center"/>
                    <w:rPr>
                      <w:rFonts w:hint="eastAsia"/>
                      <w:color w:val="auto"/>
                      <w:lang w:val="en-US" w:eastAsia="zh-CN"/>
                    </w:rPr>
                  </w:pPr>
                  <w:r>
                    <w:rPr>
                      <w:rFonts w:hint="eastAsia"/>
                      <w:color w:val="auto"/>
                      <w:lang w:val="en-US" w:eastAsia="zh-CN"/>
                    </w:rPr>
                    <w:t>主要污染因子</w:t>
                  </w:r>
                </w:p>
              </w:tc>
            </w:tr>
            <w:tr w14:paraId="00D20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restart"/>
                  <w:tcBorders>
                    <w:left w:val="single" w:color="auto" w:sz="12" w:space="0"/>
                    <w:tl2br w:val="nil"/>
                    <w:tr2bl w:val="nil"/>
                  </w:tcBorders>
                  <w:vAlign w:val="center"/>
                </w:tcPr>
                <w:p w14:paraId="3F5725DF">
                  <w:pPr>
                    <w:pStyle w:val="46"/>
                    <w:bidi w:val="0"/>
                    <w:ind w:firstLine="0" w:firstLineChars="0"/>
                    <w:jc w:val="center"/>
                    <w:rPr>
                      <w:rFonts w:hint="eastAsia"/>
                      <w:color w:val="auto"/>
                      <w:lang w:val="en-US" w:eastAsia="zh-CN"/>
                    </w:rPr>
                  </w:pPr>
                  <w:r>
                    <w:rPr>
                      <w:rFonts w:hint="eastAsia"/>
                      <w:color w:val="auto"/>
                      <w:lang w:val="en-US" w:eastAsia="zh-CN"/>
                    </w:rPr>
                    <w:t>废气</w:t>
                  </w:r>
                </w:p>
              </w:tc>
              <w:tc>
                <w:tcPr>
                  <w:tcW w:w="823" w:type="pct"/>
                  <w:tcBorders>
                    <w:tl2br w:val="nil"/>
                    <w:tr2bl w:val="nil"/>
                  </w:tcBorders>
                  <w:vAlign w:val="center"/>
                </w:tcPr>
                <w:p w14:paraId="453A3C17">
                  <w:pPr>
                    <w:pStyle w:val="46"/>
                    <w:bidi w:val="0"/>
                    <w:jc w:val="center"/>
                    <w:rPr>
                      <w:rFonts w:hint="eastAsia"/>
                      <w:color w:val="auto"/>
                      <w:lang w:val="en-US" w:eastAsia="zh-CN"/>
                    </w:rPr>
                  </w:pPr>
                  <w:r>
                    <w:rPr>
                      <w:rFonts w:hint="eastAsia"/>
                      <w:color w:val="auto"/>
                      <w:lang w:val="en-US" w:eastAsia="zh-CN"/>
                    </w:rPr>
                    <w:t>堆场、施工场地</w:t>
                  </w:r>
                </w:p>
              </w:tc>
              <w:tc>
                <w:tcPr>
                  <w:tcW w:w="1140" w:type="pct"/>
                  <w:tcBorders>
                    <w:tl2br w:val="nil"/>
                    <w:tr2bl w:val="nil"/>
                  </w:tcBorders>
                  <w:vAlign w:val="center"/>
                </w:tcPr>
                <w:p w14:paraId="2883D869">
                  <w:pPr>
                    <w:pStyle w:val="46"/>
                    <w:bidi w:val="0"/>
                    <w:jc w:val="center"/>
                    <w:rPr>
                      <w:rFonts w:hint="eastAsia"/>
                      <w:color w:val="auto"/>
                      <w:lang w:val="en-US" w:eastAsia="zh-CN"/>
                    </w:rPr>
                  </w:pPr>
                  <w:r>
                    <w:rPr>
                      <w:rFonts w:hint="eastAsia"/>
                      <w:color w:val="auto"/>
                      <w:lang w:val="en-US" w:eastAsia="zh-CN"/>
                    </w:rPr>
                    <w:t>施工过程</w:t>
                  </w:r>
                </w:p>
              </w:tc>
              <w:tc>
                <w:tcPr>
                  <w:tcW w:w="2389" w:type="pct"/>
                  <w:tcBorders>
                    <w:right w:val="single" w:color="auto" w:sz="12" w:space="0"/>
                    <w:tl2br w:val="nil"/>
                    <w:tr2bl w:val="nil"/>
                  </w:tcBorders>
                  <w:vAlign w:val="center"/>
                </w:tcPr>
                <w:p w14:paraId="5202F689">
                  <w:pPr>
                    <w:pStyle w:val="46"/>
                    <w:bidi w:val="0"/>
                    <w:jc w:val="center"/>
                    <w:rPr>
                      <w:rFonts w:hint="eastAsia"/>
                      <w:color w:val="auto"/>
                      <w:lang w:val="en-US" w:eastAsia="zh-CN"/>
                    </w:rPr>
                  </w:pPr>
                  <w:r>
                    <w:rPr>
                      <w:rFonts w:hint="eastAsia"/>
                      <w:color w:val="auto"/>
                      <w:lang w:val="en-US" w:eastAsia="zh-CN"/>
                    </w:rPr>
                    <w:t>粉尘</w:t>
                  </w:r>
                </w:p>
              </w:tc>
            </w:tr>
            <w:tr w14:paraId="0C349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tcBorders>
                    <w:left w:val="single" w:color="auto" w:sz="12" w:space="0"/>
                    <w:tl2br w:val="nil"/>
                    <w:tr2bl w:val="nil"/>
                  </w:tcBorders>
                  <w:vAlign w:val="center"/>
                </w:tcPr>
                <w:p w14:paraId="70B3E818">
                  <w:pPr>
                    <w:pStyle w:val="46"/>
                    <w:bidi w:val="0"/>
                    <w:ind w:firstLine="0" w:firstLineChars="0"/>
                    <w:jc w:val="center"/>
                    <w:rPr>
                      <w:rFonts w:hint="eastAsia"/>
                      <w:color w:val="auto"/>
                      <w:lang w:val="en-US" w:eastAsia="zh-CN"/>
                    </w:rPr>
                  </w:pPr>
                </w:p>
              </w:tc>
              <w:tc>
                <w:tcPr>
                  <w:tcW w:w="823" w:type="pct"/>
                  <w:tcBorders>
                    <w:tl2br w:val="nil"/>
                    <w:tr2bl w:val="nil"/>
                  </w:tcBorders>
                  <w:vAlign w:val="center"/>
                </w:tcPr>
                <w:p w14:paraId="6616853C">
                  <w:pPr>
                    <w:pStyle w:val="46"/>
                    <w:bidi w:val="0"/>
                    <w:jc w:val="center"/>
                    <w:rPr>
                      <w:rFonts w:hint="eastAsia"/>
                      <w:color w:val="auto"/>
                      <w:lang w:val="en-US" w:eastAsia="zh-CN"/>
                    </w:rPr>
                  </w:pPr>
                  <w:r>
                    <w:rPr>
                      <w:rFonts w:hint="eastAsia"/>
                      <w:color w:val="auto"/>
                      <w:lang w:val="en-US" w:eastAsia="zh-CN"/>
                    </w:rPr>
                    <w:t>机械动力设备</w:t>
                  </w:r>
                </w:p>
              </w:tc>
              <w:tc>
                <w:tcPr>
                  <w:tcW w:w="1140" w:type="pct"/>
                  <w:tcBorders>
                    <w:tl2br w:val="nil"/>
                    <w:tr2bl w:val="nil"/>
                  </w:tcBorders>
                  <w:vAlign w:val="center"/>
                </w:tcPr>
                <w:p w14:paraId="0F615BD3">
                  <w:pPr>
                    <w:pStyle w:val="46"/>
                    <w:bidi w:val="0"/>
                    <w:jc w:val="center"/>
                    <w:rPr>
                      <w:rFonts w:hint="eastAsia"/>
                      <w:color w:val="auto"/>
                      <w:lang w:val="en-US" w:eastAsia="zh-CN"/>
                    </w:rPr>
                  </w:pPr>
                  <w:r>
                    <w:rPr>
                      <w:rFonts w:hint="eastAsia"/>
                      <w:color w:val="auto"/>
                      <w:lang w:val="en-US" w:eastAsia="zh-CN"/>
                    </w:rPr>
                    <w:t>机械设备运行</w:t>
                  </w:r>
                </w:p>
              </w:tc>
              <w:tc>
                <w:tcPr>
                  <w:tcW w:w="2389" w:type="pct"/>
                  <w:tcBorders>
                    <w:right w:val="single" w:color="auto" w:sz="12" w:space="0"/>
                    <w:tl2br w:val="nil"/>
                    <w:tr2bl w:val="nil"/>
                  </w:tcBorders>
                  <w:vAlign w:val="center"/>
                </w:tcPr>
                <w:p w14:paraId="76326555">
                  <w:pPr>
                    <w:pStyle w:val="46"/>
                    <w:bidi w:val="0"/>
                    <w:jc w:val="center"/>
                    <w:rPr>
                      <w:rFonts w:hint="eastAsia"/>
                      <w:color w:val="auto"/>
                      <w:lang w:val="en-US" w:eastAsia="zh-CN"/>
                    </w:rPr>
                  </w:pPr>
                  <w:r>
                    <w:rPr>
                      <w:rFonts w:hint="eastAsia"/>
                      <w:color w:val="auto"/>
                      <w:lang w:val="en-US" w:eastAsia="zh-CN"/>
                    </w:rPr>
                    <w:t>尾气</w:t>
                  </w:r>
                  <w:r>
                    <w:rPr>
                      <w:rFonts w:hint="default"/>
                      <w:color w:val="auto"/>
                      <w:lang w:val="en-US" w:eastAsia="zh-CN"/>
                    </w:rPr>
                    <w:t>(SO</w:t>
                  </w:r>
                  <w:r>
                    <w:rPr>
                      <w:rFonts w:hint="default"/>
                      <w:color w:val="auto"/>
                      <w:vertAlign w:val="subscript"/>
                      <w:lang w:val="en-US" w:eastAsia="zh-CN"/>
                    </w:rPr>
                    <w:t>2</w:t>
                  </w:r>
                  <w:r>
                    <w:rPr>
                      <w:rFonts w:hint="eastAsia"/>
                      <w:color w:val="auto"/>
                      <w:lang w:val="en-US" w:eastAsia="zh-CN"/>
                    </w:rPr>
                    <w:t>、颗粒物、总烃、</w:t>
                  </w:r>
                  <w:r>
                    <w:rPr>
                      <w:rFonts w:hint="default"/>
                      <w:color w:val="auto"/>
                      <w:lang w:val="en-US" w:eastAsia="zh-CN"/>
                    </w:rPr>
                    <w:t>CO</w:t>
                  </w:r>
                  <w:r>
                    <w:rPr>
                      <w:rFonts w:hint="eastAsia"/>
                      <w:color w:val="auto"/>
                      <w:lang w:val="en-US" w:eastAsia="zh-CN"/>
                    </w:rPr>
                    <w:t>、</w:t>
                  </w:r>
                  <w:r>
                    <w:rPr>
                      <w:rFonts w:hint="default"/>
                      <w:color w:val="auto"/>
                      <w:lang w:val="en-US" w:eastAsia="zh-CN"/>
                    </w:rPr>
                    <w:t>NOx)</w:t>
                  </w:r>
                </w:p>
              </w:tc>
            </w:tr>
            <w:tr w14:paraId="28CCF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tcBorders>
                    <w:left w:val="single" w:color="auto" w:sz="12" w:space="0"/>
                    <w:tl2br w:val="nil"/>
                    <w:tr2bl w:val="nil"/>
                  </w:tcBorders>
                  <w:vAlign w:val="center"/>
                </w:tcPr>
                <w:p w14:paraId="32DEC06D">
                  <w:pPr>
                    <w:pStyle w:val="46"/>
                    <w:bidi w:val="0"/>
                    <w:ind w:firstLine="0" w:firstLineChars="0"/>
                    <w:jc w:val="center"/>
                    <w:rPr>
                      <w:rFonts w:hint="eastAsia"/>
                      <w:color w:val="auto"/>
                      <w:lang w:val="en-US" w:eastAsia="zh-CN"/>
                    </w:rPr>
                  </w:pPr>
                  <w:r>
                    <w:rPr>
                      <w:rFonts w:hint="eastAsia"/>
                      <w:color w:val="auto"/>
                      <w:lang w:val="en-US" w:eastAsia="zh-CN"/>
                    </w:rPr>
                    <w:t>废水</w:t>
                  </w:r>
                </w:p>
              </w:tc>
              <w:tc>
                <w:tcPr>
                  <w:tcW w:w="823" w:type="pct"/>
                  <w:tcBorders>
                    <w:tl2br w:val="nil"/>
                    <w:tr2bl w:val="nil"/>
                  </w:tcBorders>
                  <w:vAlign w:val="center"/>
                </w:tcPr>
                <w:p w14:paraId="5B1E7B79">
                  <w:pPr>
                    <w:pStyle w:val="46"/>
                    <w:bidi w:val="0"/>
                    <w:jc w:val="center"/>
                    <w:rPr>
                      <w:rFonts w:hint="eastAsia"/>
                      <w:color w:val="auto"/>
                      <w:lang w:val="en-US" w:eastAsia="zh-CN"/>
                    </w:rPr>
                  </w:pPr>
                  <w:r>
                    <w:rPr>
                      <w:rFonts w:hint="eastAsia"/>
                      <w:color w:val="auto"/>
                      <w:lang w:val="en-US" w:eastAsia="zh-CN"/>
                    </w:rPr>
                    <w:t>施工废水</w:t>
                  </w:r>
                </w:p>
              </w:tc>
              <w:tc>
                <w:tcPr>
                  <w:tcW w:w="1140" w:type="pct"/>
                  <w:tcBorders>
                    <w:tl2br w:val="nil"/>
                    <w:tr2bl w:val="nil"/>
                  </w:tcBorders>
                  <w:vAlign w:val="center"/>
                </w:tcPr>
                <w:p w14:paraId="781C9743">
                  <w:pPr>
                    <w:pStyle w:val="46"/>
                    <w:bidi w:val="0"/>
                    <w:jc w:val="center"/>
                    <w:rPr>
                      <w:rFonts w:hint="eastAsia"/>
                      <w:color w:val="auto"/>
                      <w:lang w:val="en-US" w:eastAsia="zh-CN"/>
                    </w:rPr>
                  </w:pPr>
                  <w:r>
                    <w:rPr>
                      <w:rFonts w:hint="eastAsia"/>
                      <w:color w:val="auto"/>
                      <w:lang w:val="en-US" w:eastAsia="zh-CN"/>
                    </w:rPr>
                    <w:t>施工作业过程</w:t>
                  </w:r>
                </w:p>
              </w:tc>
              <w:tc>
                <w:tcPr>
                  <w:tcW w:w="2389" w:type="pct"/>
                  <w:tcBorders>
                    <w:right w:val="single" w:color="auto" w:sz="12" w:space="0"/>
                    <w:tl2br w:val="nil"/>
                    <w:tr2bl w:val="nil"/>
                  </w:tcBorders>
                  <w:vAlign w:val="center"/>
                </w:tcPr>
                <w:p w14:paraId="16957A28">
                  <w:pPr>
                    <w:pStyle w:val="46"/>
                    <w:bidi w:val="0"/>
                    <w:jc w:val="center"/>
                    <w:rPr>
                      <w:rFonts w:hint="eastAsia"/>
                      <w:color w:val="auto"/>
                      <w:lang w:val="en-US" w:eastAsia="zh-CN"/>
                    </w:rPr>
                  </w:pPr>
                  <w:r>
                    <w:rPr>
                      <w:rFonts w:hint="default"/>
                      <w:color w:val="auto"/>
                      <w:lang w:val="en-US" w:eastAsia="zh-CN"/>
                    </w:rPr>
                    <w:t>SS</w:t>
                  </w:r>
                </w:p>
              </w:tc>
            </w:tr>
            <w:tr w14:paraId="22D26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restart"/>
                  <w:tcBorders>
                    <w:left w:val="single" w:color="auto" w:sz="12" w:space="0"/>
                    <w:tl2br w:val="nil"/>
                    <w:tr2bl w:val="nil"/>
                  </w:tcBorders>
                  <w:vAlign w:val="center"/>
                </w:tcPr>
                <w:p w14:paraId="167C3DDB">
                  <w:pPr>
                    <w:pStyle w:val="46"/>
                    <w:bidi w:val="0"/>
                    <w:ind w:firstLine="0" w:firstLineChars="0"/>
                    <w:jc w:val="center"/>
                    <w:rPr>
                      <w:rFonts w:hint="eastAsia"/>
                      <w:color w:val="auto"/>
                      <w:lang w:val="en-US" w:eastAsia="zh-CN"/>
                    </w:rPr>
                  </w:pPr>
                  <w:r>
                    <w:rPr>
                      <w:rFonts w:hint="eastAsia"/>
                      <w:color w:val="auto"/>
                      <w:lang w:val="en-US" w:eastAsia="zh-CN"/>
                    </w:rPr>
                    <w:t>噪声</w:t>
                  </w:r>
                </w:p>
              </w:tc>
              <w:tc>
                <w:tcPr>
                  <w:tcW w:w="823" w:type="pct"/>
                  <w:tcBorders>
                    <w:tl2br w:val="nil"/>
                    <w:tr2bl w:val="nil"/>
                  </w:tcBorders>
                  <w:vAlign w:val="center"/>
                </w:tcPr>
                <w:p w14:paraId="13030390">
                  <w:pPr>
                    <w:pStyle w:val="46"/>
                    <w:bidi w:val="0"/>
                    <w:jc w:val="center"/>
                    <w:rPr>
                      <w:rFonts w:hint="eastAsia"/>
                      <w:color w:val="auto"/>
                      <w:lang w:val="en-US" w:eastAsia="zh-CN"/>
                    </w:rPr>
                  </w:pPr>
                  <w:r>
                    <w:rPr>
                      <w:rFonts w:hint="eastAsia"/>
                      <w:color w:val="auto"/>
                      <w:lang w:val="en-US" w:eastAsia="zh-CN"/>
                    </w:rPr>
                    <w:t>施工设备</w:t>
                  </w:r>
                </w:p>
              </w:tc>
              <w:tc>
                <w:tcPr>
                  <w:tcW w:w="1140" w:type="pct"/>
                  <w:tcBorders>
                    <w:tl2br w:val="nil"/>
                    <w:tr2bl w:val="nil"/>
                  </w:tcBorders>
                  <w:vAlign w:val="center"/>
                </w:tcPr>
                <w:p w14:paraId="7D3D1983">
                  <w:pPr>
                    <w:pStyle w:val="46"/>
                    <w:bidi w:val="0"/>
                    <w:jc w:val="center"/>
                    <w:rPr>
                      <w:rFonts w:hint="eastAsia"/>
                      <w:color w:val="auto"/>
                      <w:lang w:val="en-US" w:eastAsia="zh-CN"/>
                    </w:rPr>
                  </w:pPr>
                  <w:r>
                    <w:rPr>
                      <w:rFonts w:hint="eastAsia"/>
                      <w:color w:val="auto"/>
                      <w:lang w:val="en-US" w:eastAsia="zh-CN"/>
                    </w:rPr>
                    <w:t>施工设备运行</w:t>
                  </w:r>
                </w:p>
              </w:tc>
              <w:tc>
                <w:tcPr>
                  <w:tcW w:w="2389" w:type="pct"/>
                  <w:tcBorders>
                    <w:right w:val="single" w:color="auto" w:sz="12" w:space="0"/>
                    <w:tl2br w:val="nil"/>
                    <w:tr2bl w:val="nil"/>
                  </w:tcBorders>
                  <w:vAlign w:val="center"/>
                </w:tcPr>
                <w:p w14:paraId="00AE6359">
                  <w:pPr>
                    <w:pStyle w:val="46"/>
                    <w:bidi w:val="0"/>
                    <w:jc w:val="center"/>
                    <w:rPr>
                      <w:rFonts w:hint="eastAsia"/>
                      <w:color w:val="auto"/>
                      <w:lang w:val="en-US" w:eastAsia="zh-CN"/>
                    </w:rPr>
                  </w:pPr>
                  <w:r>
                    <w:rPr>
                      <w:rFonts w:hint="eastAsia"/>
                      <w:color w:val="auto"/>
                      <w:lang w:val="en-US" w:eastAsia="zh-CN"/>
                    </w:rPr>
                    <w:t>机械噪声</w:t>
                  </w:r>
                </w:p>
              </w:tc>
            </w:tr>
            <w:tr w14:paraId="22994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tcBorders>
                    <w:left w:val="single" w:color="auto" w:sz="12" w:space="0"/>
                    <w:tl2br w:val="nil"/>
                    <w:tr2bl w:val="nil"/>
                  </w:tcBorders>
                  <w:vAlign w:val="center"/>
                </w:tcPr>
                <w:p w14:paraId="712E98BC">
                  <w:pPr>
                    <w:pStyle w:val="46"/>
                    <w:bidi w:val="0"/>
                    <w:ind w:firstLine="0" w:firstLineChars="0"/>
                    <w:jc w:val="center"/>
                    <w:rPr>
                      <w:rFonts w:hint="eastAsia"/>
                      <w:color w:val="auto"/>
                      <w:lang w:val="en-US" w:eastAsia="zh-CN"/>
                    </w:rPr>
                  </w:pPr>
                </w:p>
              </w:tc>
              <w:tc>
                <w:tcPr>
                  <w:tcW w:w="823" w:type="pct"/>
                  <w:tcBorders>
                    <w:tl2br w:val="nil"/>
                    <w:tr2bl w:val="nil"/>
                  </w:tcBorders>
                  <w:vAlign w:val="center"/>
                </w:tcPr>
                <w:p w14:paraId="6A0092C2">
                  <w:pPr>
                    <w:pStyle w:val="46"/>
                    <w:bidi w:val="0"/>
                    <w:jc w:val="center"/>
                    <w:rPr>
                      <w:rFonts w:hint="eastAsia"/>
                      <w:color w:val="auto"/>
                      <w:lang w:val="en-US" w:eastAsia="zh-CN"/>
                    </w:rPr>
                  </w:pPr>
                  <w:r>
                    <w:rPr>
                      <w:rFonts w:hint="eastAsia"/>
                      <w:color w:val="auto"/>
                      <w:lang w:val="en-US" w:eastAsia="zh-CN"/>
                    </w:rPr>
                    <w:t>运输车辆</w:t>
                  </w:r>
                </w:p>
              </w:tc>
              <w:tc>
                <w:tcPr>
                  <w:tcW w:w="1140" w:type="pct"/>
                  <w:tcBorders>
                    <w:tl2br w:val="nil"/>
                    <w:tr2bl w:val="nil"/>
                  </w:tcBorders>
                  <w:vAlign w:val="center"/>
                </w:tcPr>
                <w:p w14:paraId="0E30925F">
                  <w:pPr>
                    <w:pStyle w:val="46"/>
                    <w:bidi w:val="0"/>
                    <w:jc w:val="center"/>
                    <w:rPr>
                      <w:rFonts w:hint="eastAsia"/>
                      <w:color w:val="auto"/>
                      <w:lang w:val="en-US" w:eastAsia="zh-CN"/>
                    </w:rPr>
                  </w:pPr>
                  <w:r>
                    <w:rPr>
                      <w:rFonts w:hint="eastAsia"/>
                      <w:color w:val="auto"/>
                      <w:lang w:val="en-US" w:eastAsia="zh-CN"/>
                    </w:rPr>
                    <w:t>运输车辆行驶</w:t>
                  </w:r>
                </w:p>
              </w:tc>
              <w:tc>
                <w:tcPr>
                  <w:tcW w:w="2389" w:type="pct"/>
                  <w:tcBorders>
                    <w:right w:val="single" w:color="auto" w:sz="12" w:space="0"/>
                    <w:tl2br w:val="nil"/>
                    <w:tr2bl w:val="nil"/>
                  </w:tcBorders>
                  <w:vAlign w:val="center"/>
                </w:tcPr>
                <w:p w14:paraId="38DC05D6">
                  <w:pPr>
                    <w:pStyle w:val="46"/>
                    <w:bidi w:val="0"/>
                    <w:jc w:val="center"/>
                    <w:rPr>
                      <w:rFonts w:hint="eastAsia"/>
                      <w:color w:val="auto"/>
                      <w:lang w:val="en-US" w:eastAsia="zh-CN"/>
                    </w:rPr>
                  </w:pPr>
                  <w:r>
                    <w:rPr>
                      <w:rFonts w:hint="eastAsia"/>
                      <w:color w:val="auto"/>
                      <w:lang w:val="en-US" w:eastAsia="zh-CN"/>
                    </w:rPr>
                    <w:t>交通噪声</w:t>
                  </w:r>
                </w:p>
              </w:tc>
            </w:tr>
            <w:tr w14:paraId="654E4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tcBorders>
                    <w:left w:val="single" w:color="auto" w:sz="12" w:space="0"/>
                    <w:tl2br w:val="nil"/>
                    <w:tr2bl w:val="nil"/>
                  </w:tcBorders>
                  <w:vAlign w:val="center"/>
                </w:tcPr>
                <w:p w14:paraId="7D8898DB">
                  <w:pPr>
                    <w:pStyle w:val="46"/>
                    <w:bidi w:val="0"/>
                    <w:ind w:firstLine="0" w:firstLineChars="0"/>
                    <w:jc w:val="center"/>
                    <w:rPr>
                      <w:rFonts w:hint="eastAsia"/>
                      <w:color w:val="auto"/>
                      <w:lang w:val="en-US" w:eastAsia="zh-CN"/>
                    </w:rPr>
                  </w:pPr>
                </w:p>
              </w:tc>
              <w:tc>
                <w:tcPr>
                  <w:tcW w:w="823" w:type="pct"/>
                  <w:tcBorders>
                    <w:tl2br w:val="nil"/>
                    <w:tr2bl w:val="nil"/>
                  </w:tcBorders>
                  <w:vAlign w:val="center"/>
                </w:tcPr>
                <w:p w14:paraId="2A25B033">
                  <w:pPr>
                    <w:pStyle w:val="46"/>
                    <w:bidi w:val="0"/>
                    <w:jc w:val="center"/>
                    <w:rPr>
                      <w:rFonts w:hint="eastAsia"/>
                      <w:color w:val="auto"/>
                      <w:lang w:val="en-US" w:eastAsia="zh-CN"/>
                    </w:rPr>
                  </w:pPr>
                  <w:r>
                    <w:rPr>
                      <w:rFonts w:hint="eastAsia"/>
                      <w:color w:val="auto"/>
                      <w:lang w:val="en-US" w:eastAsia="zh-CN"/>
                    </w:rPr>
                    <w:t>施工人员</w:t>
                  </w:r>
                </w:p>
              </w:tc>
              <w:tc>
                <w:tcPr>
                  <w:tcW w:w="1140" w:type="pct"/>
                  <w:tcBorders>
                    <w:tl2br w:val="nil"/>
                    <w:tr2bl w:val="nil"/>
                  </w:tcBorders>
                  <w:vAlign w:val="center"/>
                </w:tcPr>
                <w:p w14:paraId="218A1BCB">
                  <w:pPr>
                    <w:pStyle w:val="46"/>
                    <w:bidi w:val="0"/>
                    <w:jc w:val="center"/>
                    <w:rPr>
                      <w:rFonts w:hint="eastAsia"/>
                      <w:color w:val="auto"/>
                      <w:lang w:val="en-US" w:eastAsia="zh-CN"/>
                    </w:rPr>
                  </w:pPr>
                  <w:r>
                    <w:rPr>
                      <w:rFonts w:hint="eastAsia"/>
                      <w:color w:val="auto"/>
                      <w:lang w:val="en-US" w:eastAsia="zh-CN"/>
                    </w:rPr>
                    <w:t>人员施工、生活</w:t>
                  </w:r>
                </w:p>
              </w:tc>
              <w:tc>
                <w:tcPr>
                  <w:tcW w:w="2389" w:type="pct"/>
                  <w:tcBorders>
                    <w:right w:val="single" w:color="auto" w:sz="12" w:space="0"/>
                    <w:tl2br w:val="nil"/>
                    <w:tr2bl w:val="nil"/>
                  </w:tcBorders>
                  <w:vAlign w:val="center"/>
                </w:tcPr>
                <w:p w14:paraId="00865171">
                  <w:pPr>
                    <w:pStyle w:val="46"/>
                    <w:bidi w:val="0"/>
                    <w:jc w:val="center"/>
                    <w:rPr>
                      <w:rFonts w:hint="eastAsia"/>
                      <w:color w:val="auto"/>
                      <w:lang w:val="en-US" w:eastAsia="zh-CN"/>
                    </w:rPr>
                  </w:pPr>
                  <w:r>
                    <w:rPr>
                      <w:rFonts w:hint="eastAsia"/>
                      <w:color w:val="auto"/>
                      <w:lang w:val="en-US" w:eastAsia="zh-CN"/>
                    </w:rPr>
                    <w:t>生活噪声</w:t>
                  </w:r>
                </w:p>
              </w:tc>
            </w:tr>
            <w:tr w14:paraId="6C9F6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restart"/>
                  <w:tcBorders>
                    <w:left w:val="single" w:color="auto" w:sz="12" w:space="0"/>
                    <w:tl2br w:val="nil"/>
                    <w:tr2bl w:val="nil"/>
                  </w:tcBorders>
                  <w:vAlign w:val="center"/>
                </w:tcPr>
                <w:p w14:paraId="03DD3CE5">
                  <w:pPr>
                    <w:pStyle w:val="46"/>
                    <w:bidi w:val="0"/>
                    <w:ind w:firstLine="0" w:firstLineChars="0"/>
                    <w:jc w:val="center"/>
                    <w:rPr>
                      <w:rFonts w:hint="eastAsia"/>
                      <w:color w:val="auto"/>
                      <w:lang w:val="en-US" w:eastAsia="zh-CN"/>
                    </w:rPr>
                  </w:pPr>
                  <w:r>
                    <w:rPr>
                      <w:rFonts w:hint="eastAsia"/>
                      <w:color w:val="auto"/>
                      <w:lang w:val="en-US" w:eastAsia="zh-CN"/>
                    </w:rPr>
                    <w:t>固体废物</w:t>
                  </w:r>
                </w:p>
              </w:tc>
              <w:tc>
                <w:tcPr>
                  <w:tcW w:w="823" w:type="pct"/>
                  <w:tcBorders>
                    <w:tl2br w:val="nil"/>
                    <w:tr2bl w:val="nil"/>
                  </w:tcBorders>
                  <w:vAlign w:val="center"/>
                </w:tcPr>
                <w:p w14:paraId="05A35B24">
                  <w:pPr>
                    <w:pStyle w:val="46"/>
                    <w:bidi w:val="0"/>
                    <w:jc w:val="center"/>
                    <w:rPr>
                      <w:rFonts w:hint="eastAsia"/>
                      <w:color w:val="auto"/>
                      <w:lang w:val="en-US" w:eastAsia="zh-CN"/>
                    </w:rPr>
                  </w:pPr>
                  <w:r>
                    <w:rPr>
                      <w:rFonts w:hint="eastAsia"/>
                      <w:color w:val="auto"/>
                      <w:lang w:val="en-US" w:eastAsia="zh-CN"/>
                    </w:rPr>
                    <w:t>建筑垃圾</w:t>
                  </w:r>
                </w:p>
              </w:tc>
              <w:tc>
                <w:tcPr>
                  <w:tcW w:w="1140" w:type="pct"/>
                  <w:tcBorders>
                    <w:tl2br w:val="nil"/>
                    <w:tr2bl w:val="nil"/>
                  </w:tcBorders>
                  <w:vAlign w:val="center"/>
                </w:tcPr>
                <w:p w14:paraId="7FD8DB93">
                  <w:pPr>
                    <w:pStyle w:val="46"/>
                    <w:bidi w:val="0"/>
                    <w:jc w:val="center"/>
                    <w:rPr>
                      <w:rFonts w:hint="eastAsia"/>
                      <w:color w:val="auto"/>
                      <w:lang w:val="en-US" w:eastAsia="zh-CN"/>
                    </w:rPr>
                  </w:pPr>
                  <w:r>
                    <w:rPr>
                      <w:rFonts w:hint="eastAsia"/>
                      <w:color w:val="auto"/>
                      <w:lang w:val="en-US" w:eastAsia="zh-CN"/>
                    </w:rPr>
                    <w:t>施工过程</w:t>
                  </w:r>
                </w:p>
              </w:tc>
              <w:tc>
                <w:tcPr>
                  <w:tcW w:w="2389" w:type="pct"/>
                  <w:tcBorders>
                    <w:right w:val="single" w:color="auto" w:sz="12" w:space="0"/>
                    <w:tl2br w:val="nil"/>
                    <w:tr2bl w:val="nil"/>
                  </w:tcBorders>
                  <w:vAlign w:val="center"/>
                </w:tcPr>
                <w:p w14:paraId="1E939D5C">
                  <w:pPr>
                    <w:pStyle w:val="46"/>
                    <w:bidi w:val="0"/>
                    <w:jc w:val="center"/>
                    <w:rPr>
                      <w:rFonts w:hint="eastAsia"/>
                      <w:color w:val="auto"/>
                      <w:lang w:val="en-US" w:eastAsia="zh-CN"/>
                    </w:rPr>
                  </w:pPr>
                  <w:r>
                    <w:rPr>
                      <w:rFonts w:hint="eastAsia"/>
                      <w:color w:val="auto"/>
                      <w:lang w:val="en-US" w:eastAsia="zh-CN"/>
                    </w:rPr>
                    <w:t>土石方、建材等建筑垃圾</w:t>
                  </w:r>
                </w:p>
              </w:tc>
            </w:tr>
            <w:tr w14:paraId="0DE6A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tcBorders>
                    <w:left w:val="single" w:color="auto" w:sz="12" w:space="0"/>
                    <w:bottom w:val="single" w:color="auto" w:sz="12" w:space="0"/>
                    <w:tl2br w:val="nil"/>
                    <w:tr2bl w:val="nil"/>
                  </w:tcBorders>
                  <w:vAlign w:val="center"/>
                </w:tcPr>
                <w:p w14:paraId="18A4C3D6">
                  <w:pPr>
                    <w:pStyle w:val="46"/>
                    <w:bidi w:val="0"/>
                    <w:jc w:val="center"/>
                    <w:rPr>
                      <w:rFonts w:hint="eastAsia"/>
                      <w:color w:val="auto"/>
                      <w:lang w:val="en-US" w:eastAsia="zh-CN"/>
                    </w:rPr>
                  </w:pPr>
                </w:p>
              </w:tc>
              <w:tc>
                <w:tcPr>
                  <w:tcW w:w="823" w:type="pct"/>
                  <w:tcBorders>
                    <w:bottom w:val="single" w:color="auto" w:sz="12" w:space="0"/>
                    <w:tl2br w:val="nil"/>
                    <w:tr2bl w:val="nil"/>
                  </w:tcBorders>
                  <w:vAlign w:val="center"/>
                </w:tcPr>
                <w:p w14:paraId="0E92D03B">
                  <w:pPr>
                    <w:pStyle w:val="46"/>
                    <w:bidi w:val="0"/>
                    <w:jc w:val="center"/>
                    <w:rPr>
                      <w:rFonts w:hint="eastAsia"/>
                      <w:color w:val="auto"/>
                      <w:lang w:val="en-US" w:eastAsia="zh-CN"/>
                    </w:rPr>
                  </w:pPr>
                  <w:r>
                    <w:rPr>
                      <w:rFonts w:hint="eastAsia"/>
                      <w:color w:val="auto"/>
                      <w:lang w:val="en-US" w:eastAsia="zh-CN"/>
                    </w:rPr>
                    <w:t>生活固废</w:t>
                  </w:r>
                </w:p>
              </w:tc>
              <w:tc>
                <w:tcPr>
                  <w:tcW w:w="1140" w:type="pct"/>
                  <w:tcBorders>
                    <w:bottom w:val="single" w:color="auto" w:sz="12" w:space="0"/>
                    <w:tl2br w:val="nil"/>
                    <w:tr2bl w:val="nil"/>
                  </w:tcBorders>
                  <w:vAlign w:val="center"/>
                </w:tcPr>
                <w:p w14:paraId="69FA06C3">
                  <w:pPr>
                    <w:pStyle w:val="46"/>
                    <w:bidi w:val="0"/>
                    <w:jc w:val="center"/>
                    <w:rPr>
                      <w:rFonts w:hint="eastAsia"/>
                      <w:color w:val="auto"/>
                      <w:lang w:val="en-US" w:eastAsia="zh-CN"/>
                    </w:rPr>
                  </w:pPr>
                  <w:r>
                    <w:rPr>
                      <w:rFonts w:hint="eastAsia"/>
                      <w:color w:val="auto"/>
                      <w:lang w:val="en-US" w:eastAsia="zh-CN"/>
                    </w:rPr>
                    <w:t>施工人员生活</w:t>
                  </w:r>
                </w:p>
              </w:tc>
              <w:tc>
                <w:tcPr>
                  <w:tcW w:w="2389" w:type="pct"/>
                  <w:tcBorders>
                    <w:bottom w:val="single" w:color="auto" w:sz="12" w:space="0"/>
                    <w:right w:val="single" w:color="auto" w:sz="12" w:space="0"/>
                    <w:tl2br w:val="nil"/>
                    <w:tr2bl w:val="nil"/>
                  </w:tcBorders>
                  <w:vAlign w:val="center"/>
                </w:tcPr>
                <w:p w14:paraId="77E1C350">
                  <w:pPr>
                    <w:pStyle w:val="46"/>
                    <w:bidi w:val="0"/>
                    <w:jc w:val="center"/>
                    <w:rPr>
                      <w:rFonts w:hint="eastAsia"/>
                      <w:color w:val="auto"/>
                      <w:lang w:val="en-US" w:eastAsia="zh-CN"/>
                    </w:rPr>
                  </w:pPr>
                  <w:r>
                    <w:rPr>
                      <w:rFonts w:hint="eastAsia"/>
                      <w:color w:val="auto"/>
                      <w:lang w:val="en-US" w:eastAsia="zh-CN"/>
                    </w:rPr>
                    <w:t>生活垃圾</w:t>
                  </w:r>
                </w:p>
              </w:tc>
            </w:tr>
          </w:tbl>
          <w:p w14:paraId="477DD086">
            <w:pPr>
              <w:pStyle w:val="3"/>
              <w:keepNext/>
              <w:keepLines/>
              <w:pageBreakBefore w:val="0"/>
              <w:widowControl w:val="0"/>
              <w:kinsoku/>
              <w:wordWrap/>
              <w:overflowPunct/>
              <w:topLinePunct w:val="0"/>
              <w:autoSpaceDE/>
              <w:autoSpaceDN/>
              <w:bidi w:val="0"/>
              <w:adjustRightInd/>
              <w:snapToGrid/>
              <w:spacing w:before="0" w:after="0" w:line="480" w:lineRule="exact"/>
              <w:jc w:val="both"/>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2、运营期</w:t>
            </w:r>
            <w:r>
              <w:rPr>
                <w:rFonts w:hint="default" w:ascii="Times New Roman" w:hAnsi="Times New Roman" w:eastAsia="宋体" w:cs="Times New Roman"/>
                <w:color w:val="auto"/>
                <w:sz w:val="28"/>
                <w:szCs w:val="28"/>
              </w:rPr>
              <w:t>工艺流程简述</w:t>
            </w:r>
          </w:p>
          <w:p w14:paraId="4B5C6CFE">
            <w:pPr>
              <w:pageBreakBefore w:val="0"/>
              <w:widowControl w:val="0"/>
              <w:kinsoku/>
              <w:wordWrap/>
              <w:topLinePunct w:val="0"/>
              <w:bidi w:val="0"/>
              <w:spacing w:line="480" w:lineRule="exact"/>
              <w:ind w:firstLine="482" w:firstLineChars="200"/>
              <w:jc w:val="both"/>
              <w:textAlignment w:val="auto"/>
              <w:rPr>
                <w:rFonts w:hint="default"/>
                <w:b/>
                <w:bCs/>
                <w:color w:val="auto"/>
                <w:lang w:val="en-US" w:eastAsia="zh-CN"/>
              </w:rPr>
            </w:pPr>
            <w:r>
              <w:rPr>
                <w:rFonts w:hint="eastAsia"/>
                <w:b/>
                <w:bCs/>
                <w:color w:val="auto"/>
                <w:lang w:val="en-US" w:eastAsia="zh-CN"/>
              </w:rPr>
              <w:t>2.1葡萄果汁工艺流程</w:t>
            </w:r>
          </w:p>
          <w:p w14:paraId="107EC56F">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（1）原料果池：原料经汽运进场，验收合格后原料果品存放于原料果池。</w:t>
            </w:r>
          </w:p>
          <w:p w14:paraId="138C96EA">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2）输送清洗：将原料果用高压水流冲入输果道，在输送过程中通过原料果品间的摩擦、原料果品与果道间的摩擦以及水的流动作用，达到清洗目的，去除粘附在原料果品上的泥土、杂质、沙粒等。清洗水循环使用，定期更换。</w:t>
            </w:r>
          </w:p>
          <w:p w14:paraId="747BC55E">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3</w:t>
            </w:r>
            <w:r>
              <w:rPr>
                <w:rFonts w:hint="eastAsia"/>
                <w:color w:val="auto"/>
              </w:rPr>
              <w:t>）挑选：在挑选台上随着果品的滚动将一些腐败的果品及腐败部分通过人工挑选出来，挑选出的烂果及时清运出厂。</w:t>
            </w:r>
          </w:p>
          <w:p w14:paraId="3DB51FB7">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4</w:t>
            </w:r>
            <w:r>
              <w:rPr>
                <w:rFonts w:hint="eastAsia"/>
                <w:color w:val="auto"/>
              </w:rPr>
              <w:t>）洗果去核：经过拣选后的果品进入洗果机，在洗果机上通过鼓泡及水流喷淋进行果品的清洗，经清洗后带核果品（桃等）进入去核机进行去核，去核后的果核在洗核机上进行清洗，去掉果核上残余的果肉或汁液。</w:t>
            </w:r>
          </w:p>
          <w:p w14:paraId="3BF140EA">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5</w:t>
            </w:r>
            <w:r>
              <w:rPr>
                <w:rFonts w:hint="eastAsia"/>
                <w:color w:val="auto"/>
              </w:rPr>
              <w:t>）破碎：榨汁前将清洗干净的原料果通过破碎机进行破碎，原料果经破碎后有螺杆泵通过不锈钢管道输入榨汁机内。</w:t>
            </w:r>
          </w:p>
          <w:p w14:paraId="5F41FD4C">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6</w:t>
            </w:r>
            <w:r>
              <w:rPr>
                <w:rFonts w:hint="eastAsia"/>
                <w:color w:val="auto"/>
              </w:rPr>
              <w:t>）压榨：果浆通过榨汁机的挤压分成果汁和果渣，压榨过程中果浆果浆分布尽可能均匀，经一次压榨后进入果浆浸提罐。如需要一次压榨后的果渣可加等量膜水浸润后再进行二次压榨，可提高果汁出汁率。果汁由收集管道流入浊汁罐，果渣从压榨机的顶部经卧式螺旋输送机排出机外落入果渣收集容器中，由输送机输送到果渣车间烘干，干果渣做为副产品外售。</w:t>
            </w:r>
          </w:p>
          <w:p w14:paraId="397B31CF">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7</w:t>
            </w:r>
            <w:r>
              <w:rPr>
                <w:rFonts w:hint="eastAsia"/>
                <w:color w:val="auto"/>
              </w:rPr>
              <w:t>）巴氏杀菌：果汁经破碎压榨后暴露在空气中，会受到一定的细菌感染，果汁经巴氏进料泵进入巴氏杀菌机，杀死果汁中的致病菌、产毒菌、腐败菌，并破坏果汁中的酶使果汁在储藏期内不变质，杀菌温度控制在 95℃，杀菌后立即降温至 49~55℃，以方便下一步进行酶解。</w:t>
            </w:r>
          </w:p>
          <w:p w14:paraId="270A0CD5">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8</w:t>
            </w:r>
            <w:r>
              <w:rPr>
                <w:rFonts w:hint="eastAsia"/>
                <w:color w:val="auto"/>
              </w:rPr>
              <w:t>）酶解澄清：经杀菌后果汁经泵输送进入酶解罐，加淀粉酶和果胶酶进行酶降解。</w:t>
            </w:r>
          </w:p>
          <w:p w14:paraId="3A3D7C91">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9</w:t>
            </w:r>
            <w:r>
              <w:rPr>
                <w:rFonts w:hint="eastAsia"/>
                <w:color w:val="auto"/>
              </w:rPr>
              <w:t>）超滤：经酶解后果汁直接进入超滤罐，超滤膜可以截留去除压榨果汁中多数大分子物质，使糖类、有机酸和水等小分子成分透过膜得到水果清汁，超滤渣进入污水处理进行压泥作为固废排放。</w:t>
            </w:r>
          </w:p>
          <w:p w14:paraId="35A3757A">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（1</w:t>
            </w:r>
            <w:r>
              <w:rPr>
                <w:rFonts w:hint="eastAsia"/>
                <w:color w:val="auto"/>
                <w:lang w:val="en-US" w:eastAsia="zh-CN"/>
              </w:rPr>
              <w:t>0</w:t>
            </w:r>
            <w:r>
              <w:rPr>
                <w:rFonts w:hint="eastAsia"/>
                <w:color w:val="auto"/>
              </w:rPr>
              <w:t>）树脂吸附：经超滤后水果清汁进入树脂罐，经过树脂的吸附作用吸附色度等。</w:t>
            </w:r>
          </w:p>
          <w:p w14:paraId="5FECC14F">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（1</w:t>
            </w:r>
            <w:r>
              <w:rPr>
                <w:rFonts w:hint="eastAsia"/>
                <w:color w:val="auto"/>
                <w:lang w:val="en-US" w:eastAsia="zh-CN"/>
              </w:rPr>
              <w:t>1</w:t>
            </w:r>
            <w:r>
              <w:rPr>
                <w:rFonts w:hint="eastAsia"/>
                <w:color w:val="auto"/>
              </w:rPr>
              <w:t>）蒸发浓缩：原果汁的含水量通常在 80%-85%以上，需要经过浓缩，使水分从水果原汁中分离出来，提高果汁的化学稳定性，便于储存和运输。本项目采用蒸发器蒸发浓缩；蒸发器所需热源由管道蒸汽提供，蒸发浓缩工序使果汁的可溶性固形物达到70Brix以上。此过程产生约4倍以上的浓缩原汁的蒸发浓缩冷凝水，蒸发产生的冷凝水回用于设备和原料清洗等工序。</w:t>
            </w:r>
          </w:p>
          <w:p w14:paraId="55C90AE9">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（1</w:t>
            </w:r>
            <w:r>
              <w:rPr>
                <w:rFonts w:hint="eastAsia"/>
                <w:color w:val="auto"/>
                <w:lang w:val="en-US" w:eastAsia="zh-CN"/>
              </w:rPr>
              <w:t>2</w:t>
            </w:r>
            <w:r>
              <w:rPr>
                <w:rFonts w:hint="eastAsia"/>
                <w:color w:val="auto"/>
              </w:rPr>
              <w:t>）无菌灌装：无菌袋及灌装机口经高温灭菌后进行无菌灌装，罐装后的成品直接入库。</w:t>
            </w:r>
          </w:p>
          <w:p w14:paraId="07005F91">
            <w:pPr>
              <w:pageBreakBefore w:val="0"/>
              <w:widowControl w:val="0"/>
              <w:kinsoku/>
              <w:wordWrap/>
              <w:topLinePunct w:val="0"/>
              <w:bidi w:val="0"/>
              <w:spacing w:line="480" w:lineRule="exact"/>
              <w:ind w:firstLine="480" w:firstLineChars="200"/>
              <w:jc w:val="both"/>
              <w:textAlignment w:val="auto"/>
              <w:rPr>
                <w:rFonts w:hint="eastAsia"/>
                <w:color w:val="auto"/>
                <w:lang w:val="en-US" w:eastAsia="zh-CN"/>
              </w:rPr>
            </w:pPr>
            <w:r>
              <w:rPr>
                <w:rFonts w:hint="eastAsia"/>
                <w:color w:val="auto"/>
              </w:rPr>
              <w:t>（1</w:t>
            </w:r>
            <w:r>
              <w:rPr>
                <w:rFonts w:hint="eastAsia"/>
                <w:color w:val="auto"/>
                <w:lang w:val="en-US" w:eastAsia="zh-CN"/>
              </w:rPr>
              <w:t>3</w:t>
            </w:r>
            <w:r>
              <w:rPr>
                <w:rFonts w:hint="eastAsia"/>
                <w:color w:val="auto"/>
              </w:rPr>
              <w:t>）冷库贮存：项目成品浓缩果汁经无菌灌装机包装后进入冷库储存，温度控制在5℃。</w:t>
            </w:r>
          </w:p>
          <w:p w14:paraId="2BB29E49">
            <w:pPr>
              <w:pStyle w:val="44"/>
              <w:bidi w:val="0"/>
              <w:rPr>
                <w:rFonts w:hint="default"/>
                <w:color w:val="auto"/>
                <w:sz w:val="21"/>
                <w:szCs w:val="21"/>
                <w:lang w:val="en-US" w:eastAsia="zh-CN"/>
              </w:rPr>
            </w:pPr>
            <w:r>
              <w:rPr>
                <w:color w:val="auto"/>
                <w:sz w:val="21"/>
                <w:szCs w:val="21"/>
              </w:rPr>
              <w:drawing>
                <wp:anchor distT="0" distB="0" distL="114300" distR="114300" simplePos="0" relativeHeight="251668480" behindDoc="0" locked="0" layoutInCell="1" allowOverlap="1">
                  <wp:simplePos x="0" y="0"/>
                  <wp:positionH relativeFrom="column">
                    <wp:posOffset>8255</wp:posOffset>
                  </wp:positionH>
                  <wp:positionV relativeFrom="paragraph">
                    <wp:posOffset>33020</wp:posOffset>
                  </wp:positionV>
                  <wp:extent cx="5172075" cy="2200910"/>
                  <wp:effectExtent l="0" t="0" r="0" b="0"/>
                  <wp:wrapTopAndBottom/>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rcRect t="659"/>
                          <a:stretch>
                            <a:fillRect/>
                          </a:stretch>
                        </pic:blipFill>
                        <pic:spPr>
                          <a:xfrm>
                            <a:off x="0" y="0"/>
                            <a:ext cx="5172075" cy="2200910"/>
                          </a:xfrm>
                          <a:prstGeom prst="rect">
                            <a:avLst/>
                          </a:prstGeom>
                          <a:noFill/>
                          <a:ln>
                            <a:noFill/>
                          </a:ln>
                        </pic:spPr>
                      </pic:pic>
                    </a:graphicData>
                  </a:graphic>
                </wp:anchor>
              </w:drawing>
            </w:r>
            <w:r>
              <w:rPr>
                <w:rFonts w:hint="eastAsia"/>
                <w:color w:val="auto"/>
                <w:sz w:val="21"/>
                <w:szCs w:val="21"/>
                <w:lang w:val="en-US" w:eastAsia="zh-CN"/>
              </w:rPr>
              <w:t>图2.9-1 葡萄汁加工工艺流程图及产污环节分析图</w:t>
            </w:r>
          </w:p>
          <w:p w14:paraId="26D53B4D">
            <w:pPr>
              <w:pageBreakBefore w:val="0"/>
              <w:widowControl w:val="0"/>
              <w:kinsoku/>
              <w:wordWrap/>
              <w:topLinePunct w:val="0"/>
              <w:bidi w:val="0"/>
              <w:spacing w:line="480" w:lineRule="exact"/>
              <w:ind w:firstLine="482" w:firstLineChars="200"/>
              <w:jc w:val="both"/>
              <w:textAlignment w:val="auto"/>
              <w:rPr>
                <w:rFonts w:hint="default"/>
                <w:b/>
                <w:bCs/>
                <w:color w:val="auto"/>
                <w:lang w:val="en-US" w:eastAsia="zh-CN"/>
              </w:rPr>
            </w:pPr>
            <w:r>
              <w:rPr>
                <w:rFonts w:hint="eastAsia"/>
                <w:b/>
                <w:bCs/>
                <w:color w:val="auto"/>
                <w:lang w:val="en-US" w:eastAsia="zh-CN"/>
              </w:rPr>
              <w:t>2.2葡萄果糖工艺流程</w:t>
            </w:r>
          </w:p>
          <w:p w14:paraId="3D4D9017">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（1）原料果池：原料经汽运进场，验收合格后原料果品存放于原料果池。</w:t>
            </w:r>
          </w:p>
          <w:p w14:paraId="053DF2B0">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2）输送清洗：将原料果用高压水流冲入输果道，在输送过程中通过原料果品间的摩擦、原料果品与果道间的摩擦以及水的流动作用，达到清洗目的，去除粘附在原料果品上的泥土、杂质、沙粒等。清洗水循环使用，定期更换。</w:t>
            </w:r>
          </w:p>
          <w:p w14:paraId="4FF941BD">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3</w:t>
            </w:r>
            <w:r>
              <w:rPr>
                <w:rFonts w:hint="eastAsia"/>
                <w:color w:val="auto"/>
              </w:rPr>
              <w:t>）挑选：在挑选台上随着果品的滚动将一些腐败的果品及腐败部分通过人工挑选出来，挑选出的烂果及时清运出厂。</w:t>
            </w:r>
          </w:p>
          <w:p w14:paraId="2DDD3319">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4</w:t>
            </w:r>
            <w:r>
              <w:rPr>
                <w:rFonts w:hint="eastAsia"/>
                <w:color w:val="auto"/>
              </w:rPr>
              <w:t>）洗果去核：经过拣选后的果品进入洗果机，在洗果机上通过鼓泡及水流喷淋进行果品的清洗，经清洗后带核果品（桃等）进入去核机进行去核，去核后的果核在洗核机上进行清洗，去掉果核上残余的果肉或汁液。</w:t>
            </w:r>
          </w:p>
          <w:p w14:paraId="156604E7">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5</w:t>
            </w:r>
            <w:r>
              <w:rPr>
                <w:rFonts w:hint="eastAsia"/>
                <w:color w:val="auto"/>
              </w:rPr>
              <w:t>）破碎：榨汁前将清洗干净的原料果通过破碎机进行破碎，原料果经破碎后有螺杆泵通过不锈钢管道输入榨汁机内。</w:t>
            </w:r>
          </w:p>
          <w:p w14:paraId="4311FAB4">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6</w:t>
            </w:r>
            <w:r>
              <w:rPr>
                <w:rFonts w:hint="eastAsia"/>
                <w:color w:val="auto"/>
              </w:rPr>
              <w:t>）压榨：果浆通过榨汁机的挤压分成果汁和果渣，压榨过程中果浆果浆分布尽可能均匀，经一次压榨后进入果浆浸提罐。苹果成熟初期，如需要一次压榨后的果渣可加等量膜水浸润后再进行二次压榨，可提高果汁出汁率。果汁由收集管道流入浊汁罐，果渣从压榨机的顶部经卧式螺旋输送机排出机外落入果渣收集容器中，由输送机输送到果渣车间烘干，干果渣做为副产品外售。</w:t>
            </w:r>
          </w:p>
          <w:p w14:paraId="14E2358E">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7</w:t>
            </w:r>
            <w:r>
              <w:rPr>
                <w:rFonts w:hint="eastAsia"/>
                <w:color w:val="auto"/>
              </w:rPr>
              <w:t>）巴氏杀菌：果汁经破碎压榨后暴露在空气中，会受到一定的细菌感染，果汁经巴氏进料泵进入巴氏杀菌机，杀死果汁中的致病菌、产毒菌、腐败菌，并破坏果汁中的酶使果汁在储藏期内不变质，杀菌温度控制在 95℃，杀菌后立即降温至 49~55℃，以方便下一步进行酶解。</w:t>
            </w:r>
          </w:p>
          <w:p w14:paraId="03094910">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8</w:t>
            </w:r>
            <w:r>
              <w:rPr>
                <w:rFonts w:hint="eastAsia"/>
                <w:color w:val="auto"/>
              </w:rPr>
              <w:t>）酶解澄清：经杀菌后果汁经泵输送进入酶解罐，加淀粉酶和果胶酶进行酶降解。</w:t>
            </w:r>
          </w:p>
          <w:p w14:paraId="4F36068F">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9</w:t>
            </w:r>
            <w:r>
              <w:rPr>
                <w:rFonts w:hint="eastAsia"/>
                <w:color w:val="auto"/>
              </w:rPr>
              <w:t>）超滤：经酶解后果汁直接进入超滤罐，超滤膜可以截留去除压榨果汁中多数大分子物质，使糖类、有机酸和水等小分子成分透过膜得到水果清汁，超滤渣进入污水处理进行压泥作为固废排放。</w:t>
            </w:r>
          </w:p>
          <w:p w14:paraId="12E467DC">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10</w:t>
            </w:r>
            <w:r>
              <w:rPr>
                <w:rFonts w:hint="eastAsia"/>
                <w:color w:val="auto"/>
              </w:rPr>
              <w:t>）</w:t>
            </w:r>
            <w:r>
              <w:rPr>
                <w:rFonts w:hint="eastAsia"/>
                <w:color w:val="auto"/>
                <w:lang w:val="en-US" w:eastAsia="zh-CN"/>
              </w:rPr>
              <w:t>膜浓缩</w:t>
            </w:r>
            <w:r>
              <w:rPr>
                <w:rFonts w:hint="eastAsia"/>
                <w:color w:val="auto"/>
              </w:rPr>
              <w:t>：原果汁的含水量通常在 80%-85%以上，需要经过浓缩，使水分从水果原汁中分离出来，提高果汁的化学稳定性，便于储存和运输。本项目采用膜浓缩</w:t>
            </w:r>
            <w:r>
              <w:rPr>
                <w:rFonts w:hint="eastAsia"/>
                <w:color w:val="auto"/>
                <w:lang w:eastAsia="zh-CN"/>
              </w:rPr>
              <w:t>，</w:t>
            </w:r>
            <w:r>
              <w:rPr>
                <w:rFonts w:hint="eastAsia"/>
                <w:color w:val="auto"/>
              </w:rPr>
              <w:t>高压的方式分离出一部分水分</w:t>
            </w:r>
            <w:r>
              <w:rPr>
                <w:rFonts w:hint="eastAsia"/>
                <w:color w:val="auto"/>
                <w:lang w:eastAsia="zh-CN"/>
              </w:rPr>
              <w:t>，</w:t>
            </w:r>
            <w:r>
              <w:rPr>
                <w:rFonts w:hint="eastAsia"/>
                <w:color w:val="auto"/>
                <w:lang w:val="en-US" w:eastAsia="zh-CN"/>
              </w:rPr>
              <w:t>该部分</w:t>
            </w:r>
            <w:r>
              <w:rPr>
                <w:rFonts w:hint="eastAsia"/>
                <w:color w:val="auto"/>
              </w:rPr>
              <w:t>回用于设备和原料清洗等工序。</w:t>
            </w:r>
          </w:p>
          <w:p w14:paraId="20D8B89E">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w:t>
            </w:r>
            <w:r>
              <w:rPr>
                <w:rFonts w:hint="eastAsia"/>
                <w:color w:val="auto"/>
                <w:lang w:val="en-US" w:eastAsia="zh-CN"/>
              </w:rPr>
              <w:t>11</w:t>
            </w:r>
            <w:r>
              <w:rPr>
                <w:rFonts w:hint="eastAsia"/>
                <w:color w:val="auto"/>
              </w:rPr>
              <w:t>）树脂吸附：经超滤后水果清汁进入树脂罐，经过树脂的吸附作用吸附色度等。</w:t>
            </w:r>
          </w:p>
          <w:p w14:paraId="4820C56F">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（1</w:t>
            </w:r>
            <w:r>
              <w:rPr>
                <w:rFonts w:hint="eastAsia"/>
                <w:color w:val="auto"/>
                <w:lang w:val="en-US" w:eastAsia="zh-CN"/>
              </w:rPr>
              <w:t>2</w:t>
            </w:r>
            <w:r>
              <w:rPr>
                <w:rFonts w:hint="eastAsia"/>
                <w:color w:val="auto"/>
              </w:rPr>
              <w:t>）蒸发浓缩：</w:t>
            </w:r>
            <w:r>
              <w:rPr>
                <w:rFonts w:hint="eastAsia"/>
                <w:color w:val="auto"/>
                <w:lang w:val="en-US" w:eastAsia="zh-CN"/>
              </w:rPr>
              <w:t>为了进一步降低含水率，</w:t>
            </w:r>
            <w:r>
              <w:rPr>
                <w:rFonts w:hint="eastAsia"/>
                <w:color w:val="auto"/>
              </w:rPr>
              <w:t>本项目采用蒸发器蒸发浓缩，蒸发器所需热源由管道蒸汽提供，蒸发浓缩工序使果汁的可溶性固形物达到 70Brix以上。此过程产生约4倍以上的浓缩原汁的蒸发浓缩冷凝水，蒸发产生的冷凝水回用于设备和原料清洗等工序。</w:t>
            </w:r>
          </w:p>
          <w:p w14:paraId="5B8691E0">
            <w:pPr>
              <w:pageBreakBefore w:val="0"/>
              <w:widowControl w:val="0"/>
              <w:kinsoku/>
              <w:wordWrap/>
              <w:topLinePunct w:val="0"/>
              <w:bidi w:val="0"/>
              <w:spacing w:line="480" w:lineRule="exact"/>
              <w:ind w:firstLine="480" w:firstLineChars="200"/>
              <w:jc w:val="both"/>
              <w:textAlignment w:val="auto"/>
              <w:rPr>
                <w:rFonts w:hint="eastAsia"/>
                <w:color w:val="auto"/>
              </w:rPr>
            </w:pPr>
            <w:r>
              <w:rPr>
                <w:rFonts w:hint="eastAsia"/>
                <w:color w:val="auto"/>
              </w:rPr>
              <w:t>（1</w:t>
            </w:r>
            <w:r>
              <w:rPr>
                <w:rFonts w:hint="eastAsia"/>
                <w:color w:val="auto"/>
                <w:lang w:val="en-US" w:eastAsia="zh-CN"/>
              </w:rPr>
              <w:t>3</w:t>
            </w:r>
            <w:r>
              <w:rPr>
                <w:rFonts w:hint="eastAsia"/>
                <w:color w:val="auto"/>
              </w:rPr>
              <w:t>）无菌灌装：无菌袋及灌装机口经高温灭菌后进行无菌灌装，罐装后的成品直接入库。</w:t>
            </w:r>
          </w:p>
          <w:p w14:paraId="431F1F66">
            <w:pPr>
              <w:pageBreakBefore w:val="0"/>
              <w:widowControl w:val="0"/>
              <w:kinsoku/>
              <w:wordWrap/>
              <w:topLinePunct w:val="0"/>
              <w:bidi w:val="0"/>
              <w:spacing w:line="480" w:lineRule="exact"/>
              <w:ind w:firstLine="480" w:firstLineChars="200"/>
              <w:jc w:val="both"/>
              <w:textAlignment w:val="auto"/>
              <w:rPr>
                <w:rFonts w:hint="eastAsia"/>
                <w:color w:val="auto"/>
                <w:lang w:val="en-US" w:eastAsia="zh-CN"/>
              </w:rPr>
            </w:pPr>
            <w:r>
              <w:rPr>
                <w:rFonts w:hint="eastAsia"/>
                <w:color w:val="auto"/>
              </w:rPr>
              <w:t>（1</w:t>
            </w:r>
            <w:r>
              <w:rPr>
                <w:rFonts w:hint="eastAsia"/>
                <w:color w:val="auto"/>
                <w:lang w:val="en-US" w:eastAsia="zh-CN"/>
              </w:rPr>
              <w:t>4</w:t>
            </w:r>
            <w:r>
              <w:rPr>
                <w:rFonts w:hint="eastAsia"/>
                <w:color w:val="auto"/>
              </w:rPr>
              <w:t>）冷库贮存：项目成品</w:t>
            </w:r>
            <w:r>
              <w:rPr>
                <w:rFonts w:hint="eastAsia"/>
                <w:color w:val="auto"/>
                <w:lang w:val="en-US" w:eastAsia="zh-CN"/>
              </w:rPr>
              <w:t>葡萄果糖</w:t>
            </w:r>
            <w:r>
              <w:rPr>
                <w:rFonts w:hint="eastAsia"/>
                <w:color w:val="auto"/>
              </w:rPr>
              <w:t>经无菌灌装机包装后进入冷库储存，</w:t>
            </w:r>
            <w:r>
              <w:rPr>
                <w:color w:val="auto"/>
              </w:rPr>
              <w:drawing>
                <wp:anchor distT="0" distB="0" distL="114300" distR="114300" simplePos="0" relativeHeight="251667456" behindDoc="0" locked="0" layoutInCell="1" allowOverlap="1">
                  <wp:simplePos x="0" y="0"/>
                  <wp:positionH relativeFrom="column">
                    <wp:posOffset>29845</wp:posOffset>
                  </wp:positionH>
                  <wp:positionV relativeFrom="paragraph">
                    <wp:posOffset>459740</wp:posOffset>
                  </wp:positionV>
                  <wp:extent cx="5166360" cy="2018030"/>
                  <wp:effectExtent l="0" t="0" r="0" b="0"/>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6"/>
                          <a:srcRect t="3198"/>
                          <a:stretch>
                            <a:fillRect/>
                          </a:stretch>
                        </pic:blipFill>
                        <pic:spPr>
                          <a:xfrm>
                            <a:off x="0" y="0"/>
                            <a:ext cx="5166360" cy="2018030"/>
                          </a:xfrm>
                          <a:prstGeom prst="rect">
                            <a:avLst/>
                          </a:prstGeom>
                          <a:noFill/>
                          <a:ln>
                            <a:noFill/>
                          </a:ln>
                        </pic:spPr>
                      </pic:pic>
                    </a:graphicData>
                  </a:graphic>
                </wp:anchor>
              </w:drawing>
            </w:r>
            <w:r>
              <w:rPr>
                <w:rFonts w:hint="eastAsia"/>
                <w:color w:val="auto"/>
              </w:rPr>
              <w:t>温度控制在5℃。</w:t>
            </w:r>
          </w:p>
          <w:p w14:paraId="518705AC">
            <w:pPr>
              <w:pStyle w:val="24"/>
              <w:rPr>
                <w:rFonts w:hint="eastAsia"/>
                <w:color w:val="auto"/>
              </w:rPr>
            </w:pPr>
          </w:p>
          <w:p w14:paraId="5015C5FC">
            <w:pPr>
              <w:pStyle w:val="44"/>
              <w:bidi w:val="0"/>
              <w:rPr>
                <w:rFonts w:hint="eastAsia"/>
                <w:color w:val="auto"/>
                <w:sz w:val="21"/>
                <w:szCs w:val="21"/>
                <w:lang w:val="en-US" w:eastAsia="zh-CN"/>
              </w:rPr>
            </w:pPr>
            <w:r>
              <w:rPr>
                <w:rFonts w:hint="eastAsia"/>
                <w:color w:val="auto"/>
                <w:sz w:val="21"/>
                <w:szCs w:val="21"/>
                <w:lang w:val="en-US" w:eastAsia="zh-CN"/>
              </w:rPr>
              <w:t>图2.9-2 葡萄汁加工工艺流程图及产污环节分析图</w:t>
            </w:r>
          </w:p>
          <w:p w14:paraId="2372902C">
            <w:pPr>
              <w:pStyle w:val="44"/>
              <w:bidi w:val="0"/>
              <w:rPr>
                <w:rFonts w:hint="default"/>
                <w:color w:val="auto"/>
                <w:sz w:val="21"/>
                <w:szCs w:val="21"/>
                <w:lang w:val="en-US" w:eastAsia="zh-CN"/>
              </w:rPr>
            </w:pPr>
            <w:r>
              <w:rPr>
                <w:rFonts w:hint="eastAsia"/>
                <w:color w:val="auto"/>
                <w:sz w:val="21"/>
                <w:szCs w:val="21"/>
                <w:lang w:val="en-US" w:eastAsia="zh-CN"/>
              </w:rPr>
              <w:t>表2.9-1 运营期产污环节汇总一览表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634"/>
              <w:gridCol w:w="1656"/>
              <w:gridCol w:w="1536"/>
              <w:gridCol w:w="647"/>
              <w:gridCol w:w="3122"/>
            </w:tblGrid>
            <w:tr w14:paraId="7103C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0" w:type="pct"/>
                  <w:tcBorders>
                    <w:top w:val="single" w:color="auto" w:sz="12" w:space="0"/>
                    <w:left w:val="single" w:color="auto" w:sz="12" w:space="0"/>
                    <w:tl2br w:val="nil"/>
                    <w:tr2bl w:val="nil"/>
                  </w:tcBorders>
                  <w:vAlign w:val="center"/>
                </w:tcPr>
                <w:p w14:paraId="44C573B9">
                  <w:pPr>
                    <w:pStyle w:val="46"/>
                    <w:bidi w:val="0"/>
                    <w:ind w:firstLine="0" w:firstLineChars="0"/>
                    <w:jc w:val="center"/>
                    <w:rPr>
                      <w:rFonts w:hint="eastAsia"/>
                      <w:color w:val="auto"/>
                      <w:lang w:val="en-US" w:eastAsia="zh-CN"/>
                    </w:rPr>
                  </w:pPr>
                  <w:r>
                    <w:rPr>
                      <w:rFonts w:hint="eastAsia"/>
                      <w:color w:val="auto"/>
                      <w:lang w:val="en-US" w:eastAsia="zh-CN"/>
                    </w:rPr>
                    <w:t>序号</w:t>
                  </w:r>
                </w:p>
              </w:tc>
              <w:tc>
                <w:tcPr>
                  <w:tcW w:w="389" w:type="pct"/>
                  <w:tcBorders>
                    <w:top w:val="single" w:color="auto" w:sz="12" w:space="0"/>
                    <w:tl2br w:val="nil"/>
                    <w:tr2bl w:val="nil"/>
                  </w:tcBorders>
                  <w:vAlign w:val="center"/>
                </w:tcPr>
                <w:p w14:paraId="76327FF3">
                  <w:pPr>
                    <w:pStyle w:val="46"/>
                    <w:bidi w:val="0"/>
                    <w:jc w:val="center"/>
                    <w:rPr>
                      <w:rFonts w:hint="default"/>
                      <w:color w:val="auto"/>
                      <w:lang w:val="en-US" w:eastAsia="zh-CN"/>
                    </w:rPr>
                  </w:pPr>
                  <w:r>
                    <w:rPr>
                      <w:rFonts w:hint="eastAsia"/>
                      <w:color w:val="auto"/>
                      <w:lang w:val="en-US" w:eastAsia="zh-CN"/>
                    </w:rPr>
                    <w:t>污染类型</w:t>
                  </w:r>
                </w:p>
              </w:tc>
              <w:tc>
                <w:tcPr>
                  <w:tcW w:w="1016" w:type="pct"/>
                  <w:tcBorders>
                    <w:top w:val="single" w:color="auto" w:sz="12" w:space="0"/>
                    <w:tl2br w:val="nil"/>
                    <w:tr2bl w:val="nil"/>
                  </w:tcBorders>
                  <w:vAlign w:val="center"/>
                </w:tcPr>
                <w:p w14:paraId="1F24F493">
                  <w:pPr>
                    <w:pStyle w:val="46"/>
                    <w:bidi w:val="0"/>
                    <w:jc w:val="center"/>
                    <w:rPr>
                      <w:rFonts w:hint="default"/>
                      <w:color w:val="auto"/>
                      <w:lang w:val="en-US" w:eastAsia="zh-CN"/>
                    </w:rPr>
                  </w:pPr>
                  <w:r>
                    <w:rPr>
                      <w:rFonts w:hint="eastAsia"/>
                      <w:color w:val="auto"/>
                      <w:lang w:val="en-US" w:eastAsia="zh-CN"/>
                    </w:rPr>
                    <w:t>产污环节</w:t>
                  </w:r>
                </w:p>
              </w:tc>
              <w:tc>
                <w:tcPr>
                  <w:tcW w:w="942" w:type="pct"/>
                  <w:tcBorders>
                    <w:top w:val="single" w:color="auto" w:sz="12" w:space="0"/>
                    <w:tl2br w:val="nil"/>
                    <w:tr2bl w:val="nil"/>
                  </w:tcBorders>
                  <w:vAlign w:val="center"/>
                </w:tcPr>
                <w:p w14:paraId="29772526">
                  <w:pPr>
                    <w:pStyle w:val="46"/>
                    <w:bidi w:val="0"/>
                    <w:jc w:val="center"/>
                    <w:rPr>
                      <w:rFonts w:hint="default"/>
                      <w:color w:val="auto"/>
                      <w:lang w:val="en-US" w:eastAsia="zh-CN"/>
                    </w:rPr>
                  </w:pPr>
                  <w:r>
                    <w:rPr>
                      <w:rFonts w:hint="eastAsia"/>
                      <w:color w:val="auto"/>
                      <w:lang w:val="en-US" w:eastAsia="zh-CN"/>
                    </w:rPr>
                    <w:t>主要污染物</w:t>
                  </w:r>
                </w:p>
              </w:tc>
              <w:tc>
                <w:tcPr>
                  <w:tcW w:w="397" w:type="pct"/>
                  <w:tcBorders>
                    <w:top w:val="single" w:color="auto" w:sz="12" w:space="0"/>
                    <w:tl2br w:val="nil"/>
                    <w:tr2bl w:val="nil"/>
                  </w:tcBorders>
                  <w:vAlign w:val="center"/>
                </w:tcPr>
                <w:p w14:paraId="528674E9">
                  <w:pPr>
                    <w:pStyle w:val="46"/>
                    <w:bidi w:val="0"/>
                    <w:jc w:val="center"/>
                    <w:rPr>
                      <w:rFonts w:hint="default"/>
                      <w:color w:val="auto"/>
                      <w:lang w:val="en-US" w:eastAsia="zh-CN"/>
                    </w:rPr>
                  </w:pPr>
                  <w:r>
                    <w:rPr>
                      <w:rFonts w:hint="eastAsia"/>
                      <w:color w:val="auto"/>
                      <w:lang w:val="en-US" w:eastAsia="zh-CN"/>
                    </w:rPr>
                    <w:t>排放特征</w:t>
                  </w:r>
                </w:p>
              </w:tc>
              <w:tc>
                <w:tcPr>
                  <w:tcW w:w="1914" w:type="pct"/>
                  <w:tcBorders>
                    <w:top w:val="single" w:color="auto" w:sz="12" w:space="0"/>
                    <w:right w:val="single" w:color="auto" w:sz="12" w:space="0"/>
                    <w:tl2br w:val="nil"/>
                    <w:tr2bl w:val="nil"/>
                  </w:tcBorders>
                  <w:vAlign w:val="center"/>
                </w:tcPr>
                <w:p w14:paraId="1D0087DD">
                  <w:pPr>
                    <w:pStyle w:val="46"/>
                    <w:bidi w:val="0"/>
                    <w:jc w:val="center"/>
                    <w:rPr>
                      <w:rFonts w:hint="default"/>
                      <w:color w:val="auto"/>
                      <w:lang w:val="en-US" w:eastAsia="zh-CN"/>
                    </w:rPr>
                  </w:pPr>
                  <w:r>
                    <w:rPr>
                      <w:rFonts w:hint="eastAsia"/>
                      <w:color w:val="auto"/>
                      <w:lang w:val="en-US" w:eastAsia="zh-CN"/>
                    </w:rPr>
                    <w:t>治理措施</w:t>
                  </w:r>
                </w:p>
              </w:tc>
            </w:tr>
            <w:tr w14:paraId="40162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40" w:type="pct"/>
                  <w:tcBorders>
                    <w:left w:val="single" w:color="auto" w:sz="12" w:space="0"/>
                    <w:tl2br w:val="nil"/>
                    <w:tr2bl w:val="nil"/>
                  </w:tcBorders>
                  <w:vAlign w:val="center"/>
                </w:tcPr>
                <w:p w14:paraId="75F098B9">
                  <w:pPr>
                    <w:pStyle w:val="46"/>
                    <w:bidi w:val="0"/>
                    <w:ind w:firstLine="0" w:firstLineChars="0"/>
                    <w:jc w:val="center"/>
                    <w:rPr>
                      <w:rFonts w:hint="eastAsia"/>
                      <w:color w:val="auto"/>
                      <w:lang w:val="en-US" w:eastAsia="zh-CN"/>
                    </w:rPr>
                  </w:pPr>
                  <w:r>
                    <w:rPr>
                      <w:rFonts w:hint="eastAsia"/>
                      <w:color w:val="auto"/>
                      <w:lang w:val="en-US" w:eastAsia="zh-CN"/>
                    </w:rPr>
                    <w:t>G1</w:t>
                  </w:r>
                </w:p>
              </w:tc>
              <w:tc>
                <w:tcPr>
                  <w:tcW w:w="389" w:type="pct"/>
                  <w:vMerge w:val="restart"/>
                  <w:tcBorders>
                    <w:tl2br w:val="nil"/>
                    <w:tr2bl w:val="nil"/>
                  </w:tcBorders>
                  <w:vAlign w:val="center"/>
                </w:tcPr>
                <w:p w14:paraId="5A8187E8">
                  <w:pPr>
                    <w:pStyle w:val="46"/>
                    <w:bidi w:val="0"/>
                    <w:jc w:val="center"/>
                    <w:rPr>
                      <w:rFonts w:hint="default"/>
                      <w:color w:val="auto"/>
                      <w:lang w:val="en-US" w:eastAsia="zh-CN"/>
                    </w:rPr>
                  </w:pPr>
                  <w:r>
                    <w:rPr>
                      <w:rFonts w:hint="eastAsia"/>
                      <w:color w:val="auto"/>
                      <w:lang w:val="en-US" w:eastAsia="zh-CN"/>
                    </w:rPr>
                    <w:t>废气</w:t>
                  </w:r>
                </w:p>
              </w:tc>
              <w:tc>
                <w:tcPr>
                  <w:tcW w:w="1016" w:type="pct"/>
                  <w:tcBorders>
                    <w:tl2br w:val="nil"/>
                    <w:tr2bl w:val="nil"/>
                  </w:tcBorders>
                  <w:vAlign w:val="center"/>
                </w:tcPr>
                <w:p w14:paraId="2F70F2CE">
                  <w:pPr>
                    <w:pStyle w:val="46"/>
                    <w:bidi w:val="0"/>
                    <w:jc w:val="center"/>
                    <w:rPr>
                      <w:rFonts w:hint="default"/>
                      <w:color w:val="auto"/>
                      <w:lang w:val="en-US" w:eastAsia="zh-CN"/>
                    </w:rPr>
                  </w:pPr>
                  <w:r>
                    <w:rPr>
                      <w:rFonts w:hint="eastAsia"/>
                      <w:color w:val="auto"/>
                      <w:lang w:val="en-US" w:eastAsia="zh-CN"/>
                    </w:rPr>
                    <w:t>原料果暂存废气</w:t>
                  </w:r>
                </w:p>
              </w:tc>
              <w:tc>
                <w:tcPr>
                  <w:tcW w:w="942" w:type="pct"/>
                  <w:vMerge w:val="restart"/>
                  <w:tcBorders>
                    <w:tl2br w:val="nil"/>
                    <w:tr2bl w:val="nil"/>
                  </w:tcBorders>
                  <w:vAlign w:val="center"/>
                </w:tcPr>
                <w:p w14:paraId="27F61FB3">
                  <w:pPr>
                    <w:pStyle w:val="46"/>
                    <w:bidi w:val="0"/>
                    <w:ind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臭气浓度</w:t>
                  </w:r>
                  <w:r>
                    <w:rPr>
                      <w:rFonts w:hint="eastAsia" w:cs="宋体"/>
                      <w:color w:val="auto"/>
                      <w:sz w:val="21"/>
                      <w:szCs w:val="22"/>
                      <w:lang w:val="en-US" w:eastAsia="zh-CN" w:bidi="ar-SA"/>
                    </w:rPr>
                    <w:t>、H</w:t>
                  </w:r>
                  <w:r>
                    <w:rPr>
                      <w:rFonts w:hint="eastAsia" w:cs="宋体"/>
                      <w:color w:val="auto"/>
                      <w:sz w:val="21"/>
                      <w:szCs w:val="22"/>
                      <w:vertAlign w:val="subscript"/>
                      <w:lang w:val="en-US" w:eastAsia="zh-CN" w:bidi="ar-SA"/>
                    </w:rPr>
                    <w:t>2</w:t>
                  </w:r>
                  <w:r>
                    <w:rPr>
                      <w:rFonts w:hint="eastAsia" w:cs="宋体"/>
                      <w:color w:val="auto"/>
                      <w:sz w:val="21"/>
                      <w:szCs w:val="22"/>
                      <w:lang w:val="en-US" w:eastAsia="zh-CN" w:bidi="ar-SA"/>
                    </w:rPr>
                    <w:t>S、</w:t>
                  </w:r>
                  <w:r>
                    <w:rPr>
                      <w:rFonts w:hint="eastAsia" w:ascii="Times New Roman" w:hAnsi="Times New Roman" w:eastAsia="宋体" w:cs="宋体"/>
                      <w:color w:val="auto"/>
                      <w:sz w:val="21"/>
                      <w:szCs w:val="22"/>
                      <w:lang w:val="en-US" w:eastAsia="zh-CN" w:bidi="ar-SA"/>
                    </w:rPr>
                    <w:t>NH</w:t>
                  </w:r>
                  <w:r>
                    <w:rPr>
                      <w:rFonts w:hint="eastAsia" w:ascii="Times New Roman" w:hAnsi="Times New Roman" w:eastAsia="宋体" w:cs="宋体"/>
                      <w:color w:val="auto"/>
                      <w:sz w:val="21"/>
                      <w:szCs w:val="22"/>
                      <w:vertAlign w:val="subscript"/>
                      <w:lang w:val="en-US" w:eastAsia="zh-CN" w:bidi="ar-SA"/>
                    </w:rPr>
                    <w:t>3</w:t>
                  </w:r>
                  <w:r>
                    <w:rPr>
                      <w:rFonts w:hint="eastAsia" w:ascii="Times New Roman" w:hAnsi="Times New Roman" w:eastAsia="宋体" w:cs="宋体"/>
                      <w:color w:val="auto"/>
                      <w:sz w:val="21"/>
                      <w:szCs w:val="22"/>
                      <w:lang w:val="en-US" w:eastAsia="zh-CN" w:bidi="ar-SA"/>
                    </w:rPr>
                    <w:t>-N</w:t>
                  </w:r>
                </w:p>
              </w:tc>
              <w:tc>
                <w:tcPr>
                  <w:tcW w:w="397" w:type="pct"/>
                  <w:tcBorders>
                    <w:tl2br w:val="nil"/>
                    <w:tr2bl w:val="nil"/>
                  </w:tcBorders>
                  <w:vAlign w:val="center"/>
                </w:tcPr>
                <w:p w14:paraId="5EC5D53C">
                  <w:pPr>
                    <w:pStyle w:val="46"/>
                    <w:bidi w:val="0"/>
                    <w:jc w:val="center"/>
                    <w:rPr>
                      <w:rFonts w:hint="default"/>
                      <w:color w:val="auto"/>
                      <w:lang w:val="en-US" w:eastAsia="zh-CN"/>
                    </w:rPr>
                  </w:pPr>
                  <w:r>
                    <w:rPr>
                      <w:rFonts w:hint="default"/>
                      <w:color w:val="auto"/>
                      <w:lang w:val="en-US" w:eastAsia="zh-CN"/>
                    </w:rPr>
                    <w:t>间断</w:t>
                  </w:r>
                </w:p>
              </w:tc>
              <w:tc>
                <w:tcPr>
                  <w:tcW w:w="1914" w:type="pct"/>
                  <w:tcBorders>
                    <w:right w:val="single" w:color="auto" w:sz="12" w:space="0"/>
                    <w:tl2br w:val="nil"/>
                    <w:tr2bl w:val="nil"/>
                  </w:tcBorders>
                  <w:vAlign w:val="center"/>
                </w:tcPr>
                <w:p w14:paraId="6E36F4B9">
                  <w:pPr>
                    <w:pStyle w:val="46"/>
                    <w:bidi w:val="0"/>
                    <w:jc w:val="center"/>
                    <w:rPr>
                      <w:rFonts w:hint="default"/>
                      <w:color w:val="auto"/>
                      <w:lang w:val="en-US" w:eastAsia="zh-CN"/>
                    </w:rPr>
                  </w:pPr>
                  <w:r>
                    <w:rPr>
                      <w:rFonts w:hint="eastAsia"/>
                      <w:color w:val="auto"/>
                      <w:lang w:val="en-US" w:eastAsia="zh-CN"/>
                    </w:rPr>
                    <w:t>车间设置换气扇，加强通风</w:t>
                  </w:r>
                </w:p>
              </w:tc>
            </w:tr>
            <w:tr w14:paraId="5DA51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tcBorders>
                    <w:left w:val="single" w:color="auto" w:sz="12" w:space="0"/>
                    <w:tl2br w:val="nil"/>
                    <w:tr2bl w:val="nil"/>
                  </w:tcBorders>
                  <w:vAlign w:val="center"/>
                </w:tcPr>
                <w:p w14:paraId="5D8889D6">
                  <w:pPr>
                    <w:pStyle w:val="46"/>
                    <w:bidi w:val="0"/>
                    <w:ind w:firstLine="0" w:firstLineChars="0"/>
                    <w:jc w:val="center"/>
                    <w:rPr>
                      <w:rFonts w:hint="eastAsia"/>
                      <w:color w:val="auto"/>
                      <w:lang w:val="en-US" w:eastAsia="zh-CN"/>
                    </w:rPr>
                  </w:pPr>
                  <w:r>
                    <w:rPr>
                      <w:rFonts w:hint="eastAsia"/>
                      <w:color w:val="auto"/>
                      <w:lang w:val="en-US" w:eastAsia="zh-CN"/>
                    </w:rPr>
                    <w:t>G2</w:t>
                  </w:r>
                </w:p>
              </w:tc>
              <w:tc>
                <w:tcPr>
                  <w:tcW w:w="389" w:type="pct"/>
                  <w:vMerge w:val="continue"/>
                  <w:tcBorders>
                    <w:tl2br w:val="nil"/>
                    <w:tr2bl w:val="nil"/>
                  </w:tcBorders>
                  <w:vAlign w:val="center"/>
                </w:tcPr>
                <w:p w14:paraId="52550A43">
                  <w:pPr>
                    <w:pStyle w:val="46"/>
                    <w:bidi w:val="0"/>
                    <w:jc w:val="center"/>
                    <w:rPr>
                      <w:rFonts w:hint="eastAsia"/>
                      <w:color w:val="auto"/>
                      <w:lang w:eastAsia="zh-CN"/>
                    </w:rPr>
                  </w:pPr>
                </w:p>
              </w:tc>
              <w:tc>
                <w:tcPr>
                  <w:tcW w:w="1016" w:type="pct"/>
                  <w:tcBorders>
                    <w:tl2br w:val="nil"/>
                    <w:tr2bl w:val="nil"/>
                  </w:tcBorders>
                  <w:vAlign w:val="center"/>
                </w:tcPr>
                <w:p w14:paraId="18C73FCA">
                  <w:pPr>
                    <w:pStyle w:val="46"/>
                    <w:bidi w:val="0"/>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污水处理站废气</w:t>
                  </w:r>
                </w:p>
              </w:tc>
              <w:tc>
                <w:tcPr>
                  <w:tcW w:w="942" w:type="pct"/>
                  <w:vMerge w:val="continue"/>
                  <w:tcBorders>
                    <w:tl2br w:val="nil"/>
                    <w:tr2bl w:val="nil"/>
                  </w:tcBorders>
                  <w:vAlign w:val="center"/>
                </w:tcPr>
                <w:p w14:paraId="5326C02D">
                  <w:pPr>
                    <w:pStyle w:val="46"/>
                    <w:bidi w:val="0"/>
                    <w:ind w:firstLine="0" w:firstLineChars="0"/>
                    <w:jc w:val="center"/>
                    <w:rPr>
                      <w:rFonts w:hint="eastAsia" w:ascii="Times New Roman" w:hAnsi="Times New Roman" w:eastAsia="宋体" w:cs="宋体"/>
                      <w:color w:val="auto"/>
                      <w:sz w:val="21"/>
                      <w:szCs w:val="22"/>
                      <w:lang w:val="en-US" w:eastAsia="zh-CN" w:bidi="ar-SA"/>
                    </w:rPr>
                  </w:pPr>
                </w:p>
              </w:tc>
              <w:tc>
                <w:tcPr>
                  <w:tcW w:w="397" w:type="pct"/>
                  <w:tcBorders>
                    <w:tl2br w:val="nil"/>
                    <w:tr2bl w:val="nil"/>
                  </w:tcBorders>
                  <w:vAlign w:val="center"/>
                </w:tcPr>
                <w:p w14:paraId="389F55A3">
                  <w:pPr>
                    <w:pStyle w:val="46"/>
                    <w:bidi w:val="0"/>
                    <w:ind w:firstLine="0" w:firstLineChars="0"/>
                    <w:jc w:val="center"/>
                    <w:rPr>
                      <w:rFonts w:hint="eastAsia" w:ascii="Times New Roman" w:hAnsi="Times New Roman" w:eastAsia="宋体" w:cs="宋体"/>
                      <w:color w:val="auto"/>
                      <w:sz w:val="21"/>
                      <w:szCs w:val="22"/>
                      <w:lang w:val="en-US" w:eastAsia="zh-CN" w:bidi="ar-SA"/>
                    </w:rPr>
                  </w:pPr>
                  <w:r>
                    <w:rPr>
                      <w:rFonts w:hint="default"/>
                      <w:color w:val="auto"/>
                      <w:lang w:val="en-US" w:eastAsia="zh-CN"/>
                    </w:rPr>
                    <w:t>间断</w:t>
                  </w:r>
                </w:p>
              </w:tc>
              <w:tc>
                <w:tcPr>
                  <w:tcW w:w="1914" w:type="pct"/>
                  <w:tcBorders>
                    <w:right w:val="single" w:color="auto" w:sz="12" w:space="0"/>
                    <w:tl2br w:val="nil"/>
                    <w:tr2bl w:val="nil"/>
                  </w:tcBorders>
                  <w:vAlign w:val="center"/>
                </w:tcPr>
                <w:p w14:paraId="73DE8B73">
                  <w:pPr>
                    <w:pStyle w:val="46"/>
                    <w:bidi w:val="0"/>
                    <w:ind w:firstLine="0" w:firstLineChars="0"/>
                    <w:jc w:val="center"/>
                    <w:rPr>
                      <w:rFonts w:hint="default"/>
                      <w:color w:val="auto"/>
                      <w:lang w:val="en-US" w:eastAsia="zh-CN"/>
                    </w:rPr>
                  </w:pPr>
                  <w:r>
                    <w:rPr>
                      <w:rFonts w:hint="eastAsia"/>
                      <w:color w:val="auto"/>
                      <w:lang w:val="en-US" w:eastAsia="zh-CN"/>
                    </w:rPr>
                    <w:t>封闭污水处理站、加盖、喷洒除臭剂。</w:t>
                  </w:r>
                </w:p>
              </w:tc>
            </w:tr>
            <w:tr w14:paraId="7568A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40" w:type="pct"/>
                  <w:tcBorders>
                    <w:left w:val="single" w:color="auto" w:sz="12" w:space="0"/>
                    <w:tl2br w:val="nil"/>
                    <w:tr2bl w:val="nil"/>
                  </w:tcBorders>
                  <w:vAlign w:val="center"/>
                </w:tcPr>
                <w:p w14:paraId="63E75FA3">
                  <w:pPr>
                    <w:pStyle w:val="46"/>
                    <w:bidi w:val="0"/>
                    <w:ind w:firstLine="0" w:firstLineChars="0"/>
                    <w:jc w:val="center"/>
                    <w:rPr>
                      <w:rFonts w:hint="eastAsia"/>
                      <w:color w:val="auto"/>
                      <w:lang w:val="en-US" w:eastAsia="zh-CN"/>
                    </w:rPr>
                  </w:pPr>
                  <w:r>
                    <w:rPr>
                      <w:rFonts w:hint="eastAsia"/>
                      <w:color w:val="auto"/>
                      <w:lang w:val="en-US" w:eastAsia="zh-CN"/>
                    </w:rPr>
                    <w:t>W1</w:t>
                  </w:r>
                </w:p>
              </w:tc>
              <w:tc>
                <w:tcPr>
                  <w:tcW w:w="389" w:type="pct"/>
                  <w:vMerge w:val="restart"/>
                  <w:tcBorders>
                    <w:tl2br w:val="nil"/>
                    <w:tr2bl w:val="nil"/>
                  </w:tcBorders>
                  <w:vAlign w:val="center"/>
                </w:tcPr>
                <w:p w14:paraId="56424C11">
                  <w:pPr>
                    <w:pStyle w:val="46"/>
                    <w:bidi w:val="0"/>
                    <w:jc w:val="center"/>
                    <w:rPr>
                      <w:rFonts w:hint="default"/>
                      <w:color w:val="auto"/>
                      <w:lang w:val="en-US" w:eastAsia="zh-CN"/>
                    </w:rPr>
                  </w:pPr>
                  <w:r>
                    <w:rPr>
                      <w:rFonts w:hint="eastAsia"/>
                      <w:color w:val="auto"/>
                      <w:lang w:val="en-US" w:eastAsia="zh-CN"/>
                    </w:rPr>
                    <w:t>废水</w:t>
                  </w:r>
                </w:p>
              </w:tc>
              <w:tc>
                <w:tcPr>
                  <w:tcW w:w="1016" w:type="pct"/>
                  <w:tcBorders>
                    <w:tl2br w:val="nil"/>
                    <w:tr2bl w:val="nil"/>
                  </w:tcBorders>
                  <w:vAlign w:val="center"/>
                </w:tcPr>
                <w:p w14:paraId="284769E6">
                  <w:pPr>
                    <w:pStyle w:val="46"/>
                    <w:bidi w:val="0"/>
                    <w:jc w:val="center"/>
                    <w:rPr>
                      <w:rFonts w:hint="default"/>
                      <w:color w:val="auto"/>
                      <w:lang w:val="en-US" w:eastAsia="zh-CN"/>
                    </w:rPr>
                  </w:pPr>
                  <w:r>
                    <w:rPr>
                      <w:rFonts w:hint="eastAsia"/>
                      <w:color w:val="auto"/>
                      <w:lang w:val="en-US" w:eastAsia="zh-CN"/>
                    </w:rPr>
                    <w:t>果品清洗废水</w:t>
                  </w:r>
                </w:p>
              </w:tc>
              <w:tc>
                <w:tcPr>
                  <w:tcW w:w="942" w:type="pct"/>
                  <w:vMerge w:val="restart"/>
                  <w:tcBorders>
                    <w:tl2br w:val="nil"/>
                    <w:tr2bl w:val="nil"/>
                  </w:tcBorders>
                  <w:vAlign w:val="center"/>
                </w:tcPr>
                <w:p w14:paraId="36C0178D">
                  <w:pPr>
                    <w:pStyle w:val="46"/>
                    <w:bidi w:val="0"/>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COD、BOD</w:t>
                  </w:r>
                  <w:r>
                    <w:rPr>
                      <w:rFonts w:hint="eastAsia" w:ascii="Times New Roman" w:hAnsi="Times New Roman" w:eastAsia="宋体" w:cs="宋体"/>
                      <w:color w:val="auto"/>
                      <w:sz w:val="21"/>
                      <w:szCs w:val="22"/>
                      <w:vertAlign w:val="subscript"/>
                      <w:lang w:val="en-US" w:eastAsia="zh-CN" w:bidi="ar-SA"/>
                    </w:rPr>
                    <w:t>5</w:t>
                  </w:r>
                  <w:r>
                    <w:rPr>
                      <w:rFonts w:hint="eastAsia" w:ascii="Times New Roman" w:hAnsi="Times New Roman" w:eastAsia="宋体" w:cs="宋体"/>
                      <w:color w:val="auto"/>
                      <w:sz w:val="21"/>
                      <w:szCs w:val="22"/>
                      <w:lang w:val="en-US" w:eastAsia="zh-CN" w:bidi="ar-SA"/>
                    </w:rPr>
                    <w:t>、SS、NH</w:t>
                  </w:r>
                  <w:r>
                    <w:rPr>
                      <w:rFonts w:hint="eastAsia" w:ascii="Times New Roman" w:hAnsi="Times New Roman" w:eastAsia="宋体" w:cs="宋体"/>
                      <w:color w:val="auto"/>
                      <w:sz w:val="21"/>
                      <w:szCs w:val="22"/>
                      <w:vertAlign w:val="subscript"/>
                      <w:lang w:val="en-US" w:eastAsia="zh-CN" w:bidi="ar-SA"/>
                    </w:rPr>
                    <w:t>3</w:t>
                  </w:r>
                  <w:r>
                    <w:rPr>
                      <w:rFonts w:hint="eastAsia" w:ascii="Times New Roman" w:hAnsi="Times New Roman" w:eastAsia="宋体" w:cs="宋体"/>
                      <w:color w:val="auto"/>
                      <w:sz w:val="21"/>
                      <w:szCs w:val="22"/>
                      <w:lang w:val="en-US" w:eastAsia="zh-CN" w:bidi="ar-SA"/>
                    </w:rPr>
                    <w:t>-N、总磷、总氮</w:t>
                  </w:r>
                </w:p>
              </w:tc>
              <w:tc>
                <w:tcPr>
                  <w:tcW w:w="397" w:type="pct"/>
                  <w:tcBorders>
                    <w:tl2br w:val="nil"/>
                    <w:tr2bl w:val="nil"/>
                  </w:tcBorders>
                  <w:vAlign w:val="center"/>
                </w:tcPr>
                <w:p w14:paraId="58823ADC">
                  <w:pPr>
                    <w:pStyle w:val="46"/>
                    <w:bidi w:val="0"/>
                    <w:ind w:firstLine="0" w:firstLineChars="0"/>
                    <w:jc w:val="center"/>
                    <w:rPr>
                      <w:rFonts w:hint="default"/>
                      <w:color w:val="auto"/>
                      <w:lang w:val="en-US" w:eastAsia="zh-CN"/>
                    </w:rPr>
                  </w:pPr>
                  <w:r>
                    <w:rPr>
                      <w:rFonts w:hint="default"/>
                      <w:color w:val="auto"/>
                      <w:lang w:val="en-US" w:eastAsia="zh-CN"/>
                    </w:rPr>
                    <w:t>间断</w:t>
                  </w:r>
                </w:p>
              </w:tc>
              <w:tc>
                <w:tcPr>
                  <w:tcW w:w="1914" w:type="pct"/>
                  <w:vMerge w:val="restart"/>
                  <w:tcBorders>
                    <w:right w:val="single" w:color="auto" w:sz="12" w:space="0"/>
                    <w:tl2br w:val="nil"/>
                    <w:tr2bl w:val="nil"/>
                  </w:tcBorders>
                  <w:vAlign w:val="center"/>
                </w:tcPr>
                <w:p w14:paraId="11A5C2D4">
                  <w:pPr>
                    <w:pStyle w:val="46"/>
                    <w:bidi w:val="0"/>
                    <w:ind w:firstLine="0" w:firstLineChars="0"/>
                    <w:jc w:val="center"/>
                    <w:rPr>
                      <w:rFonts w:hint="default"/>
                      <w:color w:val="auto"/>
                      <w:lang w:val="en-US" w:eastAsia="zh-CN"/>
                    </w:rPr>
                  </w:pPr>
                  <w:r>
                    <w:rPr>
                      <w:rFonts w:hint="eastAsia"/>
                      <w:color w:val="auto"/>
                      <w:lang w:val="en-US" w:eastAsia="zh-CN"/>
                    </w:rPr>
                    <w:t>排入厂区自建污水处理站处置达标后排入市政排水管网</w:t>
                  </w:r>
                </w:p>
              </w:tc>
            </w:tr>
            <w:tr w14:paraId="77018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40" w:type="pct"/>
                  <w:tcBorders>
                    <w:left w:val="single" w:color="auto" w:sz="12" w:space="0"/>
                    <w:tl2br w:val="nil"/>
                    <w:tr2bl w:val="nil"/>
                  </w:tcBorders>
                  <w:vAlign w:val="center"/>
                </w:tcPr>
                <w:p w14:paraId="2519A80A">
                  <w:pPr>
                    <w:pStyle w:val="46"/>
                    <w:bidi w:val="0"/>
                    <w:ind w:firstLine="0" w:firstLineChars="0"/>
                    <w:jc w:val="center"/>
                    <w:rPr>
                      <w:rFonts w:hint="eastAsia"/>
                      <w:color w:val="auto"/>
                      <w:lang w:val="en-US" w:eastAsia="zh-CN"/>
                    </w:rPr>
                  </w:pPr>
                  <w:r>
                    <w:rPr>
                      <w:rFonts w:hint="eastAsia"/>
                      <w:color w:val="auto"/>
                      <w:lang w:val="en-US" w:eastAsia="zh-CN"/>
                    </w:rPr>
                    <w:t>W2</w:t>
                  </w:r>
                </w:p>
              </w:tc>
              <w:tc>
                <w:tcPr>
                  <w:tcW w:w="389" w:type="pct"/>
                  <w:vMerge w:val="continue"/>
                  <w:tcBorders>
                    <w:tl2br w:val="nil"/>
                    <w:tr2bl w:val="nil"/>
                  </w:tcBorders>
                  <w:vAlign w:val="center"/>
                </w:tcPr>
                <w:p w14:paraId="6B6A24EB">
                  <w:pPr>
                    <w:pStyle w:val="46"/>
                    <w:bidi w:val="0"/>
                    <w:jc w:val="center"/>
                    <w:rPr>
                      <w:rFonts w:hint="eastAsia"/>
                      <w:color w:val="auto"/>
                      <w:lang w:eastAsia="zh-CN"/>
                    </w:rPr>
                  </w:pPr>
                </w:p>
              </w:tc>
              <w:tc>
                <w:tcPr>
                  <w:tcW w:w="1016" w:type="pct"/>
                  <w:tcBorders>
                    <w:tl2br w:val="nil"/>
                    <w:tr2bl w:val="nil"/>
                  </w:tcBorders>
                  <w:vAlign w:val="center"/>
                </w:tcPr>
                <w:p w14:paraId="6A79B34C">
                  <w:pPr>
                    <w:pStyle w:val="46"/>
                    <w:bidi w:val="0"/>
                    <w:jc w:val="center"/>
                    <w:rPr>
                      <w:rFonts w:hint="default"/>
                      <w:color w:val="auto"/>
                      <w:lang w:val="en-US" w:eastAsia="zh-CN"/>
                    </w:rPr>
                  </w:pPr>
                  <w:r>
                    <w:rPr>
                      <w:rFonts w:hint="eastAsia"/>
                      <w:color w:val="auto"/>
                      <w:lang w:val="en-US" w:eastAsia="zh-CN"/>
                    </w:rPr>
                    <w:t>设备清洗废水</w:t>
                  </w:r>
                </w:p>
              </w:tc>
              <w:tc>
                <w:tcPr>
                  <w:tcW w:w="942" w:type="pct"/>
                  <w:vMerge w:val="continue"/>
                  <w:tcBorders>
                    <w:tl2br w:val="nil"/>
                    <w:tr2bl w:val="nil"/>
                  </w:tcBorders>
                  <w:vAlign w:val="center"/>
                </w:tcPr>
                <w:p w14:paraId="221EA469">
                  <w:pPr>
                    <w:pStyle w:val="46"/>
                    <w:bidi w:val="0"/>
                    <w:ind w:firstLine="0" w:firstLineChars="0"/>
                    <w:jc w:val="center"/>
                    <w:rPr>
                      <w:rFonts w:hint="eastAsia" w:ascii="Times New Roman" w:hAnsi="Times New Roman" w:eastAsia="宋体" w:cs="宋体"/>
                      <w:color w:val="auto"/>
                      <w:sz w:val="21"/>
                      <w:szCs w:val="22"/>
                      <w:lang w:val="en-US" w:eastAsia="zh-CN" w:bidi="ar-SA"/>
                    </w:rPr>
                  </w:pPr>
                </w:p>
              </w:tc>
              <w:tc>
                <w:tcPr>
                  <w:tcW w:w="397" w:type="pct"/>
                  <w:tcBorders>
                    <w:tl2br w:val="nil"/>
                    <w:tr2bl w:val="nil"/>
                  </w:tcBorders>
                  <w:vAlign w:val="center"/>
                </w:tcPr>
                <w:p w14:paraId="7A451E23">
                  <w:pPr>
                    <w:pStyle w:val="46"/>
                    <w:bidi w:val="0"/>
                    <w:ind w:firstLine="0" w:firstLineChars="0"/>
                    <w:jc w:val="center"/>
                    <w:rPr>
                      <w:rFonts w:hint="default"/>
                      <w:color w:val="auto"/>
                      <w:lang w:val="en-US" w:eastAsia="zh-CN"/>
                    </w:rPr>
                  </w:pPr>
                  <w:r>
                    <w:rPr>
                      <w:rFonts w:hint="default"/>
                      <w:color w:val="auto"/>
                      <w:lang w:val="en-US" w:eastAsia="zh-CN"/>
                    </w:rPr>
                    <w:t>间断</w:t>
                  </w:r>
                </w:p>
              </w:tc>
              <w:tc>
                <w:tcPr>
                  <w:tcW w:w="1914" w:type="pct"/>
                  <w:vMerge w:val="continue"/>
                  <w:tcBorders>
                    <w:right w:val="single" w:color="auto" w:sz="12" w:space="0"/>
                    <w:tl2br w:val="nil"/>
                    <w:tr2bl w:val="nil"/>
                  </w:tcBorders>
                  <w:vAlign w:val="center"/>
                </w:tcPr>
                <w:p w14:paraId="3EF8816F">
                  <w:pPr>
                    <w:pStyle w:val="46"/>
                    <w:bidi w:val="0"/>
                    <w:ind w:firstLine="0" w:firstLineChars="0"/>
                    <w:jc w:val="center"/>
                    <w:rPr>
                      <w:rFonts w:hint="eastAsia"/>
                      <w:color w:val="auto"/>
                      <w:lang w:val="en-US" w:eastAsia="zh-CN"/>
                    </w:rPr>
                  </w:pPr>
                </w:p>
              </w:tc>
            </w:tr>
            <w:tr w14:paraId="34512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340" w:type="pct"/>
                  <w:tcBorders>
                    <w:left w:val="single" w:color="auto" w:sz="12" w:space="0"/>
                    <w:tl2br w:val="nil"/>
                    <w:tr2bl w:val="nil"/>
                  </w:tcBorders>
                  <w:vAlign w:val="center"/>
                </w:tcPr>
                <w:p w14:paraId="58889D53">
                  <w:pPr>
                    <w:pStyle w:val="46"/>
                    <w:bidi w:val="0"/>
                    <w:ind w:firstLine="0" w:firstLineChars="0"/>
                    <w:jc w:val="center"/>
                    <w:rPr>
                      <w:rFonts w:hint="eastAsia"/>
                      <w:color w:val="auto"/>
                      <w:lang w:val="en-US" w:eastAsia="zh-CN"/>
                    </w:rPr>
                  </w:pPr>
                  <w:r>
                    <w:rPr>
                      <w:rFonts w:hint="eastAsia"/>
                      <w:color w:val="auto"/>
                      <w:lang w:val="en-US" w:eastAsia="zh-CN"/>
                    </w:rPr>
                    <w:t>W3</w:t>
                  </w:r>
                </w:p>
              </w:tc>
              <w:tc>
                <w:tcPr>
                  <w:tcW w:w="389" w:type="pct"/>
                  <w:vMerge w:val="continue"/>
                  <w:tcBorders>
                    <w:tl2br w:val="nil"/>
                    <w:tr2bl w:val="nil"/>
                  </w:tcBorders>
                  <w:vAlign w:val="center"/>
                </w:tcPr>
                <w:p w14:paraId="291CE57F">
                  <w:pPr>
                    <w:pStyle w:val="46"/>
                    <w:bidi w:val="0"/>
                    <w:jc w:val="center"/>
                    <w:rPr>
                      <w:rFonts w:hint="eastAsia"/>
                      <w:color w:val="auto"/>
                      <w:lang w:eastAsia="zh-CN"/>
                    </w:rPr>
                  </w:pPr>
                </w:p>
              </w:tc>
              <w:tc>
                <w:tcPr>
                  <w:tcW w:w="1016" w:type="pct"/>
                  <w:tcBorders>
                    <w:tl2br w:val="nil"/>
                    <w:tr2bl w:val="nil"/>
                  </w:tcBorders>
                  <w:vAlign w:val="center"/>
                </w:tcPr>
                <w:p w14:paraId="69EDB6BF">
                  <w:pPr>
                    <w:pStyle w:val="46"/>
                    <w:bidi w:val="0"/>
                    <w:jc w:val="center"/>
                    <w:rPr>
                      <w:rFonts w:hint="default"/>
                      <w:color w:val="auto"/>
                      <w:lang w:val="en-US" w:eastAsia="zh-CN"/>
                    </w:rPr>
                  </w:pPr>
                  <w:r>
                    <w:rPr>
                      <w:rFonts w:hint="eastAsia"/>
                      <w:color w:val="auto"/>
                      <w:lang w:val="en-US" w:eastAsia="zh-CN"/>
                    </w:rPr>
                    <w:t>车间清洗废水</w:t>
                  </w:r>
                </w:p>
              </w:tc>
              <w:tc>
                <w:tcPr>
                  <w:tcW w:w="942" w:type="pct"/>
                  <w:vMerge w:val="continue"/>
                  <w:tcBorders>
                    <w:tl2br w:val="nil"/>
                    <w:tr2bl w:val="nil"/>
                  </w:tcBorders>
                  <w:vAlign w:val="center"/>
                </w:tcPr>
                <w:p w14:paraId="11330E81">
                  <w:pPr>
                    <w:pStyle w:val="46"/>
                    <w:bidi w:val="0"/>
                    <w:ind w:firstLine="0" w:firstLineChars="0"/>
                    <w:jc w:val="center"/>
                    <w:rPr>
                      <w:rFonts w:hint="eastAsia" w:ascii="Times New Roman" w:hAnsi="Times New Roman" w:eastAsia="宋体" w:cs="宋体"/>
                      <w:color w:val="auto"/>
                      <w:sz w:val="21"/>
                      <w:szCs w:val="22"/>
                      <w:lang w:val="en-US" w:eastAsia="zh-CN" w:bidi="ar-SA"/>
                    </w:rPr>
                  </w:pPr>
                </w:p>
              </w:tc>
              <w:tc>
                <w:tcPr>
                  <w:tcW w:w="397" w:type="pct"/>
                  <w:tcBorders>
                    <w:tl2br w:val="nil"/>
                    <w:tr2bl w:val="nil"/>
                  </w:tcBorders>
                  <w:vAlign w:val="center"/>
                </w:tcPr>
                <w:p w14:paraId="45B07E97">
                  <w:pPr>
                    <w:pStyle w:val="46"/>
                    <w:bidi w:val="0"/>
                    <w:ind w:firstLine="0" w:firstLineChars="0"/>
                    <w:jc w:val="center"/>
                    <w:rPr>
                      <w:rFonts w:hint="default"/>
                      <w:color w:val="auto"/>
                      <w:lang w:val="en-US" w:eastAsia="zh-CN"/>
                    </w:rPr>
                  </w:pPr>
                  <w:r>
                    <w:rPr>
                      <w:rFonts w:hint="default"/>
                      <w:color w:val="auto"/>
                      <w:lang w:val="en-US" w:eastAsia="zh-CN"/>
                    </w:rPr>
                    <w:t>间断</w:t>
                  </w:r>
                </w:p>
              </w:tc>
              <w:tc>
                <w:tcPr>
                  <w:tcW w:w="1914" w:type="pct"/>
                  <w:vMerge w:val="continue"/>
                  <w:tcBorders>
                    <w:right w:val="single" w:color="auto" w:sz="12" w:space="0"/>
                    <w:tl2br w:val="nil"/>
                    <w:tr2bl w:val="nil"/>
                  </w:tcBorders>
                  <w:vAlign w:val="center"/>
                </w:tcPr>
                <w:p w14:paraId="1B866DDE">
                  <w:pPr>
                    <w:pStyle w:val="46"/>
                    <w:bidi w:val="0"/>
                    <w:ind w:firstLine="0" w:firstLineChars="0"/>
                    <w:jc w:val="center"/>
                    <w:rPr>
                      <w:rFonts w:hint="default"/>
                      <w:color w:val="auto"/>
                      <w:lang w:val="en-US" w:eastAsia="zh-CN"/>
                    </w:rPr>
                  </w:pPr>
                </w:p>
              </w:tc>
            </w:tr>
            <w:tr w14:paraId="6BAB3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tcBorders>
                    <w:left w:val="single" w:color="auto" w:sz="12" w:space="0"/>
                    <w:tl2br w:val="nil"/>
                    <w:tr2bl w:val="nil"/>
                  </w:tcBorders>
                  <w:vAlign w:val="center"/>
                </w:tcPr>
                <w:p w14:paraId="0D6E868A">
                  <w:pPr>
                    <w:pStyle w:val="46"/>
                    <w:bidi w:val="0"/>
                    <w:ind w:firstLine="0" w:firstLineChars="0"/>
                    <w:jc w:val="center"/>
                    <w:rPr>
                      <w:rFonts w:hint="eastAsia"/>
                      <w:color w:val="auto"/>
                      <w:lang w:val="en-US" w:eastAsia="zh-CN"/>
                    </w:rPr>
                  </w:pPr>
                  <w:r>
                    <w:rPr>
                      <w:rFonts w:hint="eastAsia"/>
                      <w:color w:val="auto"/>
                      <w:lang w:val="en-US" w:eastAsia="zh-CN"/>
                    </w:rPr>
                    <w:t>W4</w:t>
                  </w:r>
                </w:p>
              </w:tc>
              <w:tc>
                <w:tcPr>
                  <w:tcW w:w="389" w:type="pct"/>
                  <w:vMerge w:val="continue"/>
                  <w:tcBorders>
                    <w:tl2br w:val="nil"/>
                    <w:tr2bl w:val="nil"/>
                  </w:tcBorders>
                  <w:vAlign w:val="center"/>
                </w:tcPr>
                <w:p w14:paraId="37DEC580">
                  <w:pPr>
                    <w:pStyle w:val="46"/>
                    <w:bidi w:val="0"/>
                    <w:jc w:val="center"/>
                    <w:rPr>
                      <w:rFonts w:hint="eastAsia"/>
                      <w:color w:val="auto"/>
                      <w:lang w:eastAsia="zh-CN"/>
                    </w:rPr>
                  </w:pPr>
                </w:p>
              </w:tc>
              <w:tc>
                <w:tcPr>
                  <w:tcW w:w="1016" w:type="pct"/>
                  <w:tcBorders>
                    <w:tl2br w:val="nil"/>
                    <w:tr2bl w:val="nil"/>
                  </w:tcBorders>
                  <w:vAlign w:val="center"/>
                </w:tcPr>
                <w:p w14:paraId="72DD4883">
                  <w:pPr>
                    <w:pStyle w:val="46"/>
                    <w:bidi w:val="0"/>
                    <w:ind w:firstLine="0" w:firstLineChars="0"/>
                    <w:jc w:val="center"/>
                    <w:rPr>
                      <w:rFonts w:hint="default" w:ascii="Times New Roman" w:hAnsi="Times New Roman" w:eastAsia="宋体" w:cs="宋体"/>
                      <w:color w:val="auto"/>
                      <w:sz w:val="21"/>
                      <w:szCs w:val="22"/>
                      <w:lang w:val="en-US" w:eastAsia="zh-CN" w:bidi="ar-SA"/>
                    </w:rPr>
                  </w:pPr>
                  <w:r>
                    <w:rPr>
                      <w:rFonts w:hint="eastAsia"/>
                      <w:color w:val="auto"/>
                      <w:lang w:val="en-US" w:eastAsia="zh-CN"/>
                    </w:rPr>
                    <w:t>生活污水</w:t>
                  </w:r>
                </w:p>
              </w:tc>
              <w:tc>
                <w:tcPr>
                  <w:tcW w:w="942" w:type="pct"/>
                  <w:vMerge w:val="continue"/>
                  <w:tcBorders>
                    <w:tl2br w:val="nil"/>
                    <w:tr2bl w:val="nil"/>
                  </w:tcBorders>
                  <w:vAlign w:val="center"/>
                </w:tcPr>
                <w:p w14:paraId="498A0AA8">
                  <w:pPr>
                    <w:pStyle w:val="46"/>
                    <w:bidi w:val="0"/>
                    <w:ind w:firstLine="0" w:firstLineChars="0"/>
                    <w:jc w:val="center"/>
                    <w:rPr>
                      <w:rFonts w:hint="eastAsia" w:ascii="Times New Roman" w:hAnsi="Times New Roman" w:eastAsia="宋体" w:cs="宋体"/>
                      <w:color w:val="auto"/>
                      <w:sz w:val="21"/>
                      <w:szCs w:val="22"/>
                      <w:lang w:val="en-US" w:eastAsia="zh-CN" w:bidi="ar-SA"/>
                    </w:rPr>
                  </w:pPr>
                </w:p>
              </w:tc>
              <w:tc>
                <w:tcPr>
                  <w:tcW w:w="397" w:type="pct"/>
                  <w:tcBorders>
                    <w:tl2br w:val="nil"/>
                    <w:tr2bl w:val="nil"/>
                  </w:tcBorders>
                  <w:vAlign w:val="center"/>
                </w:tcPr>
                <w:p w14:paraId="6E091F11">
                  <w:pPr>
                    <w:pStyle w:val="46"/>
                    <w:bidi w:val="0"/>
                    <w:ind w:firstLine="0" w:firstLineChars="0"/>
                    <w:jc w:val="center"/>
                    <w:rPr>
                      <w:rFonts w:hint="default" w:ascii="Times New Roman" w:hAnsi="Times New Roman" w:eastAsia="宋体" w:cs="宋体"/>
                      <w:color w:val="auto"/>
                      <w:sz w:val="21"/>
                      <w:szCs w:val="22"/>
                      <w:lang w:val="en-US" w:eastAsia="zh-CN" w:bidi="ar-SA"/>
                    </w:rPr>
                  </w:pPr>
                  <w:r>
                    <w:rPr>
                      <w:rFonts w:hint="default"/>
                      <w:color w:val="auto"/>
                      <w:lang w:val="en-US" w:eastAsia="zh-CN"/>
                    </w:rPr>
                    <w:t>间断</w:t>
                  </w:r>
                </w:p>
              </w:tc>
              <w:tc>
                <w:tcPr>
                  <w:tcW w:w="1914" w:type="pct"/>
                  <w:tcBorders>
                    <w:right w:val="single" w:color="auto" w:sz="12" w:space="0"/>
                    <w:tl2br w:val="nil"/>
                    <w:tr2bl w:val="nil"/>
                  </w:tcBorders>
                  <w:vAlign w:val="center"/>
                </w:tcPr>
                <w:p w14:paraId="0F166402">
                  <w:pPr>
                    <w:pStyle w:val="46"/>
                    <w:bidi w:val="0"/>
                    <w:ind w:firstLine="0" w:firstLineChars="0"/>
                    <w:jc w:val="center"/>
                    <w:rPr>
                      <w:rFonts w:hint="eastAsia"/>
                      <w:color w:val="auto"/>
                      <w:lang w:val="en-US" w:eastAsia="zh-CN"/>
                    </w:rPr>
                  </w:pPr>
                  <w:r>
                    <w:rPr>
                      <w:rFonts w:hint="eastAsia"/>
                      <w:color w:val="auto"/>
                      <w:lang w:val="en-US" w:eastAsia="zh-CN"/>
                    </w:rPr>
                    <w:t>排入市政排水管网</w:t>
                  </w:r>
                </w:p>
              </w:tc>
            </w:tr>
            <w:tr w14:paraId="1BEDF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40" w:type="pct"/>
                  <w:tcBorders>
                    <w:left w:val="single" w:color="auto" w:sz="12" w:space="0"/>
                    <w:tl2br w:val="nil"/>
                    <w:tr2bl w:val="nil"/>
                  </w:tcBorders>
                  <w:vAlign w:val="center"/>
                </w:tcPr>
                <w:p w14:paraId="4B37412C">
                  <w:pPr>
                    <w:pStyle w:val="46"/>
                    <w:bidi w:val="0"/>
                    <w:ind w:firstLine="0" w:firstLineChars="0"/>
                    <w:jc w:val="center"/>
                    <w:rPr>
                      <w:rFonts w:hint="eastAsia"/>
                      <w:color w:val="auto"/>
                      <w:lang w:val="en-US" w:eastAsia="zh-CN"/>
                    </w:rPr>
                  </w:pPr>
                  <w:r>
                    <w:rPr>
                      <w:rFonts w:hint="eastAsia"/>
                      <w:color w:val="auto"/>
                      <w:lang w:val="en-US" w:eastAsia="zh-CN"/>
                    </w:rPr>
                    <w:t>W5</w:t>
                  </w:r>
                </w:p>
              </w:tc>
              <w:tc>
                <w:tcPr>
                  <w:tcW w:w="389" w:type="pct"/>
                  <w:vMerge w:val="continue"/>
                  <w:tcBorders>
                    <w:tl2br w:val="nil"/>
                    <w:tr2bl w:val="nil"/>
                  </w:tcBorders>
                  <w:vAlign w:val="center"/>
                </w:tcPr>
                <w:p w14:paraId="2F87C284">
                  <w:pPr>
                    <w:pStyle w:val="46"/>
                    <w:bidi w:val="0"/>
                    <w:jc w:val="center"/>
                    <w:rPr>
                      <w:rFonts w:hint="eastAsia"/>
                      <w:color w:val="auto"/>
                      <w:lang w:eastAsia="zh-CN"/>
                    </w:rPr>
                  </w:pPr>
                </w:p>
              </w:tc>
              <w:tc>
                <w:tcPr>
                  <w:tcW w:w="1016" w:type="pct"/>
                  <w:tcBorders>
                    <w:tl2br w:val="nil"/>
                    <w:tr2bl w:val="nil"/>
                  </w:tcBorders>
                  <w:vAlign w:val="center"/>
                </w:tcPr>
                <w:p w14:paraId="56670901">
                  <w:pPr>
                    <w:pStyle w:val="46"/>
                    <w:bidi w:val="0"/>
                    <w:ind w:firstLine="0" w:firstLineChars="0"/>
                    <w:jc w:val="center"/>
                    <w:rPr>
                      <w:rFonts w:hint="eastAsia"/>
                      <w:color w:val="auto"/>
                      <w:lang w:val="en-US" w:eastAsia="zh-CN"/>
                    </w:rPr>
                  </w:pPr>
                  <w:r>
                    <w:rPr>
                      <w:rFonts w:hint="eastAsia"/>
                      <w:color w:val="auto"/>
                      <w:lang w:val="en-US" w:eastAsia="zh-CN"/>
                    </w:rPr>
                    <w:t>软化废水</w:t>
                  </w:r>
                </w:p>
              </w:tc>
              <w:tc>
                <w:tcPr>
                  <w:tcW w:w="942" w:type="pct"/>
                  <w:tcBorders>
                    <w:tl2br w:val="nil"/>
                    <w:tr2bl w:val="nil"/>
                  </w:tcBorders>
                  <w:vAlign w:val="center"/>
                </w:tcPr>
                <w:p w14:paraId="064CB481">
                  <w:pPr>
                    <w:pStyle w:val="46"/>
                    <w:bidi w:val="0"/>
                    <w:ind w:firstLine="0" w:firstLineChars="0"/>
                    <w:jc w:val="center"/>
                    <w:rPr>
                      <w:rFonts w:hint="eastAsia" w:ascii="Times New Roman" w:hAnsi="Times New Roman" w:eastAsia="宋体" w:cs="宋体"/>
                      <w:color w:val="auto"/>
                      <w:sz w:val="21"/>
                      <w:szCs w:val="22"/>
                      <w:lang w:val="en-US" w:eastAsia="zh-CN" w:bidi="ar-SA"/>
                    </w:rPr>
                  </w:pPr>
                  <w:r>
                    <w:rPr>
                      <w:rFonts w:hint="eastAsia"/>
                      <w:color w:val="auto"/>
                    </w:rPr>
                    <w:t>COD、溶解性总固体、pH</w:t>
                  </w:r>
                </w:p>
              </w:tc>
              <w:tc>
                <w:tcPr>
                  <w:tcW w:w="397" w:type="pct"/>
                  <w:tcBorders>
                    <w:tl2br w:val="nil"/>
                    <w:tr2bl w:val="nil"/>
                  </w:tcBorders>
                  <w:vAlign w:val="center"/>
                </w:tcPr>
                <w:p w14:paraId="48E49F42">
                  <w:pPr>
                    <w:pStyle w:val="46"/>
                    <w:bidi w:val="0"/>
                    <w:ind w:firstLine="0" w:firstLineChars="0"/>
                    <w:jc w:val="center"/>
                    <w:rPr>
                      <w:rFonts w:hint="default"/>
                      <w:color w:val="auto"/>
                      <w:lang w:val="en-US" w:eastAsia="zh-CN"/>
                    </w:rPr>
                  </w:pPr>
                  <w:r>
                    <w:rPr>
                      <w:rFonts w:hint="default"/>
                      <w:color w:val="auto"/>
                      <w:lang w:val="en-US" w:eastAsia="zh-CN"/>
                    </w:rPr>
                    <w:t>间断</w:t>
                  </w:r>
                </w:p>
              </w:tc>
              <w:tc>
                <w:tcPr>
                  <w:tcW w:w="1914" w:type="pct"/>
                  <w:tcBorders>
                    <w:right w:val="single" w:color="auto" w:sz="12" w:space="0"/>
                    <w:tl2br w:val="nil"/>
                    <w:tr2bl w:val="nil"/>
                  </w:tcBorders>
                  <w:vAlign w:val="center"/>
                </w:tcPr>
                <w:p w14:paraId="4E27887C">
                  <w:pPr>
                    <w:pStyle w:val="46"/>
                    <w:bidi w:val="0"/>
                    <w:ind w:firstLine="0" w:firstLineChars="0"/>
                    <w:jc w:val="center"/>
                    <w:rPr>
                      <w:rFonts w:hint="eastAsia"/>
                      <w:color w:val="auto"/>
                      <w:lang w:val="en-US" w:eastAsia="zh-CN"/>
                    </w:rPr>
                  </w:pPr>
                  <w:r>
                    <w:rPr>
                      <w:rFonts w:hint="eastAsia"/>
                      <w:color w:val="auto"/>
                      <w:lang w:val="en-US" w:eastAsia="zh-CN"/>
                    </w:rPr>
                    <w:t>排入市政排水管网</w:t>
                  </w:r>
                </w:p>
              </w:tc>
            </w:tr>
            <w:tr w14:paraId="68807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40" w:type="pct"/>
                  <w:tcBorders>
                    <w:left w:val="single" w:color="auto" w:sz="12" w:space="0"/>
                    <w:tl2br w:val="nil"/>
                    <w:tr2bl w:val="nil"/>
                  </w:tcBorders>
                  <w:vAlign w:val="center"/>
                </w:tcPr>
                <w:p w14:paraId="35528725">
                  <w:pPr>
                    <w:pStyle w:val="46"/>
                    <w:bidi w:val="0"/>
                    <w:ind w:firstLine="0" w:firstLineChars="0"/>
                    <w:jc w:val="center"/>
                    <w:rPr>
                      <w:rFonts w:hint="eastAsia"/>
                      <w:color w:val="auto"/>
                      <w:lang w:val="en-US" w:eastAsia="zh-CN"/>
                    </w:rPr>
                  </w:pPr>
                  <w:r>
                    <w:rPr>
                      <w:rFonts w:hint="eastAsia"/>
                      <w:color w:val="auto"/>
                      <w:lang w:val="en-US" w:eastAsia="zh-CN"/>
                    </w:rPr>
                    <w:t>S1</w:t>
                  </w:r>
                </w:p>
              </w:tc>
              <w:tc>
                <w:tcPr>
                  <w:tcW w:w="389" w:type="pct"/>
                  <w:vMerge w:val="restart"/>
                  <w:tcBorders>
                    <w:tl2br w:val="nil"/>
                    <w:tr2bl w:val="nil"/>
                  </w:tcBorders>
                  <w:vAlign w:val="center"/>
                </w:tcPr>
                <w:p w14:paraId="35C2B3BF">
                  <w:pPr>
                    <w:pStyle w:val="46"/>
                    <w:bidi w:val="0"/>
                    <w:jc w:val="center"/>
                    <w:rPr>
                      <w:rFonts w:hint="eastAsia"/>
                      <w:color w:val="auto"/>
                      <w:lang w:eastAsia="zh-CN"/>
                    </w:rPr>
                  </w:pPr>
                  <w:r>
                    <w:rPr>
                      <w:rFonts w:hint="eastAsia"/>
                      <w:color w:val="auto"/>
                      <w:lang w:val="en-US" w:eastAsia="zh-CN"/>
                    </w:rPr>
                    <w:t>固废</w:t>
                  </w:r>
                </w:p>
              </w:tc>
              <w:tc>
                <w:tcPr>
                  <w:tcW w:w="1016" w:type="pct"/>
                  <w:tcBorders>
                    <w:tl2br w:val="nil"/>
                    <w:tr2bl w:val="nil"/>
                  </w:tcBorders>
                  <w:vAlign w:val="center"/>
                </w:tcPr>
                <w:p w14:paraId="4411FF4D">
                  <w:pPr>
                    <w:pStyle w:val="46"/>
                    <w:bidi w:val="0"/>
                    <w:jc w:val="center"/>
                    <w:rPr>
                      <w:rFonts w:hint="default"/>
                      <w:color w:val="auto"/>
                      <w:lang w:val="en-US" w:eastAsia="zh-CN"/>
                    </w:rPr>
                  </w:pPr>
                  <w:r>
                    <w:rPr>
                      <w:rFonts w:hint="eastAsia"/>
                      <w:color w:val="auto"/>
                      <w:lang w:val="en-US" w:eastAsia="zh-CN"/>
                    </w:rPr>
                    <w:t>挑选</w:t>
                  </w:r>
                </w:p>
              </w:tc>
              <w:tc>
                <w:tcPr>
                  <w:tcW w:w="942" w:type="pct"/>
                  <w:tcBorders>
                    <w:tl2br w:val="nil"/>
                    <w:tr2bl w:val="nil"/>
                  </w:tcBorders>
                  <w:vAlign w:val="center"/>
                </w:tcPr>
                <w:p w14:paraId="4EC7DB63">
                  <w:pPr>
                    <w:pStyle w:val="46"/>
                    <w:bidi w:val="0"/>
                    <w:jc w:val="center"/>
                    <w:rPr>
                      <w:rFonts w:hint="eastAsia"/>
                      <w:color w:val="auto"/>
                      <w:lang w:eastAsia="zh-CN"/>
                    </w:rPr>
                  </w:pPr>
                  <w:r>
                    <w:rPr>
                      <w:rFonts w:hint="eastAsia"/>
                      <w:color w:val="auto"/>
                      <w:lang w:val="en-US" w:eastAsia="zh-CN"/>
                    </w:rPr>
                    <w:t>烂果</w:t>
                  </w:r>
                </w:p>
              </w:tc>
              <w:tc>
                <w:tcPr>
                  <w:tcW w:w="397" w:type="pct"/>
                  <w:tcBorders>
                    <w:tl2br w:val="nil"/>
                    <w:tr2bl w:val="nil"/>
                  </w:tcBorders>
                  <w:vAlign w:val="center"/>
                </w:tcPr>
                <w:p w14:paraId="324B26D0">
                  <w:pPr>
                    <w:pStyle w:val="46"/>
                    <w:bidi w:val="0"/>
                    <w:jc w:val="center"/>
                    <w:rPr>
                      <w:rFonts w:hint="eastAsia"/>
                      <w:color w:val="auto"/>
                      <w:lang w:eastAsia="zh-CN"/>
                    </w:rPr>
                  </w:pPr>
                  <w:r>
                    <w:rPr>
                      <w:rFonts w:hint="default"/>
                      <w:color w:val="auto"/>
                      <w:lang w:val="en-US" w:eastAsia="zh-CN"/>
                    </w:rPr>
                    <w:t>间断</w:t>
                  </w:r>
                </w:p>
              </w:tc>
              <w:tc>
                <w:tcPr>
                  <w:tcW w:w="1914" w:type="pct"/>
                  <w:vMerge w:val="restart"/>
                  <w:tcBorders>
                    <w:right w:val="single" w:color="auto" w:sz="12" w:space="0"/>
                    <w:tl2br w:val="nil"/>
                    <w:tr2bl w:val="nil"/>
                  </w:tcBorders>
                  <w:vAlign w:val="center"/>
                </w:tcPr>
                <w:p w14:paraId="219EC7AD">
                  <w:pPr>
                    <w:pStyle w:val="46"/>
                    <w:bidi w:val="0"/>
                    <w:jc w:val="center"/>
                    <w:rPr>
                      <w:rFonts w:hint="eastAsia"/>
                      <w:color w:val="auto"/>
                      <w:lang w:val="en-US" w:eastAsia="zh-CN"/>
                    </w:rPr>
                  </w:pPr>
                  <w:r>
                    <w:rPr>
                      <w:rFonts w:hint="eastAsia"/>
                      <w:color w:val="auto"/>
                      <w:lang w:val="en-US" w:eastAsia="zh-CN"/>
                    </w:rPr>
                    <w:t>收集后作为饲料原料外售</w:t>
                  </w:r>
                </w:p>
              </w:tc>
            </w:tr>
            <w:tr w14:paraId="529A7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tcBorders>
                    <w:left w:val="single" w:color="auto" w:sz="12" w:space="0"/>
                    <w:tl2br w:val="nil"/>
                    <w:tr2bl w:val="nil"/>
                  </w:tcBorders>
                  <w:vAlign w:val="center"/>
                </w:tcPr>
                <w:p w14:paraId="4079C161">
                  <w:pPr>
                    <w:pStyle w:val="46"/>
                    <w:bidi w:val="0"/>
                    <w:ind w:firstLine="0" w:firstLineChars="0"/>
                    <w:jc w:val="center"/>
                    <w:rPr>
                      <w:rFonts w:hint="eastAsia"/>
                      <w:color w:val="auto"/>
                      <w:lang w:val="en-US" w:eastAsia="zh-CN"/>
                    </w:rPr>
                  </w:pPr>
                  <w:r>
                    <w:rPr>
                      <w:rFonts w:hint="eastAsia"/>
                      <w:color w:val="auto"/>
                      <w:lang w:val="en-US" w:eastAsia="zh-CN"/>
                    </w:rPr>
                    <w:t>S2</w:t>
                  </w:r>
                </w:p>
              </w:tc>
              <w:tc>
                <w:tcPr>
                  <w:tcW w:w="389" w:type="pct"/>
                  <w:vMerge w:val="continue"/>
                  <w:tcBorders>
                    <w:tl2br w:val="nil"/>
                    <w:tr2bl w:val="nil"/>
                  </w:tcBorders>
                  <w:vAlign w:val="center"/>
                </w:tcPr>
                <w:p w14:paraId="3F04A2DA">
                  <w:pPr>
                    <w:pStyle w:val="46"/>
                    <w:bidi w:val="0"/>
                    <w:jc w:val="center"/>
                    <w:rPr>
                      <w:rFonts w:hint="eastAsia"/>
                      <w:color w:val="auto"/>
                      <w:lang w:val="en-US" w:eastAsia="zh-CN"/>
                    </w:rPr>
                  </w:pPr>
                </w:p>
              </w:tc>
              <w:tc>
                <w:tcPr>
                  <w:tcW w:w="1016" w:type="pct"/>
                  <w:tcBorders>
                    <w:tl2br w:val="nil"/>
                    <w:tr2bl w:val="nil"/>
                  </w:tcBorders>
                  <w:vAlign w:val="center"/>
                </w:tcPr>
                <w:p w14:paraId="3F087481">
                  <w:pPr>
                    <w:pStyle w:val="46"/>
                    <w:bidi w:val="0"/>
                    <w:jc w:val="center"/>
                    <w:rPr>
                      <w:rFonts w:hint="default"/>
                      <w:color w:val="auto"/>
                      <w:lang w:val="en-US" w:eastAsia="zh-CN"/>
                    </w:rPr>
                  </w:pPr>
                  <w:r>
                    <w:rPr>
                      <w:rFonts w:hint="eastAsia"/>
                      <w:color w:val="auto"/>
                      <w:lang w:val="en-US" w:eastAsia="zh-CN"/>
                    </w:rPr>
                    <w:t>去梗</w:t>
                  </w:r>
                </w:p>
              </w:tc>
              <w:tc>
                <w:tcPr>
                  <w:tcW w:w="942" w:type="pct"/>
                  <w:tcBorders>
                    <w:tl2br w:val="nil"/>
                    <w:tr2bl w:val="nil"/>
                  </w:tcBorders>
                  <w:vAlign w:val="center"/>
                </w:tcPr>
                <w:p w14:paraId="3F1F71BD">
                  <w:pPr>
                    <w:pStyle w:val="46"/>
                    <w:bidi w:val="0"/>
                    <w:jc w:val="center"/>
                    <w:rPr>
                      <w:rFonts w:hint="default"/>
                      <w:color w:val="auto"/>
                      <w:lang w:val="en-US" w:eastAsia="zh-CN"/>
                    </w:rPr>
                  </w:pPr>
                  <w:r>
                    <w:rPr>
                      <w:rFonts w:hint="eastAsia"/>
                      <w:color w:val="auto"/>
                      <w:lang w:val="en-US" w:eastAsia="zh-CN"/>
                    </w:rPr>
                    <w:t>果梗</w:t>
                  </w:r>
                </w:p>
              </w:tc>
              <w:tc>
                <w:tcPr>
                  <w:tcW w:w="397" w:type="pct"/>
                  <w:tcBorders>
                    <w:tl2br w:val="nil"/>
                    <w:tr2bl w:val="nil"/>
                  </w:tcBorders>
                  <w:vAlign w:val="center"/>
                </w:tcPr>
                <w:p w14:paraId="4D2890B8">
                  <w:pPr>
                    <w:pStyle w:val="46"/>
                    <w:bidi w:val="0"/>
                    <w:jc w:val="center"/>
                    <w:rPr>
                      <w:rFonts w:hint="default"/>
                      <w:color w:val="auto"/>
                      <w:lang w:val="en-US" w:eastAsia="zh-CN"/>
                    </w:rPr>
                  </w:pPr>
                  <w:r>
                    <w:rPr>
                      <w:rFonts w:hint="default"/>
                      <w:color w:val="auto"/>
                      <w:lang w:val="en-US" w:eastAsia="zh-CN"/>
                    </w:rPr>
                    <w:t>间断</w:t>
                  </w:r>
                </w:p>
              </w:tc>
              <w:tc>
                <w:tcPr>
                  <w:tcW w:w="1914" w:type="pct"/>
                  <w:vMerge w:val="continue"/>
                  <w:tcBorders>
                    <w:right w:val="single" w:color="auto" w:sz="12" w:space="0"/>
                    <w:tl2br w:val="nil"/>
                    <w:tr2bl w:val="nil"/>
                  </w:tcBorders>
                  <w:vAlign w:val="center"/>
                </w:tcPr>
                <w:p w14:paraId="2EE5BB82">
                  <w:pPr>
                    <w:pStyle w:val="46"/>
                    <w:bidi w:val="0"/>
                    <w:jc w:val="center"/>
                    <w:rPr>
                      <w:rFonts w:hint="eastAsia"/>
                      <w:color w:val="auto"/>
                      <w:lang w:val="en-US" w:eastAsia="zh-CN"/>
                    </w:rPr>
                  </w:pPr>
                </w:p>
              </w:tc>
            </w:tr>
            <w:tr w14:paraId="4676D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tcBorders>
                    <w:left w:val="single" w:color="auto" w:sz="12" w:space="0"/>
                    <w:tl2br w:val="nil"/>
                    <w:tr2bl w:val="nil"/>
                  </w:tcBorders>
                  <w:vAlign w:val="center"/>
                </w:tcPr>
                <w:p w14:paraId="068F57E3">
                  <w:pPr>
                    <w:pStyle w:val="46"/>
                    <w:bidi w:val="0"/>
                    <w:ind w:firstLine="0" w:firstLineChars="0"/>
                    <w:jc w:val="center"/>
                    <w:rPr>
                      <w:rFonts w:hint="eastAsia"/>
                      <w:color w:val="auto"/>
                      <w:lang w:val="en-US" w:eastAsia="zh-CN"/>
                    </w:rPr>
                  </w:pPr>
                  <w:r>
                    <w:rPr>
                      <w:rFonts w:hint="eastAsia"/>
                      <w:color w:val="auto"/>
                      <w:lang w:val="en-US" w:eastAsia="zh-CN"/>
                    </w:rPr>
                    <w:t>S3</w:t>
                  </w:r>
                </w:p>
              </w:tc>
              <w:tc>
                <w:tcPr>
                  <w:tcW w:w="389" w:type="pct"/>
                  <w:vMerge w:val="continue"/>
                  <w:tcBorders>
                    <w:tl2br w:val="nil"/>
                    <w:tr2bl w:val="nil"/>
                  </w:tcBorders>
                  <w:vAlign w:val="center"/>
                </w:tcPr>
                <w:p w14:paraId="0C97D21B">
                  <w:pPr>
                    <w:pStyle w:val="46"/>
                    <w:bidi w:val="0"/>
                    <w:jc w:val="center"/>
                    <w:rPr>
                      <w:rFonts w:hint="eastAsia"/>
                      <w:color w:val="auto"/>
                      <w:lang w:val="en-US" w:eastAsia="zh-CN"/>
                    </w:rPr>
                  </w:pPr>
                </w:p>
              </w:tc>
              <w:tc>
                <w:tcPr>
                  <w:tcW w:w="1016" w:type="pct"/>
                  <w:tcBorders>
                    <w:tl2br w:val="nil"/>
                    <w:tr2bl w:val="nil"/>
                  </w:tcBorders>
                  <w:vAlign w:val="center"/>
                </w:tcPr>
                <w:p w14:paraId="78DB491E">
                  <w:pPr>
                    <w:pStyle w:val="46"/>
                    <w:bidi w:val="0"/>
                    <w:jc w:val="center"/>
                    <w:rPr>
                      <w:rFonts w:hint="default"/>
                      <w:color w:val="auto"/>
                      <w:lang w:val="en-US" w:eastAsia="zh-CN"/>
                    </w:rPr>
                  </w:pPr>
                  <w:r>
                    <w:rPr>
                      <w:rFonts w:hint="eastAsia"/>
                      <w:color w:val="auto"/>
                      <w:lang w:val="en-US" w:eastAsia="zh-CN"/>
                    </w:rPr>
                    <w:t>压榨</w:t>
                  </w:r>
                </w:p>
              </w:tc>
              <w:tc>
                <w:tcPr>
                  <w:tcW w:w="942" w:type="pct"/>
                  <w:tcBorders>
                    <w:tl2br w:val="nil"/>
                    <w:tr2bl w:val="nil"/>
                  </w:tcBorders>
                  <w:vAlign w:val="center"/>
                </w:tcPr>
                <w:p w14:paraId="7E0BA5B7">
                  <w:pPr>
                    <w:pStyle w:val="46"/>
                    <w:bidi w:val="0"/>
                    <w:jc w:val="center"/>
                    <w:rPr>
                      <w:rFonts w:hint="default"/>
                      <w:color w:val="auto"/>
                      <w:lang w:val="en-US" w:eastAsia="zh-CN"/>
                    </w:rPr>
                  </w:pPr>
                  <w:r>
                    <w:rPr>
                      <w:rFonts w:hint="eastAsia"/>
                      <w:color w:val="auto"/>
                      <w:lang w:val="en-US" w:eastAsia="zh-CN"/>
                    </w:rPr>
                    <w:t>果渣</w:t>
                  </w:r>
                </w:p>
              </w:tc>
              <w:tc>
                <w:tcPr>
                  <w:tcW w:w="397" w:type="pct"/>
                  <w:tcBorders>
                    <w:tl2br w:val="nil"/>
                    <w:tr2bl w:val="nil"/>
                  </w:tcBorders>
                  <w:vAlign w:val="center"/>
                </w:tcPr>
                <w:p w14:paraId="5741F408">
                  <w:pPr>
                    <w:pStyle w:val="46"/>
                    <w:bidi w:val="0"/>
                    <w:jc w:val="center"/>
                    <w:rPr>
                      <w:rFonts w:hint="default"/>
                      <w:color w:val="auto"/>
                      <w:lang w:val="en-US" w:eastAsia="zh-CN"/>
                    </w:rPr>
                  </w:pPr>
                  <w:r>
                    <w:rPr>
                      <w:rFonts w:hint="default"/>
                      <w:color w:val="auto"/>
                      <w:lang w:val="en-US" w:eastAsia="zh-CN"/>
                    </w:rPr>
                    <w:t>间断</w:t>
                  </w:r>
                </w:p>
              </w:tc>
              <w:tc>
                <w:tcPr>
                  <w:tcW w:w="1914" w:type="pct"/>
                  <w:vMerge w:val="continue"/>
                  <w:tcBorders>
                    <w:right w:val="single" w:color="auto" w:sz="12" w:space="0"/>
                    <w:tl2br w:val="nil"/>
                    <w:tr2bl w:val="nil"/>
                  </w:tcBorders>
                  <w:vAlign w:val="center"/>
                </w:tcPr>
                <w:p w14:paraId="0C8D1F9C">
                  <w:pPr>
                    <w:pStyle w:val="46"/>
                    <w:bidi w:val="0"/>
                    <w:jc w:val="center"/>
                    <w:rPr>
                      <w:rFonts w:hint="eastAsia"/>
                      <w:color w:val="auto"/>
                      <w:lang w:val="en-US" w:eastAsia="zh-CN"/>
                    </w:rPr>
                  </w:pPr>
                </w:p>
              </w:tc>
            </w:tr>
            <w:tr w14:paraId="5237A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tcBorders>
                    <w:left w:val="single" w:color="auto" w:sz="12" w:space="0"/>
                    <w:tl2br w:val="nil"/>
                    <w:tr2bl w:val="nil"/>
                  </w:tcBorders>
                  <w:vAlign w:val="center"/>
                </w:tcPr>
                <w:p w14:paraId="4E44AECC">
                  <w:pPr>
                    <w:pStyle w:val="46"/>
                    <w:bidi w:val="0"/>
                    <w:ind w:firstLine="0" w:firstLineChars="0"/>
                    <w:jc w:val="center"/>
                    <w:rPr>
                      <w:rFonts w:hint="eastAsia"/>
                      <w:color w:val="auto"/>
                      <w:lang w:val="en-US" w:eastAsia="zh-CN"/>
                    </w:rPr>
                  </w:pPr>
                  <w:r>
                    <w:rPr>
                      <w:rFonts w:hint="eastAsia"/>
                      <w:color w:val="auto"/>
                      <w:lang w:val="en-US" w:eastAsia="zh-CN"/>
                    </w:rPr>
                    <w:t>S4</w:t>
                  </w:r>
                </w:p>
              </w:tc>
              <w:tc>
                <w:tcPr>
                  <w:tcW w:w="389" w:type="pct"/>
                  <w:vMerge w:val="continue"/>
                  <w:tcBorders>
                    <w:tl2br w:val="nil"/>
                    <w:tr2bl w:val="nil"/>
                  </w:tcBorders>
                  <w:vAlign w:val="center"/>
                </w:tcPr>
                <w:p w14:paraId="631B6CB6">
                  <w:pPr>
                    <w:pStyle w:val="46"/>
                    <w:bidi w:val="0"/>
                    <w:jc w:val="center"/>
                    <w:rPr>
                      <w:rFonts w:hint="eastAsia"/>
                      <w:color w:val="auto"/>
                      <w:lang w:val="en-US" w:eastAsia="zh-CN"/>
                    </w:rPr>
                  </w:pPr>
                </w:p>
              </w:tc>
              <w:tc>
                <w:tcPr>
                  <w:tcW w:w="1016" w:type="pct"/>
                  <w:tcBorders>
                    <w:tl2br w:val="nil"/>
                    <w:tr2bl w:val="nil"/>
                  </w:tcBorders>
                  <w:vAlign w:val="center"/>
                </w:tcPr>
                <w:p w14:paraId="15A79812">
                  <w:pPr>
                    <w:pStyle w:val="46"/>
                    <w:bidi w:val="0"/>
                    <w:jc w:val="center"/>
                    <w:rPr>
                      <w:rFonts w:hint="default"/>
                      <w:color w:val="auto"/>
                      <w:lang w:val="en-US" w:eastAsia="zh-CN"/>
                    </w:rPr>
                  </w:pPr>
                  <w:r>
                    <w:rPr>
                      <w:rFonts w:hint="eastAsia"/>
                      <w:color w:val="auto"/>
                      <w:lang w:val="en-US" w:eastAsia="zh-CN"/>
                    </w:rPr>
                    <w:t>包装</w:t>
                  </w:r>
                </w:p>
              </w:tc>
              <w:tc>
                <w:tcPr>
                  <w:tcW w:w="942" w:type="pct"/>
                  <w:tcBorders>
                    <w:tl2br w:val="nil"/>
                    <w:tr2bl w:val="nil"/>
                  </w:tcBorders>
                  <w:vAlign w:val="center"/>
                </w:tcPr>
                <w:p w14:paraId="18612B79">
                  <w:pPr>
                    <w:pStyle w:val="46"/>
                    <w:bidi w:val="0"/>
                    <w:jc w:val="center"/>
                    <w:rPr>
                      <w:rFonts w:hint="default"/>
                      <w:color w:val="auto"/>
                      <w:lang w:val="en-US" w:eastAsia="zh-CN"/>
                    </w:rPr>
                  </w:pPr>
                  <w:r>
                    <w:rPr>
                      <w:rFonts w:hint="eastAsia"/>
                      <w:color w:val="auto"/>
                      <w:lang w:val="en-US" w:eastAsia="zh-CN"/>
                    </w:rPr>
                    <w:t>废包装</w:t>
                  </w:r>
                </w:p>
              </w:tc>
              <w:tc>
                <w:tcPr>
                  <w:tcW w:w="397" w:type="pct"/>
                  <w:tcBorders>
                    <w:tl2br w:val="nil"/>
                    <w:tr2bl w:val="nil"/>
                  </w:tcBorders>
                  <w:vAlign w:val="center"/>
                </w:tcPr>
                <w:p w14:paraId="336D51F1">
                  <w:pPr>
                    <w:pStyle w:val="46"/>
                    <w:bidi w:val="0"/>
                    <w:jc w:val="center"/>
                    <w:rPr>
                      <w:rFonts w:hint="default"/>
                      <w:color w:val="auto"/>
                      <w:lang w:val="en-US" w:eastAsia="zh-CN"/>
                    </w:rPr>
                  </w:pPr>
                  <w:r>
                    <w:rPr>
                      <w:rFonts w:hint="default"/>
                      <w:color w:val="auto"/>
                      <w:lang w:val="en-US" w:eastAsia="zh-CN"/>
                    </w:rPr>
                    <w:t>间断</w:t>
                  </w:r>
                </w:p>
              </w:tc>
              <w:tc>
                <w:tcPr>
                  <w:tcW w:w="1914" w:type="pct"/>
                  <w:tcBorders>
                    <w:right w:val="single" w:color="auto" w:sz="12" w:space="0"/>
                    <w:tl2br w:val="nil"/>
                    <w:tr2bl w:val="nil"/>
                  </w:tcBorders>
                  <w:vAlign w:val="center"/>
                </w:tcPr>
                <w:p w14:paraId="682C5531">
                  <w:pPr>
                    <w:pStyle w:val="46"/>
                    <w:bidi w:val="0"/>
                    <w:jc w:val="center"/>
                    <w:rPr>
                      <w:rFonts w:hint="default"/>
                      <w:color w:val="auto"/>
                      <w:lang w:val="en-US" w:eastAsia="zh-CN"/>
                    </w:rPr>
                  </w:pPr>
                  <w:r>
                    <w:rPr>
                      <w:rFonts w:hint="eastAsia"/>
                      <w:color w:val="auto"/>
                      <w:lang w:val="en-US" w:eastAsia="zh-CN"/>
                    </w:rPr>
                    <w:t>综合外售</w:t>
                  </w:r>
                </w:p>
              </w:tc>
            </w:tr>
            <w:tr w14:paraId="7C916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tcBorders>
                    <w:left w:val="single" w:color="auto" w:sz="12" w:space="0"/>
                    <w:tl2br w:val="nil"/>
                    <w:tr2bl w:val="nil"/>
                  </w:tcBorders>
                  <w:vAlign w:val="center"/>
                </w:tcPr>
                <w:p w14:paraId="4632AA5B">
                  <w:pPr>
                    <w:pStyle w:val="46"/>
                    <w:bidi w:val="0"/>
                    <w:ind w:firstLine="0" w:firstLineChars="0"/>
                    <w:jc w:val="center"/>
                    <w:rPr>
                      <w:rFonts w:hint="eastAsia"/>
                      <w:color w:val="auto"/>
                      <w:lang w:val="en-US" w:eastAsia="zh-CN"/>
                    </w:rPr>
                  </w:pPr>
                  <w:r>
                    <w:rPr>
                      <w:rFonts w:hint="eastAsia"/>
                      <w:color w:val="auto"/>
                      <w:lang w:val="en-US" w:eastAsia="zh-CN"/>
                    </w:rPr>
                    <w:t>S5</w:t>
                  </w:r>
                </w:p>
              </w:tc>
              <w:tc>
                <w:tcPr>
                  <w:tcW w:w="389" w:type="pct"/>
                  <w:vMerge w:val="continue"/>
                  <w:tcBorders>
                    <w:tl2br w:val="nil"/>
                    <w:tr2bl w:val="nil"/>
                  </w:tcBorders>
                  <w:vAlign w:val="center"/>
                </w:tcPr>
                <w:p w14:paraId="0D215A12">
                  <w:pPr>
                    <w:pStyle w:val="46"/>
                    <w:bidi w:val="0"/>
                    <w:jc w:val="center"/>
                    <w:rPr>
                      <w:rFonts w:hint="eastAsia"/>
                      <w:color w:val="auto"/>
                      <w:lang w:val="en-US" w:eastAsia="zh-CN"/>
                    </w:rPr>
                  </w:pPr>
                </w:p>
              </w:tc>
              <w:tc>
                <w:tcPr>
                  <w:tcW w:w="1016" w:type="pct"/>
                  <w:tcBorders>
                    <w:tl2br w:val="nil"/>
                    <w:tr2bl w:val="nil"/>
                  </w:tcBorders>
                  <w:vAlign w:val="center"/>
                </w:tcPr>
                <w:p w14:paraId="13A96DBA">
                  <w:pPr>
                    <w:pStyle w:val="46"/>
                    <w:bidi w:val="0"/>
                    <w:jc w:val="center"/>
                    <w:rPr>
                      <w:rFonts w:hint="default"/>
                      <w:color w:val="auto"/>
                      <w:lang w:val="en-US" w:eastAsia="zh-CN"/>
                    </w:rPr>
                  </w:pPr>
                  <w:r>
                    <w:rPr>
                      <w:rFonts w:hint="eastAsia"/>
                      <w:color w:val="auto"/>
                      <w:lang w:val="en-US" w:eastAsia="zh-CN"/>
                    </w:rPr>
                    <w:t>脱色吸附</w:t>
                  </w:r>
                </w:p>
              </w:tc>
              <w:tc>
                <w:tcPr>
                  <w:tcW w:w="942" w:type="pct"/>
                  <w:tcBorders>
                    <w:tl2br w:val="nil"/>
                    <w:tr2bl w:val="nil"/>
                  </w:tcBorders>
                  <w:vAlign w:val="center"/>
                </w:tcPr>
                <w:p w14:paraId="208E399D">
                  <w:pPr>
                    <w:pStyle w:val="46"/>
                    <w:bidi w:val="0"/>
                    <w:jc w:val="center"/>
                    <w:rPr>
                      <w:rFonts w:hint="default"/>
                      <w:color w:val="auto"/>
                      <w:lang w:val="en-US" w:eastAsia="zh-CN"/>
                    </w:rPr>
                  </w:pPr>
                  <w:r>
                    <w:rPr>
                      <w:rFonts w:hint="eastAsia"/>
                      <w:color w:val="auto"/>
                      <w:lang w:val="en-US" w:eastAsia="zh-CN"/>
                    </w:rPr>
                    <w:t>废离子树脂</w:t>
                  </w:r>
                </w:p>
              </w:tc>
              <w:tc>
                <w:tcPr>
                  <w:tcW w:w="397" w:type="pct"/>
                  <w:tcBorders>
                    <w:tl2br w:val="nil"/>
                    <w:tr2bl w:val="nil"/>
                  </w:tcBorders>
                  <w:vAlign w:val="center"/>
                </w:tcPr>
                <w:p w14:paraId="2E3360C3">
                  <w:pPr>
                    <w:pStyle w:val="46"/>
                    <w:bidi w:val="0"/>
                    <w:jc w:val="center"/>
                    <w:rPr>
                      <w:rFonts w:hint="default"/>
                      <w:color w:val="auto"/>
                      <w:lang w:val="en-US" w:eastAsia="zh-CN"/>
                    </w:rPr>
                  </w:pPr>
                  <w:r>
                    <w:rPr>
                      <w:rFonts w:hint="default"/>
                      <w:color w:val="auto"/>
                      <w:lang w:val="en-US" w:eastAsia="zh-CN"/>
                    </w:rPr>
                    <w:t>间断</w:t>
                  </w:r>
                </w:p>
              </w:tc>
              <w:tc>
                <w:tcPr>
                  <w:tcW w:w="1914" w:type="pct"/>
                  <w:tcBorders>
                    <w:right w:val="single" w:color="auto" w:sz="12" w:space="0"/>
                    <w:tl2br w:val="nil"/>
                    <w:tr2bl w:val="nil"/>
                  </w:tcBorders>
                  <w:vAlign w:val="center"/>
                </w:tcPr>
                <w:p w14:paraId="2E6AEA21">
                  <w:pPr>
                    <w:pStyle w:val="46"/>
                    <w:bidi w:val="0"/>
                    <w:jc w:val="center"/>
                    <w:rPr>
                      <w:rFonts w:hint="eastAsia"/>
                      <w:color w:val="auto"/>
                      <w:lang w:val="en-US" w:eastAsia="zh-CN"/>
                    </w:rPr>
                  </w:pPr>
                  <w:r>
                    <w:rPr>
                      <w:rFonts w:hint="eastAsia"/>
                      <w:color w:val="auto"/>
                      <w:lang w:val="en-US" w:eastAsia="zh-CN"/>
                    </w:rPr>
                    <w:t>由厂家定期上门回收处理</w:t>
                  </w:r>
                </w:p>
              </w:tc>
            </w:tr>
            <w:tr w14:paraId="299B1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tcBorders>
                    <w:left w:val="single" w:color="auto" w:sz="12" w:space="0"/>
                    <w:tl2br w:val="nil"/>
                    <w:tr2bl w:val="nil"/>
                  </w:tcBorders>
                  <w:vAlign w:val="center"/>
                </w:tcPr>
                <w:p w14:paraId="1B72E154">
                  <w:pPr>
                    <w:pStyle w:val="46"/>
                    <w:bidi w:val="0"/>
                    <w:ind w:firstLine="0" w:firstLineChars="0"/>
                    <w:jc w:val="center"/>
                    <w:rPr>
                      <w:rFonts w:hint="eastAsia"/>
                      <w:color w:val="auto"/>
                      <w:lang w:val="en-US" w:eastAsia="zh-CN"/>
                    </w:rPr>
                  </w:pPr>
                  <w:r>
                    <w:rPr>
                      <w:rFonts w:hint="eastAsia"/>
                      <w:color w:val="auto"/>
                      <w:lang w:val="en-US" w:eastAsia="zh-CN"/>
                    </w:rPr>
                    <w:t>S6</w:t>
                  </w:r>
                </w:p>
              </w:tc>
              <w:tc>
                <w:tcPr>
                  <w:tcW w:w="389" w:type="pct"/>
                  <w:vMerge w:val="continue"/>
                  <w:tcBorders>
                    <w:tl2br w:val="nil"/>
                    <w:tr2bl w:val="nil"/>
                  </w:tcBorders>
                  <w:vAlign w:val="center"/>
                </w:tcPr>
                <w:p w14:paraId="7FFC5A67">
                  <w:pPr>
                    <w:pStyle w:val="46"/>
                    <w:bidi w:val="0"/>
                    <w:jc w:val="center"/>
                    <w:rPr>
                      <w:rFonts w:hint="eastAsia"/>
                      <w:color w:val="auto"/>
                      <w:lang w:val="en-US" w:eastAsia="zh-CN"/>
                    </w:rPr>
                  </w:pPr>
                </w:p>
              </w:tc>
              <w:tc>
                <w:tcPr>
                  <w:tcW w:w="1016" w:type="pct"/>
                  <w:tcBorders>
                    <w:tl2br w:val="nil"/>
                    <w:tr2bl w:val="nil"/>
                  </w:tcBorders>
                  <w:vAlign w:val="center"/>
                </w:tcPr>
                <w:p w14:paraId="6E14716C">
                  <w:pPr>
                    <w:pStyle w:val="46"/>
                    <w:bidi w:val="0"/>
                    <w:jc w:val="center"/>
                    <w:rPr>
                      <w:rFonts w:hint="default"/>
                      <w:color w:val="auto"/>
                      <w:lang w:val="en-US" w:eastAsia="zh-CN"/>
                    </w:rPr>
                  </w:pPr>
                  <w:r>
                    <w:rPr>
                      <w:rFonts w:hint="eastAsia"/>
                      <w:color w:val="auto"/>
                      <w:lang w:val="en-US" w:eastAsia="zh-CN"/>
                    </w:rPr>
                    <w:t>超滤</w:t>
                  </w:r>
                </w:p>
              </w:tc>
              <w:tc>
                <w:tcPr>
                  <w:tcW w:w="942" w:type="pct"/>
                  <w:tcBorders>
                    <w:tl2br w:val="nil"/>
                    <w:tr2bl w:val="nil"/>
                  </w:tcBorders>
                  <w:vAlign w:val="center"/>
                </w:tcPr>
                <w:p w14:paraId="37565F77">
                  <w:pPr>
                    <w:pStyle w:val="46"/>
                    <w:bidi w:val="0"/>
                    <w:jc w:val="center"/>
                    <w:rPr>
                      <w:rFonts w:hint="default"/>
                      <w:color w:val="auto"/>
                      <w:lang w:val="en-US" w:eastAsia="zh-CN"/>
                    </w:rPr>
                  </w:pPr>
                  <w:r>
                    <w:rPr>
                      <w:rFonts w:hint="eastAsia"/>
                      <w:color w:val="auto"/>
                      <w:lang w:val="en-US" w:eastAsia="zh-CN"/>
                    </w:rPr>
                    <w:t>废超滤膜</w:t>
                  </w:r>
                </w:p>
              </w:tc>
              <w:tc>
                <w:tcPr>
                  <w:tcW w:w="397" w:type="pct"/>
                  <w:tcBorders>
                    <w:tl2br w:val="nil"/>
                    <w:tr2bl w:val="nil"/>
                  </w:tcBorders>
                  <w:vAlign w:val="center"/>
                </w:tcPr>
                <w:p w14:paraId="528281F2">
                  <w:pPr>
                    <w:pStyle w:val="46"/>
                    <w:bidi w:val="0"/>
                    <w:jc w:val="center"/>
                    <w:rPr>
                      <w:rFonts w:hint="default"/>
                      <w:color w:val="auto"/>
                      <w:lang w:val="en-US" w:eastAsia="zh-CN"/>
                    </w:rPr>
                  </w:pPr>
                  <w:r>
                    <w:rPr>
                      <w:rFonts w:hint="default"/>
                      <w:color w:val="auto"/>
                      <w:lang w:val="en-US" w:eastAsia="zh-CN"/>
                    </w:rPr>
                    <w:t>间断</w:t>
                  </w:r>
                </w:p>
              </w:tc>
              <w:tc>
                <w:tcPr>
                  <w:tcW w:w="1914" w:type="pct"/>
                  <w:tcBorders>
                    <w:right w:val="single" w:color="auto" w:sz="12" w:space="0"/>
                    <w:tl2br w:val="nil"/>
                    <w:tr2bl w:val="nil"/>
                  </w:tcBorders>
                  <w:vAlign w:val="center"/>
                </w:tcPr>
                <w:p w14:paraId="1621E0B8">
                  <w:pPr>
                    <w:pStyle w:val="46"/>
                    <w:bidi w:val="0"/>
                    <w:jc w:val="center"/>
                    <w:rPr>
                      <w:rFonts w:hint="eastAsia"/>
                      <w:color w:val="auto"/>
                      <w:lang w:val="en-US" w:eastAsia="zh-CN"/>
                    </w:rPr>
                  </w:pPr>
                  <w:r>
                    <w:rPr>
                      <w:rFonts w:hint="eastAsia"/>
                      <w:color w:val="auto"/>
                      <w:lang w:val="en-US" w:eastAsia="zh-CN"/>
                    </w:rPr>
                    <w:t>由厂家定期上门回收处理</w:t>
                  </w:r>
                </w:p>
              </w:tc>
            </w:tr>
            <w:tr w14:paraId="0D568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tcBorders>
                    <w:left w:val="single" w:color="auto" w:sz="12" w:space="0"/>
                    <w:tl2br w:val="nil"/>
                    <w:tr2bl w:val="nil"/>
                  </w:tcBorders>
                  <w:vAlign w:val="center"/>
                </w:tcPr>
                <w:p w14:paraId="76046F0A">
                  <w:pPr>
                    <w:pStyle w:val="46"/>
                    <w:bidi w:val="0"/>
                    <w:ind w:firstLine="0" w:firstLineChars="0"/>
                    <w:jc w:val="center"/>
                    <w:rPr>
                      <w:rFonts w:hint="eastAsia"/>
                      <w:color w:val="auto"/>
                      <w:lang w:val="en-US" w:eastAsia="zh-CN"/>
                    </w:rPr>
                  </w:pPr>
                  <w:r>
                    <w:rPr>
                      <w:rFonts w:hint="eastAsia"/>
                      <w:color w:val="auto"/>
                      <w:lang w:val="en-US" w:eastAsia="zh-CN"/>
                    </w:rPr>
                    <w:t>S7</w:t>
                  </w:r>
                </w:p>
              </w:tc>
              <w:tc>
                <w:tcPr>
                  <w:tcW w:w="389" w:type="pct"/>
                  <w:vMerge w:val="continue"/>
                  <w:tcBorders>
                    <w:tl2br w:val="nil"/>
                    <w:tr2bl w:val="nil"/>
                  </w:tcBorders>
                  <w:vAlign w:val="center"/>
                </w:tcPr>
                <w:p w14:paraId="331EFAF7">
                  <w:pPr>
                    <w:pStyle w:val="46"/>
                    <w:bidi w:val="0"/>
                    <w:jc w:val="center"/>
                    <w:rPr>
                      <w:rFonts w:hint="eastAsia"/>
                      <w:color w:val="auto"/>
                      <w:lang w:val="en-US" w:eastAsia="zh-CN"/>
                    </w:rPr>
                  </w:pPr>
                </w:p>
              </w:tc>
              <w:tc>
                <w:tcPr>
                  <w:tcW w:w="1016" w:type="pct"/>
                  <w:tcBorders>
                    <w:tl2br w:val="nil"/>
                    <w:tr2bl w:val="nil"/>
                  </w:tcBorders>
                  <w:vAlign w:val="center"/>
                </w:tcPr>
                <w:p w14:paraId="66C81BBE">
                  <w:pPr>
                    <w:pStyle w:val="46"/>
                    <w:bidi w:val="0"/>
                    <w:jc w:val="center"/>
                    <w:rPr>
                      <w:rFonts w:hint="default"/>
                      <w:color w:val="auto"/>
                      <w:lang w:val="en-US" w:eastAsia="zh-CN"/>
                    </w:rPr>
                  </w:pPr>
                  <w:r>
                    <w:rPr>
                      <w:rFonts w:hint="eastAsia"/>
                      <w:color w:val="auto"/>
                      <w:lang w:val="en-US" w:eastAsia="zh-CN"/>
                    </w:rPr>
                    <w:t>纯水制备、膜浓缩</w:t>
                  </w:r>
                </w:p>
              </w:tc>
              <w:tc>
                <w:tcPr>
                  <w:tcW w:w="942" w:type="pct"/>
                  <w:tcBorders>
                    <w:tl2br w:val="nil"/>
                    <w:tr2bl w:val="nil"/>
                  </w:tcBorders>
                  <w:vAlign w:val="center"/>
                </w:tcPr>
                <w:p w14:paraId="44B05BB5">
                  <w:pPr>
                    <w:pStyle w:val="46"/>
                    <w:bidi w:val="0"/>
                    <w:jc w:val="center"/>
                    <w:rPr>
                      <w:rFonts w:hint="default"/>
                      <w:color w:val="auto"/>
                      <w:lang w:val="en-US" w:eastAsia="zh-CN"/>
                    </w:rPr>
                  </w:pPr>
                  <w:r>
                    <w:rPr>
                      <w:rFonts w:hint="eastAsia"/>
                      <w:color w:val="auto"/>
                      <w:lang w:val="en-US" w:eastAsia="zh-CN"/>
                    </w:rPr>
                    <w:t>废反渗透膜</w:t>
                  </w:r>
                </w:p>
              </w:tc>
              <w:tc>
                <w:tcPr>
                  <w:tcW w:w="397" w:type="pct"/>
                  <w:tcBorders>
                    <w:tl2br w:val="nil"/>
                    <w:tr2bl w:val="nil"/>
                  </w:tcBorders>
                  <w:vAlign w:val="center"/>
                </w:tcPr>
                <w:p w14:paraId="2BEF4D21">
                  <w:pPr>
                    <w:pStyle w:val="46"/>
                    <w:bidi w:val="0"/>
                    <w:jc w:val="center"/>
                    <w:rPr>
                      <w:rFonts w:hint="default"/>
                      <w:color w:val="auto"/>
                      <w:lang w:val="en-US" w:eastAsia="zh-CN"/>
                    </w:rPr>
                  </w:pPr>
                  <w:r>
                    <w:rPr>
                      <w:rFonts w:hint="default"/>
                      <w:color w:val="auto"/>
                      <w:lang w:val="en-US" w:eastAsia="zh-CN"/>
                    </w:rPr>
                    <w:t>间断</w:t>
                  </w:r>
                </w:p>
              </w:tc>
              <w:tc>
                <w:tcPr>
                  <w:tcW w:w="1914" w:type="pct"/>
                  <w:tcBorders>
                    <w:right w:val="single" w:color="auto" w:sz="12" w:space="0"/>
                    <w:tl2br w:val="nil"/>
                    <w:tr2bl w:val="nil"/>
                  </w:tcBorders>
                  <w:vAlign w:val="center"/>
                </w:tcPr>
                <w:p w14:paraId="3C8B7808">
                  <w:pPr>
                    <w:pStyle w:val="46"/>
                    <w:bidi w:val="0"/>
                    <w:jc w:val="center"/>
                    <w:rPr>
                      <w:rFonts w:hint="default"/>
                      <w:color w:val="auto"/>
                      <w:lang w:val="en-US" w:eastAsia="zh-CN"/>
                    </w:rPr>
                  </w:pPr>
                  <w:r>
                    <w:rPr>
                      <w:rFonts w:hint="eastAsia"/>
                      <w:color w:val="auto"/>
                      <w:lang w:val="en-US" w:eastAsia="zh-CN"/>
                    </w:rPr>
                    <w:t>由厂家定期上门回收处理</w:t>
                  </w:r>
                </w:p>
              </w:tc>
            </w:tr>
            <w:tr w14:paraId="3A28B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40" w:type="pct"/>
                  <w:tcBorders>
                    <w:left w:val="single" w:color="auto" w:sz="12" w:space="0"/>
                    <w:tl2br w:val="nil"/>
                    <w:tr2bl w:val="nil"/>
                  </w:tcBorders>
                  <w:vAlign w:val="center"/>
                </w:tcPr>
                <w:p w14:paraId="4C3C0DED">
                  <w:pPr>
                    <w:pStyle w:val="46"/>
                    <w:bidi w:val="0"/>
                    <w:ind w:firstLine="0" w:firstLineChars="0"/>
                    <w:jc w:val="center"/>
                    <w:rPr>
                      <w:rFonts w:hint="eastAsia"/>
                      <w:color w:val="auto"/>
                      <w:lang w:val="en-US" w:eastAsia="zh-CN"/>
                    </w:rPr>
                  </w:pPr>
                  <w:r>
                    <w:rPr>
                      <w:rFonts w:hint="eastAsia"/>
                      <w:color w:val="auto"/>
                      <w:lang w:val="en-US" w:eastAsia="zh-CN"/>
                    </w:rPr>
                    <w:t>S8</w:t>
                  </w:r>
                </w:p>
              </w:tc>
              <w:tc>
                <w:tcPr>
                  <w:tcW w:w="389" w:type="pct"/>
                  <w:vMerge w:val="continue"/>
                  <w:tcBorders>
                    <w:tl2br w:val="nil"/>
                    <w:tr2bl w:val="nil"/>
                  </w:tcBorders>
                  <w:vAlign w:val="center"/>
                </w:tcPr>
                <w:p w14:paraId="0E00F4BA">
                  <w:pPr>
                    <w:pStyle w:val="46"/>
                    <w:bidi w:val="0"/>
                    <w:jc w:val="center"/>
                    <w:rPr>
                      <w:rFonts w:hint="eastAsia"/>
                      <w:color w:val="auto"/>
                      <w:lang w:val="en-US" w:eastAsia="zh-CN"/>
                    </w:rPr>
                  </w:pPr>
                </w:p>
              </w:tc>
              <w:tc>
                <w:tcPr>
                  <w:tcW w:w="1016" w:type="pct"/>
                  <w:tcBorders>
                    <w:tl2br w:val="nil"/>
                    <w:tr2bl w:val="nil"/>
                  </w:tcBorders>
                  <w:vAlign w:val="center"/>
                </w:tcPr>
                <w:p w14:paraId="5BA2BBEF">
                  <w:pPr>
                    <w:pStyle w:val="46"/>
                    <w:bidi w:val="0"/>
                    <w:ind w:firstLine="0" w:firstLineChars="0"/>
                    <w:jc w:val="center"/>
                    <w:rPr>
                      <w:rFonts w:hint="eastAsia" w:cs="宋体"/>
                      <w:color w:val="auto"/>
                      <w:sz w:val="21"/>
                      <w:szCs w:val="22"/>
                      <w:lang w:val="en-US" w:eastAsia="zh-CN" w:bidi="ar-SA"/>
                    </w:rPr>
                  </w:pPr>
                  <w:r>
                    <w:rPr>
                      <w:color w:val="auto"/>
                      <w:spacing w:val="-2"/>
                      <w:sz w:val="21"/>
                      <w:szCs w:val="21"/>
                    </w:rPr>
                    <w:t>职工生活</w:t>
                  </w:r>
                </w:p>
              </w:tc>
              <w:tc>
                <w:tcPr>
                  <w:tcW w:w="942" w:type="pct"/>
                  <w:tcBorders>
                    <w:tl2br w:val="nil"/>
                    <w:tr2bl w:val="nil"/>
                  </w:tcBorders>
                  <w:vAlign w:val="center"/>
                </w:tcPr>
                <w:p w14:paraId="4375E1E1">
                  <w:pPr>
                    <w:pStyle w:val="46"/>
                    <w:bidi w:val="0"/>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生活垃圾</w:t>
                  </w:r>
                </w:p>
              </w:tc>
              <w:tc>
                <w:tcPr>
                  <w:tcW w:w="397" w:type="pct"/>
                  <w:tcBorders>
                    <w:tl2br w:val="nil"/>
                    <w:tr2bl w:val="nil"/>
                  </w:tcBorders>
                  <w:vAlign w:val="center"/>
                </w:tcPr>
                <w:p w14:paraId="56778DBA">
                  <w:pPr>
                    <w:pStyle w:val="46"/>
                    <w:bidi w:val="0"/>
                    <w:ind w:firstLine="0" w:firstLineChars="0"/>
                    <w:jc w:val="center"/>
                    <w:rPr>
                      <w:rFonts w:hint="eastAsia" w:ascii="Times New Roman" w:hAnsi="Times New Roman" w:eastAsia="宋体" w:cs="宋体"/>
                      <w:color w:val="auto"/>
                      <w:sz w:val="21"/>
                      <w:szCs w:val="22"/>
                      <w:lang w:val="en-US" w:eastAsia="zh-CN" w:bidi="ar-SA"/>
                    </w:rPr>
                  </w:pPr>
                  <w:r>
                    <w:rPr>
                      <w:rFonts w:hint="default"/>
                      <w:color w:val="auto"/>
                      <w:lang w:val="en-US" w:eastAsia="zh-CN"/>
                    </w:rPr>
                    <w:t>间断</w:t>
                  </w:r>
                </w:p>
              </w:tc>
              <w:tc>
                <w:tcPr>
                  <w:tcW w:w="1914" w:type="pct"/>
                  <w:tcBorders>
                    <w:right w:val="single" w:color="auto" w:sz="12" w:space="0"/>
                    <w:tl2br w:val="nil"/>
                    <w:tr2bl w:val="nil"/>
                  </w:tcBorders>
                  <w:vAlign w:val="center"/>
                </w:tcPr>
                <w:p w14:paraId="2BC542D2">
                  <w:pPr>
                    <w:pStyle w:val="46"/>
                    <w:bidi w:val="0"/>
                    <w:ind w:firstLine="0" w:firstLineChars="0"/>
                    <w:jc w:val="center"/>
                    <w:rPr>
                      <w:rFonts w:hint="eastAsia"/>
                      <w:color w:val="auto"/>
                      <w:lang w:val="en-US" w:eastAsia="zh-CN"/>
                    </w:rPr>
                  </w:pPr>
                  <w:r>
                    <w:rPr>
                      <w:rFonts w:hint="eastAsia"/>
                      <w:color w:val="auto"/>
                      <w:lang w:val="en-US" w:eastAsia="zh-CN"/>
                    </w:rPr>
                    <w:t>由环卫部门定期清运</w:t>
                  </w:r>
                </w:p>
              </w:tc>
            </w:tr>
            <w:tr w14:paraId="4691B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40" w:type="pct"/>
                  <w:tcBorders>
                    <w:left w:val="single" w:color="auto" w:sz="12" w:space="0"/>
                    <w:tl2br w:val="nil"/>
                    <w:tr2bl w:val="nil"/>
                  </w:tcBorders>
                  <w:vAlign w:val="center"/>
                </w:tcPr>
                <w:p w14:paraId="36ED1A1C">
                  <w:pPr>
                    <w:pStyle w:val="46"/>
                    <w:bidi w:val="0"/>
                    <w:ind w:firstLine="0" w:firstLineChars="0"/>
                    <w:jc w:val="center"/>
                    <w:rPr>
                      <w:rFonts w:hint="eastAsia"/>
                      <w:color w:val="auto"/>
                      <w:lang w:val="en-US" w:eastAsia="zh-CN"/>
                    </w:rPr>
                  </w:pPr>
                  <w:r>
                    <w:rPr>
                      <w:rFonts w:hint="eastAsia"/>
                      <w:color w:val="auto"/>
                      <w:lang w:val="en-US" w:eastAsia="zh-CN"/>
                    </w:rPr>
                    <w:t>S9</w:t>
                  </w:r>
                </w:p>
              </w:tc>
              <w:tc>
                <w:tcPr>
                  <w:tcW w:w="389" w:type="pct"/>
                  <w:vMerge w:val="continue"/>
                  <w:tcBorders>
                    <w:tl2br w:val="nil"/>
                    <w:tr2bl w:val="nil"/>
                  </w:tcBorders>
                  <w:vAlign w:val="center"/>
                </w:tcPr>
                <w:p w14:paraId="7BDEBB85">
                  <w:pPr>
                    <w:pStyle w:val="46"/>
                    <w:bidi w:val="0"/>
                    <w:jc w:val="center"/>
                    <w:rPr>
                      <w:rFonts w:hint="eastAsia"/>
                      <w:color w:val="auto"/>
                      <w:lang w:val="en-US" w:eastAsia="zh-CN"/>
                    </w:rPr>
                  </w:pPr>
                </w:p>
              </w:tc>
              <w:tc>
                <w:tcPr>
                  <w:tcW w:w="1016" w:type="pct"/>
                  <w:tcBorders>
                    <w:tl2br w:val="nil"/>
                    <w:tr2bl w:val="nil"/>
                  </w:tcBorders>
                  <w:vAlign w:val="center"/>
                </w:tcPr>
                <w:p w14:paraId="20113B3B">
                  <w:pPr>
                    <w:pStyle w:val="46"/>
                    <w:bidi w:val="0"/>
                    <w:ind w:firstLine="0" w:firstLineChars="0"/>
                    <w:jc w:val="center"/>
                    <w:rPr>
                      <w:rFonts w:hint="default" w:eastAsia="宋体"/>
                      <w:color w:val="auto"/>
                      <w:spacing w:val="-2"/>
                      <w:sz w:val="21"/>
                      <w:szCs w:val="21"/>
                      <w:lang w:val="en-US" w:eastAsia="zh-CN"/>
                    </w:rPr>
                  </w:pPr>
                  <w:r>
                    <w:rPr>
                      <w:rFonts w:hint="eastAsia"/>
                      <w:color w:val="auto"/>
                      <w:spacing w:val="-2"/>
                      <w:sz w:val="21"/>
                      <w:szCs w:val="21"/>
                      <w:lang w:val="en-US" w:eastAsia="zh-CN"/>
                    </w:rPr>
                    <w:t>设备维修</w:t>
                  </w:r>
                </w:p>
              </w:tc>
              <w:tc>
                <w:tcPr>
                  <w:tcW w:w="942" w:type="pct"/>
                  <w:tcBorders>
                    <w:tl2br w:val="nil"/>
                    <w:tr2bl w:val="nil"/>
                  </w:tcBorders>
                  <w:vAlign w:val="center"/>
                </w:tcPr>
                <w:p w14:paraId="1BA81034">
                  <w:pPr>
                    <w:pStyle w:val="46"/>
                    <w:bidi w:val="0"/>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废机油</w:t>
                  </w:r>
                </w:p>
              </w:tc>
              <w:tc>
                <w:tcPr>
                  <w:tcW w:w="397" w:type="pct"/>
                  <w:tcBorders>
                    <w:tl2br w:val="nil"/>
                    <w:tr2bl w:val="nil"/>
                  </w:tcBorders>
                  <w:vAlign w:val="center"/>
                </w:tcPr>
                <w:p w14:paraId="3D483FBB">
                  <w:pPr>
                    <w:pStyle w:val="46"/>
                    <w:bidi w:val="0"/>
                    <w:ind w:firstLine="0" w:firstLineChars="0"/>
                    <w:jc w:val="center"/>
                    <w:rPr>
                      <w:rFonts w:hint="default"/>
                      <w:color w:val="auto"/>
                      <w:lang w:val="en-US" w:eastAsia="zh-CN"/>
                    </w:rPr>
                  </w:pPr>
                  <w:r>
                    <w:rPr>
                      <w:rFonts w:hint="default"/>
                      <w:color w:val="auto"/>
                      <w:lang w:val="en-US" w:eastAsia="zh-CN"/>
                    </w:rPr>
                    <w:t>间断</w:t>
                  </w:r>
                </w:p>
              </w:tc>
              <w:tc>
                <w:tcPr>
                  <w:tcW w:w="1914" w:type="pct"/>
                  <w:tcBorders>
                    <w:right w:val="single" w:color="auto" w:sz="12" w:space="0"/>
                    <w:tl2br w:val="nil"/>
                    <w:tr2bl w:val="nil"/>
                  </w:tcBorders>
                  <w:vAlign w:val="center"/>
                </w:tcPr>
                <w:p w14:paraId="390909D5">
                  <w:pPr>
                    <w:pStyle w:val="46"/>
                    <w:bidi w:val="0"/>
                    <w:ind w:firstLine="0" w:firstLineChars="0"/>
                    <w:jc w:val="center"/>
                    <w:rPr>
                      <w:rFonts w:hint="default"/>
                      <w:color w:val="auto"/>
                      <w:lang w:val="en-US" w:eastAsia="zh-CN"/>
                    </w:rPr>
                  </w:pPr>
                  <w:r>
                    <w:rPr>
                      <w:rFonts w:hint="eastAsia"/>
                      <w:color w:val="auto"/>
                      <w:lang w:val="en-US" w:eastAsia="zh-CN"/>
                    </w:rPr>
                    <w:t>暂存厂区危废间内，定期交由资质单位。</w:t>
                  </w:r>
                </w:p>
              </w:tc>
            </w:tr>
            <w:tr w14:paraId="58679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0" w:type="pct"/>
                  <w:tcBorders>
                    <w:left w:val="single" w:color="auto" w:sz="12" w:space="0"/>
                    <w:bottom w:val="single" w:color="auto" w:sz="12" w:space="0"/>
                    <w:tl2br w:val="nil"/>
                    <w:tr2bl w:val="nil"/>
                  </w:tcBorders>
                  <w:vAlign w:val="center"/>
                </w:tcPr>
                <w:p w14:paraId="6E33CC4B">
                  <w:pPr>
                    <w:pStyle w:val="46"/>
                    <w:bidi w:val="0"/>
                    <w:ind w:firstLine="0" w:firstLineChars="0"/>
                    <w:jc w:val="center"/>
                    <w:rPr>
                      <w:rFonts w:hint="eastAsia"/>
                      <w:color w:val="auto"/>
                      <w:lang w:val="en-US" w:eastAsia="zh-CN"/>
                    </w:rPr>
                  </w:pPr>
                  <w:r>
                    <w:rPr>
                      <w:rFonts w:hint="eastAsia"/>
                      <w:color w:val="auto"/>
                      <w:lang w:val="en-US" w:eastAsia="zh-CN"/>
                    </w:rPr>
                    <w:t>N1</w:t>
                  </w:r>
                </w:p>
              </w:tc>
              <w:tc>
                <w:tcPr>
                  <w:tcW w:w="389" w:type="pct"/>
                  <w:tcBorders>
                    <w:bottom w:val="single" w:color="auto" w:sz="12" w:space="0"/>
                    <w:tl2br w:val="nil"/>
                    <w:tr2bl w:val="nil"/>
                  </w:tcBorders>
                  <w:vAlign w:val="center"/>
                </w:tcPr>
                <w:p w14:paraId="57AA1601">
                  <w:pPr>
                    <w:pStyle w:val="46"/>
                    <w:bidi w:val="0"/>
                    <w:jc w:val="center"/>
                    <w:rPr>
                      <w:rFonts w:hint="default"/>
                      <w:color w:val="auto"/>
                      <w:lang w:val="en-US" w:eastAsia="zh-CN"/>
                    </w:rPr>
                  </w:pPr>
                  <w:r>
                    <w:rPr>
                      <w:rFonts w:hint="eastAsia"/>
                      <w:color w:val="auto"/>
                      <w:lang w:val="en-US" w:eastAsia="zh-CN"/>
                    </w:rPr>
                    <w:t>噪声</w:t>
                  </w:r>
                </w:p>
              </w:tc>
              <w:tc>
                <w:tcPr>
                  <w:tcW w:w="1016" w:type="pct"/>
                  <w:tcBorders>
                    <w:bottom w:val="single" w:color="auto" w:sz="12" w:space="0"/>
                    <w:tl2br w:val="nil"/>
                    <w:tr2bl w:val="nil"/>
                  </w:tcBorders>
                  <w:vAlign w:val="center"/>
                </w:tcPr>
                <w:p w14:paraId="6D9BEB51">
                  <w:pPr>
                    <w:pStyle w:val="46"/>
                    <w:bidi w:val="0"/>
                    <w:jc w:val="center"/>
                    <w:rPr>
                      <w:rFonts w:hint="default"/>
                      <w:color w:val="auto"/>
                      <w:lang w:val="en-US" w:eastAsia="zh-CN"/>
                    </w:rPr>
                  </w:pPr>
                  <w:r>
                    <w:rPr>
                      <w:rFonts w:hint="eastAsia"/>
                      <w:color w:val="auto"/>
                      <w:lang w:val="en-US" w:eastAsia="zh-CN"/>
                    </w:rPr>
                    <w:t>设备噪声</w:t>
                  </w:r>
                </w:p>
              </w:tc>
              <w:tc>
                <w:tcPr>
                  <w:tcW w:w="942" w:type="pct"/>
                  <w:tcBorders>
                    <w:bottom w:val="single" w:color="auto" w:sz="12" w:space="0"/>
                    <w:tl2br w:val="nil"/>
                    <w:tr2bl w:val="nil"/>
                  </w:tcBorders>
                  <w:vAlign w:val="center"/>
                </w:tcPr>
                <w:p w14:paraId="548F495D">
                  <w:pPr>
                    <w:pStyle w:val="46"/>
                    <w:bidi w:val="0"/>
                    <w:jc w:val="center"/>
                    <w:rPr>
                      <w:rFonts w:hint="default"/>
                      <w:color w:val="auto"/>
                      <w:lang w:val="en-US" w:eastAsia="zh-CN"/>
                    </w:rPr>
                  </w:pPr>
                  <w:r>
                    <w:rPr>
                      <w:rFonts w:hint="default"/>
                      <w:color w:val="auto"/>
                      <w:lang w:val="en-US" w:eastAsia="zh-CN"/>
                    </w:rPr>
                    <w:t>噪声</w:t>
                  </w:r>
                </w:p>
              </w:tc>
              <w:tc>
                <w:tcPr>
                  <w:tcW w:w="397" w:type="pct"/>
                  <w:tcBorders>
                    <w:bottom w:val="single" w:color="auto" w:sz="12" w:space="0"/>
                    <w:tl2br w:val="nil"/>
                    <w:tr2bl w:val="nil"/>
                  </w:tcBorders>
                  <w:vAlign w:val="center"/>
                </w:tcPr>
                <w:p w14:paraId="7D538660">
                  <w:pPr>
                    <w:pStyle w:val="46"/>
                    <w:bidi w:val="0"/>
                    <w:jc w:val="center"/>
                    <w:rPr>
                      <w:rFonts w:hint="default"/>
                      <w:color w:val="auto"/>
                      <w:lang w:val="en-US" w:eastAsia="zh-CN"/>
                    </w:rPr>
                  </w:pPr>
                  <w:r>
                    <w:rPr>
                      <w:rFonts w:hint="default"/>
                      <w:color w:val="auto"/>
                      <w:lang w:val="en-US" w:eastAsia="zh-CN"/>
                    </w:rPr>
                    <w:t>连续</w:t>
                  </w:r>
                </w:p>
              </w:tc>
              <w:tc>
                <w:tcPr>
                  <w:tcW w:w="1914" w:type="pct"/>
                  <w:tcBorders>
                    <w:bottom w:val="single" w:color="auto" w:sz="12" w:space="0"/>
                    <w:right w:val="single" w:color="auto" w:sz="12" w:space="0"/>
                    <w:tl2br w:val="nil"/>
                    <w:tr2bl w:val="nil"/>
                  </w:tcBorders>
                  <w:vAlign w:val="center"/>
                </w:tcPr>
                <w:p w14:paraId="750AF234">
                  <w:pPr>
                    <w:pStyle w:val="46"/>
                    <w:bidi w:val="0"/>
                    <w:jc w:val="center"/>
                    <w:rPr>
                      <w:rFonts w:hint="eastAsia"/>
                      <w:color w:val="auto"/>
                      <w:lang w:val="en-US" w:eastAsia="zh-CN"/>
                    </w:rPr>
                  </w:pPr>
                  <w:r>
                    <w:rPr>
                      <w:rFonts w:hint="eastAsia"/>
                      <w:color w:val="auto"/>
                      <w:lang w:val="en-US" w:eastAsia="zh-CN"/>
                    </w:rPr>
                    <w:t>选用低噪声设备、合理布局、基础减振、厂房隔声等降噪施</w:t>
                  </w:r>
                </w:p>
              </w:tc>
            </w:tr>
          </w:tbl>
          <w:p w14:paraId="251381DC">
            <w:pPr>
              <w:pStyle w:val="13"/>
              <w:rPr>
                <w:color w:val="auto"/>
                <w:lang w:val="en-US" w:eastAsia="zh-CN"/>
              </w:rPr>
            </w:pPr>
          </w:p>
        </w:tc>
      </w:tr>
      <w:tr w14:paraId="34B2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2" w:hRule="atLeast"/>
          <w:jc w:val="center"/>
        </w:trPr>
        <w:tc>
          <w:tcPr>
            <w:tcW w:w="703" w:type="dxa"/>
            <w:vAlign w:val="center"/>
          </w:tcPr>
          <w:p w14:paraId="762B7455">
            <w:pPr>
              <w:keepNext/>
              <w:keepLines/>
              <w:pageBreakBefore w:val="0"/>
              <w:widowControl w:val="0"/>
              <w:kinsoku/>
              <w:wordWrap/>
              <w:overflowPunct w:val="0"/>
              <w:topLinePunct w:val="0"/>
              <w:autoSpaceDE w:val="0"/>
              <w:autoSpaceDN w:val="0"/>
              <w:bidi w:val="0"/>
              <w:adjustRightInd w:val="0"/>
              <w:snapToGrid w:val="0"/>
              <w:spacing w:before="0" w:beforeLines="0" w:beforeAutospacing="0" w:after="0" w:afterLines="0" w:afterAutospacing="0" w:line="420" w:lineRule="exact"/>
              <w:ind w:left="0" w:leftChars="0" w:right="0" w:rightChars="0" w:firstLine="0" w:firstLineChars="0"/>
              <w:jc w:val="center"/>
              <w:textAlignment w:val="auto"/>
              <w:outlineLvl w:val="9"/>
              <w:rPr>
                <w:rFonts w:ascii="Times New Roman" w:hAnsi="Times New Roman" w:eastAsia="宋体" w:cs="宋体"/>
                <w:b/>
                <w:color w:val="auto"/>
                <w:sz w:val="28"/>
                <w:szCs w:val="22"/>
                <w:vertAlign w:val="baseline"/>
                <w:lang w:val="en-US" w:eastAsia="zh-CN" w:bidi="ar-SA"/>
              </w:rPr>
            </w:pPr>
            <w:r>
              <w:rPr>
                <w:rFonts w:ascii="Times New Roman" w:hAnsi="Times New Roman" w:eastAsia="宋体" w:cs="宋体"/>
                <w:color w:val="auto"/>
                <w:sz w:val="24"/>
                <w:szCs w:val="22"/>
                <w:lang w:val="en-US" w:eastAsia="zh-CN" w:bidi="ar-SA"/>
              </w:rPr>
              <w:t>项目有关的原有环境污染问</w:t>
            </w:r>
            <w:r>
              <w:rPr>
                <w:rFonts w:hint="eastAsia" w:ascii="Times New Roman" w:hAnsi="Times New Roman" w:eastAsia="宋体" w:cs="宋体"/>
                <w:color w:val="auto"/>
                <w:sz w:val="24"/>
                <w:szCs w:val="22"/>
                <w:lang w:val="en-US" w:eastAsia="zh-CN" w:bidi="ar-SA"/>
              </w:rPr>
              <w:t>题</w:t>
            </w:r>
          </w:p>
        </w:tc>
        <w:tc>
          <w:tcPr>
            <w:tcW w:w="8368" w:type="dxa"/>
            <w:vAlign w:val="center"/>
          </w:tcPr>
          <w:p w14:paraId="12CD8E2D">
            <w:pPr>
              <w:pStyle w:val="13"/>
              <w:keepNext w:val="0"/>
              <w:keepLines w:val="0"/>
              <w:pageBreakBefore w:val="0"/>
              <w:widowControl w:val="0"/>
              <w:kinsoku/>
              <w:wordWrap/>
              <w:overflowPunct/>
              <w:topLinePunct w:val="0"/>
              <w:autoSpaceDE/>
              <w:autoSpaceDN/>
              <w:bidi w:val="0"/>
              <w:adjustRightInd/>
              <w:snapToGrid w:val="0"/>
              <w:ind w:firstLine="480" w:firstLineChars="200"/>
              <w:jc w:val="both"/>
              <w:textAlignment w:val="auto"/>
              <w:rPr>
                <w:color w:val="auto"/>
                <w:lang w:val="en-US" w:eastAsia="zh-CN"/>
              </w:rPr>
            </w:pPr>
            <w:r>
              <w:rPr>
                <w:rFonts w:hint="eastAsia"/>
                <w:color w:val="auto"/>
                <w:sz w:val="24"/>
                <w:szCs w:val="36"/>
                <w:lang w:val="en-US" w:eastAsia="zh-CN"/>
              </w:rPr>
              <w:t>本项目为新建项目，不涉及原有环境污染问题。</w:t>
            </w:r>
          </w:p>
        </w:tc>
      </w:tr>
    </w:tbl>
    <w:p w14:paraId="3CB13DCB">
      <w:pPr>
        <w:widowControl w:val="0"/>
        <w:overflowPunct w:val="0"/>
        <w:autoSpaceDE w:val="0"/>
        <w:autoSpaceDN w:val="0"/>
        <w:adjustRightInd w:val="0"/>
        <w:snapToGrid w:val="0"/>
        <w:spacing w:before="0" w:after="0" w:line="400" w:lineRule="exact"/>
        <w:ind w:left="0" w:leftChars="0" w:right="0" w:rightChars="0" w:firstLine="0" w:firstLineChars="0"/>
        <w:jc w:val="center"/>
        <w:rPr>
          <w:rFonts w:ascii="Times New Roman" w:hAnsi="Times New Roman" w:eastAsia="宋体" w:cs="宋体"/>
          <w:color w:val="auto"/>
          <w:sz w:val="24"/>
          <w:szCs w:val="22"/>
          <w:lang w:val="en-US" w:eastAsia="zh-CN" w:bidi="ar-SA"/>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82247C">
      <w:pPr>
        <w:numPr>
          <w:ilvl w:val="0"/>
          <w:numId w:val="3"/>
        </w:numPr>
        <w:overflowPunct w:val="0"/>
        <w:autoSpaceDE w:val="0"/>
        <w:autoSpaceDN w:val="0"/>
        <w:adjustRightInd w:val="0"/>
        <w:snapToGrid w:val="0"/>
        <w:spacing w:line="560" w:lineRule="exact"/>
        <w:jc w:val="center"/>
        <w:outlineLvl w:val="0"/>
        <w:rPr>
          <w:rFonts w:ascii="Times New Roman" w:hAnsi="Times New Roman" w:eastAsia="宋体" w:cs="宋体"/>
          <w:b/>
          <w:color w:val="auto"/>
          <w:kern w:val="44"/>
          <w:sz w:val="28"/>
        </w:rPr>
      </w:pPr>
      <w:bookmarkStart w:id="15" w:name="_Toc11713"/>
      <w:bookmarkStart w:id="16" w:name="_Toc1394"/>
      <w:bookmarkStart w:id="17" w:name="_Toc340"/>
      <w:bookmarkStart w:id="18" w:name="_Toc32641"/>
      <w:bookmarkStart w:id="19" w:name="_Toc3946"/>
      <w:r>
        <w:rPr>
          <w:rFonts w:ascii="Times New Roman" w:hAnsi="Times New Roman" w:eastAsia="宋体" w:cs="宋体"/>
          <w:b/>
          <w:color w:val="auto"/>
          <w:kern w:val="44"/>
          <w:sz w:val="28"/>
        </w:rPr>
        <w:t>区域环境质量现状、环境保护目标及评价标准</w:t>
      </w:r>
      <w:bookmarkEnd w:id="15"/>
      <w:bookmarkEnd w:id="16"/>
      <w:bookmarkEnd w:id="17"/>
      <w:bookmarkEnd w:id="18"/>
      <w:bookmarkEnd w:id="19"/>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28"/>
      </w:tblGrid>
      <w:tr w14:paraId="3B4B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0" w:hRule="atLeast"/>
          <w:jc w:val="center"/>
        </w:trPr>
        <w:tc>
          <w:tcPr>
            <w:tcW w:w="426" w:type="dxa"/>
            <w:vAlign w:val="center"/>
          </w:tcPr>
          <w:p w14:paraId="07F94854">
            <w:pPr>
              <w:overflowPunct w:val="0"/>
              <w:autoSpaceDE w:val="0"/>
              <w:autoSpaceDN w:val="0"/>
              <w:adjustRightInd w:val="0"/>
              <w:snapToGrid w:val="0"/>
              <w:spacing w:line="500" w:lineRule="exact"/>
              <w:jc w:val="both"/>
              <w:rPr>
                <w:rFonts w:ascii="Times New Roman" w:hAnsi="Times New Roman" w:eastAsia="宋体" w:cs="宋体"/>
                <w:color w:val="auto"/>
              </w:rPr>
            </w:pPr>
            <w:r>
              <w:rPr>
                <w:rFonts w:ascii="Times New Roman" w:hAnsi="Times New Roman" w:eastAsia="宋体" w:cs="宋体"/>
                <w:color w:val="auto"/>
              </w:rPr>
              <w:t>区域环境质量现状</w:t>
            </w:r>
          </w:p>
        </w:tc>
        <w:tc>
          <w:tcPr>
            <w:tcW w:w="8645" w:type="dxa"/>
          </w:tcPr>
          <w:p w14:paraId="657BF73C">
            <w:pPr>
              <w:overflowPunct w:val="0"/>
              <w:autoSpaceDE w:val="0"/>
              <w:autoSpaceDN w:val="0"/>
              <w:adjustRightInd w:val="0"/>
              <w:snapToGrid w:val="0"/>
              <w:spacing w:line="560" w:lineRule="exact"/>
              <w:jc w:val="left"/>
              <w:outlineLvl w:val="1"/>
              <w:rPr>
                <w:rFonts w:ascii="Times New Roman" w:hAnsi="Times New Roman" w:eastAsia="宋体" w:cs="黑体"/>
                <w:b/>
                <w:color w:val="auto"/>
                <w:sz w:val="28"/>
                <w:szCs w:val="30"/>
              </w:rPr>
            </w:pPr>
            <w:r>
              <w:rPr>
                <w:rFonts w:hint="eastAsia" w:cs="黑体"/>
                <w:b/>
                <w:color w:val="auto"/>
                <w:sz w:val="28"/>
                <w:szCs w:val="30"/>
                <w:lang w:val="en-US" w:eastAsia="zh-CN"/>
              </w:rPr>
              <w:t>1、</w:t>
            </w:r>
            <w:r>
              <w:rPr>
                <w:rFonts w:hint="eastAsia" w:ascii="Times New Roman" w:hAnsi="Times New Roman" w:eastAsia="宋体" w:cs="黑体"/>
                <w:b/>
                <w:color w:val="auto"/>
                <w:sz w:val="28"/>
                <w:szCs w:val="30"/>
              </w:rPr>
              <w:t>大气环境质量现状</w:t>
            </w:r>
          </w:p>
          <w:p w14:paraId="5220B2CD">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0E936217">
            <w:pPr>
              <w:overflowPunct/>
              <w:autoSpaceDE/>
              <w:autoSpaceDN/>
              <w:bidi w:val="0"/>
              <w:adjustRightInd/>
              <w:snapToGrid/>
              <w:spacing w:before="0" w:after="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cs="Times New Roman"/>
                <w:color w:val="auto"/>
                <w:szCs w:val="24"/>
              </w:rPr>
              <w:t>本项目位于</w:t>
            </w:r>
            <w:r>
              <w:rPr>
                <w:rFonts w:hint="eastAsia" w:cs="Times New Roman"/>
                <w:color w:val="auto"/>
                <w:sz w:val="24"/>
                <w:szCs w:val="24"/>
                <w:lang w:val="en-US" w:eastAsia="zh-CN"/>
              </w:rPr>
              <w:t>胡杨河市经济技术开发区</w:t>
            </w:r>
            <w:r>
              <w:rPr>
                <w:rFonts w:hint="eastAsia" w:cs="Times New Roman"/>
                <w:color w:val="auto"/>
                <w:szCs w:val="24"/>
              </w:rPr>
              <w:t>，</w:t>
            </w:r>
            <w:r>
              <w:rPr>
                <w:rFonts w:hint="eastAsia" w:cs="Times New Roman"/>
                <w:color w:val="auto"/>
                <w:sz w:val="24"/>
                <w:szCs w:val="24"/>
                <w:lang w:val="en-US" w:eastAsia="zh-CN"/>
              </w:rPr>
              <w:t>选取距离本项目最近的监测站</w:t>
            </w:r>
            <w:r>
              <w:rPr>
                <w:rFonts w:hint="eastAsia" w:cs="Times New Roman"/>
                <w:color w:val="auto"/>
                <w:sz w:val="24"/>
                <w:szCs w:val="24"/>
                <w:highlight w:val="none"/>
                <w:lang w:val="en-US" w:eastAsia="zh-CN"/>
              </w:rPr>
              <w:t>城市（克拉玛依市）点</w:t>
            </w:r>
            <w:r>
              <w:rPr>
                <w:rFonts w:hint="default" w:ascii="Times New Roman" w:hAnsi="Times New Roman" w:eastAsia="宋体" w:cs="Times New Roman"/>
                <w:color w:val="auto"/>
                <w:sz w:val="24"/>
                <w:szCs w:val="24"/>
                <w:highlight w:val="none"/>
                <w:lang w:val="en-US" w:eastAsia="zh-CN"/>
              </w:rPr>
              <w:t>20</w:t>
            </w:r>
            <w:r>
              <w:rPr>
                <w:rFonts w:hint="eastAsia" w:cs="Times New Roman"/>
                <w:color w:val="auto"/>
                <w:sz w:val="24"/>
                <w:szCs w:val="24"/>
                <w:highlight w:val="none"/>
                <w:lang w:val="en-US" w:eastAsia="zh-CN"/>
              </w:rPr>
              <w:t>23</w:t>
            </w:r>
            <w:r>
              <w:rPr>
                <w:rFonts w:hint="eastAsia" w:ascii="Times New Roman" w:hAnsi="Times New Roman" w:eastAsia="宋体" w:cs="Times New Roman"/>
                <w:color w:val="auto"/>
                <w:sz w:val="24"/>
                <w:szCs w:val="24"/>
                <w:highlight w:val="none"/>
                <w:lang w:val="en-US" w:eastAsia="zh-CN"/>
              </w:rPr>
              <w:t>年基准年连续</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年的监测数据，作为本项目环境空气现状评价基本污染物</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10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CO</w:t>
            </w:r>
            <w:r>
              <w:rPr>
                <w:rFonts w:hint="eastAsia"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的数据来源。</w:t>
            </w:r>
          </w:p>
          <w:p w14:paraId="0C004187">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b w:val="0"/>
                <w:bCs w:val="0"/>
                <w:color w:val="auto"/>
                <w:highlight w:val="none"/>
                <w:lang w:val="en-US" w:eastAsia="zh-CN"/>
              </w:rPr>
            </w:pPr>
            <w:r>
              <w:rPr>
                <w:rFonts w:hint="default" w:ascii="Times New Roman" w:hAnsi="Times New Roman" w:eastAsia="宋体" w:cs="宋体"/>
                <w:b w:val="0"/>
                <w:bCs w:val="0"/>
                <w:color w:val="auto"/>
                <w:highlight w:val="none"/>
              </w:rPr>
              <w:t>特征污染因子</w:t>
            </w:r>
            <w:r>
              <w:rPr>
                <w:rFonts w:hint="eastAsia" w:cs="宋体"/>
                <w:b w:val="0"/>
                <w:bCs w:val="0"/>
                <w:color w:val="auto"/>
                <w:highlight w:val="none"/>
                <w:lang w:val="en-US" w:eastAsia="zh-CN"/>
              </w:rPr>
              <w:t>氨、硫化氢</w:t>
            </w:r>
            <w:r>
              <w:rPr>
                <w:rFonts w:hint="eastAsia" w:ascii="Times New Roman" w:hAnsi="Times New Roman" w:eastAsia="宋体" w:cs="宋体"/>
                <w:b w:val="0"/>
                <w:bCs w:val="0"/>
                <w:color w:val="auto"/>
                <w:highlight w:val="none"/>
                <w:lang w:val="en-US" w:eastAsia="zh-CN"/>
              </w:rPr>
              <w:t>委托新疆天蓝水清环境监测技术有限公司</w:t>
            </w:r>
            <w:r>
              <w:rPr>
                <w:rFonts w:hint="default" w:ascii="Times New Roman" w:hAnsi="Times New Roman" w:eastAsia="宋体" w:cs="宋体"/>
                <w:b w:val="0"/>
                <w:bCs w:val="0"/>
                <w:color w:val="auto"/>
                <w:highlight w:val="none"/>
              </w:rPr>
              <w:t>于</w:t>
            </w:r>
            <w:r>
              <w:rPr>
                <w:rFonts w:hint="eastAsia" w:cs="宋体"/>
                <w:b w:val="0"/>
                <w:bCs w:val="0"/>
                <w:color w:val="auto"/>
                <w:highlight w:val="none"/>
                <w:lang w:val="en-US" w:eastAsia="zh-CN"/>
              </w:rPr>
              <w:t>2024</w:t>
            </w:r>
            <w:r>
              <w:rPr>
                <w:rFonts w:hint="default" w:ascii="Times New Roman" w:hAnsi="Times New Roman" w:eastAsia="宋体" w:cs="宋体"/>
                <w:b w:val="0"/>
                <w:bCs w:val="0"/>
                <w:color w:val="auto"/>
                <w:highlight w:val="none"/>
              </w:rPr>
              <w:t>年</w:t>
            </w:r>
            <w:r>
              <w:rPr>
                <w:rFonts w:hint="eastAsia" w:cs="宋体"/>
                <w:b w:val="0"/>
                <w:bCs w:val="0"/>
                <w:color w:val="auto"/>
                <w:highlight w:val="none"/>
                <w:lang w:val="en-US" w:eastAsia="zh-CN"/>
              </w:rPr>
              <w:t>7</w:t>
            </w:r>
            <w:r>
              <w:rPr>
                <w:rFonts w:hint="default" w:ascii="Times New Roman" w:hAnsi="Times New Roman" w:eastAsia="宋体" w:cs="宋体"/>
                <w:b w:val="0"/>
                <w:bCs w:val="0"/>
                <w:color w:val="auto"/>
                <w:highlight w:val="none"/>
              </w:rPr>
              <w:t>月</w:t>
            </w:r>
            <w:r>
              <w:rPr>
                <w:rFonts w:hint="eastAsia" w:cs="宋体"/>
                <w:b w:val="0"/>
                <w:bCs w:val="0"/>
                <w:color w:val="auto"/>
                <w:highlight w:val="none"/>
                <w:lang w:val="en-US" w:eastAsia="zh-CN"/>
              </w:rPr>
              <w:t>20</w:t>
            </w:r>
            <w:r>
              <w:rPr>
                <w:rFonts w:hint="default" w:ascii="Times New Roman" w:hAnsi="Times New Roman" w:eastAsia="宋体" w:cs="宋体"/>
                <w:b w:val="0"/>
                <w:bCs w:val="0"/>
                <w:color w:val="auto"/>
                <w:highlight w:val="none"/>
              </w:rPr>
              <w:t>日至20</w:t>
            </w:r>
            <w:r>
              <w:rPr>
                <w:rFonts w:hint="eastAsia" w:cs="宋体"/>
                <w:b w:val="0"/>
                <w:bCs w:val="0"/>
                <w:color w:val="auto"/>
                <w:highlight w:val="none"/>
                <w:lang w:val="en-US" w:eastAsia="zh-CN"/>
              </w:rPr>
              <w:t>24</w:t>
            </w:r>
            <w:r>
              <w:rPr>
                <w:rFonts w:hint="default" w:ascii="Times New Roman" w:hAnsi="Times New Roman" w:eastAsia="宋体" w:cs="宋体"/>
                <w:b w:val="0"/>
                <w:bCs w:val="0"/>
                <w:color w:val="auto"/>
                <w:highlight w:val="none"/>
              </w:rPr>
              <w:t>年</w:t>
            </w:r>
            <w:r>
              <w:rPr>
                <w:rFonts w:hint="eastAsia" w:cs="宋体"/>
                <w:b w:val="0"/>
                <w:bCs w:val="0"/>
                <w:color w:val="auto"/>
                <w:highlight w:val="none"/>
                <w:lang w:val="en-US" w:eastAsia="zh-CN"/>
              </w:rPr>
              <w:t>7</w:t>
            </w:r>
            <w:r>
              <w:rPr>
                <w:rFonts w:hint="default" w:ascii="Times New Roman" w:hAnsi="Times New Roman" w:eastAsia="宋体" w:cs="宋体"/>
                <w:b w:val="0"/>
                <w:bCs w:val="0"/>
                <w:color w:val="auto"/>
                <w:highlight w:val="none"/>
              </w:rPr>
              <w:t>月</w:t>
            </w:r>
            <w:r>
              <w:rPr>
                <w:rFonts w:hint="eastAsia" w:cs="宋体"/>
                <w:b w:val="0"/>
                <w:bCs w:val="0"/>
                <w:color w:val="auto"/>
                <w:highlight w:val="none"/>
                <w:lang w:val="en-US" w:eastAsia="zh-CN"/>
              </w:rPr>
              <w:t>21</w:t>
            </w:r>
            <w:r>
              <w:rPr>
                <w:rFonts w:hint="default" w:ascii="Times New Roman" w:hAnsi="Times New Roman" w:eastAsia="宋体" w:cs="宋体"/>
                <w:b w:val="0"/>
                <w:bCs w:val="0"/>
                <w:color w:val="auto"/>
                <w:highlight w:val="none"/>
              </w:rPr>
              <w:t>日</w:t>
            </w:r>
            <w:r>
              <w:rPr>
                <w:rFonts w:hint="eastAsia" w:ascii="Times New Roman" w:hAnsi="Times New Roman" w:eastAsia="宋体" w:cs="宋体"/>
                <w:b w:val="0"/>
                <w:bCs w:val="0"/>
                <w:color w:val="auto"/>
                <w:highlight w:val="none"/>
                <w:lang w:val="en-US" w:eastAsia="zh-CN"/>
              </w:rPr>
              <w:t>对本项目下风向处进行补充监测</w:t>
            </w:r>
            <w:r>
              <w:rPr>
                <w:rFonts w:hint="eastAsia" w:eastAsia="宋体" w:cs="宋体"/>
                <w:b w:val="0"/>
                <w:bCs w:val="0"/>
                <w:color w:val="auto"/>
                <w:highlight w:val="none"/>
                <w:lang w:val="en-US" w:eastAsia="zh-CN"/>
              </w:rPr>
              <w:t>。</w:t>
            </w:r>
          </w:p>
          <w:p w14:paraId="6E95606B">
            <w:pPr>
              <w:spacing w:line="360" w:lineRule="auto"/>
              <w:ind w:firstLine="480" w:firstLineChars="200"/>
              <w:rPr>
                <w:rFonts w:ascii="Times New Roman" w:hAnsi="Times New Roman" w:eastAsia="宋体" w:cs="宋体"/>
                <w:color w:val="auto"/>
                <w:highlight w:val="none"/>
              </w:rPr>
            </w:pPr>
            <w:r>
              <w:rPr>
                <w:rFonts w:hint="eastAsia" w:ascii="Times New Roman" w:hAnsi="Times New Roman" w:eastAsia="宋体" w:cs="宋体"/>
                <w:color w:val="auto"/>
                <w:highlight w:val="none"/>
              </w:rPr>
              <w:t>（1）</w:t>
            </w:r>
            <w:r>
              <w:rPr>
                <w:rFonts w:ascii="Times New Roman" w:hAnsi="Times New Roman" w:eastAsia="宋体" w:cs="宋体"/>
                <w:color w:val="auto"/>
                <w:highlight w:val="none"/>
              </w:rPr>
              <w:t>监测布点</w:t>
            </w:r>
          </w:p>
          <w:p w14:paraId="77CAAACC">
            <w:pPr>
              <w:spacing w:line="360" w:lineRule="auto"/>
              <w:ind w:firstLine="480" w:firstLineChars="200"/>
              <w:rPr>
                <w:rFonts w:ascii="Times New Roman" w:hAnsi="Times New Roman" w:eastAsia="宋体" w:cs="宋体"/>
                <w:color w:val="auto"/>
              </w:rPr>
            </w:pPr>
            <w:r>
              <w:rPr>
                <w:rFonts w:ascii="Times New Roman" w:hAnsi="Times New Roman" w:eastAsia="宋体" w:cs="宋体"/>
                <w:color w:val="auto"/>
                <w:highlight w:val="none"/>
              </w:rPr>
              <w:t>根据项目区气象气候和地形条件，</w:t>
            </w:r>
            <w:r>
              <w:rPr>
                <w:rFonts w:hint="default" w:ascii="Times New Roman" w:hAnsi="Times New Roman" w:eastAsia="宋体" w:cs="宋体"/>
                <w:color w:val="auto"/>
                <w:highlight w:val="none"/>
              </w:rPr>
              <w:t>特征污染因子现状监测共布设</w:t>
            </w:r>
            <w:r>
              <w:rPr>
                <w:rFonts w:hint="eastAsia" w:ascii="Times New Roman" w:hAnsi="Times New Roman" w:eastAsia="宋体" w:cs="宋体"/>
                <w:color w:val="auto"/>
                <w:highlight w:val="none"/>
                <w:lang w:val="en-US" w:eastAsia="zh-CN"/>
              </w:rPr>
              <w:t>1</w:t>
            </w:r>
            <w:r>
              <w:rPr>
                <w:rFonts w:hint="default" w:ascii="Times New Roman" w:hAnsi="Times New Roman" w:eastAsia="宋体" w:cs="宋体"/>
                <w:color w:val="auto"/>
                <w:highlight w:val="none"/>
              </w:rPr>
              <w:t>个监测点</w:t>
            </w:r>
            <w:r>
              <w:rPr>
                <w:rFonts w:hint="eastAsia" w:ascii="Times New Roman" w:hAnsi="Times New Roman" w:eastAsia="宋体" w:cs="宋体"/>
                <w:color w:val="auto"/>
                <w:highlight w:val="none"/>
                <w:lang w:eastAsia="zh-CN"/>
              </w:rPr>
              <w:t>，</w:t>
            </w:r>
            <w:r>
              <w:rPr>
                <w:rFonts w:hint="default" w:ascii="Times New Roman" w:hAnsi="Times New Roman" w:eastAsia="宋体" w:cs="宋体"/>
                <w:color w:val="auto"/>
                <w:highlight w:val="none"/>
                <w:lang w:eastAsia="zh-CN"/>
              </w:rPr>
              <w:t>位于</w:t>
            </w:r>
            <w:r>
              <w:rPr>
                <w:rFonts w:hint="default" w:ascii="Times New Roman" w:hAnsi="Times New Roman" w:eastAsia="宋体" w:cs="宋体"/>
                <w:color w:val="auto"/>
                <w:highlight w:val="none"/>
              </w:rPr>
              <w:t>项目区</w:t>
            </w:r>
            <w:r>
              <w:rPr>
                <w:rFonts w:hint="eastAsia" w:ascii="Times New Roman" w:hAnsi="Times New Roman" w:eastAsia="宋体" w:cs="宋体"/>
                <w:color w:val="auto"/>
                <w:highlight w:val="none"/>
                <w:lang w:val="en-US" w:eastAsia="zh-CN"/>
              </w:rPr>
              <w:t>下风向处1</w:t>
            </w:r>
            <w:r>
              <w:rPr>
                <w:rFonts w:hint="eastAsia" w:cs="宋体"/>
                <w:color w:val="auto"/>
                <w:highlight w:val="none"/>
                <w:lang w:val="en-US" w:eastAsia="zh-CN"/>
              </w:rPr>
              <w:t>0</w:t>
            </w:r>
            <w:r>
              <w:rPr>
                <w:rFonts w:hint="eastAsia" w:ascii="Times New Roman" w:hAnsi="Times New Roman" w:eastAsia="宋体" w:cs="宋体"/>
                <w:color w:val="auto"/>
                <w:highlight w:val="none"/>
                <w:lang w:val="en-US" w:eastAsia="zh-CN"/>
              </w:rPr>
              <w:t>m</w:t>
            </w:r>
            <w:r>
              <w:rPr>
                <w:rFonts w:hint="default" w:ascii="Times New Roman" w:hAnsi="Times New Roman" w:eastAsia="宋体" w:cs="宋体"/>
                <w:color w:val="auto"/>
                <w:highlight w:val="none"/>
                <w:lang w:eastAsia="zh-CN"/>
              </w:rPr>
              <w:t>，</w:t>
            </w:r>
            <w:r>
              <w:rPr>
                <w:rFonts w:hint="default" w:ascii="Times New Roman" w:hAnsi="Times New Roman" w:eastAsia="宋体" w:cs="宋体"/>
                <w:color w:val="auto"/>
                <w:highlight w:val="none"/>
              </w:rPr>
              <w:t>能够代表区域特征污染因子</w:t>
            </w:r>
            <w:r>
              <w:rPr>
                <w:rFonts w:hint="default" w:ascii="Times New Roman" w:hAnsi="Times New Roman" w:eastAsia="宋体" w:cs="宋体"/>
                <w:color w:val="auto"/>
                <w:highlight w:val="none"/>
                <w:lang w:eastAsia="zh-CN"/>
              </w:rPr>
              <w:t>污染</w:t>
            </w:r>
            <w:r>
              <w:rPr>
                <w:rFonts w:hint="default" w:ascii="Times New Roman" w:hAnsi="Times New Roman" w:eastAsia="宋体" w:cs="宋体"/>
                <w:color w:val="auto"/>
                <w:highlight w:val="none"/>
              </w:rPr>
              <w:t>状况。</w:t>
            </w:r>
            <w:r>
              <w:rPr>
                <w:rFonts w:ascii="Times New Roman" w:hAnsi="Times New Roman" w:eastAsia="宋体" w:cs="宋体"/>
                <w:color w:val="auto"/>
                <w:highlight w:val="none"/>
              </w:rPr>
              <w:t>本项目环境</w:t>
            </w:r>
            <w:r>
              <w:rPr>
                <w:rFonts w:ascii="Times New Roman" w:hAnsi="Times New Roman" w:eastAsia="宋体" w:cs="宋体"/>
                <w:color w:val="auto"/>
              </w:rPr>
              <w:t>监测布点情况见图</w:t>
            </w:r>
            <w:r>
              <w:rPr>
                <w:rFonts w:hint="eastAsia" w:ascii="Times New Roman" w:hAnsi="Times New Roman" w:eastAsia="宋体" w:cs="宋体"/>
                <w:color w:val="auto"/>
              </w:rPr>
              <w:t>3.1</w:t>
            </w:r>
            <w:r>
              <w:rPr>
                <w:rFonts w:ascii="Times New Roman" w:hAnsi="Times New Roman" w:eastAsia="宋体" w:cs="宋体"/>
                <w:color w:val="auto"/>
              </w:rPr>
              <w:t>-1。</w:t>
            </w:r>
          </w:p>
          <w:p w14:paraId="14BD93E8">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（2）</w:t>
            </w:r>
            <w:r>
              <w:rPr>
                <w:rFonts w:ascii="Times New Roman" w:hAnsi="Times New Roman" w:eastAsia="宋体" w:cs="宋体"/>
                <w:color w:val="auto"/>
              </w:rPr>
              <w:t>采样及分析方法</w:t>
            </w:r>
          </w:p>
          <w:p w14:paraId="7045EFF6">
            <w:pPr>
              <w:spacing w:line="360" w:lineRule="auto"/>
              <w:ind w:firstLine="480" w:firstLineChars="200"/>
              <w:rPr>
                <w:rFonts w:ascii="Times New Roman" w:hAnsi="Times New Roman" w:eastAsia="宋体" w:cs="宋体"/>
                <w:color w:val="auto"/>
              </w:rPr>
            </w:pPr>
            <w:r>
              <w:rPr>
                <w:rFonts w:ascii="Times New Roman" w:hAnsi="Times New Roman" w:eastAsia="宋体" w:cs="宋体"/>
                <w:color w:val="auto"/>
              </w:rPr>
              <w:t>采样分析方法均按《空气和废气监测分析方法》、《环境监测技术规范》中的有关规定执行。</w:t>
            </w:r>
          </w:p>
          <w:p w14:paraId="28A8E5B8">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（3）</w:t>
            </w:r>
            <w:r>
              <w:rPr>
                <w:rFonts w:hint="eastAsia" w:cs="宋体"/>
                <w:color w:val="auto"/>
                <w:lang w:val="en-US" w:eastAsia="zh-CN"/>
              </w:rPr>
              <w:t>环境空气</w:t>
            </w:r>
            <w:r>
              <w:rPr>
                <w:rFonts w:ascii="Times New Roman" w:hAnsi="Times New Roman" w:eastAsia="宋体" w:cs="宋体"/>
                <w:color w:val="auto"/>
              </w:rPr>
              <w:t>质量现状评价</w:t>
            </w:r>
          </w:p>
          <w:p w14:paraId="098940B4">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①</w:t>
            </w:r>
            <w:r>
              <w:rPr>
                <w:rFonts w:ascii="Times New Roman" w:hAnsi="Times New Roman" w:eastAsia="宋体" w:cs="宋体"/>
                <w:color w:val="auto"/>
              </w:rPr>
              <w:t>评价标准</w:t>
            </w:r>
          </w:p>
          <w:p w14:paraId="1B46A144">
            <w:pPr>
              <w:spacing w:line="360" w:lineRule="auto"/>
              <w:ind w:firstLine="480" w:firstLineChars="200"/>
              <w:rPr>
                <w:rFonts w:ascii="Times New Roman" w:hAnsi="Times New Roman" w:eastAsia="宋体" w:cs="宋体"/>
                <w:color w:val="auto"/>
              </w:rPr>
            </w:pPr>
            <w:r>
              <w:rPr>
                <w:rFonts w:ascii="Times New Roman" w:hAnsi="Times New Roman" w:eastAsia="宋体" w:cs="宋体"/>
                <w:color w:val="auto"/>
              </w:rPr>
              <w:t>根据本项目所在区域的环境功能区划，常规污染物</w:t>
            </w:r>
            <w:r>
              <w:rPr>
                <w:rFonts w:hint="eastAsia" w:ascii="Times New Roman" w:hAnsi="Times New Roman" w:eastAsia="宋体" w:cs="宋体"/>
                <w:color w:val="auto"/>
              </w:rPr>
              <w:t>均</w:t>
            </w:r>
            <w:r>
              <w:rPr>
                <w:rFonts w:ascii="Times New Roman" w:hAnsi="Times New Roman" w:eastAsia="宋体" w:cs="宋体"/>
                <w:color w:val="auto"/>
              </w:rPr>
              <w:t>执行《环境空气质量标准》（GB3095</w:t>
            </w:r>
            <w:r>
              <w:rPr>
                <w:rFonts w:hint="eastAsia" w:cs="宋体"/>
                <w:color w:val="auto"/>
                <w:lang w:val="en-US" w:eastAsia="zh-CN"/>
              </w:rPr>
              <w:t>-</w:t>
            </w:r>
            <w:r>
              <w:rPr>
                <w:rFonts w:ascii="Times New Roman" w:hAnsi="Times New Roman" w:eastAsia="宋体" w:cs="宋体"/>
                <w:color w:val="auto"/>
              </w:rPr>
              <w:t>2012）中的二级标准。</w:t>
            </w:r>
          </w:p>
          <w:p w14:paraId="40FD17BB">
            <w:pPr>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②</w:t>
            </w:r>
            <w:r>
              <w:rPr>
                <w:rFonts w:ascii="Times New Roman" w:hAnsi="Times New Roman" w:eastAsia="宋体" w:cs="宋体"/>
                <w:color w:val="auto"/>
              </w:rPr>
              <w:t>常规污染物监测结果及评价统计</w:t>
            </w:r>
          </w:p>
          <w:p w14:paraId="0E8B3BE5">
            <w:pPr>
              <w:spacing w:line="360" w:lineRule="auto"/>
              <w:ind w:firstLine="480" w:firstLineChars="200"/>
              <w:rPr>
                <w:rFonts w:ascii="Times New Roman" w:hAnsi="Times New Roman" w:eastAsia="宋体" w:cs="宋体"/>
                <w:color w:val="auto"/>
              </w:rPr>
            </w:pPr>
            <w:r>
              <w:rPr>
                <w:rFonts w:ascii="Times New Roman" w:hAnsi="Times New Roman" w:eastAsia="宋体" w:cs="宋体"/>
                <w:color w:val="auto"/>
              </w:rPr>
              <w:t>根据生态环境部环境工程评估中心下设基于互联网的环境影响评价技术服务平台（http</w:t>
            </w:r>
            <w:r>
              <w:rPr>
                <w:rFonts w:hint="eastAsia" w:cs="宋体"/>
                <w:color w:val="auto"/>
                <w:lang w:eastAsia="zh-CN"/>
              </w:rPr>
              <w:t>：</w:t>
            </w:r>
            <w:r>
              <w:rPr>
                <w:rFonts w:ascii="Times New Roman" w:hAnsi="Times New Roman" w:eastAsia="宋体" w:cs="宋体"/>
                <w:color w:val="auto"/>
              </w:rPr>
              <w:t>//cloud.lem.org.cn/）发布的</w:t>
            </w:r>
            <w:r>
              <w:rPr>
                <w:rFonts w:hint="eastAsia" w:cs="宋体"/>
                <w:color w:val="auto"/>
                <w:lang w:val="en-US" w:eastAsia="zh-CN"/>
              </w:rPr>
              <w:t>克拉玛依市</w:t>
            </w:r>
            <w:r>
              <w:rPr>
                <w:rFonts w:ascii="Times New Roman" w:hAnsi="Times New Roman" w:eastAsia="宋体" w:cs="宋体"/>
                <w:color w:val="auto"/>
              </w:rPr>
              <w:t>20</w:t>
            </w:r>
            <w:r>
              <w:rPr>
                <w:rFonts w:hint="eastAsia" w:ascii="Times New Roman" w:hAnsi="Times New Roman" w:eastAsia="宋体" w:cs="宋体"/>
                <w:color w:val="auto"/>
              </w:rPr>
              <w:t>2</w:t>
            </w:r>
            <w:r>
              <w:rPr>
                <w:rFonts w:hint="eastAsia" w:cs="宋体"/>
                <w:color w:val="auto"/>
                <w:lang w:val="en-US" w:eastAsia="zh-CN"/>
              </w:rPr>
              <w:t>3</w:t>
            </w:r>
            <w:r>
              <w:rPr>
                <w:rFonts w:ascii="Times New Roman" w:hAnsi="Times New Roman" w:eastAsia="宋体" w:cs="宋体"/>
                <w:color w:val="auto"/>
              </w:rPr>
              <w:t>年SO</w:t>
            </w:r>
            <w:r>
              <w:rPr>
                <w:rFonts w:ascii="Times New Roman" w:hAnsi="Times New Roman" w:eastAsia="宋体" w:cs="宋体"/>
                <w:color w:val="auto"/>
                <w:vertAlign w:val="subscript"/>
              </w:rPr>
              <w:t>2</w:t>
            </w:r>
            <w:r>
              <w:rPr>
                <w:rFonts w:ascii="Times New Roman" w:hAnsi="Times New Roman" w:eastAsia="宋体" w:cs="宋体"/>
                <w:color w:val="auto"/>
              </w:rPr>
              <w:t>、NO</w:t>
            </w:r>
            <w:r>
              <w:rPr>
                <w:rFonts w:ascii="Times New Roman" w:hAnsi="Times New Roman" w:eastAsia="宋体" w:cs="宋体"/>
                <w:color w:val="auto"/>
                <w:vertAlign w:val="subscript"/>
              </w:rPr>
              <w:t>2</w:t>
            </w:r>
            <w:r>
              <w:rPr>
                <w:rFonts w:ascii="Times New Roman" w:hAnsi="Times New Roman" w:eastAsia="宋体" w:cs="宋体"/>
                <w:color w:val="auto"/>
              </w:rPr>
              <w:t>、PM</w:t>
            </w:r>
            <w:r>
              <w:rPr>
                <w:rFonts w:ascii="Times New Roman" w:hAnsi="Times New Roman" w:eastAsia="宋体" w:cs="宋体"/>
                <w:color w:val="auto"/>
                <w:vertAlign w:val="subscript"/>
              </w:rPr>
              <w:t>10</w:t>
            </w:r>
            <w:r>
              <w:rPr>
                <w:rFonts w:ascii="Times New Roman" w:hAnsi="Times New Roman" w:eastAsia="宋体" w:cs="宋体"/>
                <w:color w:val="auto"/>
              </w:rPr>
              <w:t>、PM</w:t>
            </w:r>
            <w:r>
              <w:rPr>
                <w:rFonts w:ascii="Times New Roman" w:hAnsi="Times New Roman" w:eastAsia="宋体" w:cs="宋体"/>
                <w:color w:val="auto"/>
                <w:vertAlign w:val="subscript"/>
              </w:rPr>
              <w:t>2.5</w:t>
            </w:r>
            <w:r>
              <w:rPr>
                <w:rFonts w:ascii="Times New Roman" w:hAnsi="Times New Roman" w:eastAsia="宋体" w:cs="宋体"/>
                <w:color w:val="auto"/>
              </w:rPr>
              <w:t>年均浓度</w:t>
            </w:r>
            <w:r>
              <w:rPr>
                <w:rFonts w:hint="eastAsia" w:ascii="Times New Roman" w:hAnsi="Times New Roman" w:eastAsia="宋体" w:cs="宋体"/>
                <w:color w:val="auto"/>
              </w:rPr>
              <w:t>以及</w:t>
            </w:r>
            <w:r>
              <w:rPr>
                <w:rFonts w:ascii="Times New Roman" w:hAnsi="Times New Roman" w:eastAsia="宋体" w:cs="宋体"/>
                <w:color w:val="auto"/>
              </w:rPr>
              <w:t>CO 24小时平均第95百分位数</w:t>
            </w:r>
            <w:r>
              <w:rPr>
                <w:rFonts w:hint="eastAsia" w:ascii="Times New Roman" w:hAnsi="Times New Roman" w:eastAsia="宋体" w:cs="宋体"/>
                <w:color w:val="auto"/>
              </w:rPr>
              <w:t>、</w:t>
            </w:r>
            <w:r>
              <w:rPr>
                <w:rFonts w:ascii="Times New Roman" w:hAnsi="Times New Roman" w:eastAsia="宋体" w:cs="宋体"/>
                <w:color w:val="auto"/>
              </w:rPr>
              <w:t>O</w:t>
            </w:r>
            <w:r>
              <w:rPr>
                <w:rFonts w:ascii="Times New Roman" w:hAnsi="Times New Roman" w:eastAsia="宋体" w:cs="宋体"/>
                <w:color w:val="auto"/>
                <w:vertAlign w:val="subscript"/>
              </w:rPr>
              <w:t>3</w:t>
            </w:r>
            <w:r>
              <w:rPr>
                <w:rFonts w:ascii="Times New Roman" w:hAnsi="Times New Roman" w:eastAsia="宋体" w:cs="宋体"/>
                <w:color w:val="auto"/>
              </w:rPr>
              <w:t>日最大8小时平均第90百分位数</w:t>
            </w:r>
            <w:r>
              <w:rPr>
                <w:rFonts w:hint="eastAsia" w:ascii="Times New Roman" w:hAnsi="Times New Roman" w:eastAsia="宋体" w:cs="宋体"/>
                <w:color w:val="auto"/>
              </w:rPr>
              <w:t>，</w:t>
            </w:r>
            <w:r>
              <w:rPr>
                <w:rFonts w:ascii="Times New Roman" w:hAnsi="Times New Roman" w:eastAsia="宋体" w:cs="宋体"/>
                <w:color w:val="auto"/>
              </w:rPr>
              <w:t>本项目所在区域空气质量达标区判定情况见表</w:t>
            </w:r>
            <w:r>
              <w:rPr>
                <w:rFonts w:hint="eastAsia" w:ascii="Times New Roman" w:hAnsi="Times New Roman" w:eastAsia="宋体" w:cs="宋体"/>
                <w:color w:val="auto"/>
              </w:rPr>
              <w:t>3.1-1</w:t>
            </w:r>
            <w:r>
              <w:rPr>
                <w:rFonts w:ascii="Times New Roman" w:hAnsi="Times New Roman" w:eastAsia="宋体" w:cs="宋体"/>
                <w:color w:val="auto"/>
              </w:rPr>
              <w:t>。</w:t>
            </w:r>
          </w:p>
          <w:p w14:paraId="0C7617B7">
            <w:pPr>
              <w:spacing w:line="360" w:lineRule="auto"/>
              <w:jc w:val="center"/>
              <w:rPr>
                <w:rFonts w:ascii="Times New Roman" w:hAnsi="Times New Roman" w:eastAsia="宋体" w:cs="宋体"/>
                <w:b/>
                <w:bCs/>
                <w:color w:val="auto"/>
              </w:rPr>
            </w:pPr>
            <w:r>
              <w:rPr>
                <w:rFonts w:ascii="Times New Roman" w:hAnsi="Times New Roman" w:eastAsia="宋体" w:cs="宋体"/>
                <w:b/>
                <w:bCs/>
                <w:color w:val="auto"/>
              </w:rPr>
              <w:t>表</w:t>
            </w:r>
            <w:r>
              <w:rPr>
                <w:rFonts w:hint="eastAsia" w:ascii="Times New Roman" w:hAnsi="Times New Roman" w:eastAsia="宋体" w:cs="宋体"/>
                <w:b/>
                <w:bCs/>
                <w:color w:val="auto"/>
              </w:rPr>
              <w:t>3.1-1</w:t>
            </w:r>
            <w:r>
              <w:rPr>
                <w:rFonts w:hint="eastAsia" w:ascii="Times New Roman" w:hAnsi="Times New Roman" w:eastAsia="宋体" w:cs="宋体"/>
                <w:b/>
                <w:bCs/>
                <w:color w:val="auto"/>
                <w:lang w:val="en-US" w:eastAsia="zh-CN"/>
              </w:rPr>
              <w:t xml:space="preserve">  </w:t>
            </w:r>
            <w:r>
              <w:rPr>
                <w:rFonts w:ascii="Times New Roman" w:hAnsi="Times New Roman" w:eastAsia="宋体" w:cs="宋体"/>
                <w:b/>
                <w:bCs/>
                <w:color w:val="auto"/>
              </w:rPr>
              <w:t>区域空气质量现状评价表</w:t>
            </w:r>
            <w:r>
              <w:rPr>
                <w:rFonts w:hint="eastAsia" w:ascii="Times New Roman" w:hAnsi="Times New Roman" w:eastAsia="宋体" w:cs="宋体"/>
                <w:b/>
                <w:bCs/>
                <w:color w:val="auto"/>
              </w:rPr>
              <w:t xml:space="preserve">  </w:t>
            </w:r>
            <w:r>
              <w:rPr>
                <w:rFonts w:ascii="Times New Roman" w:hAnsi="Times New Roman" w:eastAsia="宋体" w:cs="宋体"/>
                <w:b/>
                <w:bCs/>
                <w:color w:val="auto"/>
              </w:rPr>
              <w:t>单位：μg/m</w:t>
            </w:r>
            <w:r>
              <w:rPr>
                <w:rFonts w:ascii="Times New Roman" w:hAnsi="Times New Roman" w:eastAsia="宋体" w:cs="宋体"/>
                <w:b/>
                <w:bCs/>
                <w:color w:val="auto"/>
                <w:vertAlign w:val="superscript"/>
              </w:rPr>
              <w:t>3</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757"/>
              <w:gridCol w:w="2323"/>
              <w:gridCol w:w="1505"/>
              <w:gridCol w:w="1207"/>
              <w:gridCol w:w="1195"/>
              <w:gridCol w:w="1061"/>
            </w:tblGrid>
            <w:tr w14:paraId="40B2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4" w:type="pct"/>
                  <w:tcBorders>
                    <w:top w:val="single" w:color="auto" w:sz="12" w:space="0"/>
                    <w:left w:val="single" w:color="auto" w:sz="12" w:space="0"/>
                    <w:tl2br w:val="nil"/>
                    <w:tr2bl w:val="nil"/>
                  </w:tcBorders>
                  <w:vAlign w:val="center"/>
                </w:tcPr>
                <w:p w14:paraId="61867DA2">
                  <w:pPr>
                    <w:kinsoku w:val="0"/>
                    <w:overflowPunct w:val="0"/>
                    <w:autoSpaceDE w:val="0"/>
                    <w:autoSpaceDN w:val="0"/>
                    <w:jc w:val="center"/>
                    <w:rPr>
                      <w:rFonts w:hint="eastAsia" w:cs="宋体"/>
                      <w:b/>
                      <w:bCs/>
                      <w:color w:val="auto"/>
                      <w:sz w:val="21"/>
                      <w:szCs w:val="21"/>
                      <w:lang w:val="en-US" w:eastAsia="zh-CN"/>
                    </w:rPr>
                  </w:pPr>
                  <w:r>
                    <w:rPr>
                      <w:rFonts w:hint="eastAsia" w:cs="宋体"/>
                      <w:b/>
                      <w:bCs/>
                      <w:color w:val="auto"/>
                      <w:sz w:val="21"/>
                      <w:szCs w:val="21"/>
                      <w:lang w:val="en-US" w:eastAsia="zh-CN"/>
                    </w:rPr>
                    <w:t>序号</w:t>
                  </w:r>
                </w:p>
              </w:tc>
              <w:tc>
                <w:tcPr>
                  <w:tcW w:w="445" w:type="pct"/>
                  <w:tcBorders>
                    <w:top w:val="single" w:color="auto" w:sz="12" w:space="0"/>
                    <w:tl2br w:val="nil"/>
                    <w:tr2bl w:val="nil"/>
                  </w:tcBorders>
                  <w:vAlign w:val="center"/>
                </w:tcPr>
                <w:p w14:paraId="5A428067">
                  <w:pPr>
                    <w:kinsoku w:val="0"/>
                    <w:overflowPunct w:val="0"/>
                    <w:autoSpaceDE w:val="0"/>
                    <w:autoSpaceDN w:val="0"/>
                    <w:jc w:val="center"/>
                    <w:rPr>
                      <w:rFonts w:ascii="Times New Roman" w:hAnsi="Times New Roman" w:eastAsia="宋体" w:cs="宋体"/>
                      <w:b/>
                      <w:bCs/>
                      <w:color w:val="auto"/>
                      <w:sz w:val="21"/>
                      <w:szCs w:val="21"/>
                      <w:lang w:val="en-US" w:eastAsia="zh-CN" w:bidi="ar-SA"/>
                    </w:rPr>
                  </w:pPr>
                  <w:r>
                    <w:rPr>
                      <w:rFonts w:ascii="Times New Roman" w:hAnsi="Times New Roman" w:eastAsia="宋体" w:cs="宋体"/>
                      <w:b/>
                      <w:bCs/>
                      <w:color w:val="auto"/>
                      <w:sz w:val="21"/>
                      <w:szCs w:val="21"/>
                    </w:rPr>
                    <w:t>项目</w:t>
                  </w:r>
                </w:p>
              </w:tc>
              <w:tc>
                <w:tcPr>
                  <w:tcW w:w="1366" w:type="pct"/>
                  <w:tcBorders>
                    <w:top w:val="single" w:color="auto" w:sz="12" w:space="0"/>
                    <w:tl2br w:val="nil"/>
                    <w:tr2bl w:val="nil"/>
                  </w:tcBorders>
                  <w:vAlign w:val="center"/>
                </w:tcPr>
                <w:p w14:paraId="437165AB">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平均时间</w:t>
                  </w:r>
                </w:p>
              </w:tc>
              <w:tc>
                <w:tcPr>
                  <w:tcW w:w="885" w:type="pct"/>
                  <w:tcBorders>
                    <w:top w:val="single" w:color="auto" w:sz="12" w:space="0"/>
                    <w:tl2br w:val="nil"/>
                    <w:tr2bl w:val="nil"/>
                  </w:tcBorders>
                  <w:vAlign w:val="center"/>
                </w:tcPr>
                <w:p w14:paraId="313B028A">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标准值</w:t>
                  </w:r>
                </w:p>
              </w:tc>
              <w:tc>
                <w:tcPr>
                  <w:tcW w:w="710" w:type="pct"/>
                  <w:tcBorders>
                    <w:top w:val="single" w:color="auto" w:sz="12" w:space="0"/>
                    <w:tl2br w:val="nil"/>
                    <w:tr2bl w:val="nil"/>
                  </w:tcBorders>
                  <w:vAlign w:val="center"/>
                </w:tcPr>
                <w:p w14:paraId="68756C2B">
                  <w:pPr>
                    <w:kinsoku w:val="0"/>
                    <w:overflowPunct w:val="0"/>
                    <w:autoSpaceDE w:val="0"/>
                    <w:autoSpaceDN w:val="0"/>
                    <w:jc w:val="center"/>
                    <w:rPr>
                      <w:rFonts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现状浓度</w:t>
                  </w:r>
                </w:p>
              </w:tc>
              <w:tc>
                <w:tcPr>
                  <w:tcW w:w="703" w:type="pct"/>
                  <w:tcBorders>
                    <w:top w:val="single" w:color="auto" w:sz="12" w:space="0"/>
                    <w:tl2br w:val="nil"/>
                    <w:tr2bl w:val="nil"/>
                  </w:tcBorders>
                  <w:vAlign w:val="center"/>
                </w:tcPr>
                <w:p w14:paraId="3DDE51E8">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占标率%</w:t>
                  </w:r>
                </w:p>
              </w:tc>
              <w:tc>
                <w:tcPr>
                  <w:tcW w:w="624" w:type="pct"/>
                  <w:tcBorders>
                    <w:top w:val="single" w:color="auto" w:sz="12" w:space="0"/>
                    <w:right w:val="single" w:color="auto" w:sz="12" w:space="0"/>
                    <w:tl2br w:val="nil"/>
                    <w:tr2bl w:val="nil"/>
                  </w:tcBorders>
                  <w:vAlign w:val="center"/>
                </w:tcPr>
                <w:p w14:paraId="143978C0">
                  <w:pPr>
                    <w:kinsoku w:val="0"/>
                    <w:overflowPunct w:val="0"/>
                    <w:autoSpaceDE w:val="0"/>
                    <w:autoSpaceDN w:val="0"/>
                    <w:jc w:val="center"/>
                    <w:rPr>
                      <w:rFonts w:ascii="Times New Roman" w:hAnsi="Times New Roman" w:eastAsia="宋体" w:cs="宋体"/>
                      <w:b/>
                      <w:bCs/>
                      <w:color w:val="auto"/>
                      <w:sz w:val="21"/>
                      <w:szCs w:val="21"/>
                    </w:rPr>
                  </w:pPr>
                  <w:r>
                    <w:rPr>
                      <w:rFonts w:ascii="Times New Roman" w:hAnsi="Times New Roman" w:eastAsia="宋体" w:cs="宋体"/>
                      <w:b/>
                      <w:bCs/>
                      <w:color w:val="auto"/>
                      <w:sz w:val="21"/>
                      <w:szCs w:val="21"/>
                    </w:rPr>
                    <w:t>达标情况</w:t>
                  </w:r>
                </w:p>
              </w:tc>
            </w:tr>
            <w:tr w14:paraId="2971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4" w:type="pct"/>
                  <w:tcBorders>
                    <w:left w:val="single" w:color="auto" w:sz="12" w:space="0"/>
                    <w:tl2br w:val="nil"/>
                    <w:tr2bl w:val="nil"/>
                  </w:tcBorders>
                  <w:vAlign w:val="center"/>
                </w:tcPr>
                <w:p w14:paraId="7483A1E2">
                  <w:pPr>
                    <w:adjustRightInd w:val="0"/>
                    <w:spacing w:line="320" w:lineRule="atLeast"/>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445" w:type="pct"/>
                  <w:tcBorders>
                    <w:tl2br w:val="nil"/>
                    <w:tr2bl w:val="nil"/>
                  </w:tcBorders>
                  <w:vAlign w:val="center"/>
                </w:tcPr>
                <w:p w14:paraId="36E391CB">
                  <w:pPr>
                    <w:adjustRightInd w:val="0"/>
                    <w:spacing w:line="320" w:lineRule="atLeast"/>
                    <w:jc w:val="center"/>
                    <w:textAlignment w:val="baseline"/>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tc>
              <w:tc>
                <w:tcPr>
                  <w:tcW w:w="1366" w:type="pct"/>
                  <w:tcBorders>
                    <w:tl2br w:val="nil"/>
                    <w:tr2bl w:val="nil"/>
                  </w:tcBorders>
                  <w:vAlign w:val="center"/>
                </w:tcPr>
                <w:p w14:paraId="511F204D">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w:t>
                  </w:r>
                </w:p>
              </w:tc>
              <w:tc>
                <w:tcPr>
                  <w:tcW w:w="885" w:type="pct"/>
                  <w:tcBorders>
                    <w:tl2br w:val="nil"/>
                    <w:tr2bl w:val="nil"/>
                  </w:tcBorders>
                  <w:vAlign w:val="center"/>
                </w:tcPr>
                <w:p w14:paraId="01C2D3B8">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60</w:t>
                  </w:r>
                </w:p>
              </w:tc>
              <w:tc>
                <w:tcPr>
                  <w:tcW w:w="710" w:type="pct"/>
                  <w:tcBorders>
                    <w:tl2br w:val="nil"/>
                    <w:tr2bl w:val="nil"/>
                  </w:tcBorders>
                  <w:vAlign w:val="center"/>
                </w:tcPr>
                <w:p w14:paraId="579E2E94">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7</w:t>
                  </w:r>
                </w:p>
              </w:tc>
              <w:tc>
                <w:tcPr>
                  <w:tcW w:w="703" w:type="pct"/>
                  <w:tcBorders>
                    <w:tl2br w:val="nil"/>
                    <w:tr2bl w:val="nil"/>
                  </w:tcBorders>
                  <w:vAlign w:val="center"/>
                </w:tcPr>
                <w:p w14:paraId="072DCCC8">
                  <w:pPr>
                    <w:adjustRightInd w:val="0"/>
                    <w:spacing w:line="320" w:lineRule="atLeast"/>
                    <w:jc w:val="center"/>
                    <w:textAlignment w:val="baseline"/>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11.6</w:t>
                  </w:r>
                </w:p>
              </w:tc>
              <w:tc>
                <w:tcPr>
                  <w:tcW w:w="624" w:type="pct"/>
                  <w:tcBorders>
                    <w:right w:val="single" w:color="auto" w:sz="12" w:space="0"/>
                    <w:tl2br w:val="nil"/>
                    <w:tr2bl w:val="nil"/>
                  </w:tcBorders>
                  <w:vAlign w:val="center"/>
                </w:tcPr>
                <w:p w14:paraId="6E8EE010">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达标</w:t>
                  </w:r>
                </w:p>
              </w:tc>
            </w:tr>
            <w:tr w14:paraId="1F4F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4" w:type="pct"/>
                  <w:tcBorders>
                    <w:left w:val="single" w:color="auto" w:sz="12" w:space="0"/>
                    <w:tl2br w:val="nil"/>
                    <w:tr2bl w:val="nil"/>
                  </w:tcBorders>
                  <w:vAlign w:val="center"/>
                </w:tcPr>
                <w:p w14:paraId="17CA3278">
                  <w:pPr>
                    <w:adjustRightInd w:val="0"/>
                    <w:spacing w:line="320" w:lineRule="atLeast"/>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2</w:t>
                  </w:r>
                </w:p>
              </w:tc>
              <w:tc>
                <w:tcPr>
                  <w:tcW w:w="445" w:type="pct"/>
                  <w:tcBorders>
                    <w:tl2br w:val="nil"/>
                    <w:tr2bl w:val="nil"/>
                  </w:tcBorders>
                  <w:vAlign w:val="center"/>
                </w:tcPr>
                <w:p w14:paraId="1A0CDCB6">
                  <w:pPr>
                    <w:adjustRightInd w:val="0"/>
                    <w:spacing w:line="320" w:lineRule="atLeast"/>
                    <w:jc w:val="center"/>
                    <w:textAlignment w:val="baseline"/>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tc>
              <w:tc>
                <w:tcPr>
                  <w:tcW w:w="1366" w:type="pct"/>
                  <w:tcBorders>
                    <w:tl2br w:val="nil"/>
                    <w:tr2bl w:val="nil"/>
                  </w:tcBorders>
                  <w:vAlign w:val="center"/>
                </w:tcPr>
                <w:p w14:paraId="7CDABC27">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w:t>
                  </w:r>
                </w:p>
              </w:tc>
              <w:tc>
                <w:tcPr>
                  <w:tcW w:w="885" w:type="pct"/>
                  <w:tcBorders>
                    <w:tl2br w:val="nil"/>
                    <w:tr2bl w:val="nil"/>
                  </w:tcBorders>
                  <w:vAlign w:val="center"/>
                </w:tcPr>
                <w:p w14:paraId="1358118E">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40</w:t>
                  </w:r>
                </w:p>
              </w:tc>
              <w:tc>
                <w:tcPr>
                  <w:tcW w:w="710" w:type="pct"/>
                  <w:tcBorders>
                    <w:tl2br w:val="nil"/>
                    <w:tr2bl w:val="nil"/>
                  </w:tcBorders>
                  <w:vAlign w:val="center"/>
                </w:tcPr>
                <w:p w14:paraId="1F811452">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28</w:t>
                  </w:r>
                </w:p>
              </w:tc>
              <w:tc>
                <w:tcPr>
                  <w:tcW w:w="703" w:type="pct"/>
                  <w:tcBorders>
                    <w:tl2br w:val="nil"/>
                    <w:tr2bl w:val="nil"/>
                  </w:tcBorders>
                  <w:vAlign w:val="center"/>
                </w:tcPr>
                <w:p w14:paraId="741ECCA6">
                  <w:pPr>
                    <w:adjustRightInd w:val="0"/>
                    <w:spacing w:line="320" w:lineRule="atLeast"/>
                    <w:jc w:val="center"/>
                    <w:textAlignment w:val="baseline"/>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70</w:t>
                  </w:r>
                </w:p>
              </w:tc>
              <w:tc>
                <w:tcPr>
                  <w:tcW w:w="624" w:type="pct"/>
                  <w:tcBorders>
                    <w:right w:val="single" w:color="auto" w:sz="12" w:space="0"/>
                    <w:tl2br w:val="nil"/>
                    <w:tr2bl w:val="nil"/>
                  </w:tcBorders>
                  <w:vAlign w:val="center"/>
                </w:tcPr>
                <w:p w14:paraId="2F02949F">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14:paraId="608C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4" w:type="pct"/>
                  <w:tcBorders>
                    <w:left w:val="single" w:color="auto" w:sz="12" w:space="0"/>
                    <w:tl2br w:val="nil"/>
                    <w:tr2bl w:val="nil"/>
                  </w:tcBorders>
                  <w:vAlign w:val="center"/>
                </w:tcPr>
                <w:p w14:paraId="377757B2">
                  <w:pPr>
                    <w:adjustRightInd w:val="0"/>
                    <w:spacing w:line="320" w:lineRule="atLeast"/>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3</w:t>
                  </w:r>
                </w:p>
              </w:tc>
              <w:tc>
                <w:tcPr>
                  <w:tcW w:w="445" w:type="pct"/>
                  <w:tcBorders>
                    <w:tl2br w:val="nil"/>
                    <w:tr2bl w:val="nil"/>
                  </w:tcBorders>
                  <w:vAlign w:val="center"/>
                </w:tcPr>
                <w:p w14:paraId="4309E689">
                  <w:pPr>
                    <w:adjustRightInd w:val="0"/>
                    <w:spacing w:line="320" w:lineRule="atLeast"/>
                    <w:jc w:val="center"/>
                    <w:textAlignment w:val="baseline"/>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tc>
              <w:tc>
                <w:tcPr>
                  <w:tcW w:w="1366" w:type="pct"/>
                  <w:tcBorders>
                    <w:tl2br w:val="nil"/>
                    <w:tr2bl w:val="nil"/>
                  </w:tcBorders>
                  <w:vAlign w:val="center"/>
                </w:tcPr>
                <w:p w14:paraId="51729BE5">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w:t>
                  </w:r>
                </w:p>
              </w:tc>
              <w:tc>
                <w:tcPr>
                  <w:tcW w:w="885" w:type="pct"/>
                  <w:tcBorders>
                    <w:tl2br w:val="nil"/>
                    <w:tr2bl w:val="nil"/>
                  </w:tcBorders>
                  <w:vAlign w:val="center"/>
                </w:tcPr>
                <w:p w14:paraId="5C18FED6">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70</w:t>
                  </w:r>
                </w:p>
              </w:tc>
              <w:tc>
                <w:tcPr>
                  <w:tcW w:w="710" w:type="pct"/>
                  <w:tcBorders>
                    <w:tl2br w:val="nil"/>
                    <w:tr2bl w:val="nil"/>
                  </w:tcBorders>
                  <w:vAlign w:val="center"/>
                </w:tcPr>
                <w:p w14:paraId="1F399B66">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43</w:t>
                  </w:r>
                </w:p>
              </w:tc>
              <w:tc>
                <w:tcPr>
                  <w:tcW w:w="703" w:type="pct"/>
                  <w:tcBorders>
                    <w:tl2br w:val="nil"/>
                    <w:tr2bl w:val="nil"/>
                  </w:tcBorders>
                  <w:vAlign w:val="center"/>
                </w:tcPr>
                <w:p w14:paraId="12F76F16">
                  <w:pPr>
                    <w:adjustRightInd w:val="0"/>
                    <w:spacing w:line="320" w:lineRule="atLeast"/>
                    <w:jc w:val="center"/>
                    <w:textAlignment w:val="baseline"/>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61.4</w:t>
                  </w:r>
                </w:p>
              </w:tc>
              <w:tc>
                <w:tcPr>
                  <w:tcW w:w="624" w:type="pct"/>
                  <w:tcBorders>
                    <w:right w:val="single" w:color="auto" w:sz="12" w:space="0"/>
                    <w:tl2br w:val="nil"/>
                    <w:tr2bl w:val="nil"/>
                  </w:tcBorders>
                  <w:vAlign w:val="center"/>
                </w:tcPr>
                <w:p w14:paraId="3D8B4B44">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超标</w:t>
                  </w:r>
                </w:p>
              </w:tc>
            </w:tr>
            <w:tr w14:paraId="5523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4" w:type="pct"/>
                  <w:tcBorders>
                    <w:left w:val="single" w:color="auto" w:sz="12" w:space="0"/>
                    <w:tl2br w:val="nil"/>
                    <w:tr2bl w:val="nil"/>
                  </w:tcBorders>
                  <w:vAlign w:val="center"/>
                </w:tcPr>
                <w:p w14:paraId="1DEF3600">
                  <w:pPr>
                    <w:adjustRightInd w:val="0"/>
                    <w:spacing w:line="320" w:lineRule="atLeast"/>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4</w:t>
                  </w:r>
                </w:p>
              </w:tc>
              <w:tc>
                <w:tcPr>
                  <w:tcW w:w="445" w:type="pct"/>
                  <w:tcBorders>
                    <w:tl2br w:val="nil"/>
                    <w:tr2bl w:val="nil"/>
                  </w:tcBorders>
                  <w:vAlign w:val="center"/>
                </w:tcPr>
                <w:p w14:paraId="0CB3CBB1">
                  <w:pPr>
                    <w:adjustRightInd w:val="0"/>
                    <w:spacing w:line="320" w:lineRule="atLeast"/>
                    <w:jc w:val="center"/>
                    <w:textAlignment w:val="baseline"/>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p>
              </w:tc>
              <w:tc>
                <w:tcPr>
                  <w:tcW w:w="1366" w:type="pct"/>
                  <w:tcBorders>
                    <w:tl2br w:val="nil"/>
                    <w:tr2bl w:val="nil"/>
                  </w:tcBorders>
                  <w:vAlign w:val="center"/>
                </w:tcPr>
                <w:p w14:paraId="6EB616F5">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w:t>
                  </w:r>
                </w:p>
              </w:tc>
              <w:tc>
                <w:tcPr>
                  <w:tcW w:w="885" w:type="pct"/>
                  <w:tcBorders>
                    <w:tl2br w:val="nil"/>
                    <w:tr2bl w:val="nil"/>
                  </w:tcBorders>
                  <w:vAlign w:val="center"/>
                </w:tcPr>
                <w:p w14:paraId="5B8D681F">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35</w:t>
                  </w:r>
                </w:p>
              </w:tc>
              <w:tc>
                <w:tcPr>
                  <w:tcW w:w="710" w:type="pct"/>
                  <w:tcBorders>
                    <w:tl2br w:val="nil"/>
                    <w:tr2bl w:val="nil"/>
                  </w:tcBorders>
                  <w:vAlign w:val="center"/>
                </w:tcPr>
                <w:p w14:paraId="155FCFA2">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22</w:t>
                  </w:r>
                </w:p>
              </w:tc>
              <w:tc>
                <w:tcPr>
                  <w:tcW w:w="703" w:type="pct"/>
                  <w:tcBorders>
                    <w:tl2br w:val="nil"/>
                    <w:tr2bl w:val="nil"/>
                  </w:tcBorders>
                  <w:vAlign w:val="center"/>
                </w:tcPr>
                <w:p w14:paraId="26D08B0E">
                  <w:pPr>
                    <w:adjustRightInd w:val="0"/>
                    <w:spacing w:line="320" w:lineRule="atLeast"/>
                    <w:jc w:val="center"/>
                    <w:textAlignment w:val="baseline"/>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62.8</w:t>
                  </w:r>
                </w:p>
              </w:tc>
              <w:tc>
                <w:tcPr>
                  <w:tcW w:w="624" w:type="pct"/>
                  <w:tcBorders>
                    <w:right w:val="single" w:color="auto" w:sz="12" w:space="0"/>
                    <w:tl2br w:val="nil"/>
                    <w:tr2bl w:val="nil"/>
                  </w:tcBorders>
                  <w:vAlign w:val="center"/>
                </w:tcPr>
                <w:p w14:paraId="72CDB75E">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超标</w:t>
                  </w:r>
                </w:p>
              </w:tc>
            </w:tr>
            <w:tr w14:paraId="422C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4" w:type="pct"/>
                  <w:tcBorders>
                    <w:left w:val="single" w:color="auto" w:sz="12" w:space="0"/>
                    <w:tl2br w:val="nil"/>
                    <w:tr2bl w:val="nil"/>
                  </w:tcBorders>
                  <w:vAlign w:val="center"/>
                </w:tcPr>
                <w:p w14:paraId="7CCCB2DF">
                  <w:pPr>
                    <w:adjustRightInd w:val="0"/>
                    <w:spacing w:line="320" w:lineRule="atLeast"/>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5</w:t>
                  </w:r>
                </w:p>
              </w:tc>
              <w:tc>
                <w:tcPr>
                  <w:tcW w:w="445" w:type="pct"/>
                  <w:tcBorders>
                    <w:tl2br w:val="nil"/>
                    <w:tr2bl w:val="nil"/>
                  </w:tcBorders>
                  <w:vAlign w:val="center"/>
                </w:tcPr>
                <w:p w14:paraId="14FD20FA">
                  <w:pPr>
                    <w:adjustRightInd w:val="0"/>
                    <w:spacing w:line="320" w:lineRule="atLeast"/>
                    <w:jc w:val="center"/>
                    <w:textAlignment w:val="baseline"/>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CO</w:t>
                  </w:r>
                </w:p>
              </w:tc>
              <w:tc>
                <w:tcPr>
                  <w:tcW w:w="1366" w:type="pct"/>
                  <w:tcBorders>
                    <w:tl2br w:val="nil"/>
                    <w:tr2bl w:val="nil"/>
                  </w:tcBorders>
                  <w:vAlign w:val="center"/>
                </w:tcPr>
                <w:p w14:paraId="39A8727F">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95百分位24小时平均</w:t>
                  </w:r>
                </w:p>
              </w:tc>
              <w:tc>
                <w:tcPr>
                  <w:tcW w:w="885" w:type="pct"/>
                  <w:tcBorders>
                    <w:tl2br w:val="nil"/>
                    <w:tr2bl w:val="nil"/>
                  </w:tcBorders>
                  <w:vAlign w:val="center"/>
                </w:tcPr>
                <w:p w14:paraId="14824E44">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r>
                    <w:rPr>
                      <w:rFonts w:hint="eastAsia" w:ascii="Times New Roman" w:hAnsi="宋体" w:eastAsia="宋体" w:cs="Times New Roman"/>
                      <w:color w:val="auto"/>
                      <w:sz w:val="21"/>
                      <w:szCs w:val="21"/>
                    </w:rPr>
                    <w:t>000</w:t>
                  </w:r>
                </w:p>
              </w:tc>
              <w:tc>
                <w:tcPr>
                  <w:tcW w:w="710" w:type="pct"/>
                  <w:tcBorders>
                    <w:tl2br w:val="nil"/>
                    <w:tr2bl w:val="nil"/>
                  </w:tcBorders>
                  <w:vAlign w:val="center"/>
                </w:tcPr>
                <w:p w14:paraId="2391E533">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1000</w:t>
                  </w:r>
                </w:p>
              </w:tc>
              <w:tc>
                <w:tcPr>
                  <w:tcW w:w="703" w:type="pct"/>
                  <w:tcBorders>
                    <w:tl2br w:val="nil"/>
                    <w:tr2bl w:val="nil"/>
                  </w:tcBorders>
                  <w:vAlign w:val="center"/>
                </w:tcPr>
                <w:p w14:paraId="00894E82">
                  <w:pPr>
                    <w:adjustRightInd w:val="0"/>
                    <w:spacing w:line="320" w:lineRule="atLeast"/>
                    <w:jc w:val="center"/>
                    <w:textAlignment w:val="baseline"/>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25</w:t>
                  </w:r>
                </w:p>
              </w:tc>
              <w:tc>
                <w:tcPr>
                  <w:tcW w:w="624" w:type="pct"/>
                  <w:tcBorders>
                    <w:right w:val="single" w:color="auto" w:sz="12" w:space="0"/>
                    <w:tl2br w:val="nil"/>
                    <w:tr2bl w:val="nil"/>
                  </w:tcBorders>
                  <w:vAlign w:val="center"/>
                </w:tcPr>
                <w:p w14:paraId="361FC084">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达标</w:t>
                  </w:r>
                </w:p>
              </w:tc>
            </w:tr>
            <w:tr w14:paraId="5A0F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64" w:type="pct"/>
                  <w:tcBorders>
                    <w:left w:val="single" w:color="auto" w:sz="12" w:space="0"/>
                    <w:bottom w:val="single" w:color="auto" w:sz="12" w:space="0"/>
                    <w:tl2br w:val="nil"/>
                    <w:tr2bl w:val="nil"/>
                  </w:tcBorders>
                  <w:vAlign w:val="center"/>
                </w:tcPr>
                <w:p w14:paraId="3BB204F2">
                  <w:pPr>
                    <w:adjustRightInd w:val="0"/>
                    <w:spacing w:line="320" w:lineRule="atLeast"/>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6</w:t>
                  </w:r>
                </w:p>
              </w:tc>
              <w:tc>
                <w:tcPr>
                  <w:tcW w:w="445" w:type="pct"/>
                  <w:tcBorders>
                    <w:bottom w:val="single" w:color="auto" w:sz="12" w:space="0"/>
                    <w:tl2br w:val="nil"/>
                    <w:tr2bl w:val="nil"/>
                  </w:tcBorders>
                  <w:vAlign w:val="center"/>
                </w:tcPr>
                <w:p w14:paraId="10F69B15">
                  <w:pPr>
                    <w:adjustRightInd w:val="0"/>
                    <w:spacing w:line="320" w:lineRule="atLeast"/>
                    <w:jc w:val="center"/>
                    <w:textAlignment w:val="baseline"/>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tc>
              <w:tc>
                <w:tcPr>
                  <w:tcW w:w="1366" w:type="pct"/>
                  <w:tcBorders>
                    <w:bottom w:val="single" w:color="auto" w:sz="12" w:space="0"/>
                    <w:tl2br w:val="nil"/>
                    <w:tr2bl w:val="nil"/>
                  </w:tcBorders>
                  <w:vAlign w:val="center"/>
                </w:tcPr>
                <w:p w14:paraId="43B30EB2">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90百分位8小时平均</w:t>
                  </w:r>
                </w:p>
              </w:tc>
              <w:tc>
                <w:tcPr>
                  <w:tcW w:w="885" w:type="pct"/>
                  <w:tcBorders>
                    <w:bottom w:val="single" w:color="auto" w:sz="12" w:space="0"/>
                    <w:tl2br w:val="nil"/>
                    <w:tr2bl w:val="nil"/>
                  </w:tcBorders>
                  <w:vAlign w:val="center"/>
                </w:tcPr>
                <w:p w14:paraId="209BFB3C">
                  <w:pPr>
                    <w:adjustRightInd w:val="0"/>
                    <w:spacing w:line="320" w:lineRule="atLeast"/>
                    <w:jc w:val="center"/>
                    <w:textAlignment w:val="baseline"/>
                    <w:rPr>
                      <w:rFonts w:ascii="Times New Roman" w:hAnsi="Times New Roman" w:eastAsia="宋体" w:cs="Times New Roman"/>
                      <w:color w:val="auto"/>
                      <w:sz w:val="21"/>
                      <w:szCs w:val="21"/>
                    </w:rPr>
                  </w:pPr>
                  <w:r>
                    <w:rPr>
                      <w:rFonts w:hint="eastAsia" w:ascii="Times New Roman" w:hAnsi="宋体" w:eastAsia="宋体" w:cs="Times New Roman"/>
                      <w:color w:val="auto"/>
                      <w:sz w:val="21"/>
                      <w:szCs w:val="21"/>
                    </w:rPr>
                    <w:t>160</w:t>
                  </w:r>
                </w:p>
              </w:tc>
              <w:tc>
                <w:tcPr>
                  <w:tcW w:w="710" w:type="pct"/>
                  <w:tcBorders>
                    <w:bottom w:val="single" w:color="auto" w:sz="12" w:space="0"/>
                    <w:tl2br w:val="nil"/>
                    <w:tr2bl w:val="nil"/>
                  </w:tcBorders>
                  <w:vAlign w:val="center"/>
                </w:tcPr>
                <w:p w14:paraId="7E52924D">
                  <w:pPr>
                    <w:adjustRightInd w:val="0"/>
                    <w:spacing w:line="320" w:lineRule="atLeast"/>
                    <w:jc w:val="center"/>
                    <w:textAlignment w:val="baseline"/>
                    <w:rPr>
                      <w:rFonts w:hint="default" w:ascii="Times New Roman" w:hAnsi="Times New Roman" w:eastAsia="宋体" w:cs="Times New Roman"/>
                      <w:color w:val="auto"/>
                      <w:sz w:val="21"/>
                      <w:szCs w:val="21"/>
                      <w:lang w:val="en-US" w:eastAsia="zh-CN"/>
                    </w:rPr>
                  </w:pPr>
                  <w:r>
                    <w:rPr>
                      <w:rFonts w:hint="eastAsia" w:hAnsi="宋体" w:cs="Times New Roman"/>
                      <w:color w:val="auto"/>
                      <w:sz w:val="21"/>
                      <w:szCs w:val="21"/>
                      <w:lang w:val="en-US" w:eastAsia="zh-CN"/>
                    </w:rPr>
                    <w:t>123</w:t>
                  </w:r>
                </w:p>
              </w:tc>
              <w:tc>
                <w:tcPr>
                  <w:tcW w:w="703" w:type="pct"/>
                  <w:tcBorders>
                    <w:bottom w:val="single" w:color="auto" w:sz="12" w:space="0"/>
                    <w:tl2br w:val="nil"/>
                    <w:tr2bl w:val="nil"/>
                  </w:tcBorders>
                  <w:vAlign w:val="center"/>
                </w:tcPr>
                <w:p w14:paraId="3E362A0F">
                  <w:pPr>
                    <w:adjustRightInd w:val="0"/>
                    <w:spacing w:line="320" w:lineRule="atLeast"/>
                    <w:jc w:val="center"/>
                    <w:textAlignment w:val="baseline"/>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76.8</w:t>
                  </w:r>
                </w:p>
              </w:tc>
              <w:tc>
                <w:tcPr>
                  <w:tcW w:w="624" w:type="pct"/>
                  <w:tcBorders>
                    <w:bottom w:val="single" w:color="auto" w:sz="12" w:space="0"/>
                    <w:right w:val="single" w:color="auto" w:sz="12" w:space="0"/>
                    <w:tl2br w:val="nil"/>
                    <w:tr2bl w:val="nil"/>
                  </w:tcBorders>
                  <w:vAlign w:val="center"/>
                </w:tcPr>
                <w:p w14:paraId="6B193AEF">
                  <w:pPr>
                    <w:adjustRightInd w:val="0"/>
                    <w:spacing w:line="320" w:lineRule="atLeast"/>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达标</w:t>
                  </w:r>
                </w:p>
              </w:tc>
            </w:tr>
          </w:tbl>
          <w:p w14:paraId="706D106F">
            <w:pPr>
              <w:adjustRightInd w:val="0"/>
              <w:spacing w:line="360" w:lineRule="auto"/>
              <w:ind w:firstLine="480" w:firstLineChars="200"/>
              <w:jc w:val="left"/>
              <w:textAlignment w:val="baseline"/>
              <w:rPr>
                <w:rFonts w:ascii="Times New Roman" w:hAnsi="Times New Roman" w:eastAsia="宋体" w:cs="Times New Roman"/>
                <w:b/>
                <w:bCs/>
                <w:color w:val="auto"/>
                <w:szCs w:val="24"/>
                <w:vertAlign w:val="superscript"/>
              </w:rPr>
            </w:pPr>
            <w:r>
              <w:rPr>
                <w:rFonts w:ascii="Times New Roman" w:hAnsi="Times New Roman" w:eastAsia="宋体" w:cs="Times New Roman"/>
                <w:color w:val="auto"/>
                <w:kern w:val="2"/>
                <w:szCs w:val="24"/>
              </w:rPr>
              <w:t>根据《环境空气质量评价技术规范（试行）》（HJ663-2013），按照2013年以来全国环境质量报告书采用的达标评价方法，目前只考虑</w:t>
            </w:r>
            <w:r>
              <w:rPr>
                <w:rFonts w:ascii="Times New Roman" w:hAnsi="Times New Roman" w:eastAsia="宋体" w:cs="Times New Roman"/>
                <w:color w:val="auto"/>
                <w:szCs w:val="24"/>
              </w:rPr>
              <w:t>SO</w:t>
            </w:r>
            <w:r>
              <w:rPr>
                <w:rFonts w:ascii="Times New Roman" w:hAnsi="Times New Roman" w:eastAsia="宋体" w:cs="Times New Roman"/>
                <w:color w:val="auto"/>
                <w:szCs w:val="24"/>
                <w:vertAlign w:val="subscript"/>
              </w:rPr>
              <w:t>2</w:t>
            </w:r>
            <w:r>
              <w:rPr>
                <w:rFonts w:ascii="Times New Roman" w:hAnsi="Times New Roman" w:eastAsia="宋体" w:cs="Times New Roman"/>
                <w:color w:val="auto"/>
                <w:szCs w:val="24"/>
              </w:rPr>
              <w:t>、NO</w:t>
            </w:r>
            <w:r>
              <w:rPr>
                <w:rFonts w:ascii="Times New Roman" w:hAnsi="Times New Roman" w:eastAsia="宋体" w:cs="Times New Roman"/>
                <w:color w:val="auto"/>
                <w:szCs w:val="24"/>
                <w:vertAlign w:val="subscript"/>
              </w:rPr>
              <w:t>2</w:t>
            </w:r>
            <w:r>
              <w:rPr>
                <w:rFonts w:ascii="Times New Roman" w:hAnsi="Times New Roman" w:eastAsia="宋体" w:cs="Times New Roman"/>
                <w:color w:val="auto"/>
                <w:szCs w:val="24"/>
              </w:rPr>
              <w:t>、PM</w:t>
            </w:r>
            <w:r>
              <w:rPr>
                <w:rFonts w:ascii="Times New Roman" w:hAnsi="Times New Roman" w:eastAsia="宋体" w:cs="Times New Roman"/>
                <w:color w:val="auto"/>
                <w:szCs w:val="24"/>
                <w:vertAlign w:val="subscript"/>
              </w:rPr>
              <w:t>10</w:t>
            </w:r>
            <w:r>
              <w:rPr>
                <w:rFonts w:ascii="Times New Roman" w:hAnsi="Times New Roman" w:eastAsia="宋体" w:cs="Times New Roman"/>
                <w:color w:val="auto"/>
                <w:szCs w:val="24"/>
              </w:rPr>
              <w:t>、PM</w:t>
            </w:r>
            <w:r>
              <w:rPr>
                <w:rFonts w:ascii="Times New Roman" w:hAnsi="Times New Roman" w:eastAsia="宋体" w:cs="Times New Roman"/>
                <w:color w:val="auto"/>
                <w:szCs w:val="24"/>
                <w:vertAlign w:val="subscript"/>
              </w:rPr>
              <w:t>2.5</w:t>
            </w:r>
            <w:r>
              <w:rPr>
                <w:rFonts w:ascii="Times New Roman" w:hAnsi="Times New Roman" w:eastAsia="宋体" w:cs="Times New Roman"/>
                <w:color w:val="auto"/>
                <w:kern w:val="2"/>
                <w:szCs w:val="24"/>
              </w:rPr>
              <w:t>年平均浓度和CO、O</w:t>
            </w:r>
            <w:r>
              <w:rPr>
                <w:rFonts w:ascii="Times New Roman" w:hAnsi="Times New Roman" w:eastAsia="宋体" w:cs="Times New Roman"/>
                <w:color w:val="auto"/>
                <w:kern w:val="2"/>
                <w:szCs w:val="24"/>
                <w:vertAlign w:val="subscript"/>
              </w:rPr>
              <w:t>3</w:t>
            </w:r>
            <w:r>
              <w:rPr>
                <w:rFonts w:ascii="Times New Roman" w:hAnsi="Times New Roman" w:eastAsia="宋体" w:cs="Times New Roman"/>
                <w:color w:val="auto"/>
                <w:kern w:val="2"/>
                <w:szCs w:val="24"/>
              </w:rPr>
              <w:t>百分位浓度的达标情况。</w:t>
            </w:r>
          </w:p>
          <w:p w14:paraId="7FFDC5B0">
            <w:pPr>
              <w:spacing w:line="360" w:lineRule="auto"/>
              <w:ind w:firstLine="480" w:firstLineChars="200"/>
              <w:rPr>
                <w:rFonts w:ascii="Times New Roman" w:hAnsi="Times New Roman" w:eastAsia="宋体" w:cs="Times New Roman"/>
                <w:color w:val="auto"/>
                <w:kern w:val="2"/>
                <w:szCs w:val="24"/>
              </w:rPr>
            </w:pPr>
            <w:r>
              <w:rPr>
                <w:rFonts w:ascii="Times New Roman" w:hAnsi="Times New Roman" w:eastAsia="宋体" w:cs="Times New Roman"/>
                <w:color w:val="auto"/>
                <w:kern w:val="2"/>
                <w:szCs w:val="24"/>
              </w:rPr>
              <w:t>由评价结果来看，</w:t>
            </w:r>
            <w:r>
              <w:rPr>
                <w:rFonts w:hint="eastAsia" w:ascii="Times New Roman" w:hAnsi="Times New Roman" w:eastAsia="宋体" w:cs="Times New Roman"/>
                <w:color w:val="auto"/>
                <w:kern w:val="2"/>
                <w:szCs w:val="24"/>
              </w:rPr>
              <w:t>SO</w:t>
            </w:r>
            <w:r>
              <w:rPr>
                <w:rFonts w:hint="eastAsia" w:ascii="Times New Roman" w:hAnsi="Times New Roman" w:eastAsia="宋体" w:cs="Times New Roman"/>
                <w:color w:val="auto"/>
                <w:kern w:val="2"/>
                <w:szCs w:val="24"/>
                <w:vertAlign w:val="subscript"/>
              </w:rPr>
              <w:t>2</w:t>
            </w:r>
            <w:r>
              <w:rPr>
                <w:rFonts w:hint="eastAsia" w:ascii="Times New Roman" w:hAnsi="Times New Roman" w:eastAsia="宋体" w:cs="Times New Roman"/>
                <w:color w:val="auto"/>
                <w:kern w:val="2"/>
                <w:szCs w:val="24"/>
              </w:rPr>
              <w:t>、</w:t>
            </w:r>
            <w:r>
              <w:rPr>
                <w:rFonts w:ascii="Times New Roman" w:hAnsi="Times New Roman" w:eastAsia="宋体" w:cs="Times New Roman"/>
                <w:color w:val="auto"/>
                <w:szCs w:val="24"/>
              </w:rPr>
              <w:t>NO</w:t>
            </w:r>
            <w:r>
              <w:rPr>
                <w:rFonts w:ascii="Times New Roman" w:hAnsi="Times New Roman" w:eastAsia="宋体" w:cs="Times New Roman"/>
                <w:color w:val="auto"/>
                <w:szCs w:val="24"/>
                <w:vertAlign w:val="subscript"/>
              </w:rPr>
              <w:t>2</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kern w:val="2"/>
                <w:szCs w:val="24"/>
              </w:rPr>
              <w:t>CO、O</w:t>
            </w:r>
            <w:r>
              <w:rPr>
                <w:rFonts w:hint="eastAsia" w:ascii="Times New Roman" w:hAnsi="Times New Roman" w:eastAsia="宋体" w:cs="Times New Roman"/>
                <w:color w:val="auto"/>
                <w:kern w:val="2"/>
                <w:szCs w:val="24"/>
                <w:vertAlign w:val="subscript"/>
              </w:rPr>
              <w:t>3</w:t>
            </w:r>
            <w:r>
              <w:rPr>
                <w:rFonts w:ascii="Times New Roman" w:hAnsi="Times New Roman" w:eastAsia="宋体" w:cs="Times New Roman"/>
                <w:color w:val="auto"/>
                <w:kern w:val="2"/>
                <w:szCs w:val="24"/>
              </w:rPr>
              <w:t>平均浓度均优于《环境空气质量标准》（GB3095-2012）中二级标准限值</w:t>
            </w:r>
            <w:r>
              <w:rPr>
                <w:rFonts w:hint="eastAsia" w:cs="Times New Roman"/>
                <w:color w:val="auto"/>
                <w:kern w:val="2"/>
                <w:szCs w:val="24"/>
                <w:lang w:eastAsia="zh-CN"/>
              </w:rPr>
              <w:t>，</w:t>
            </w:r>
            <w:r>
              <w:rPr>
                <w:rFonts w:ascii="Times New Roman" w:hAnsi="Times New Roman" w:eastAsia="宋体" w:cs="Times New Roman"/>
                <w:color w:val="auto"/>
                <w:szCs w:val="24"/>
              </w:rPr>
              <w:t>PM</w:t>
            </w:r>
            <w:r>
              <w:rPr>
                <w:rFonts w:ascii="Times New Roman" w:hAnsi="Times New Roman" w:eastAsia="宋体" w:cs="Times New Roman"/>
                <w:color w:val="auto"/>
                <w:szCs w:val="24"/>
                <w:vertAlign w:val="subscript"/>
              </w:rPr>
              <w:t>10</w:t>
            </w:r>
            <w:r>
              <w:rPr>
                <w:rFonts w:ascii="Times New Roman" w:hAnsi="Times New Roman" w:eastAsia="宋体" w:cs="Times New Roman"/>
                <w:color w:val="auto"/>
                <w:szCs w:val="24"/>
              </w:rPr>
              <w:t>、</w:t>
            </w:r>
            <w:r>
              <w:rPr>
                <w:rFonts w:hint="eastAsia" w:ascii="Times New Roman" w:hAnsi="Times New Roman" w:eastAsia="宋体" w:cs="Times New Roman"/>
                <w:color w:val="auto"/>
                <w:kern w:val="2"/>
                <w:szCs w:val="24"/>
              </w:rPr>
              <w:t>PM</w:t>
            </w:r>
            <w:r>
              <w:rPr>
                <w:rFonts w:hint="eastAsia" w:ascii="Times New Roman" w:hAnsi="Times New Roman" w:eastAsia="宋体" w:cs="Times New Roman"/>
                <w:color w:val="auto"/>
                <w:kern w:val="2"/>
                <w:szCs w:val="24"/>
                <w:vertAlign w:val="subscript"/>
              </w:rPr>
              <w:t>2.5</w:t>
            </w:r>
            <w:r>
              <w:rPr>
                <w:rFonts w:hint="eastAsia" w:cs="Times New Roman"/>
                <w:color w:val="auto"/>
                <w:kern w:val="2"/>
                <w:szCs w:val="24"/>
                <w:vertAlign w:val="baseline"/>
                <w:lang w:val="en-US" w:eastAsia="zh-CN"/>
              </w:rPr>
              <w:t>超标</w:t>
            </w:r>
            <w:r>
              <w:rPr>
                <w:rFonts w:hint="eastAsia" w:ascii="Times New Roman" w:hAnsi="Times New Roman" w:eastAsia="宋体" w:cs="Times New Roman"/>
                <w:color w:val="auto"/>
                <w:kern w:val="2"/>
                <w:szCs w:val="24"/>
              </w:rPr>
              <w:t>，</w:t>
            </w:r>
            <w:r>
              <w:rPr>
                <w:rFonts w:ascii="Times New Roman" w:hAnsi="Times New Roman" w:eastAsia="宋体" w:cs="Times New Roman"/>
                <w:color w:val="auto"/>
                <w:kern w:val="2"/>
                <w:szCs w:val="24"/>
              </w:rPr>
              <w:t>项目区为</w:t>
            </w:r>
            <w:r>
              <w:rPr>
                <w:rFonts w:hint="eastAsia" w:ascii="Times New Roman" w:hAnsi="Times New Roman" w:eastAsia="宋体" w:cs="Times New Roman"/>
                <w:color w:val="auto"/>
                <w:kern w:val="2"/>
                <w:szCs w:val="24"/>
              </w:rPr>
              <w:t>空气</w:t>
            </w:r>
            <w:r>
              <w:rPr>
                <w:rFonts w:hint="eastAsia" w:cs="Times New Roman"/>
                <w:color w:val="auto"/>
                <w:kern w:val="2"/>
                <w:szCs w:val="24"/>
                <w:lang w:val="en-US" w:eastAsia="zh-CN"/>
              </w:rPr>
              <w:t>不</w:t>
            </w:r>
            <w:r>
              <w:rPr>
                <w:rFonts w:ascii="Times New Roman" w:hAnsi="Times New Roman" w:eastAsia="宋体" w:cs="Times New Roman"/>
                <w:color w:val="auto"/>
                <w:kern w:val="2"/>
                <w:szCs w:val="24"/>
              </w:rPr>
              <w:t>达标区。</w:t>
            </w:r>
          </w:p>
          <w:p w14:paraId="3DE4762E">
            <w:pPr>
              <w:overflowPunct/>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③</w:t>
            </w:r>
            <w:r>
              <w:rPr>
                <w:rFonts w:hint="default" w:ascii="Times New Roman" w:hAnsi="Times New Roman" w:eastAsia="宋体" w:cs="宋体"/>
                <w:color w:val="auto"/>
                <w:lang w:val="en-US" w:eastAsia="zh-CN"/>
              </w:rPr>
              <w:t>特征污染物环境质量现状调查</w:t>
            </w:r>
          </w:p>
          <w:p w14:paraId="3D8C9D6D">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color w:val="auto"/>
                <w:lang w:val="en-US" w:eastAsia="zh-CN"/>
              </w:rPr>
            </w:pPr>
            <w:r>
              <w:rPr>
                <w:rFonts w:hint="default" w:ascii="Times New Roman" w:hAnsi="Times New Roman" w:eastAsia="宋体" w:cs="宋体"/>
                <w:color w:val="auto"/>
                <w:highlight w:val="none"/>
                <w:lang w:val="en-US" w:eastAsia="zh-CN"/>
              </w:rPr>
              <w:t>为了解项目所在地区环境空气中污染物现状，</w:t>
            </w:r>
            <w:r>
              <w:rPr>
                <w:rFonts w:hint="eastAsia" w:cs="宋体"/>
                <w:b w:val="0"/>
                <w:bCs w:val="0"/>
                <w:color w:val="auto"/>
                <w:highlight w:val="none"/>
                <w:lang w:val="en-US" w:eastAsia="zh-CN"/>
              </w:rPr>
              <w:t>氨、硫化氢</w:t>
            </w:r>
            <w:r>
              <w:rPr>
                <w:rFonts w:hint="eastAsia" w:ascii="Times New Roman" w:hAnsi="Times New Roman" w:eastAsia="宋体" w:cs="宋体"/>
                <w:b w:val="0"/>
                <w:bCs w:val="0"/>
                <w:color w:val="auto"/>
                <w:highlight w:val="none"/>
                <w:lang w:val="en-US" w:eastAsia="zh-CN"/>
              </w:rPr>
              <w:t>委托新疆天蓝水清环境监测技术有限公司</w:t>
            </w:r>
            <w:r>
              <w:rPr>
                <w:rFonts w:hint="default" w:ascii="Times New Roman" w:hAnsi="Times New Roman" w:eastAsia="宋体" w:cs="宋体"/>
                <w:b w:val="0"/>
                <w:bCs w:val="0"/>
                <w:color w:val="auto"/>
                <w:highlight w:val="none"/>
              </w:rPr>
              <w:t>于</w:t>
            </w:r>
            <w:r>
              <w:rPr>
                <w:rFonts w:hint="eastAsia" w:cs="宋体"/>
                <w:b w:val="0"/>
                <w:bCs w:val="0"/>
                <w:color w:val="auto"/>
                <w:highlight w:val="none"/>
                <w:lang w:val="en-US" w:eastAsia="zh-CN"/>
              </w:rPr>
              <w:t>2024</w:t>
            </w:r>
            <w:r>
              <w:rPr>
                <w:rFonts w:hint="default" w:ascii="Times New Roman" w:hAnsi="Times New Roman" w:eastAsia="宋体" w:cs="宋体"/>
                <w:b w:val="0"/>
                <w:bCs w:val="0"/>
                <w:color w:val="auto"/>
                <w:highlight w:val="none"/>
              </w:rPr>
              <w:t>年</w:t>
            </w:r>
            <w:r>
              <w:rPr>
                <w:rFonts w:hint="eastAsia" w:cs="宋体"/>
                <w:b w:val="0"/>
                <w:bCs w:val="0"/>
                <w:color w:val="auto"/>
                <w:highlight w:val="none"/>
                <w:lang w:val="en-US" w:eastAsia="zh-CN"/>
              </w:rPr>
              <w:t>7</w:t>
            </w:r>
            <w:r>
              <w:rPr>
                <w:rFonts w:hint="default" w:ascii="Times New Roman" w:hAnsi="Times New Roman" w:eastAsia="宋体" w:cs="宋体"/>
                <w:b w:val="0"/>
                <w:bCs w:val="0"/>
                <w:color w:val="auto"/>
                <w:highlight w:val="none"/>
              </w:rPr>
              <w:t>月</w:t>
            </w:r>
            <w:r>
              <w:rPr>
                <w:rFonts w:hint="eastAsia" w:cs="宋体"/>
                <w:b w:val="0"/>
                <w:bCs w:val="0"/>
                <w:color w:val="auto"/>
                <w:highlight w:val="none"/>
                <w:lang w:val="en-US" w:eastAsia="zh-CN"/>
              </w:rPr>
              <w:t>20</w:t>
            </w:r>
            <w:r>
              <w:rPr>
                <w:rFonts w:hint="default" w:ascii="Times New Roman" w:hAnsi="Times New Roman" w:eastAsia="宋体" w:cs="宋体"/>
                <w:b w:val="0"/>
                <w:bCs w:val="0"/>
                <w:color w:val="auto"/>
                <w:highlight w:val="none"/>
              </w:rPr>
              <w:t>日至20</w:t>
            </w:r>
            <w:r>
              <w:rPr>
                <w:rFonts w:hint="eastAsia" w:cs="宋体"/>
                <w:b w:val="0"/>
                <w:bCs w:val="0"/>
                <w:color w:val="auto"/>
                <w:highlight w:val="none"/>
                <w:lang w:val="en-US" w:eastAsia="zh-CN"/>
              </w:rPr>
              <w:t>24</w:t>
            </w:r>
            <w:r>
              <w:rPr>
                <w:rFonts w:hint="default" w:ascii="Times New Roman" w:hAnsi="Times New Roman" w:eastAsia="宋体" w:cs="宋体"/>
                <w:b w:val="0"/>
                <w:bCs w:val="0"/>
                <w:color w:val="auto"/>
                <w:highlight w:val="none"/>
              </w:rPr>
              <w:t>年</w:t>
            </w:r>
            <w:r>
              <w:rPr>
                <w:rFonts w:hint="eastAsia" w:cs="宋体"/>
                <w:b w:val="0"/>
                <w:bCs w:val="0"/>
                <w:color w:val="auto"/>
                <w:highlight w:val="none"/>
                <w:lang w:val="en-US" w:eastAsia="zh-CN"/>
              </w:rPr>
              <w:t>7</w:t>
            </w:r>
            <w:r>
              <w:rPr>
                <w:rFonts w:hint="default" w:ascii="Times New Roman" w:hAnsi="Times New Roman" w:eastAsia="宋体" w:cs="宋体"/>
                <w:b w:val="0"/>
                <w:bCs w:val="0"/>
                <w:color w:val="auto"/>
                <w:highlight w:val="none"/>
              </w:rPr>
              <w:t>月</w:t>
            </w:r>
            <w:r>
              <w:rPr>
                <w:rFonts w:hint="eastAsia" w:cs="宋体"/>
                <w:b w:val="0"/>
                <w:bCs w:val="0"/>
                <w:color w:val="auto"/>
                <w:highlight w:val="none"/>
                <w:lang w:val="en-US" w:eastAsia="zh-CN"/>
              </w:rPr>
              <w:t>21</w:t>
            </w:r>
            <w:r>
              <w:rPr>
                <w:rFonts w:hint="default" w:ascii="Times New Roman" w:hAnsi="Times New Roman" w:eastAsia="宋体" w:cs="宋体"/>
                <w:b w:val="0"/>
                <w:bCs w:val="0"/>
                <w:color w:val="auto"/>
                <w:highlight w:val="none"/>
              </w:rPr>
              <w:t>日</w:t>
            </w:r>
            <w:r>
              <w:rPr>
                <w:rFonts w:hint="eastAsia" w:ascii="Times New Roman" w:hAnsi="Times New Roman" w:eastAsia="宋体" w:cs="宋体"/>
                <w:b w:val="0"/>
                <w:bCs w:val="0"/>
                <w:color w:val="auto"/>
                <w:highlight w:val="none"/>
                <w:lang w:val="en-US" w:eastAsia="zh-CN"/>
              </w:rPr>
              <w:t>对本项目下风向处进行补充监测；</w:t>
            </w:r>
            <w:r>
              <w:rPr>
                <w:rFonts w:hint="eastAsia" w:cs="宋体"/>
                <w:b w:val="0"/>
                <w:bCs w:val="0"/>
                <w:color w:val="auto"/>
                <w:highlight w:val="none"/>
                <w:lang w:val="en-US" w:eastAsia="zh-CN"/>
              </w:rPr>
              <w:t>监测点位</w:t>
            </w:r>
            <w:r>
              <w:rPr>
                <w:rFonts w:hint="eastAsia" w:ascii="Times New Roman" w:hAnsi="Times New Roman" w:eastAsia="宋体" w:cs="宋体"/>
                <w:b w:val="0"/>
                <w:bCs w:val="0"/>
                <w:color w:val="auto"/>
                <w:highlight w:val="none"/>
                <w:lang w:val="en-US" w:eastAsia="zh-CN"/>
              </w:rPr>
              <w:t>位于建设项目</w:t>
            </w:r>
            <w:r>
              <w:rPr>
                <w:rFonts w:hint="eastAsia" w:cs="宋体"/>
                <w:b w:val="0"/>
                <w:bCs w:val="0"/>
                <w:color w:val="auto"/>
                <w:highlight w:val="none"/>
                <w:lang w:val="en-US" w:eastAsia="zh-CN"/>
              </w:rPr>
              <w:t>下风向处10m</w:t>
            </w:r>
            <w:r>
              <w:rPr>
                <w:rFonts w:hint="eastAsia" w:eastAsia="宋体" w:cs="宋体"/>
                <w:b w:val="0"/>
                <w:bCs w:val="0"/>
                <w:color w:val="auto"/>
                <w:highlight w:val="none"/>
                <w:lang w:val="en-US" w:eastAsia="zh-CN"/>
              </w:rPr>
              <w:t>。</w:t>
            </w:r>
          </w:p>
          <w:p w14:paraId="1B108739">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highlight w:val="none"/>
                <w:lang w:val="en-US" w:eastAsia="zh-CN"/>
              </w:rPr>
            </w:pPr>
            <w:bookmarkStart w:id="20" w:name="_Toc402878758"/>
            <w:bookmarkStart w:id="21" w:name="_Toc402353750"/>
            <w:bookmarkStart w:id="22" w:name="_Toc399193215"/>
            <w:bookmarkStart w:id="23" w:name="_Toc376355358"/>
            <w:bookmarkStart w:id="24" w:name="_Toc263844417"/>
            <w:bookmarkStart w:id="25" w:name="_Toc394504649"/>
            <w:bookmarkStart w:id="26" w:name="_Toc404178063"/>
            <w:bookmarkStart w:id="27" w:name="_Toc376272149"/>
            <w:bookmarkStart w:id="28" w:name="_Toc394504991"/>
            <w:bookmarkStart w:id="29" w:name="_Toc402868644"/>
            <w:bookmarkStart w:id="30" w:name="_Toc402354076"/>
            <w:r>
              <w:rPr>
                <w:rFonts w:hint="eastAsia" w:ascii="Times New Roman" w:hAnsi="Times New Roman" w:eastAsia="宋体" w:cs="宋体"/>
                <w:color w:val="auto"/>
                <w:highlight w:val="none"/>
                <w:lang w:val="en-US" w:eastAsia="zh-CN"/>
              </w:rPr>
              <w:t>A.</w:t>
            </w:r>
            <w:r>
              <w:rPr>
                <w:rFonts w:hint="default" w:ascii="Times New Roman" w:hAnsi="Times New Roman" w:eastAsia="宋体" w:cs="宋体"/>
                <w:color w:val="auto"/>
                <w:highlight w:val="none"/>
                <w:lang w:val="en-US" w:eastAsia="zh-CN"/>
              </w:rPr>
              <w:t>监测因子</w:t>
            </w:r>
            <w:bookmarkEnd w:id="20"/>
            <w:bookmarkEnd w:id="21"/>
            <w:bookmarkEnd w:id="22"/>
            <w:bookmarkEnd w:id="23"/>
            <w:bookmarkEnd w:id="24"/>
            <w:bookmarkEnd w:id="25"/>
            <w:bookmarkEnd w:id="26"/>
            <w:bookmarkEnd w:id="27"/>
            <w:bookmarkEnd w:id="28"/>
            <w:bookmarkEnd w:id="29"/>
            <w:bookmarkEnd w:id="30"/>
          </w:p>
          <w:p w14:paraId="458F4D2B">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监测因子：</w:t>
            </w:r>
            <w:r>
              <w:rPr>
                <w:rFonts w:hint="eastAsia" w:cs="宋体"/>
                <w:b w:val="0"/>
                <w:bCs w:val="0"/>
                <w:color w:val="auto"/>
                <w:highlight w:val="none"/>
                <w:lang w:val="en-US" w:eastAsia="zh-CN"/>
              </w:rPr>
              <w:t>氨、硫化氢</w:t>
            </w:r>
            <w:r>
              <w:rPr>
                <w:rFonts w:hint="default" w:ascii="Times New Roman" w:hAnsi="Times New Roman" w:eastAsia="宋体" w:cs="宋体"/>
                <w:color w:val="auto"/>
                <w:highlight w:val="none"/>
                <w:lang w:val="en-US" w:eastAsia="zh-CN"/>
              </w:rPr>
              <w:t>。</w:t>
            </w:r>
          </w:p>
          <w:p w14:paraId="4766545F">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监测时间：</w:t>
            </w:r>
            <w:r>
              <w:rPr>
                <w:rFonts w:hint="eastAsia" w:cs="宋体"/>
                <w:b w:val="0"/>
                <w:bCs w:val="0"/>
                <w:color w:val="auto"/>
                <w:highlight w:val="none"/>
                <w:lang w:val="en-US" w:eastAsia="zh-CN"/>
              </w:rPr>
              <w:t>2024</w:t>
            </w:r>
            <w:r>
              <w:rPr>
                <w:rFonts w:hint="default" w:ascii="Times New Roman" w:hAnsi="Times New Roman" w:eastAsia="宋体" w:cs="宋体"/>
                <w:b w:val="0"/>
                <w:bCs w:val="0"/>
                <w:color w:val="auto"/>
                <w:highlight w:val="none"/>
              </w:rPr>
              <w:t>年</w:t>
            </w:r>
            <w:r>
              <w:rPr>
                <w:rFonts w:hint="eastAsia" w:cs="宋体"/>
                <w:b w:val="0"/>
                <w:bCs w:val="0"/>
                <w:color w:val="auto"/>
                <w:highlight w:val="none"/>
                <w:lang w:val="en-US" w:eastAsia="zh-CN"/>
              </w:rPr>
              <w:t>7</w:t>
            </w:r>
            <w:r>
              <w:rPr>
                <w:rFonts w:hint="default" w:ascii="Times New Roman" w:hAnsi="Times New Roman" w:eastAsia="宋体" w:cs="宋体"/>
                <w:b w:val="0"/>
                <w:bCs w:val="0"/>
                <w:color w:val="auto"/>
                <w:highlight w:val="none"/>
              </w:rPr>
              <w:t>月</w:t>
            </w:r>
            <w:r>
              <w:rPr>
                <w:rFonts w:hint="eastAsia" w:cs="宋体"/>
                <w:b w:val="0"/>
                <w:bCs w:val="0"/>
                <w:color w:val="auto"/>
                <w:highlight w:val="none"/>
                <w:lang w:val="en-US" w:eastAsia="zh-CN"/>
              </w:rPr>
              <w:t>20</w:t>
            </w:r>
            <w:r>
              <w:rPr>
                <w:rFonts w:hint="default" w:ascii="Times New Roman" w:hAnsi="Times New Roman" w:eastAsia="宋体" w:cs="宋体"/>
                <w:b w:val="0"/>
                <w:bCs w:val="0"/>
                <w:color w:val="auto"/>
                <w:highlight w:val="none"/>
              </w:rPr>
              <w:t>日至20</w:t>
            </w:r>
            <w:r>
              <w:rPr>
                <w:rFonts w:hint="eastAsia" w:cs="宋体"/>
                <w:b w:val="0"/>
                <w:bCs w:val="0"/>
                <w:color w:val="auto"/>
                <w:highlight w:val="none"/>
                <w:lang w:val="en-US" w:eastAsia="zh-CN"/>
              </w:rPr>
              <w:t>24</w:t>
            </w:r>
            <w:r>
              <w:rPr>
                <w:rFonts w:hint="default" w:ascii="Times New Roman" w:hAnsi="Times New Roman" w:eastAsia="宋体" w:cs="宋体"/>
                <w:b w:val="0"/>
                <w:bCs w:val="0"/>
                <w:color w:val="auto"/>
                <w:highlight w:val="none"/>
              </w:rPr>
              <w:t>年</w:t>
            </w:r>
            <w:r>
              <w:rPr>
                <w:rFonts w:hint="eastAsia" w:cs="宋体"/>
                <w:b w:val="0"/>
                <w:bCs w:val="0"/>
                <w:color w:val="auto"/>
                <w:highlight w:val="none"/>
                <w:lang w:val="en-US" w:eastAsia="zh-CN"/>
              </w:rPr>
              <w:t>7</w:t>
            </w:r>
            <w:r>
              <w:rPr>
                <w:rFonts w:hint="default" w:ascii="Times New Roman" w:hAnsi="Times New Roman" w:eastAsia="宋体" w:cs="宋体"/>
                <w:b w:val="0"/>
                <w:bCs w:val="0"/>
                <w:color w:val="auto"/>
                <w:highlight w:val="none"/>
              </w:rPr>
              <w:t>月</w:t>
            </w:r>
            <w:r>
              <w:rPr>
                <w:rFonts w:hint="eastAsia" w:cs="宋体"/>
                <w:b w:val="0"/>
                <w:bCs w:val="0"/>
                <w:color w:val="auto"/>
                <w:highlight w:val="none"/>
                <w:lang w:val="en-US" w:eastAsia="zh-CN"/>
              </w:rPr>
              <w:t>21</w:t>
            </w:r>
            <w:r>
              <w:rPr>
                <w:rFonts w:hint="default" w:ascii="Times New Roman" w:hAnsi="Times New Roman" w:eastAsia="宋体" w:cs="宋体"/>
                <w:b w:val="0"/>
                <w:bCs w:val="0"/>
                <w:color w:val="auto"/>
                <w:highlight w:val="none"/>
              </w:rPr>
              <w:t>日</w:t>
            </w:r>
            <w:r>
              <w:rPr>
                <w:rFonts w:hint="eastAsia" w:ascii="Times New Roman" w:hAnsi="Times New Roman" w:eastAsia="宋体" w:cs="宋体"/>
                <w:color w:val="auto"/>
                <w:highlight w:val="none"/>
                <w:lang w:val="en-US" w:eastAsia="zh-CN"/>
              </w:rPr>
              <w:t>；</w:t>
            </w:r>
          </w:p>
          <w:p w14:paraId="000D5A8C">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监测频率：</w:t>
            </w:r>
            <w:r>
              <w:rPr>
                <w:rFonts w:hint="eastAsia" w:cs="宋体"/>
                <w:b w:val="0"/>
                <w:bCs w:val="0"/>
                <w:color w:val="auto"/>
                <w:highlight w:val="none"/>
                <w:lang w:val="en-US" w:eastAsia="zh-CN"/>
              </w:rPr>
              <w:t>氨、硫化氢</w:t>
            </w:r>
            <w:r>
              <w:rPr>
                <w:rFonts w:hint="eastAsia" w:ascii="Times New Roman" w:hAnsi="Times New Roman" w:eastAsia="宋体" w:cs="宋体"/>
                <w:color w:val="auto"/>
                <w:lang w:val="en-US" w:eastAsia="zh-CN"/>
              </w:rPr>
              <w:t>每天4次（2、8、14、20时）</w:t>
            </w:r>
            <w:r>
              <w:rPr>
                <w:rFonts w:hint="default" w:ascii="Times New Roman" w:hAnsi="Times New Roman" w:eastAsia="宋体" w:cs="宋体"/>
                <w:color w:val="auto"/>
                <w:lang w:val="en-US" w:eastAsia="zh-CN"/>
              </w:rPr>
              <w:t>。</w:t>
            </w:r>
          </w:p>
          <w:p w14:paraId="77ABD130">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bookmarkStart w:id="31" w:name="_Toc402353752"/>
            <w:bookmarkStart w:id="32" w:name="_Toc394504993"/>
            <w:bookmarkStart w:id="33" w:name="_Toc402868646"/>
            <w:bookmarkStart w:id="34" w:name="_Toc399193217"/>
            <w:bookmarkStart w:id="35" w:name="_Toc394504651"/>
            <w:bookmarkStart w:id="36" w:name="_Toc402878760"/>
            <w:bookmarkStart w:id="37" w:name="_Toc402354078"/>
            <w:r>
              <w:rPr>
                <w:rFonts w:hint="eastAsia" w:ascii="Times New Roman" w:hAnsi="Times New Roman" w:eastAsia="宋体" w:cs="宋体"/>
                <w:color w:val="auto"/>
                <w:lang w:val="en-US" w:eastAsia="zh-CN"/>
              </w:rPr>
              <w:t>C.</w:t>
            </w:r>
            <w:r>
              <w:rPr>
                <w:rFonts w:hint="default" w:ascii="Times New Roman" w:hAnsi="Times New Roman" w:eastAsia="宋体" w:cs="宋体"/>
                <w:color w:val="auto"/>
                <w:lang w:val="en-US" w:eastAsia="zh-CN"/>
              </w:rPr>
              <w:t>分析方法</w:t>
            </w:r>
            <w:bookmarkEnd w:id="31"/>
            <w:bookmarkEnd w:id="32"/>
            <w:bookmarkEnd w:id="33"/>
            <w:bookmarkEnd w:id="34"/>
            <w:bookmarkEnd w:id="35"/>
            <w:bookmarkEnd w:id="36"/>
            <w:bookmarkEnd w:id="37"/>
          </w:p>
          <w:p w14:paraId="73FAAD3D">
            <w:pPr>
              <w:keepNext w:val="0"/>
              <w:keepLines w:val="0"/>
              <w:pageBreakBefore w:val="0"/>
              <w:kinsoku w:val="0"/>
              <w:wordWrap/>
              <w:overflowPunct w:val="0"/>
              <w:topLinePunct w:val="0"/>
              <w:autoSpaceDE w:val="0"/>
              <w:autoSpaceDN w:val="0"/>
              <w:bidi w:val="0"/>
              <w:adjustRightInd/>
              <w:snapToGrid/>
              <w:spacing w:before="0" w:after="0" w:line="360" w:lineRule="auto"/>
              <w:ind w:left="0" w:right="0" w:firstLine="480" w:firstLineChars="200"/>
              <w:jc w:val="both"/>
              <w:rPr>
                <w:rFonts w:hint="default" w:ascii="Times New Roman" w:hAnsi="Times New Roman" w:eastAsia="宋体" w:cs="宋体"/>
                <w:color w:val="auto"/>
              </w:rPr>
            </w:pPr>
            <w:r>
              <w:rPr>
                <w:rFonts w:hint="default" w:ascii="Times New Roman" w:hAnsi="Times New Roman" w:eastAsia="宋体" w:cs="宋体"/>
                <w:color w:val="auto"/>
              </w:rPr>
              <w:t>分析方法：大气污染物监测分析方法见表</w:t>
            </w:r>
            <w:r>
              <w:rPr>
                <w:rFonts w:hint="eastAsia" w:ascii="Times New Roman" w:hAnsi="Times New Roman" w:eastAsia="宋体" w:cs="宋体"/>
                <w:color w:val="auto"/>
                <w:lang w:val="en-US" w:eastAsia="zh-CN"/>
              </w:rPr>
              <w:t>3.1-2</w:t>
            </w:r>
            <w:r>
              <w:rPr>
                <w:rFonts w:hint="default" w:ascii="Times New Roman" w:hAnsi="Times New Roman" w:eastAsia="宋体" w:cs="宋体"/>
                <w:color w:val="auto"/>
              </w:rPr>
              <w:t>。</w:t>
            </w:r>
          </w:p>
          <w:p w14:paraId="5A9C5E7C">
            <w:pPr>
              <w:keepNext w:val="0"/>
              <w:keepLines w:val="0"/>
              <w:pageBreakBefore w:val="0"/>
              <w:widowControl w:val="0"/>
              <w:wordWrap/>
              <w:overflowPunct/>
              <w:topLinePunct w:val="0"/>
              <w:autoSpaceDE/>
              <w:autoSpaceDN/>
              <w:bidi w:val="0"/>
              <w:adjustRightInd/>
              <w:snapToGrid/>
              <w:spacing w:before="0" w:beforeAutospacing="0" w:after="0" w:afterAutospacing="0" w:line="360" w:lineRule="auto"/>
              <w:ind w:left="0" w:right="0" w:firstLine="480" w:firstLineChars="0"/>
              <w:jc w:val="center"/>
              <w:textAlignment w:val="baseline"/>
              <w:rPr>
                <w:rFonts w:hint="default" w:ascii="Times New Roman" w:hAnsi="Times New Roman" w:eastAsia="宋体" w:cs="宋体"/>
                <w:b/>
                <w:bCs/>
                <w:color w:val="auto"/>
                <w:lang w:val="en-US" w:eastAsia="zh-CN"/>
              </w:rPr>
            </w:pPr>
            <w:r>
              <w:rPr>
                <w:rFonts w:hint="default" w:ascii="Times New Roman" w:hAnsi="Times New Roman" w:eastAsia="宋体" w:cs="宋体"/>
                <w:b/>
                <w:bCs/>
                <w:color w:val="auto"/>
                <w:lang w:val="en-US" w:eastAsia="zh-CN"/>
              </w:rPr>
              <w:t>表</w:t>
            </w:r>
            <w:r>
              <w:rPr>
                <w:rFonts w:hint="eastAsia" w:ascii="Times New Roman" w:hAnsi="Times New Roman" w:eastAsia="宋体" w:cs="宋体"/>
                <w:b/>
                <w:bCs/>
                <w:color w:val="auto"/>
                <w:lang w:val="en-US" w:eastAsia="zh-CN"/>
              </w:rPr>
              <w:t>3.1-2</w:t>
            </w:r>
            <w:r>
              <w:rPr>
                <w:rFonts w:hint="default" w:ascii="Times New Roman" w:hAnsi="Times New Roman" w:eastAsia="宋体" w:cs="宋体"/>
                <w:b/>
                <w:bCs/>
                <w:color w:val="auto"/>
                <w:lang w:val="en-US" w:eastAsia="zh-CN"/>
              </w:rPr>
              <w:t>大气监测项目分析方法</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5603"/>
              <w:gridCol w:w="1406"/>
            </w:tblGrid>
            <w:tr w14:paraId="4FA7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6" w:type="pct"/>
                  <w:tcBorders>
                    <w:top w:val="single" w:color="auto" w:sz="12" w:space="0"/>
                    <w:left w:val="single" w:color="auto" w:sz="12" w:space="0"/>
                  </w:tcBorders>
                  <w:noWrap w:val="0"/>
                  <w:vAlign w:val="center"/>
                </w:tcPr>
                <w:p w14:paraId="3F852C17">
                  <w:pPr>
                    <w:keepNext w:val="0"/>
                    <w:keepLines w:val="0"/>
                    <w:pageBreakBefore w:val="0"/>
                    <w:widowControl w:val="0"/>
                    <w:kinsoku w:val="0"/>
                    <w:wordWrap/>
                    <w:overflowPunct w:val="0"/>
                    <w:topLinePunct w:val="0"/>
                    <w:autoSpaceDE w:val="0"/>
                    <w:autoSpaceDN w:val="0"/>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宋体"/>
                      <w:color w:val="auto"/>
                      <w:sz w:val="21"/>
                      <w:szCs w:val="21"/>
                    </w:rPr>
                  </w:pPr>
                  <w:bookmarkStart w:id="38" w:name="_Toc402868647"/>
                  <w:bookmarkStart w:id="39" w:name="_Toc404178065"/>
                  <w:bookmarkStart w:id="40" w:name="_Toc394504652"/>
                  <w:bookmarkStart w:id="41" w:name="_Toc402354079"/>
                  <w:bookmarkStart w:id="42" w:name="_Toc263844419"/>
                  <w:bookmarkStart w:id="43" w:name="_Toc399193218"/>
                  <w:bookmarkStart w:id="44" w:name="_Toc394504994"/>
                  <w:bookmarkStart w:id="45" w:name="_Toc376355359"/>
                  <w:bookmarkStart w:id="46" w:name="_Toc376272150"/>
                  <w:bookmarkStart w:id="47" w:name="_Toc402878761"/>
                  <w:bookmarkStart w:id="48" w:name="_Toc402353753"/>
                  <w:r>
                    <w:rPr>
                      <w:rFonts w:hint="default" w:ascii="Times New Roman" w:hAnsi="Times New Roman" w:eastAsia="宋体" w:cs="宋体"/>
                      <w:color w:val="auto"/>
                      <w:sz w:val="21"/>
                      <w:szCs w:val="21"/>
                    </w:rPr>
                    <w:t>监测项目</w:t>
                  </w:r>
                </w:p>
              </w:tc>
              <w:tc>
                <w:tcPr>
                  <w:tcW w:w="3295" w:type="pct"/>
                  <w:tcBorders>
                    <w:top w:val="single" w:color="auto" w:sz="12" w:space="0"/>
                  </w:tcBorders>
                  <w:noWrap w:val="0"/>
                  <w:vAlign w:val="center"/>
                </w:tcPr>
                <w:p w14:paraId="43DFF221">
                  <w:pPr>
                    <w:keepNext w:val="0"/>
                    <w:keepLines w:val="0"/>
                    <w:pageBreakBefore w:val="0"/>
                    <w:widowControl w:val="0"/>
                    <w:kinsoku w:val="0"/>
                    <w:wordWrap/>
                    <w:overflowPunct w:val="0"/>
                    <w:topLinePunct w:val="0"/>
                    <w:autoSpaceDE w:val="0"/>
                    <w:autoSpaceDN w:val="0"/>
                    <w:bidi w:val="0"/>
                    <w:adjustRightInd/>
                    <w:snapToGrid/>
                    <w:spacing w:before="0" w:after="0" w:line="320" w:lineRule="exact"/>
                    <w:ind w:left="0" w:right="0" w:firstLine="0" w:firstLineChars="0"/>
                    <w:jc w:val="center"/>
                    <w:textAlignment w:val="auto"/>
                    <w:rPr>
                      <w:rFonts w:hint="default" w:ascii="Times New Roman" w:hAnsi="Times New Roman" w:eastAsia="宋体" w:cs="宋体"/>
                      <w:color w:val="auto"/>
                      <w:sz w:val="21"/>
                      <w:szCs w:val="21"/>
                    </w:rPr>
                  </w:pPr>
                  <w:r>
                    <w:rPr>
                      <w:rFonts w:hint="default" w:ascii="Times New Roman" w:hAnsi="Times New Roman" w:eastAsia="宋体" w:cs="宋体"/>
                      <w:color w:val="auto"/>
                      <w:sz w:val="21"/>
                      <w:szCs w:val="21"/>
                    </w:rPr>
                    <w:t>分析方法（依据的标准）</w:t>
                  </w:r>
                </w:p>
              </w:tc>
              <w:tc>
                <w:tcPr>
                  <w:tcW w:w="827" w:type="pct"/>
                  <w:tcBorders>
                    <w:top w:val="single" w:color="auto" w:sz="12" w:space="0"/>
                    <w:right w:val="single" w:color="auto" w:sz="12" w:space="0"/>
                  </w:tcBorders>
                  <w:noWrap w:val="0"/>
                  <w:vAlign w:val="center"/>
                </w:tcPr>
                <w:p w14:paraId="52C218FB">
                  <w:pPr>
                    <w:keepNext w:val="0"/>
                    <w:keepLines w:val="0"/>
                    <w:pageBreakBefore w:val="0"/>
                    <w:widowControl w:val="0"/>
                    <w:kinsoku w:val="0"/>
                    <w:wordWrap/>
                    <w:overflowPunct w:val="0"/>
                    <w:topLinePunct w:val="0"/>
                    <w:autoSpaceDE w:val="0"/>
                    <w:autoSpaceDN w:val="0"/>
                    <w:bidi w:val="0"/>
                    <w:adjustRightInd/>
                    <w:snapToGrid/>
                    <w:spacing w:before="0" w:after="0" w:line="320" w:lineRule="exact"/>
                    <w:ind w:left="0" w:right="0" w:firstLine="0" w:firstLineChars="0"/>
                    <w:jc w:val="center"/>
                    <w:textAlignment w:val="auto"/>
                    <w:rPr>
                      <w:rFonts w:hint="default" w:ascii="Times New Roman" w:hAnsi="Times New Roman" w:eastAsia="宋体" w:cs="宋体"/>
                      <w:color w:val="auto"/>
                      <w:sz w:val="21"/>
                      <w:szCs w:val="21"/>
                    </w:rPr>
                  </w:pPr>
                  <w:r>
                    <w:rPr>
                      <w:rFonts w:hint="default" w:ascii="Times New Roman" w:hAnsi="Times New Roman" w:eastAsia="宋体" w:cs="宋体"/>
                      <w:color w:val="auto"/>
                      <w:sz w:val="21"/>
                      <w:szCs w:val="21"/>
                    </w:rPr>
                    <w:t>检出限</w:t>
                  </w:r>
                </w:p>
              </w:tc>
            </w:tr>
            <w:tr w14:paraId="4DD1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6" w:type="pct"/>
                  <w:tcBorders>
                    <w:left w:val="single" w:color="auto" w:sz="12" w:space="0"/>
                  </w:tcBorders>
                  <w:noWrap w:val="0"/>
                  <w:vAlign w:val="center"/>
                </w:tcPr>
                <w:p w14:paraId="4D4C9A1B">
                  <w:pPr>
                    <w:keepNext w:val="0"/>
                    <w:keepLines w:val="0"/>
                    <w:pageBreakBefore w:val="0"/>
                    <w:widowControl w:val="0"/>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t>氨</w:t>
                  </w:r>
                </w:p>
              </w:tc>
              <w:tc>
                <w:tcPr>
                  <w:tcW w:w="3295" w:type="pct"/>
                  <w:noWrap w:val="0"/>
                  <w:vAlign w:val="center"/>
                </w:tcPr>
                <w:p w14:paraId="5BBBAA3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环境空气和废气氨的测定纳氏试剂分光光度法 HJ533-2009</w:t>
                  </w:r>
                </w:p>
              </w:tc>
              <w:tc>
                <w:tcPr>
                  <w:tcW w:w="827" w:type="pct"/>
                  <w:tcBorders>
                    <w:right w:val="single" w:color="auto" w:sz="12" w:space="0"/>
                  </w:tcBorders>
                  <w:noWrap w:val="0"/>
                  <w:vAlign w:val="center"/>
                </w:tcPr>
                <w:p w14:paraId="07E67FC7">
                  <w:pPr>
                    <w:keepNext w:val="0"/>
                    <w:keepLines w:val="0"/>
                    <w:pageBreakBefore w:val="0"/>
                    <w:widowControl w:val="0"/>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宋体"/>
                      <w:color w:val="auto"/>
                      <w:sz w:val="21"/>
                      <w:szCs w:val="21"/>
                      <w:highlight w:val="none"/>
                    </w:rPr>
                  </w:pPr>
                  <w:r>
                    <w:rPr>
                      <w:rFonts w:hint="default" w:ascii="Times New Roman" w:hAnsi="Times New Roman" w:eastAsia="宋体" w:cs="宋体"/>
                      <w:color w:val="auto"/>
                      <w:sz w:val="21"/>
                      <w:szCs w:val="21"/>
                      <w:highlight w:val="none"/>
                    </w:rPr>
                    <w:t>0.0</w:t>
                  </w:r>
                  <w:r>
                    <w:rPr>
                      <w:rFonts w:hint="eastAsia" w:ascii="Times New Roman" w:hAnsi="Times New Roman" w:eastAsia="宋体" w:cs="宋体"/>
                      <w:color w:val="auto"/>
                      <w:sz w:val="21"/>
                      <w:szCs w:val="21"/>
                      <w:highlight w:val="none"/>
                      <w:lang w:val="en-US" w:eastAsia="zh-CN"/>
                    </w:rPr>
                    <w:t>1</w:t>
                  </w:r>
                  <w:r>
                    <w:rPr>
                      <w:rFonts w:hint="default" w:ascii="Times New Roman" w:hAnsi="Times New Roman" w:eastAsia="宋体" w:cs="宋体"/>
                      <w:color w:val="auto"/>
                      <w:sz w:val="21"/>
                      <w:szCs w:val="21"/>
                      <w:highlight w:val="none"/>
                    </w:rPr>
                    <w:t>mg/m</w:t>
                  </w:r>
                  <w:r>
                    <w:rPr>
                      <w:rFonts w:hint="default" w:ascii="Times New Roman" w:hAnsi="Times New Roman" w:eastAsia="宋体" w:cs="宋体"/>
                      <w:color w:val="auto"/>
                      <w:sz w:val="21"/>
                      <w:szCs w:val="21"/>
                      <w:highlight w:val="none"/>
                      <w:vertAlign w:val="superscript"/>
                    </w:rPr>
                    <w:t>3</w:t>
                  </w:r>
                </w:p>
              </w:tc>
            </w:tr>
            <w:tr w14:paraId="0576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6" w:type="pct"/>
                  <w:tcBorders>
                    <w:left w:val="single" w:color="auto" w:sz="12" w:space="0"/>
                    <w:bottom w:val="single" w:color="auto" w:sz="12" w:space="0"/>
                  </w:tcBorders>
                  <w:noWrap w:val="0"/>
                  <w:vAlign w:val="center"/>
                </w:tcPr>
                <w:p w14:paraId="025F976D">
                  <w:pPr>
                    <w:keepNext w:val="0"/>
                    <w:keepLines w:val="0"/>
                    <w:pageBreakBefore w:val="0"/>
                    <w:widowControl w:val="0"/>
                    <w:wordWrap/>
                    <w:topLinePunct w:val="0"/>
                    <w:bidi w:val="0"/>
                    <w:adjustRightInd/>
                    <w:snapToGrid/>
                    <w:spacing w:line="320" w:lineRule="exact"/>
                    <w:jc w:val="center"/>
                    <w:textAlignment w:val="auto"/>
                    <w:rPr>
                      <w:rFonts w:hint="eastAsia"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t>硫化氢</w:t>
                  </w:r>
                </w:p>
              </w:tc>
              <w:tc>
                <w:tcPr>
                  <w:tcW w:w="3295" w:type="pct"/>
                  <w:tcBorders>
                    <w:bottom w:val="single" w:color="auto" w:sz="12" w:space="0"/>
                  </w:tcBorders>
                  <w:noWrap w:val="0"/>
                  <w:vAlign w:val="center"/>
                </w:tcPr>
                <w:p w14:paraId="43A160C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居住区大气中硫化氢卫生检验标准方法 亚甲蓝分光光度法 GB11742-1989</w:t>
                  </w:r>
                </w:p>
              </w:tc>
              <w:tc>
                <w:tcPr>
                  <w:tcW w:w="827" w:type="pct"/>
                  <w:tcBorders>
                    <w:bottom w:val="single" w:color="auto" w:sz="12" w:space="0"/>
                    <w:right w:val="single" w:color="auto" w:sz="12" w:space="0"/>
                  </w:tcBorders>
                  <w:noWrap w:val="0"/>
                  <w:vAlign w:val="center"/>
                </w:tcPr>
                <w:p w14:paraId="039B9856">
                  <w:pPr>
                    <w:keepNext w:val="0"/>
                    <w:keepLines w:val="0"/>
                    <w:pageBreakBefore w:val="0"/>
                    <w:widowControl w:val="0"/>
                    <w:wordWrap/>
                    <w:topLinePunct w:val="0"/>
                    <w:bidi w:val="0"/>
                    <w:adjustRightInd/>
                    <w:snapToGrid/>
                    <w:spacing w:line="320" w:lineRule="exact"/>
                    <w:jc w:val="center"/>
                    <w:textAlignment w:val="auto"/>
                    <w:rPr>
                      <w:rFonts w:hint="default" w:ascii="Times New Roman" w:hAnsi="Times New Roman" w:eastAsia="宋体" w:cs="宋体"/>
                      <w:color w:val="auto"/>
                      <w:sz w:val="21"/>
                      <w:szCs w:val="21"/>
                      <w:highlight w:val="none"/>
                    </w:rPr>
                  </w:pPr>
                  <w:r>
                    <w:rPr>
                      <w:rFonts w:hint="default" w:ascii="Times New Roman" w:hAnsi="Times New Roman" w:eastAsia="宋体" w:cs="Times New Roman"/>
                      <w:color w:val="auto"/>
                      <w:kern w:val="2"/>
                      <w:sz w:val="21"/>
                      <w:szCs w:val="21"/>
                      <w:highlight w:val="none"/>
                    </w:rPr>
                    <w:t>0.0</w:t>
                  </w:r>
                  <w:r>
                    <w:rPr>
                      <w:rFonts w:hint="eastAsia" w:cs="Times New Roman"/>
                      <w:color w:val="auto"/>
                      <w:kern w:val="2"/>
                      <w:sz w:val="21"/>
                      <w:szCs w:val="21"/>
                      <w:highlight w:val="none"/>
                      <w:lang w:val="en-US" w:eastAsia="zh-CN"/>
                    </w:rPr>
                    <w:t>05</w:t>
                  </w:r>
                  <w:r>
                    <w:rPr>
                      <w:rFonts w:hint="default" w:ascii="Times New Roman" w:hAnsi="Times New Roman" w:eastAsia="宋体" w:cs="Times New Roman"/>
                      <w:color w:val="auto"/>
                      <w:kern w:val="2"/>
                      <w:sz w:val="21"/>
                      <w:szCs w:val="21"/>
                      <w:highlight w:val="none"/>
                    </w:rPr>
                    <w:t xml:space="preserve"> mg/m</w:t>
                  </w:r>
                  <w:r>
                    <w:rPr>
                      <w:rFonts w:hint="default" w:ascii="Times New Roman" w:hAnsi="Times New Roman" w:eastAsia="宋体" w:cs="Times New Roman"/>
                      <w:color w:val="auto"/>
                      <w:kern w:val="2"/>
                      <w:sz w:val="21"/>
                      <w:szCs w:val="21"/>
                      <w:highlight w:val="none"/>
                      <w:vertAlign w:val="superscript"/>
                    </w:rPr>
                    <w:t>3</w:t>
                  </w:r>
                </w:p>
              </w:tc>
            </w:tr>
          </w:tbl>
          <w:p w14:paraId="69663CC7">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④</w:t>
            </w:r>
            <w:r>
              <w:rPr>
                <w:rFonts w:hint="default" w:ascii="Times New Roman" w:hAnsi="Times New Roman" w:eastAsia="宋体" w:cs="宋体"/>
                <w:color w:val="auto"/>
                <w:lang w:val="en-US" w:eastAsia="zh-CN"/>
              </w:rPr>
              <w:t>评价标准</w:t>
            </w:r>
            <w:bookmarkEnd w:id="38"/>
            <w:bookmarkEnd w:id="39"/>
            <w:bookmarkEnd w:id="40"/>
            <w:bookmarkEnd w:id="41"/>
            <w:bookmarkEnd w:id="42"/>
            <w:bookmarkEnd w:id="43"/>
            <w:bookmarkEnd w:id="44"/>
            <w:bookmarkEnd w:id="45"/>
            <w:bookmarkEnd w:id="46"/>
            <w:bookmarkEnd w:id="47"/>
            <w:bookmarkEnd w:id="48"/>
          </w:p>
          <w:p w14:paraId="2B4FA639">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eastAsia" w:ascii="Times New Roman" w:hAnsi="Times New Roman" w:eastAsia="宋体" w:cs="宋体"/>
                <w:color w:val="auto"/>
                <w:lang w:val="en-US" w:eastAsia="zh-CN"/>
              </w:rPr>
            </w:pPr>
            <w:bookmarkStart w:id="49" w:name="_Toc394504995"/>
            <w:bookmarkStart w:id="50" w:name="_Toc376355360"/>
            <w:bookmarkStart w:id="51" w:name="_Toc404178066"/>
            <w:bookmarkStart w:id="52" w:name="_Toc402354080"/>
            <w:bookmarkStart w:id="53" w:name="_Toc394504653"/>
            <w:bookmarkStart w:id="54" w:name="_Toc402868648"/>
            <w:bookmarkStart w:id="55" w:name="_Toc399193219"/>
            <w:bookmarkStart w:id="56" w:name="_Toc263844420"/>
            <w:bookmarkStart w:id="57" w:name="_Toc376272151"/>
            <w:bookmarkStart w:id="58" w:name="_Toc402353754"/>
            <w:bookmarkStart w:id="59" w:name="_Toc402878762"/>
            <w:r>
              <w:rPr>
                <w:rFonts w:hint="eastAsia" w:cs="宋体"/>
                <w:b w:val="0"/>
                <w:bCs w:val="0"/>
                <w:color w:val="auto"/>
                <w:highlight w:val="none"/>
                <w:lang w:val="en-US" w:eastAsia="zh-CN"/>
              </w:rPr>
              <w:t>氨、硫化氢</w:t>
            </w:r>
            <w:r>
              <w:rPr>
                <w:rFonts w:hint="eastAsia" w:cs="宋体"/>
                <w:color w:val="auto"/>
                <w:lang w:val="en-US" w:eastAsia="zh-CN"/>
              </w:rPr>
              <w:t>均</w:t>
            </w:r>
            <w:r>
              <w:rPr>
                <w:rFonts w:hint="eastAsia" w:ascii="Times New Roman" w:hAnsi="Times New Roman" w:eastAsia="宋体" w:cs="宋体"/>
                <w:color w:val="auto"/>
                <w:lang w:val="en-US" w:eastAsia="zh-CN"/>
              </w:rPr>
              <w:t>执行《环境影响评价技术导则大气环境》(HJ2.2-2018)附录D中的浓度限值。</w:t>
            </w:r>
          </w:p>
          <w:p w14:paraId="6CEC0E20">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（5）评价方法</w:t>
            </w:r>
            <w:bookmarkEnd w:id="49"/>
            <w:bookmarkEnd w:id="50"/>
            <w:bookmarkEnd w:id="51"/>
            <w:bookmarkEnd w:id="52"/>
            <w:bookmarkEnd w:id="53"/>
            <w:bookmarkEnd w:id="54"/>
            <w:bookmarkEnd w:id="55"/>
            <w:bookmarkEnd w:id="56"/>
            <w:bookmarkEnd w:id="57"/>
            <w:bookmarkEnd w:id="58"/>
            <w:bookmarkEnd w:id="59"/>
          </w:p>
          <w:p w14:paraId="488F468A">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本次环评大气环境质量现状采用</w:t>
            </w:r>
            <w:r>
              <w:rPr>
                <w:rFonts w:hint="eastAsia" w:cs="宋体"/>
                <w:color w:val="auto"/>
                <w:lang w:val="en-US" w:eastAsia="zh-CN"/>
              </w:rPr>
              <w:t>占标率法</w:t>
            </w:r>
            <w:r>
              <w:rPr>
                <w:rFonts w:hint="default" w:ascii="Times New Roman" w:hAnsi="Times New Roman" w:eastAsia="宋体" w:cs="宋体"/>
                <w:color w:val="auto"/>
                <w:lang w:val="en-US" w:eastAsia="zh-CN"/>
              </w:rPr>
              <w:t>，计算公式为：</w:t>
            </w:r>
          </w:p>
          <w:p w14:paraId="4ACCC067">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center"/>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drawing>
                <wp:inline distT="0" distB="0" distL="114300" distR="114300">
                  <wp:extent cx="1031240" cy="446405"/>
                  <wp:effectExtent l="0" t="0" r="0" b="12065"/>
                  <wp:docPr id="1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3"/>
                          <pic:cNvPicPr>
                            <a:picLocks noChangeAspect="1"/>
                          </pic:cNvPicPr>
                        </pic:nvPicPr>
                        <pic:blipFill>
                          <a:blip r:embed="rId27"/>
                          <a:stretch>
                            <a:fillRect/>
                          </a:stretch>
                        </pic:blipFill>
                        <pic:spPr>
                          <a:xfrm>
                            <a:off x="0" y="0"/>
                            <a:ext cx="1031240" cy="446405"/>
                          </a:xfrm>
                          <a:prstGeom prst="rect">
                            <a:avLst/>
                          </a:prstGeom>
                          <a:noFill/>
                          <a:ln>
                            <a:noFill/>
                          </a:ln>
                        </pic:spPr>
                      </pic:pic>
                    </a:graphicData>
                  </a:graphic>
                </wp:inline>
              </w:drawing>
            </w:r>
          </w:p>
          <w:p w14:paraId="334DDC79">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式中：Pi——第i个污染物的监测最大浓度占相应标准浓度限值的百分比，%；</w:t>
            </w:r>
          </w:p>
          <w:p w14:paraId="19177920">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 xml:space="preserve">  Ci——第i个污染物的监测最大浓度值，mg/m</w:t>
            </w:r>
            <w:r>
              <w:rPr>
                <w:rFonts w:hint="default" w:ascii="Times New Roman" w:hAnsi="Times New Roman" w:eastAsia="宋体" w:cs="宋体"/>
                <w:color w:val="auto"/>
                <w:vertAlign w:val="superscript"/>
              </w:rPr>
              <w:t>3</w:t>
            </w:r>
            <w:r>
              <w:rPr>
                <w:rFonts w:hint="default" w:ascii="Times New Roman" w:hAnsi="Times New Roman" w:eastAsia="宋体" w:cs="宋体"/>
                <w:color w:val="auto"/>
                <w:lang w:val="en-US" w:eastAsia="zh-CN"/>
              </w:rPr>
              <w:t>；</w:t>
            </w:r>
          </w:p>
          <w:p w14:paraId="60AFC7C1">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 xml:space="preserve">  C0i——第i个污染物的环境空气质量标准，mg/m</w:t>
            </w:r>
            <w:r>
              <w:rPr>
                <w:rFonts w:hint="default" w:ascii="Times New Roman" w:hAnsi="Times New Roman" w:eastAsia="宋体" w:cs="宋体"/>
                <w:color w:val="auto"/>
                <w:vertAlign w:val="superscript"/>
              </w:rPr>
              <w:t>3</w:t>
            </w:r>
            <w:r>
              <w:rPr>
                <w:rFonts w:hint="default" w:ascii="Times New Roman" w:hAnsi="Times New Roman" w:eastAsia="宋体" w:cs="宋体"/>
                <w:color w:val="auto"/>
                <w:lang w:val="en-US" w:eastAsia="zh-CN"/>
              </w:rPr>
              <w:t>。</w:t>
            </w:r>
          </w:p>
          <w:p w14:paraId="42031828">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bookmarkStart w:id="60" w:name="_Toc402868649"/>
            <w:bookmarkStart w:id="61" w:name="_Toc376272152"/>
            <w:bookmarkStart w:id="62" w:name="_Toc402353755"/>
            <w:bookmarkStart w:id="63" w:name="_Toc376355361"/>
            <w:bookmarkStart w:id="64" w:name="_Toc394504654"/>
            <w:bookmarkStart w:id="65" w:name="_Toc404178067"/>
            <w:bookmarkStart w:id="66" w:name="_Toc402354081"/>
            <w:bookmarkStart w:id="67" w:name="_Toc263844421"/>
            <w:bookmarkStart w:id="68" w:name="_Toc399193220"/>
            <w:bookmarkStart w:id="69" w:name="_Toc394504996"/>
            <w:bookmarkStart w:id="70" w:name="_Toc402878763"/>
            <w:r>
              <w:rPr>
                <w:rFonts w:hint="default" w:ascii="Times New Roman" w:hAnsi="Times New Roman" w:eastAsia="宋体" w:cs="宋体"/>
                <w:color w:val="auto"/>
                <w:lang w:val="en-US" w:eastAsia="zh-CN"/>
              </w:rPr>
              <w:t>（6）监测及评价结果</w:t>
            </w:r>
            <w:bookmarkEnd w:id="60"/>
            <w:bookmarkEnd w:id="61"/>
            <w:bookmarkEnd w:id="62"/>
            <w:bookmarkEnd w:id="63"/>
            <w:bookmarkEnd w:id="64"/>
            <w:bookmarkEnd w:id="65"/>
            <w:bookmarkEnd w:id="66"/>
            <w:bookmarkEnd w:id="67"/>
            <w:bookmarkEnd w:id="68"/>
            <w:bookmarkEnd w:id="69"/>
            <w:bookmarkEnd w:id="70"/>
          </w:p>
          <w:p w14:paraId="03D8287A">
            <w:pPr>
              <w:keepNext w:val="0"/>
              <w:keepLines w:val="0"/>
              <w:pageBreakBefore w:val="0"/>
              <w:widowControl w:val="0"/>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根据环境空气质量现状调查结果，常规大气污染物日均监测及评价结果见表</w:t>
            </w:r>
            <w:r>
              <w:rPr>
                <w:rFonts w:hint="eastAsia" w:ascii="Times New Roman" w:hAnsi="Times New Roman" w:eastAsia="宋体" w:cs="宋体"/>
                <w:color w:val="auto"/>
                <w:lang w:val="en-US" w:eastAsia="zh-CN"/>
              </w:rPr>
              <w:t>3.1-3</w:t>
            </w:r>
            <w:r>
              <w:rPr>
                <w:rFonts w:hint="default" w:ascii="Times New Roman" w:hAnsi="Times New Roman" w:eastAsia="宋体" w:cs="宋体"/>
                <w:color w:val="auto"/>
                <w:lang w:val="en-US" w:eastAsia="zh-CN"/>
              </w:rPr>
              <w:t>。</w:t>
            </w:r>
          </w:p>
          <w:p w14:paraId="39883614">
            <w:pPr>
              <w:keepNext w:val="0"/>
              <w:keepLines w:val="0"/>
              <w:pageBreakBefore w:val="0"/>
              <w:widowControl w:val="0"/>
              <w:wordWrap/>
              <w:overflowPunct/>
              <w:topLinePunct w:val="0"/>
              <w:autoSpaceDE/>
              <w:autoSpaceDN/>
              <w:bidi w:val="0"/>
              <w:adjustRightInd/>
              <w:snapToGrid/>
              <w:spacing w:before="0" w:after="0" w:line="360" w:lineRule="auto"/>
              <w:ind w:left="0" w:leftChars="0" w:right="0" w:firstLine="0" w:firstLineChars="0"/>
              <w:jc w:val="center"/>
              <w:rPr>
                <w:rFonts w:hint="default" w:ascii="Times New Roman" w:hAnsi="Times New Roman" w:eastAsia="宋体" w:cs="宋体"/>
                <w:b/>
                <w:bCs/>
                <w:color w:val="auto"/>
                <w:lang w:val="en-US" w:eastAsia="zh-CN"/>
              </w:rPr>
            </w:pPr>
            <w:r>
              <w:rPr>
                <w:rFonts w:hint="default" w:ascii="Times New Roman" w:hAnsi="Times New Roman" w:eastAsia="宋体" w:cs="宋体"/>
                <w:b/>
                <w:bCs/>
                <w:color w:val="auto"/>
                <w:lang w:val="en-US" w:eastAsia="zh-CN"/>
              </w:rPr>
              <w:t>表</w:t>
            </w:r>
            <w:r>
              <w:rPr>
                <w:rFonts w:hint="eastAsia" w:ascii="Times New Roman" w:hAnsi="Times New Roman" w:eastAsia="宋体" w:cs="宋体"/>
                <w:b/>
                <w:bCs/>
                <w:color w:val="auto"/>
                <w:lang w:val="en-US" w:eastAsia="zh-CN"/>
              </w:rPr>
              <w:t>3.1-3</w:t>
            </w:r>
            <w:r>
              <w:rPr>
                <w:rFonts w:hint="default" w:ascii="Times New Roman" w:hAnsi="Times New Roman" w:eastAsia="宋体" w:cs="宋体"/>
                <w:b/>
                <w:bCs/>
                <w:color w:val="auto"/>
                <w:lang w:val="en-US" w:eastAsia="zh-CN"/>
              </w:rPr>
              <w:t>环境空气质量特征因子现状监测与评价结果统计表</w:t>
            </w:r>
          </w:p>
          <w:tbl>
            <w:tblPr>
              <w:tblStyle w:val="20"/>
              <w:tblW w:w="85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1"/>
              <w:gridCol w:w="3152"/>
              <w:gridCol w:w="2193"/>
              <w:gridCol w:w="2276"/>
            </w:tblGrid>
            <w:tr w14:paraId="1BBEC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23" w:type="pct"/>
                  <w:tcBorders>
                    <w:top w:val="single" w:color="auto" w:sz="12" w:space="0"/>
                    <w:left w:val="single" w:color="auto" w:sz="12" w:space="0"/>
                    <w:bottom w:val="single" w:color="auto" w:sz="4" w:space="0"/>
                    <w:right w:val="single" w:color="auto" w:sz="4" w:space="0"/>
                    <w:tl2br w:val="nil"/>
                    <w:tr2bl w:val="nil"/>
                  </w:tcBorders>
                  <w:noWrap w:val="0"/>
                  <w:vAlign w:val="center"/>
                </w:tcPr>
                <w:p w14:paraId="5AC78092">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监测点</w:t>
                  </w:r>
                </w:p>
              </w:tc>
              <w:tc>
                <w:tcPr>
                  <w:tcW w:w="1851"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6B2E15ED">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项目</w:t>
                  </w:r>
                </w:p>
              </w:tc>
              <w:tc>
                <w:tcPr>
                  <w:tcW w:w="1288"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120126CC">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eastAsia" w:cs="宋体"/>
                      <w:b w:val="0"/>
                      <w:bCs w:val="0"/>
                      <w:color w:val="auto"/>
                      <w:sz w:val="21"/>
                      <w:szCs w:val="21"/>
                      <w:highlight w:val="none"/>
                      <w:lang w:val="en-US" w:eastAsia="zh-CN"/>
                    </w:rPr>
                    <w:t>氨</w:t>
                  </w:r>
                </w:p>
              </w:tc>
              <w:tc>
                <w:tcPr>
                  <w:tcW w:w="1336" w:type="pct"/>
                  <w:tcBorders>
                    <w:top w:val="single" w:color="auto" w:sz="12" w:space="0"/>
                    <w:left w:val="single" w:color="auto" w:sz="4" w:space="0"/>
                    <w:bottom w:val="single" w:color="auto" w:sz="4" w:space="0"/>
                    <w:right w:val="single" w:color="auto" w:sz="12" w:space="0"/>
                    <w:tl2br w:val="nil"/>
                    <w:tr2bl w:val="nil"/>
                  </w:tcBorders>
                  <w:noWrap w:val="0"/>
                  <w:vAlign w:val="center"/>
                </w:tcPr>
                <w:p w14:paraId="490A47B4">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eastAsia" w:cs="宋体"/>
                      <w:b w:val="0"/>
                      <w:bCs w:val="0"/>
                      <w:color w:val="auto"/>
                      <w:sz w:val="21"/>
                      <w:szCs w:val="21"/>
                      <w:highlight w:val="none"/>
                      <w:lang w:val="en-US" w:eastAsia="zh-CN"/>
                    </w:rPr>
                    <w:t>硫化氢</w:t>
                  </w:r>
                </w:p>
              </w:tc>
            </w:tr>
            <w:tr w14:paraId="43FB3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23" w:type="pct"/>
                  <w:vMerge w:val="restart"/>
                  <w:tcBorders>
                    <w:top w:val="single" w:color="auto" w:sz="4" w:space="0"/>
                    <w:left w:val="single" w:color="auto" w:sz="12" w:space="0"/>
                    <w:right w:val="single" w:color="auto" w:sz="4" w:space="0"/>
                    <w:tl2br w:val="nil"/>
                    <w:tr2bl w:val="nil"/>
                  </w:tcBorders>
                  <w:noWrap w:val="0"/>
                  <w:vAlign w:val="center"/>
                </w:tcPr>
                <w:p w14:paraId="172E8621">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项目区</w:t>
                  </w:r>
                </w:p>
              </w:tc>
              <w:tc>
                <w:tcPr>
                  <w:tcW w:w="18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468D59">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有效日数</w:t>
                  </w:r>
                </w:p>
              </w:tc>
              <w:tc>
                <w:tcPr>
                  <w:tcW w:w="12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E95998">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w:t>
                  </w:r>
                </w:p>
              </w:tc>
              <w:tc>
                <w:tcPr>
                  <w:tcW w:w="1336"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3FA2B02A">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eastAsia" w:eastAsia="宋体" w:cs="宋体"/>
                      <w:color w:val="auto"/>
                      <w:sz w:val="21"/>
                      <w:szCs w:val="21"/>
                      <w:lang w:val="en-US" w:eastAsia="zh-CN"/>
                    </w:rPr>
                    <w:t>3</w:t>
                  </w:r>
                </w:p>
              </w:tc>
            </w:tr>
            <w:tr w14:paraId="3E369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23" w:type="pct"/>
                  <w:vMerge w:val="continue"/>
                  <w:tcBorders>
                    <w:left w:val="single" w:color="auto" w:sz="12" w:space="0"/>
                    <w:right w:val="single" w:color="auto" w:sz="4" w:space="0"/>
                    <w:tl2br w:val="nil"/>
                    <w:tr2bl w:val="nil"/>
                  </w:tcBorders>
                  <w:noWrap w:val="0"/>
                  <w:vAlign w:val="center"/>
                </w:tcPr>
                <w:p w14:paraId="29498335">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color w:val="auto"/>
                      <w:sz w:val="21"/>
                      <w:szCs w:val="21"/>
                      <w:lang w:val="en-US" w:eastAsia="zh-CN"/>
                    </w:rPr>
                  </w:pPr>
                </w:p>
              </w:tc>
              <w:tc>
                <w:tcPr>
                  <w:tcW w:w="18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AFAECB">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浓度范围（mg/m</w:t>
                  </w:r>
                  <w:r>
                    <w:rPr>
                      <w:rFonts w:hint="default" w:ascii="Times New Roman" w:hAnsi="Times New Roman" w:eastAsia="宋体" w:cs="宋体"/>
                      <w:color w:val="auto"/>
                      <w:sz w:val="21"/>
                      <w:szCs w:val="21"/>
                      <w:vertAlign w:val="superscript"/>
                    </w:rPr>
                    <w:t>3</w:t>
                  </w:r>
                  <w:r>
                    <w:rPr>
                      <w:rFonts w:hint="default" w:ascii="Times New Roman" w:hAnsi="Times New Roman" w:eastAsia="宋体" w:cs="宋体"/>
                      <w:color w:val="auto"/>
                      <w:sz w:val="21"/>
                      <w:szCs w:val="21"/>
                      <w:lang w:val="en-US" w:eastAsia="zh-CN"/>
                    </w:rPr>
                    <w:t>）</w:t>
                  </w:r>
                </w:p>
              </w:tc>
              <w:tc>
                <w:tcPr>
                  <w:tcW w:w="12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A45B2D">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highlight w:val="yellow"/>
                      <w:lang w:val="en-US" w:eastAsia="zh-CN"/>
                    </w:rPr>
                  </w:pPr>
                  <w:r>
                    <w:rPr>
                      <w:rFonts w:hint="eastAsia" w:cs="宋体"/>
                      <w:color w:val="auto"/>
                      <w:sz w:val="21"/>
                      <w:szCs w:val="21"/>
                      <w:highlight w:val="none"/>
                      <w:lang w:val="en-US" w:eastAsia="zh-CN"/>
                    </w:rPr>
                    <w:t>0.04</w:t>
                  </w:r>
                  <w:r>
                    <w:rPr>
                      <w:rFonts w:hint="eastAsia" w:ascii="Times New Roman" w:hAnsi="Times New Roman" w:eastAsia="宋体" w:cs="宋体"/>
                      <w:color w:val="auto"/>
                      <w:sz w:val="21"/>
                      <w:szCs w:val="21"/>
                      <w:highlight w:val="none"/>
                      <w:lang w:val="en-US" w:eastAsia="zh-CN"/>
                    </w:rPr>
                    <w:t>-0.</w:t>
                  </w:r>
                  <w:r>
                    <w:rPr>
                      <w:rFonts w:hint="eastAsia" w:cs="宋体"/>
                      <w:color w:val="auto"/>
                      <w:sz w:val="21"/>
                      <w:szCs w:val="21"/>
                      <w:highlight w:val="none"/>
                      <w:lang w:val="en-US" w:eastAsia="zh-CN"/>
                    </w:rPr>
                    <w:t>06</w:t>
                  </w:r>
                </w:p>
              </w:tc>
              <w:tc>
                <w:tcPr>
                  <w:tcW w:w="1336"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429DAF3C">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highlight w:val="yellow"/>
                      <w:lang w:val="en-US" w:eastAsia="zh-CN"/>
                    </w:rPr>
                  </w:pPr>
                  <w:r>
                    <w:rPr>
                      <w:rFonts w:hint="eastAsia" w:cs="宋体"/>
                      <w:color w:val="auto"/>
                      <w:sz w:val="21"/>
                      <w:szCs w:val="21"/>
                      <w:highlight w:val="none"/>
                      <w:lang w:val="en-US" w:eastAsia="zh-CN"/>
                    </w:rPr>
                    <w:t>0.006</w:t>
                  </w:r>
                  <w:r>
                    <w:rPr>
                      <w:rFonts w:hint="eastAsia" w:eastAsia="宋体" w:cs="宋体"/>
                      <w:color w:val="auto"/>
                      <w:sz w:val="21"/>
                      <w:szCs w:val="21"/>
                      <w:highlight w:val="none"/>
                      <w:lang w:val="en-US" w:eastAsia="zh-CN"/>
                    </w:rPr>
                    <w:t>-</w:t>
                  </w:r>
                  <w:r>
                    <w:rPr>
                      <w:rFonts w:hint="eastAsia" w:cs="宋体"/>
                      <w:color w:val="auto"/>
                      <w:sz w:val="21"/>
                      <w:szCs w:val="21"/>
                      <w:highlight w:val="none"/>
                      <w:lang w:val="en-US" w:eastAsia="zh-CN"/>
                    </w:rPr>
                    <w:t>0.009</w:t>
                  </w:r>
                </w:p>
              </w:tc>
            </w:tr>
            <w:tr w14:paraId="46730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23" w:type="pct"/>
                  <w:vMerge w:val="continue"/>
                  <w:tcBorders>
                    <w:left w:val="single" w:color="auto" w:sz="12" w:space="0"/>
                    <w:right w:val="single" w:color="auto" w:sz="4" w:space="0"/>
                    <w:tl2br w:val="nil"/>
                    <w:tr2bl w:val="nil"/>
                  </w:tcBorders>
                  <w:noWrap w:val="0"/>
                  <w:vAlign w:val="center"/>
                </w:tcPr>
                <w:p w14:paraId="40000822">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color w:val="auto"/>
                      <w:sz w:val="21"/>
                      <w:szCs w:val="21"/>
                      <w:lang w:val="en-US" w:eastAsia="zh-CN"/>
                    </w:rPr>
                  </w:pPr>
                </w:p>
              </w:tc>
              <w:tc>
                <w:tcPr>
                  <w:tcW w:w="18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D6C1DB">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超标率（%）</w:t>
                  </w:r>
                </w:p>
              </w:tc>
              <w:tc>
                <w:tcPr>
                  <w:tcW w:w="12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1F5760">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w:t>
                  </w:r>
                </w:p>
              </w:tc>
              <w:tc>
                <w:tcPr>
                  <w:tcW w:w="1336"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136DA894">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w:t>
                  </w:r>
                </w:p>
              </w:tc>
            </w:tr>
            <w:tr w14:paraId="24AA7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23" w:type="pct"/>
                  <w:vMerge w:val="continue"/>
                  <w:tcBorders>
                    <w:left w:val="single" w:color="auto" w:sz="12" w:space="0"/>
                    <w:right w:val="single" w:color="auto" w:sz="4" w:space="0"/>
                    <w:tl2br w:val="nil"/>
                    <w:tr2bl w:val="nil"/>
                  </w:tcBorders>
                  <w:noWrap w:val="0"/>
                  <w:vAlign w:val="center"/>
                </w:tcPr>
                <w:p w14:paraId="1A7C3319">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color w:val="auto"/>
                      <w:sz w:val="21"/>
                      <w:szCs w:val="21"/>
                      <w:lang w:val="en-US" w:eastAsia="zh-CN"/>
                    </w:rPr>
                  </w:pPr>
                </w:p>
              </w:tc>
              <w:tc>
                <w:tcPr>
                  <w:tcW w:w="18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864867">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最大超标倍数</w:t>
                  </w:r>
                </w:p>
              </w:tc>
              <w:tc>
                <w:tcPr>
                  <w:tcW w:w="12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D73DA1">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w:t>
                  </w:r>
                </w:p>
              </w:tc>
              <w:tc>
                <w:tcPr>
                  <w:tcW w:w="1336"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1F9B09C4">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w:t>
                  </w:r>
                </w:p>
              </w:tc>
            </w:tr>
            <w:tr w14:paraId="3A4C0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23" w:type="pct"/>
                  <w:vMerge w:val="continue"/>
                  <w:tcBorders>
                    <w:left w:val="single" w:color="auto" w:sz="12" w:space="0"/>
                    <w:bottom w:val="single" w:color="auto" w:sz="12" w:space="0"/>
                    <w:right w:val="single" w:color="auto" w:sz="4" w:space="0"/>
                    <w:tl2br w:val="nil"/>
                    <w:tr2bl w:val="nil"/>
                  </w:tcBorders>
                  <w:noWrap w:val="0"/>
                  <w:vAlign w:val="center"/>
                </w:tcPr>
                <w:p w14:paraId="6DE9DCFA">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9"/>
                    <w:rPr>
                      <w:rFonts w:hint="default" w:ascii="Times New Roman" w:hAnsi="Times New Roman" w:eastAsia="宋体" w:cs="宋体"/>
                      <w:color w:val="auto"/>
                      <w:sz w:val="21"/>
                      <w:szCs w:val="21"/>
                      <w:lang w:val="en-US" w:eastAsia="zh-CN"/>
                    </w:rPr>
                  </w:pPr>
                </w:p>
              </w:tc>
              <w:tc>
                <w:tcPr>
                  <w:tcW w:w="1851"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2E149215">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Pi</w:t>
                  </w:r>
                </w:p>
              </w:tc>
              <w:tc>
                <w:tcPr>
                  <w:tcW w:w="1288" w:type="pct"/>
                  <w:tcBorders>
                    <w:top w:val="single" w:color="auto" w:sz="4" w:space="0"/>
                    <w:left w:val="single" w:color="auto" w:sz="4" w:space="0"/>
                    <w:bottom w:val="single" w:color="auto" w:sz="12" w:space="0"/>
                    <w:right w:val="single" w:color="auto" w:sz="4" w:space="0"/>
                    <w:tl2br w:val="nil"/>
                    <w:tr2bl w:val="nil"/>
                  </w:tcBorders>
                  <w:noWrap w:val="0"/>
                  <w:vAlign w:val="center"/>
                </w:tcPr>
                <w:p w14:paraId="5722C95F">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0.2</w:t>
                  </w:r>
                  <w:r>
                    <w:rPr>
                      <w:rFonts w:hint="eastAsia" w:eastAsia="宋体" w:cs="宋体"/>
                      <w:color w:val="auto"/>
                      <w:sz w:val="21"/>
                      <w:szCs w:val="21"/>
                      <w:highlight w:val="none"/>
                      <w:lang w:val="en-US" w:eastAsia="zh-CN"/>
                    </w:rPr>
                    <w:t>-0.</w:t>
                  </w:r>
                  <w:r>
                    <w:rPr>
                      <w:rFonts w:hint="eastAsia" w:cs="宋体"/>
                      <w:color w:val="auto"/>
                      <w:sz w:val="21"/>
                      <w:szCs w:val="21"/>
                      <w:highlight w:val="none"/>
                      <w:lang w:val="en-US" w:eastAsia="zh-CN"/>
                    </w:rPr>
                    <w:t>3</w:t>
                  </w:r>
                </w:p>
              </w:tc>
              <w:tc>
                <w:tcPr>
                  <w:tcW w:w="1336" w:type="pct"/>
                  <w:tcBorders>
                    <w:top w:val="single" w:color="auto" w:sz="4" w:space="0"/>
                    <w:left w:val="single" w:color="auto" w:sz="4" w:space="0"/>
                    <w:bottom w:val="single" w:color="auto" w:sz="12" w:space="0"/>
                    <w:right w:val="single" w:color="auto" w:sz="12" w:space="0"/>
                    <w:tl2br w:val="nil"/>
                    <w:tr2bl w:val="nil"/>
                  </w:tcBorders>
                  <w:noWrap w:val="0"/>
                  <w:vAlign w:val="center"/>
                </w:tcPr>
                <w:p w14:paraId="1E937347">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firstLineChars="0"/>
                    <w:jc w:val="center"/>
                    <w:textAlignment w:val="auto"/>
                    <w:outlineLvl w:val="3"/>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0.6</w:t>
                  </w:r>
                  <w:r>
                    <w:rPr>
                      <w:rFonts w:hint="eastAsia" w:eastAsia="宋体" w:cs="宋体"/>
                      <w:color w:val="auto"/>
                      <w:sz w:val="21"/>
                      <w:szCs w:val="21"/>
                      <w:highlight w:val="none"/>
                      <w:lang w:val="en-US" w:eastAsia="zh-CN"/>
                    </w:rPr>
                    <w:t>-0.</w:t>
                  </w:r>
                  <w:r>
                    <w:rPr>
                      <w:rFonts w:hint="eastAsia" w:cs="宋体"/>
                      <w:color w:val="auto"/>
                      <w:sz w:val="21"/>
                      <w:szCs w:val="21"/>
                      <w:highlight w:val="none"/>
                      <w:lang w:val="en-US" w:eastAsia="zh-CN"/>
                    </w:rPr>
                    <w:t>9</w:t>
                  </w:r>
                </w:p>
              </w:tc>
            </w:tr>
          </w:tbl>
          <w:p w14:paraId="22755567">
            <w:pPr>
              <w:keepNext w:val="0"/>
              <w:keepLines w:val="0"/>
              <w:pageBreakBefore w:val="0"/>
              <w:widowControl w:val="0"/>
              <w:wordWrap/>
              <w:topLinePunct w:val="0"/>
              <w:bidi w:val="0"/>
              <w:adjustRightInd/>
              <w:snapToGrid/>
              <w:spacing w:line="360" w:lineRule="auto"/>
              <w:ind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Times New Roman"/>
                <w:bCs/>
                <w:color w:val="auto"/>
                <w:kern w:val="2"/>
                <w:sz w:val="24"/>
                <w:szCs w:val="24"/>
                <w:lang w:val="en-US" w:eastAsia="zh-CN" w:bidi="ar-SA"/>
              </w:rPr>
              <w:t>由表</w:t>
            </w:r>
            <w:r>
              <w:rPr>
                <w:rFonts w:hint="eastAsia" w:ascii="Times New Roman" w:hAnsi="Times New Roman" w:eastAsia="宋体" w:cs="Times New Roman"/>
                <w:bCs/>
                <w:color w:val="auto"/>
                <w:kern w:val="2"/>
                <w:sz w:val="24"/>
                <w:szCs w:val="24"/>
                <w:lang w:val="en-US" w:eastAsia="zh-CN" w:bidi="ar-SA"/>
              </w:rPr>
              <w:t>3.1</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可知，评价区域现状监测点特征因子浓度值均能满足</w:t>
            </w:r>
            <w:r>
              <w:rPr>
                <w:rFonts w:hint="eastAsia" w:ascii="Times New Roman" w:hAnsi="Times New Roman" w:eastAsia="宋体" w:cs="Times New Roman"/>
                <w:bCs/>
                <w:color w:val="auto"/>
                <w:kern w:val="2"/>
                <w:sz w:val="24"/>
                <w:szCs w:val="24"/>
                <w:lang w:val="en-US" w:eastAsia="zh-CN" w:bidi="ar-SA"/>
              </w:rPr>
              <w:t>相关标准限值</w:t>
            </w:r>
            <w:r>
              <w:rPr>
                <w:rFonts w:hint="default" w:ascii="Times New Roman" w:hAnsi="Times New Roman" w:eastAsia="宋体" w:cs="宋体"/>
                <w:color w:val="auto"/>
                <w:lang w:val="en-US" w:eastAsia="zh-CN"/>
              </w:rPr>
              <w:t>。</w:t>
            </w:r>
          </w:p>
          <w:p w14:paraId="0987A52D">
            <w:pPr>
              <w:keepNext w:val="0"/>
              <w:keepLines w:val="0"/>
              <w:pageBreakBefore w:val="0"/>
              <w:widowControl/>
              <w:wordWrap/>
              <w:overflowPunct/>
              <w:topLinePunct w:val="0"/>
              <w:autoSpaceDE/>
              <w:autoSpaceDN/>
              <w:bidi w:val="0"/>
              <w:adjustRightInd/>
              <w:snapToGrid/>
              <w:spacing w:before="0" w:after="0" w:line="360" w:lineRule="auto"/>
              <w:ind w:left="0" w:right="0" w:firstLine="480" w:firstLineChars="200"/>
              <w:jc w:val="both"/>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评价结果表明，根据基本污染源</w:t>
            </w:r>
            <w:r>
              <w:rPr>
                <w:rFonts w:hint="eastAsia" w:cs="宋体"/>
                <w:color w:val="auto"/>
                <w:lang w:val="en-US" w:eastAsia="zh-CN"/>
              </w:rPr>
              <w:t>2023</w:t>
            </w:r>
            <w:r>
              <w:rPr>
                <w:rFonts w:hint="default" w:ascii="Times New Roman" w:hAnsi="Times New Roman" w:eastAsia="宋体" w:cs="宋体"/>
                <w:color w:val="auto"/>
                <w:lang w:val="en-US" w:eastAsia="zh-CN"/>
              </w:rPr>
              <w:t>年</w:t>
            </w:r>
            <w:r>
              <w:rPr>
                <w:rFonts w:hint="eastAsia" w:cs="宋体"/>
                <w:color w:val="auto"/>
                <w:lang w:val="en-US" w:eastAsia="zh-CN"/>
              </w:rPr>
              <w:t>胡杨河市</w:t>
            </w:r>
            <w:r>
              <w:rPr>
                <w:rFonts w:hint="default" w:ascii="Times New Roman" w:hAnsi="Times New Roman" w:eastAsia="宋体" w:cs="宋体"/>
                <w:color w:val="auto"/>
                <w:lang w:val="en-US" w:eastAsia="zh-CN"/>
              </w:rPr>
              <w:t>空气质量监测数据</w:t>
            </w:r>
            <w:r>
              <w:rPr>
                <w:rFonts w:hint="eastAsia" w:cs="宋体"/>
                <w:color w:val="auto"/>
                <w:lang w:val="en-US" w:eastAsia="zh-CN"/>
              </w:rPr>
              <w:t>均达标</w:t>
            </w:r>
            <w:r>
              <w:rPr>
                <w:rFonts w:hint="eastAsia" w:ascii="Times New Roman" w:hAnsi="Times New Roman" w:eastAsia="宋体" w:cs="Times New Roman"/>
                <w:color w:val="auto"/>
                <w:kern w:val="2"/>
                <w:szCs w:val="24"/>
              </w:rPr>
              <w:t>，</w:t>
            </w:r>
            <w:r>
              <w:rPr>
                <w:rFonts w:ascii="Times New Roman" w:hAnsi="Times New Roman" w:eastAsia="宋体" w:cs="Times New Roman"/>
                <w:color w:val="auto"/>
                <w:kern w:val="2"/>
                <w:szCs w:val="24"/>
              </w:rPr>
              <w:t>为</w:t>
            </w:r>
            <w:r>
              <w:rPr>
                <w:rFonts w:hint="eastAsia" w:ascii="Times New Roman" w:hAnsi="Times New Roman" w:eastAsia="宋体" w:cs="Times New Roman"/>
                <w:color w:val="auto"/>
                <w:kern w:val="2"/>
                <w:szCs w:val="24"/>
              </w:rPr>
              <w:t>空气</w:t>
            </w:r>
            <w:r>
              <w:rPr>
                <w:rFonts w:hint="eastAsia" w:cs="Times New Roman"/>
                <w:color w:val="auto"/>
                <w:kern w:val="2"/>
                <w:szCs w:val="24"/>
                <w:lang w:val="en-US" w:eastAsia="zh-CN"/>
              </w:rPr>
              <w:t>不</w:t>
            </w:r>
            <w:r>
              <w:rPr>
                <w:rFonts w:ascii="Times New Roman" w:hAnsi="Times New Roman" w:eastAsia="宋体" w:cs="Times New Roman"/>
                <w:color w:val="auto"/>
                <w:kern w:val="2"/>
                <w:szCs w:val="24"/>
              </w:rPr>
              <w:t>达标区</w:t>
            </w:r>
            <w:r>
              <w:rPr>
                <w:rFonts w:hint="default" w:ascii="Times New Roman" w:hAnsi="Times New Roman" w:eastAsia="宋体" w:cs="宋体"/>
                <w:color w:val="auto"/>
                <w:lang w:val="en-US" w:eastAsia="zh-CN"/>
              </w:rPr>
              <w:t>，特征污染物均达标。</w:t>
            </w:r>
          </w:p>
          <w:p w14:paraId="1538AC1B">
            <w:pPr>
              <w:overflowPunct w:val="0"/>
              <w:autoSpaceDE w:val="0"/>
              <w:autoSpaceDN w:val="0"/>
              <w:adjustRightInd w:val="0"/>
              <w:snapToGrid w:val="0"/>
              <w:spacing w:line="360" w:lineRule="auto"/>
              <w:jc w:val="left"/>
              <w:outlineLvl w:val="1"/>
              <w:rPr>
                <w:rFonts w:ascii="Times New Roman" w:hAnsi="Times New Roman" w:eastAsia="宋体" w:cs="黑体"/>
                <w:b/>
                <w:color w:val="auto"/>
                <w:sz w:val="28"/>
                <w:szCs w:val="30"/>
              </w:rPr>
            </w:pPr>
            <w:r>
              <w:rPr>
                <w:rFonts w:hint="eastAsia" w:cs="黑体"/>
                <w:b/>
                <w:color w:val="auto"/>
                <w:sz w:val="28"/>
                <w:szCs w:val="30"/>
                <w:lang w:val="en-US" w:eastAsia="zh-CN"/>
              </w:rPr>
              <w:t>2、</w:t>
            </w:r>
            <w:r>
              <w:rPr>
                <w:rFonts w:ascii="Times New Roman" w:hAnsi="Times New Roman" w:eastAsia="宋体" w:cs="黑体"/>
                <w:b/>
                <w:color w:val="auto"/>
                <w:sz w:val="28"/>
                <w:szCs w:val="30"/>
              </w:rPr>
              <w:t>水环境质量现状调查与评价</w:t>
            </w:r>
          </w:p>
          <w:p w14:paraId="44429B5D">
            <w:pPr>
              <w:overflowPunct w:val="0"/>
              <w:autoSpaceDE w:val="0"/>
              <w:autoSpaceDN w:val="0"/>
              <w:adjustRightInd w:val="0"/>
              <w:snapToGrid w:val="0"/>
              <w:spacing w:line="360" w:lineRule="auto"/>
              <w:ind w:firstLine="480" w:firstLineChars="200"/>
              <w:jc w:val="left"/>
              <w:rPr>
                <w:rFonts w:ascii="Times New Roman" w:hAnsi="Times New Roman" w:eastAsia="宋体" w:cs="宋体"/>
                <w:color w:val="0000FF"/>
              </w:rPr>
            </w:pPr>
            <w:r>
              <w:rPr>
                <w:rFonts w:hint="eastAsia" w:ascii="Times New Roman" w:hAnsi="Times New Roman" w:eastAsia="宋体" w:cs="宋体"/>
                <w:color w:val="0000FF"/>
              </w:rPr>
              <w:t>（1）地表水</w:t>
            </w:r>
          </w:p>
          <w:p w14:paraId="7D990FCB">
            <w:pPr>
              <w:overflowPunct w:val="0"/>
              <w:autoSpaceDE w:val="0"/>
              <w:autoSpaceDN w:val="0"/>
              <w:bidi w:val="0"/>
              <w:adjustRightInd w:val="0"/>
              <w:snapToGrid w:val="0"/>
              <w:spacing w:before="0" w:after="0" w:line="360" w:lineRule="auto"/>
              <w:ind w:left="0" w:leftChars="0" w:right="0" w:firstLine="480" w:firstLineChars="200"/>
              <w:jc w:val="both"/>
              <w:rPr>
                <w:rFonts w:hint="eastAsia" w:ascii="Times New Roman" w:hAnsi="Times New Roman" w:eastAsia="宋体" w:cs="宋体"/>
                <w:color w:val="auto"/>
                <w:lang w:val="en-US" w:eastAsia="zh-CN"/>
              </w:rPr>
            </w:pPr>
            <w:r>
              <w:rPr>
                <w:rFonts w:hint="eastAsia" w:ascii="Times New Roman" w:hAnsi="Times New Roman" w:eastAsia="宋体" w:cs="宋体"/>
                <w:color w:val="0000FF"/>
                <w:lang w:val="en-US" w:eastAsia="zh-CN"/>
              </w:rPr>
              <w:t>根据调查，本项目为</w:t>
            </w:r>
            <w:r>
              <w:rPr>
                <w:rFonts w:hint="eastAsia" w:cs="宋体"/>
                <w:color w:val="0000FF"/>
                <w:lang w:val="en-US" w:eastAsia="zh-CN"/>
              </w:rPr>
              <w:t>果汁、果糖加工</w:t>
            </w:r>
            <w:r>
              <w:rPr>
                <w:rFonts w:hint="eastAsia" w:ascii="Times New Roman" w:hAnsi="Times New Roman" w:eastAsia="宋体" w:cs="宋体"/>
                <w:color w:val="0000FF"/>
                <w:lang w:val="en-US" w:eastAsia="zh-CN"/>
              </w:rPr>
              <w:t>项目，产生的</w:t>
            </w:r>
            <w:r>
              <w:rPr>
                <w:rFonts w:hint="eastAsia" w:cs="宋体"/>
                <w:color w:val="0000FF"/>
                <w:lang w:val="en-US" w:eastAsia="zh-CN"/>
              </w:rPr>
              <w:t>生产</w:t>
            </w:r>
            <w:r>
              <w:rPr>
                <w:rFonts w:hint="eastAsia" w:ascii="Times New Roman" w:hAnsi="Times New Roman" w:eastAsia="宋体" w:cs="宋体"/>
                <w:color w:val="0000FF"/>
                <w:lang w:val="en-US" w:eastAsia="zh-CN"/>
              </w:rPr>
              <w:t>废水经</w:t>
            </w:r>
            <w:r>
              <w:rPr>
                <w:rFonts w:hint="eastAsia" w:cs="宋体"/>
                <w:color w:val="0000FF"/>
                <w:lang w:val="en-US" w:eastAsia="zh-CN"/>
              </w:rPr>
              <w:t>处理后排入园区下水管网，依托园区污水处理厂处置</w:t>
            </w:r>
            <w:r>
              <w:rPr>
                <w:rFonts w:hint="eastAsia" w:ascii="Times New Roman" w:hAnsi="Times New Roman" w:eastAsia="宋体" w:cs="宋体"/>
                <w:color w:val="0000FF"/>
                <w:lang w:val="en-US" w:eastAsia="zh-CN"/>
              </w:rPr>
              <w:t>，</w:t>
            </w:r>
            <w:r>
              <w:rPr>
                <w:rFonts w:hint="eastAsia" w:cs="宋体"/>
                <w:color w:val="auto"/>
                <w:lang w:val="en-US" w:eastAsia="zh-CN"/>
              </w:rPr>
              <w:t>与地表水体无水力联系。根据《环境影响评价技术导则 地表水环境》（HJ/T2.3-2018），因此本项目地表水环境影响评价工作等级确定为三级B，可不开展区域污染源调查。因此本项目不对地表水环境现状进行调查及分析。</w:t>
            </w:r>
          </w:p>
          <w:p w14:paraId="60769412">
            <w:pPr>
              <w:overflowPunct w:val="0"/>
              <w:autoSpaceDE w:val="0"/>
              <w:autoSpaceDN w:val="0"/>
              <w:adjustRightInd w:val="0"/>
              <w:snapToGrid w:val="0"/>
              <w:spacing w:line="360" w:lineRule="auto"/>
              <w:ind w:firstLine="480" w:firstLineChars="200"/>
              <w:rPr>
                <w:rFonts w:ascii="Times New Roman" w:hAnsi="Times New Roman" w:eastAsia="宋体" w:cs="宋体"/>
                <w:color w:val="auto"/>
              </w:rPr>
            </w:pPr>
            <w:r>
              <w:rPr>
                <w:rFonts w:hint="eastAsia" w:ascii="Times New Roman" w:hAnsi="Times New Roman" w:eastAsia="宋体" w:cs="宋体"/>
                <w:color w:val="auto"/>
              </w:rPr>
              <w:t>（2）地下水</w:t>
            </w:r>
          </w:p>
          <w:p w14:paraId="04B67DD8">
            <w:pPr>
              <w:overflowPunct w:val="0"/>
              <w:autoSpaceDE w:val="0"/>
              <w:autoSpaceDN w:val="0"/>
              <w:bidi w:val="0"/>
              <w:adjustRightInd w:val="0"/>
              <w:snapToGrid w:val="0"/>
              <w:spacing w:before="0" w:after="0" w:line="360" w:lineRule="auto"/>
              <w:ind w:left="0" w:right="0" w:firstLine="480" w:firstLineChars="200"/>
              <w:jc w:val="both"/>
              <w:rPr>
                <w:rFonts w:ascii="Times New Roman" w:hAnsi="Times New Roman" w:eastAsia="宋体" w:cs="Times New Roman"/>
                <w:color w:val="auto"/>
                <w:kern w:val="2"/>
                <w:szCs w:val="21"/>
              </w:rPr>
            </w:pPr>
            <w:r>
              <w:rPr>
                <w:rFonts w:hint="eastAsia" w:ascii="Times New Roman" w:hAnsi="Times New Roman" w:eastAsia="宋体" w:cs="宋体"/>
                <w:color w:val="auto"/>
                <w:lang w:val="en-US" w:eastAsia="zh-CN"/>
              </w:rPr>
              <w:t>根据《建设项目环境影响报告表编制技术指南（污染影响类）（试行）》，建设项目不存在地下水环境污染途径，原则上不开展地下水环境质量现状调查。因此，本项目不开展地下水环境影响评价</w:t>
            </w:r>
            <w:r>
              <w:rPr>
                <w:rFonts w:ascii="Times New Roman" w:hAnsi="Times New Roman" w:eastAsia="宋体" w:cs="Times New Roman"/>
                <w:color w:val="auto"/>
                <w:kern w:val="2"/>
                <w:szCs w:val="21"/>
              </w:rPr>
              <w:t>。</w:t>
            </w:r>
          </w:p>
          <w:p w14:paraId="356CE8C8">
            <w:pPr>
              <w:overflowPunct w:val="0"/>
              <w:autoSpaceDE w:val="0"/>
              <w:autoSpaceDN w:val="0"/>
              <w:adjustRightInd w:val="0"/>
              <w:snapToGrid w:val="0"/>
              <w:spacing w:line="560" w:lineRule="exact"/>
              <w:jc w:val="left"/>
              <w:outlineLvl w:val="1"/>
              <w:rPr>
                <w:rFonts w:ascii="Times New Roman" w:hAnsi="Times New Roman" w:eastAsia="宋体" w:cs="黑体"/>
                <w:b/>
                <w:color w:val="auto"/>
                <w:sz w:val="28"/>
                <w:szCs w:val="30"/>
              </w:rPr>
            </w:pPr>
            <w:r>
              <w:rPr>
                <w:rFonts w:hint="eastAsia" w:cs="黑体"/>
                <w:b/>
                <w:color w:val="auto"/>
                <w:sz w:val="28"/>
                <w:szCs w:val="30"/>
                <w:lang w:val="en-US" w:eastAsia="zh-CN"/>
              </w:rPr>
              <w:t>3、</w:t>
            </w:r>
            <w:r>
              <w:rPr>
                <w:rFonts w:ascii="Times New Roman" w:hAnsi="Times New Roman" w:eastAsia="宋体" w:cs="黑体"/>
                <w:b/>
                <w:color w:val="auto"/>
                <w:sz w:val="28"/>
                <w:szCs w:val="30"/>
              </w:rPr>
              <w:t>声环境质量现状与评价</w:t>
            </w:r>
          </w:p>
          <w:p w14:paraId="2CA64EC1">
            <w:pPr>
              <w:keepNext w:val="0"/>
              <w:keepLines w:val="0"/>
              <w:pageBreakBefore w:val="0"/>
              <w:widowControl w:val="0"/>
              <w:suppressLineNumbers w:val="0"/>
              <w:kinsoku/>
              <w:wordWrap/>
              <w:overflowPunct w:val="0"/>
              <w:topLinePunct w:val="0"/>
              <w:autoSpaceDE w:val="0"/>
              <w:autoSpaceDN w:val="0"/>
              <w:bidi w:val="0"/>
              <w:adjustRightInd w:val="0"/>
              <w:snapToGrid/>
              <w:spacing w:before="0" w:beforeAutospacing="0" w:after="0" w:afterAutospacing="0" w:line="480" w:lineRule="exact"/>
              <w:ind w:left="0" w:right="0" w:firstLine="480" w:firstLineChars="200"/>
              <w:jc w:val="left"/>
              <w:textAlignment w:val="auto"/>
              <w:rPr>
                <w:rFonts w:hint="eastAsia" w:eastAsia="宋体" w:cs="宋体"/>
                <w:color w:val="auto"/>
                <w:highlight w:val="none"/>
                <w:lang w:val="en-US" w:eastAsia="zh-CN"/>
              </w:rPr>
            </w:pPr>
            <w:r>
              <w:rPr>
                <w:rFonts w:hint="eastAsia" w:cs="Times New Roman"/>
                <w:b w:val="0"/>
                <w:bCs/>
                <w:color w:val="auto"/>
                <w:kern w:val="2"/>
                <w:sz w:val="24"/>
                <w:szCs w:val="24"/>
                <w:highlight w:val="none"/>
                <w:lang w:val="en-US" w:eastAsia="zh-CN" w:bidi="ar-SA"/>
              </w:rPr>
              <w:t>本项目属于《声环境质量标准》（GB 3096-2008）中的3类声功能区。</w:t>
            </w:r>
            <w:r>
              <w:rPr>
                <w:rFonts w:hint="eastAsia" w:ascii="Times New Roman" w:hAnsi="Times New Roman" w:eastAsia="宋体" w:cs="Times New Roman"/>
                <w:b w:val="0"/>
                <w:bCs/>
                <w:color w:val="auto"/>
                <w:kern w:val="2"/>
                <w:sz w:val="24"/>
                <w:szCs w:val="24"/>
                <w:highlight w:val="none"/>
                <w:lang w:val="en-US" w:eastAsia="zh-CN" w:bidi="ar-SA"/>
              </w:rPr>
              <w:t>根据《建设项目环境影响报告表编制技术指南》（污染影响类）中的“声环境”，本项目</w:t>
            </w:r>
            <w:r>
              <w:rPr>
                <w:rFonts w:hint="eastAsia" w:cs="Times New Roman"/>
                <w:b w:val="0"/>
                <w:bCs/>
                <w:color w:val="auto"/>
                <w:kern w:val="2"/>
                <w:sz w:val="24"/>
                <w:szCs w:val="24"/>
                <w:highlight w:val="none"/>
                <w:lang w:val="en-US" w:eastAsia="zh-CN" w:bidi="ar-SA"/>
              </w:rPr>
              <w:t>位于胡杨河市经济技术开发区</w:t>
            </w:r>
            <w:r>
              <w:rPr>
                <w:rFonts w:hint="eastAsia" w:ascii="Times New Roman" w:hAnsi="Times New Roman" w:eastAsia="宋体" w:cs="Times New Roman"/>
                <w:b w:val="0"/>
                <w:bCs/>
                <w:color w:val="auto"/>
                <w:kern w:val="2"/>
                <w:sz w:val="24"/>
                <w:szCs w:val="24"/>
                <w:highlight w:val="none"/>
                <w:lang w:val="en-US" w:eastAsia="zh-CN" w:bidi="ar-SA"/>
              </w:rPr>
              <w:t>，周边50m范围内没有声环境保护目标，故无需对环境敏感点进行声环境质量现状监测。</w:t>
            </w:r>
          </w:p>
          <w:p w14:paraId="642ABC7B">
            <w:pPr>
              <w:keepNext/>
              <w:keepLines/>
              <w:pageBreakBefore w:val="0"/>
              <w:widowControl w:val="0"/>
              <w:kinsoku/>
              <w:wordWrap/>
              <w:overflowPunct w:val="0"/>
              <w:topLinePunct w:val="0"/>
              <w:autoSpaceDE w:val="0"/>
              <w:autoSpaceDN w:val="0"/>
              <w:bidi w:val="0"/>
              <w:adjustRightInd w:val="0"/>
              <w:snapToGrid w:val="0"/>
              <w:spacing w:line="480" w:lineRule="exact"/>
              <w:jc w:val="left"/>
              <w:textAlignment w:val="auto"/>
              <w:outlineLvl w:val="2"/>
              <w:rPr>
                <w:rFonts w:ascii="Times New Roman" w:hAnsi="Times New Roman" w:eastAsia="宋体" w:cs="Times New Roman"/>
                <w:color w:val="auto"/>
                <w:kern w:val="2"/>
                <w:szCs w:val="24"/>
              </w:rPr>
            </w:pPr>
            <w:r>
              <w:rPr>
                <w:rFonts w:hint="eastAsia" w:cs="宋体"/>
                <w:b/>
                <w:color w:val="auto"/>
                <w:sz w:val="28"/>
                <w:lang w:val="en-US" w:eastAsia="zh-CN"/>
              </w:rPr>
              <w:t>4、</w:t>
            </w:r>
            <w:r>
              <w:rPr>
                <w:rFonts w:hint="eastAsia" w:ascii="Times New Roman" w:hAnsi="Times New Roman" w:eastAsia="宋体" w:cs="宋体"/>
                <w:b/>
                <w:color w:val="auto"/>
                <w:sz w:val="28"/>
              </w:rPr>
              <w:t>土壤环境质量现状</w:t>
            </w:r>
          </w:p>
          <w:p w14:paraId="31FFD324">
            <w:pPr>
              <w:keepNext w:val="0"/>
              <w:keepLines w:val="0"/>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auto"/>
                <w:kern w:val="2"/>
                <w:szCs w:val="24"/>
                <w:lang w:eastAsia="zh-CN"/>
              </w:rPr>
            </w:pPr>
            <w:r>
              <w:rPr>
                <w:rFonts w:hint="eastAsia" w:ascii="Times New Roman" w:hAnsi="Times New Roman" w:eastAsia="宋体" w:cs="Times New Roman"/>
                <w:color w:val="auto"/>
                <w:kern w:val="0"/>
                <w:sz w:val="24"/>
                <w:szCs w:val="24"/>
                <w:lang w:val="en-US" w:eastAsia="zh-CN"/>
              </w:rPr>
              <w:t>本项目</w:t>
            </w:r>
            <w:r>
              <w:rPr>
                <w:rFonts w:hint="eastAsia" w:cs="Times New Roman"/>
                <w:color w:val="auto"/>
                <w:kern w:val="0"/>
                <w:sz w:val="24"/>
                <w:szCs w:val="24"/>
                <w:lang w:val="en-US" w:eastAsia="zh-CN"/>
              </w:rPr>
              <w:t>将</w:t>
            </w:r>
            <w:r>
              <w:rPr>
                <w:rFonts w:hint="eastAsia" w:ascii="Times New Roman" w:hAnsi="Times New Roman" w:eastAsia="宋体" w:cs="Times New Roman"/>
                <w:color w:val="auto"/>
                <w:sz w:val="24"/>
                <w:szCs w:val="24"/>
                <w:lang w:val="en-US" w:eastAsia="zh-CN" w:bidi="ar-SA"/>
              </w:rPr>
              <w:t>采取分区防渗处理</w:t>
            </w:r>
            <w:r>
              <w:rPr>
                <w:rFonts w:hint="eastAsia" w:cs="Times New Roman"/>
                <w:color w:val="auto"/>
                <w:sz w:val="24"/>
                <w:szCs w:val="24"/>
                <w:lang w:val="en-US" w:eastAsia="zh-CN" w:bidi="ar-SA"/>
              </w:rPr>
              <w:t>，</w:t>
            </w:r>
            <w:r>
              <w:rPr>
                <w:rFonts w:hint="eastAsia" w:ascii="Times New Roman" w:hAnsi="Times New Roman" w:eastAsia="宋体" w:cs="Times New Roman"/>
                <w:color w:val="auto"/>
                <w:kern w:val="2"/>
                <w:sz w:val="24"/>
                <w:szCs w:val="20"/>
                <w:highlight w:val="none"/>
                <w:lang w:val="en-US" w:eastAsia="zh-CN"/>
              </w:rPr>
              <w:t>危废暂存间</w:t>
            </w:r>
            <w:r>
              <w:rPr>
                <w:rFonts w:hint="eastAsia" w:ascii="Times New Roman" w:hAnsi="Times New Roman" w:cs="Times New Roman"/>
                <w:color w:val="auto"/>
                <w:sz w:val="24"/>
                <w:szCs w:val="24"/>
                <w:lang w:val="en-US" w:eastAsia="zh-CN" w:bidi="ar-SA"/>
              </w:rPr>
              <w:t>防渗系数达到1×10</w:t>
            </w:r>
            <w:r>
              <w:rPr>
                <w:rFonts w:hint="eastAsia" w:ascii="Times New Roman" w:hAnsi="Times New Roman" w:cs="Times New Roman"/>
                <w:color w:val="auto"/>
                <w:sz w:val="24"/>
                <w:szCs w:val="24"/>
                <w:vertAlign w:val="superscript"/>
                <w:lang w:val="en-US" w:eastAsia="zh-CN" w:bidi="ar-SA"/>
              </w:rPr>
              <w:t>-7</w:t>
            </w:r>
            <w:r>
              <w:rPr>
                <w:rFonts w:hint="eastAsia" w:ascii="Times New Roman" w:hAnsi="Times New Roman" w:cs="Times New Roman"/>
                <w:color w:val="auto"/>
                <w:sz w:val="24"/>
                <w:szCs w:val="24"/>
                <w:lang w:val="en-US" w:eastAsia="zh-CN" w:bidi="ar-SA"/>
              </w:rPr>
              <w:t>cm/s</w:t>
            </w:r>
            <w:r>
              <w:rPr>
                <w:rFonts w:hint="eastAsia"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不存在土壤环境污染途径，</w:t>
            </w:r>
            <w:r>
              <w:rPr>
                <w:rFonts w:hint="eastAsia" w:ascii="Times New Roman" w:hAnsi="Times New Roman" w:eastAsia="宋体" w:cs="Times New Roman"/>
                <w:color w:val="auto"/>
                <w:kern w:val="0"/>
                <w:sz w:val="24"/>
                <w:szCs w:val="24"/>
                <w:lang w:val="en-US" w:eastAsia="zh-CN"/>
              </w:rPr>
              <w:t>根据</w:t>
            </w:r>
            <w:r>
              <w:rPr>
                <w:rFonts w:hint="eastAsia" w:ascii="Times New Roman" w:hAnsi="Times New Roman" w:eastAsia="宋体" w:cs="Times New Roman"/>
                <w:b w:val="0"/>
                <w:bCs/>
                <w:color w:val="auto"/>
                <w:kern w:val="2"/>
                <w:sz w:val="24"/>
                <w:szCs w:val="24"/>
                <w:highlight w:val="none"/>
                <w:lang w:val="en-US" w:eastAsia="zh-CN" w:bidi="ar-SA"/>
              </w:rPr>
              <w:t>《建设项目环境影响报告表编制技术指南》（污染影响类），原则上不开展环境质量现状调查。</w:t>
            </w:r>
          </w:p>
          <w:p w14:paraId="338F7B1B">
            <w:pPr>
              <w:pageBreakBefore w:val="0"/>
              <w:widowControl w:val="0"/>
              <w:kinsoku/>
              <w:wordWrap/>
              <w:overflowPunct w:val="0"/>
              <w:topLinePunct w:val="0"/>
              <w:autoSpaceDE w:val="0"/>
              <w:autoSpaceDN w:val="0"/>
              <w:bidi w:val="0"/>
              <w:adjustRightInd w:val="0"/>
              <w:snapToGrid w:val="0"/>
              <w:spacing w:line="480" w:lineRule="exact"/>
              <w:jc w:val="left"/>
              <w:textAlignment w:val="auto"/>
              <w:outlineLvl w:val="1"/>
              <w:rPr>
                <w:rFonts w:ascii="Times New Roman" w:hAnsi="Times New Roman" w:eastAsia="宋体" w:cs="Times New Roman"/>
                <w:b/>
                <w:color w:val="auto"/>
                <w:szCs w:val="24"/>
              </w:rPr>
            </w:pPr>
            <w:r>
              <w:rPr>
                <w:rFonts w:hint="eastAsia" w:cs="黑体"/>
                <w:b/>
                <w:color w:val="auto"/>
                <w:sz w:val="28"/>
                <w:szCs w:val="30"/>
                <w:lang w:val="en-US" w:eastAsia="zh-CN"/>
              </w:rPr>
              <w:t>5、</w:t>
            </w:r>
            <w:r>
              <w:rPr>
                <w:rFonts w:hint="eastAsia" w:ascii="Times New Roman" w:hAnsi="Times New Roman" w:eastAsia="宋体" w:cs="黑体"/>
                <w:b/>
                <w:color w:val="auto"/>
                <w:sz w:val="28"/>
                <w:szCs w:val="30"/>
              </w:rPr>
              <w:t>生态环境</w:t>
            </w:r>
          </w:p>
          <w:p w14:paraId="0C12FB69">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rPr>
              <w:t>根据</w:t>
            </w:r>
            <w:r>
              <w:rPr>
                <w:rFonts w:hint="eastAsia" w:ascii="Times New Roman" w:hAnsi="Times New Roman" w:eastAsia="宋体" w:cs="宋体"/>
                <w:color w:val="auto"/>
                <w:lang w:val="en-US" w:eastAsia="zh-CN"/>
              </w:rPr>
              <w:t>《建设项目环境影响报告表编制技术指南（污染影响类）（试行）》产业园区外建设项目新增用地且用地范围内含有生态环境保护目标时</w:t>
            </w:r>
            <w:r>
              <w:rPr>
                <w:rFonts w:hint="default" w:ascii="Times New Roman" w:hAnsi="Times New Roman" w:eastAsia="宋体"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应进行生态现状调查</w:t>
            </w:r>
            <w:r>
              <w:rPr>
                <w:rFonts w:hint="default" w:ascii="Times New Roman" w:hAnsi="Times New Roman" w:eastAsia="宋体" w:cs="Times New Roman"/>
                <w:color w:val="auto"/>
                <w:kern w:val="2"/>
                <w:sz w:val="24"/>
                <w:szCs w:val="24"/>
                <w:lang w:eastAsia="zh-CN"/>
              </w:rPr>
              <w:t>。</w:t>
            </w:r>
          </w:p>
          <w:p w14:paraId="250954E1">
            <w:pPr>
              <w:keepNext w:val="0"/>
              <w:keepLines w:val="0"/>
              <w:pageBreakBefore w:val="0"/>
              <w:wordWrap/>
              <w:overflowPunct w:val="0"/>
              <w:topLinePunct w:val="0"/>
              <w:autoSpaceDE/>
              <w:autoSpaceDN/>
              <w:bidi w:val="0"/>
              <w:adjustRightInd/>
              <w:snapToGrid/>
              <w:spacing w:before="0" w:after="0" w:line="360" w:lineRule="auto"/>
              <w:ind w:left="0" w:right="0" w:firstLine="480" w:firstLineChars="200"/>
              <w:jc w:val="both"/>
              <w:rPr>
                <w:rFonts w:ascii="Times New Roman" w:hAnsi="Times New Roman" w:eastAsia="宋体" w:cs="Times New Roman"/>
                <w:color w:val="auto"/>
                <w:szCs w:val="24"/>
              </w:rPr>
            </w:pPr>
            <w:r>
              <w:rPr>
                <w:rFonts w:hint="eastAsia" w:ascii="Times New Roman" w:hAnsi="Times New Roman" w:eastAsia="宋体" w:cs="Times New Roman"/>
                <w:color w:val="auto"/>
                <w:sz w:val="24"/>
                <w:szCs w:val="24"/>
                <w:lang w:val="en-US" w:eastAsia="zh-CN"/>
              </w:rPr>
              <w:t>本项目位于</w:t>
            </w:r>
            <w:r>
              <w:rPr>
                <w:rFonts w:hint="eastAsia" w:ascii="Times New Roman" w:hAnsi="Times New Roman" w:eastAsia="宋体" w:cs="宋体"/>
                <w:color w:val="auto"/>
                <w:lang w:val="en-US" w:eastAsia="zh-CN"/>
              </w:rPr>
              <w:t>产业园区</w:t>
            </w:r>
            <w:r>
              <w:rPr>
                <w:rFonts w:hint="eastAsia" w:cs="宋体"/>
                <w:color w:val="auto"/>
                <w:lang w:val="en-US" w:eastAsia="zh-CN"/>
              </w:rPr>
              <w:t>内</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周边无生态保护目标</w:t>
            </w:r>
            <w:r>
              <w:rPr>
                <w:rFonts w:hint="eastAsia" w:ascii="Times New Roman" w:hAnsi="Times New Roman" w:eastAsia="宋体" w:cs="Times New Roman"/>
                <w:color w:val="auto"/>
                <w:sz w:val="24"/>
                <w:szCs w:val="24"/>
                <w:lang w:val="en-US" w:eastAsia="zh-CN"/>
              </w:rPr>
              <w:t>，进行简单分析即可。</w:t>
            </w:r>
            <w:r>
              <w:rPr>
                <w:rFonts w:hint="default" w:ascii="Times New Roman" w:hAnsi="Times New Roman" w:eastAsia="宋体" w:cs="Times New Roman"/>
                <w:color w:val="auto"/>
                <w:sz w:val="24"/>
                <w:szCs w:val="24"/>
              </w:rPr>
              <w:t>评价范围内环境的功能具有一定的稳定性及可持续发展性，具有一定的承受干扰的能力及生态完整性</w:t>
            </w:r>
            <w:r>
              <w:rPr>
                <w:rFonts w:ascii="Times New Roman" w:hAnsi="Times New Roman" w:eastAsia="宋体" w:cs="Times New Roman"/>
                <w:color w:val="auto"/>
                <w:szCs w:val="24"/>
              </w:rPr>
              <w:t>。</w:t>
            </w:r>
          </w:p>
          <w:p w14:paraId="1421621C">
            <w:pPr>
              <w:keepNext w:val="0"/>
              <w:keepLines w:val="0"/>
              <w:pageBreakBefore w:val="0"/>
              <w:widowControl w:val="0"/>
              <w:suppressLineNumbers w:val="0"/>
              <w:kinsoku/>
              <w:wordWrap/>
              <w:overflowPunct w:val="0"/>
              <w:topLinePunct w:val="0"/>
              <w:autoSpaceDE w:val="0"/>
              <w:autoSpaceDN w:val="0"/>
              <w:bidi w:val="0"/>
              <w:adjustRightInd w:val="0"/>
              <w:snapToGrid/>
              <w:spacing w:before="0" w:beforeAutospacing="0" w:after="0" w:afterAutospacing="0" w:line="500" w:lineRule="exact"/>
              <w:ind w:left="0" w:right="0"/>
              <w:jc w:val="left"/>
              <w:textAlignment w:val="auto"/>
              <w:outlineLvl w:val="1"/>
              <w:rPr>
                <w:rFonts w:hint="eastAsia" w:ascii="Times New Roman" w:hAnsi="Times New Roman" w:eastAsia="宋体" w:cs="黑体"/>
                <w:b/>
                <w:color w:val="auto"/>
                <w:sz w:val="28"/>
                <w:szCs w:val="30"/>
                <w:highlight w:val="none"/>
                <w:lang w:val="en-US" w:eastAsia="zh-CN" w:bidi="ar-SA"/>
              </w:rPr>
            </w:pPr>
            <w:r>
              <w:rPr>
                <w:rFonts w:hint="eastAsia" w:cs="黑体"/>
                <w:b/>
                <w:color w:val="auto"/>
                <w:sz w:val="28"/>
                <w:szCs w:val="30"/>
                <w:highlight w:val="none"/>
                <w:lang w:val="en-US" w:eastAsia="zh-CN" w:bidi="ar-SA"/>
              </w:rPr>
              <w:t>6、</w:t>
            </w:r>
            <w:r>
              <w:rPr>
                <w:rFonts w:hint="eastAsia" w:ascii="Times New Roman" w:hAnsi="Times New Roman" w:eastAsia="宋体" w:cs="黑体"/>
                <w:b/>
                <w:color w:val="auto"/>
                <w:sz w:val="28"/>
                <w:szCs w:val="30"/>
                <w:highlight w:val="none"/>
                <w:lang w:val="en-US" w:eastAsia="zh-CN" w:bidi="ar-SA"/>
              </w:rPr>
              <w:t>电磁辐射</w:t>
            </w:r>
          </w:p>
          <w:p w14:paraId="2CD54FFA">
            <w:pPr>
              <w:keepNext w:val="0"/>
              <w:keepLines w:val="0"/>
              <w:pageBreakBefore w:val="0"/>
              <w:widowControl w:val="0"/>
              <w:numPr>
                <w:ilvl w:val="0"/>
                <w:numId w:val="0"/>
              </w:numPr>
              <w:suppressLineNumbers w:val="0"/>
              <w:kinsoku/>
              <w:wordWrap/>
              <w:overflowPunct w:val="0"/>
              <w:topLinePunct w:val="0"/>
              <w:autoSpaceDE w:val="0"/>
              <w:autoSpaceDN w:val="0"/>
              <w:bidi w:val="0"/>
              <w:adjustRightInd w:val="0"/>
              <w:snapToGrid/>
              <w:spacing w:before="0" w:beforeAutospacing="0" w:after="0" w:afterAutospacing="0" w:line="500" w:lineRule="exact"/>
              <w:ind w:left="0" w:leftChars="0" w:right="0" w:rightChars="0" w:firstLine="480" w:firstLineChars="200"/>
              <w:jc w:val="left"/>
              <w:textAlignment w:val="auto"/>
              <w:rPr>
                <w:rFonts w:hint="default" w:ascii="Times New Roman" w:hAnsi="Times New Roman" w:eastAsia="宋体" w:cs="宋体"/>
                <w:color w:val="auto"/>
                <w:sz w:val="24"/>
                <w:szCs w:val="22"/>
                <w:highlight w:val="none"/>
                <w:lang w:val="en-US" w:eastAsia="zh-CN" w:bidi="ar-SA"/>
              </w:rPr>
            </w:pPr>
            <w:r>
              <w:rPr>
                <w:rFonts w:hint="eastAsia" w:ascii="Times New Roman" w:hAnsi="Times New Roman" w:eastAsia="宋体" w:cs="宋体"/>
                <w:color w:val="auto"/>
                <w:sz w:val="24"/>
                <w:szCs w:val="22"/>
                <w:highlight w:val="none"/>
                <w:lang w:val="en-US" w:eastAsia="zh-CN" w:bidi="ar-SA"/>
              </w:rPr>
              <w:t>本项目建设不含有电磁辐射内容。</w:t>
            </w:r>
          </w:p>
          <w:p w14:paraId="194C8A26">
            <w:pPr>
              <w:pStyle w:val="24"/>
              <w:rPr>
                <w:color w:val="auto"/>
              </w:rPr>
            </w:pPr>
          </w:p>
        </w:tc>
      </w:tr>
    </w:tbl>
    <w:p w14:paraId="416076CD">
      <w:pPr>
        <w:widowControl w:val="0"/>
        <w:tabs>
          <w:tab w:val="left" w:pos="1845"/>
        </w:tabs>
        <w:autoSpaceDE w:val="0"/>
        <w:autoSpaceDN w:val="0"/>
        <w:adjustRightInd w:val="0"/>
        <w:spacing w:line="240" w:lineRule="exact"/>
        <w:jc w:val="center"/>
        <w:rPr>
          <w:rFonts w:ascii="宋体" w:hAnsi="Times New Roman" w:eastAsia="宋体" w:cs="宋体"/>
          <w:color w:val="auto"/>
          <w:kern w:val="2"/>
          <w:sz w:val="24"/>
          <w:szCs w:val="24"/>
          <w:lang w:val="en-US" w:eastAsia="zh-CN" w:bidi="ar-SA"/>
        </w:rPr>
      </w:pPr>
    </w:p>
    <w:p w14:paraId="4BA71309">
      <w:pPr>
        <w:bidi w:val="0"/>
        <w:jc w:val="left"/>
        <w:rPr>
          <w:color w:val="auto"/>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010"/>
      </w:tblGrid>
      <w:tr w14:paraId="716C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3C1B3E9A">
            <w:pPr>
              <w:overflowPunct w:val="0"/>
              <w:autoSpaceDE w:val="0"/>
              <w:autoSpaceDN w:val="0"/>
              <w:adjustRightInd w:val="0"/>
              <w:snapToGrid w:val="0"/>
              <w:spacing w:line="500" w:lineRule="exact"/>
              <w:jc w:val="center"/>
              <w:rPr>
                <w:rFonts w:ascii="Times New Roman" w:hAnsi="Times New Roman" w:eastAsia="宋体" w:cs="宋体"/>
                <w:color w:val="auto"/>
              </w:rPr>
            </w:pPr>
            <w:r>
              <w:rPr>
                <w:rFonts w:hint="eastAsia" w:ascii="Times New Roman" w:hAnsi="Times New Roman" w:eastAsia="宋体" w:cs="宋体"/>
                <w:color w:val="auto"/>
                <w:lang w:eastAsia="zh-Hans"/>
              </w:rPr>
              <w:t>环境保护目标</w:t>
            </w:r>
          </w:p>
        </w:tc>
        <w:tc>
          <w:tcPr>
            <w:tcW w:w="8645" w:type="dxa"/>
          </w:tcPr>
          <w:p w14:paraId="323B4AC7">
            <w:pPr>
              <w:overflowPunct w:val="0"/>
              <w:autoSpaceDE w:val="0"/>
              <w:autoSpaceDN w:val="0"/>
              <w:adjustRightInd w:val="0"/>
              <w:snapToGrid w:val="0"/>
              <w:spacing w:line="560" w:lineRule="exact"/>
              <w:jc w:val="left"/>
              <w:outlineLvl w:val="1"/>
              <w:rPr>
                <w:rFonts w:hint="eastAsia" w:ascii="Times New Roman" w:hAnsi="Times New Roman" w:eastAsia="宋体" w:cs="黑体"/>
                <w:b/>
                <w:color w:val="auto"/>
                <w:sz w:val="28"/>
                <w:szCs w:val="30"/>
              </w:rPr>
            </w:pPr>
            <w:r>
              <w:rPr>
                <w:rFonts w:hint="eastAsia" w:cs="黑体"/>
                <w:b/>
                <w:color w:val="auto"/>
                <w:sz w:val="28"/>
                <w:szCs w:val="30"/>
                <w:lang w:val="en-US" w:eastAsia="zh-CN"/>
              </w:rPr>
              <w:t>6、</w:t>
            </w:r>
            <w:r>
              <w:rPr>
                <w:rFonts w:hint="eastAsia" w:ascii="Times New Roman" w:hAnsi="Times New Roman" w:eastAsia="宋体" w:cs="黑体"/>
                <w:b/>
                <w:color w:val="auto"/>
                <w:sz w:val="28"/>
                <w:szCs w:val="30"/>
              </w:rPr>
              <w:t>主要环境敏感目标</w:t>
            </w:r>
          </w:p>
          <w:p w14:paraId="311ABA00">
            <w:pPr>
              <w:overflowPunct w:val="0"/>
              <w:autoSpaceDE w:val="0"/>
              <w:autoSpaceDN w:val="0"/>
              <w:adjustRightInd w:val="0"/>
              <w:snapToGrid w:val="0"/>
              <w:spacing w:line="500" w:lineRule="exact"/>
              <w:ind w:firstLine="480" w:firstLineChars="200"/>
              <w:jc w:val="left"/>
              <w:rPr>
                <w:rFonts w:ascii="Times New Roman" w:hAnsi="Times New Roman" w:eastAsia="宋体" w:cs="宋体"/>
                <w:color w:val="auto"/>
              </w:rPr>
            </w:pPr>
            <w:r>
              <w:rPr>
                <w:rFonts w:ascii="Times New Roman" w:hAnsi="Times New Roman" w:eastAsia="宋体" w:cs="宋体"/>
                <w:color w:val="auto"/>
              </w:rPr>
              <w:t>根据本项目特点和外环境特征确定环境保护目标如下：</w:t>
            </w:r>
          </w:p>
          <w:p w14:paraId="2FE1020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eastAsia="宋体"/>
                <w:color w:val="auto"/>
                <w:lang w:val="en-US" w:eastAsia="zh-CN"/>
              </w:rPr>
            </w:pPr>
            <w:r>
              <w:rPr>
                <w:color w:val="auto"/>
              </w:rPr>
              <w:t>1．空气环境：保护项目区所在的区域环境空气质量，不因本项目实施而降低空气质量级别，使该区域环境空气质量仍能达到《环境空气质量标准》（GB3095-2012）二级标准。</w:t>
            </w:r>
            <w:r>
              <w:rPr>
                <w:rFonts w:hint="eastAsia"/>
                <w:color w:val="auto"/>
              </w:rPr>
              <w:t>根据现场调查，厂界外500米范围内无自然保护区、风景名胜区保护目标。</w:t>
            </w:r>
            <w:r>
              <w:rPr>
                <w:rFonts w:hint="eastAsia"/>
                <w:color w:val="auto"/>
                <w:lang w:val="en-US" w:eastAsia="zh-CN"/>
              </w:rPr>
              <w:t>与最近的居民区20m。</w:t>
            </w:r>
          </w:p>
          <w:p w14:paraId="3A41A36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eastAsia="宋体"/>
                <w:color w:val="auto"/>
                <w:lang w:val="en-US" w:eastAsia="zh-CN"/>
              </w:rPr>
            </w:pPr>
            <w:r>
              <w:rPr>
                <w:color w:val="auto"/>
              </w:rPr>
              <w:t>2．水环境：</w:t>
            </w:r>
            <w:r>
              <w:rPr>
                <w:rFonts w:hint="eastAsia"/>
                <w:color w:val="auto"/>
              </w:rPr>
              <w:t>根据现场调查，厂界外500米范围内无地下水集中式饮用水源和热水、矿泉水、温泉等特殊地下水资源。</w:t>
            </w:r>
          </w:p>
          <w:p w14:paraId="1653CE3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color w:val="auto"/>
              </w:rPr>
            </w:pPr>
            <w:r>
              <w:rPr>
                <w:color w:val="auto"/>
              </w:rPr>
              <w:t>3．声环境：</w:t>
            </w:r>
            <w:r>
              <w:rPr>
                <w:rFonts w:hint="eastAsia"/>
                <w:color w:val="auto"/>
              </w:rPr>
              <w:t>根据现场调查，厂界外均为空地，厂界50米范围内</w:t>
            </w:r>
            <w:r>
              <w:rPr>
                <w:rFonts w:hint="eastAsia"/>
                <w:color w:val="auto"/>
                <w:lang w:val="en-US" w:eastAsia="zh-CN"/>
              </w:rPr>
              <w:t>存在</w:t>
            </w:r>
            <w:r>
              <w:rPr>
                <w:rFonts w:hint="eastAsia"/>
                <w:color w:val="auto"/>
              </w:rPr>
              <w:t>声环境保护目标</w:t>
            </w:r>
            <w:r>
              <w:rPr>
                <w:color w:val="auto"/>
              </w:rPr>
              <w:t>；</w:t>
            </w:r>
          </w:p>
          <w:p w14:paraId="244A605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color w:val="auto"/>
                <w:lang w:val="en-US"/>
              </w:rPr>
            </w:pPr>
            <w:r>
              <w:rPr>
                <w:color w:val="auto"/>
              </w:rPr>
              <w:t>4．</w:t>
            </w:r>
            <w:r>
              <w:rPr>
                <w:rFonts w:hint="eastAsia"/>
                <w:color w:val="auto"/>
              </w:rPr>
              <w:t>生态环境：本项目建设所在地属于</w:t>
            </w:r>
            <w:r>
              <w:rPr>
                <w:rFonts w:hint="eastAsia"/>
                <w:color w:val="auto"/>
                <w:lang w:val="en-US" w:eastAsia="zh-CN"/>
              </w:rPr>
              <w:t>工业用地</w:t>
            </w:r>
            <w:r>
              <w:rPr>
                <w:rFonts w:hint="eastAsia"/>
                <w:color w:val="auto"/>
              </w:rPr>
              <w:t>，项目用地范围内无生态环境保护目标。环境敏感</w:t>
            </w:r>
            <w:r>
              <w:rPr>
                <w:rFonts w:hint="eastAsia"/>
                <w:color w:val="auto"/>
                <w:lang w:val="en-US" w:eastAsia="zh-CN"/>
              </w:rPr>
              <w:t>目标</w:t>
            </w:r>
            <w:r>
              <w:rPr>
                <w:rFonts w:hint="eastAsia"/>
                <w:color w:val="auto"/>
              </w:rPr>
              <w:t>分布见表</w:t>
            </w:r>
            <w:r>
              <w:rPr>
                <w:rFonts w:hint="eastAsia"/>
                <w:color w:val="auto"/>
                <w:lang w:val="en-US" w:eastAsia="zh-CN"/>
              </w:rPr>
              <w:t>3.7-1</w:t>
            </w:r>
            <w:r>
              <w:rPr>
                <w:rFonts w:hint="eastAsia"/>
                <w:color w:val="auto"/>
              </w:rPr>
              <w:t>。环境</w:t>
            </w:r>
            <w:r>
              <w:rPr>
                <w:rFonts w:hint="eastAsia"/>
                <w:color w:val="auto"/>
                <w:lang w:val="en-US" w:eastAsia="zh-CN"/>
              </w:rPr>
              <w:t>保护目标分布见</w:t>
            </w:r>
            <w:r>
              <w:rPr>
                <w:rFonts w:hint="eastAsia"/>
                <w:color w:val="auto"/>
                <w:highlight w:val="none"/>
                <w:lang w:val="en-US" w:eastAsia="zh-CN"/>
              </w:rPr>
              <w:t>图6</w:t>
            </w:r>
            <w:r>
              <w:rPr>
                <w:rFonts w:hint="eastAsia"/>
                <w:color w:val="auto"/>
                <w:lang w:val="en-US" w:eastAsia="zh-CN"/>
              </w:rPr>
              <w:t>。</w:t>
            </w:r>
          </w:p>
          <w:p w14:paraId="5685B40F">
            <w:pPr>
              <w:pStyle w:val="45"/>
              <w:bidi w:val="0"/>
              <w:rPr>
                <w:rFonts w:hint="eastAsia"/>
                <w:color w:val="auto"/>
                <w:lang w:val="en-US" w:eastAsia="zh-CN"/>
              </w:rPr>
            </w:pPr>
            <w:r>
              <w:rPr>
                <w:rFonts w:hint="eastAsia"/>
                <w:color w:val="auto"/>
                <w:lang w:val="en-US" w:eastAsia="zh-CN"/>
              </w:rPr>
              <w:t>表3.7-1  环境保护目标一览表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012"/>
              <w:gridCol w:w="1030"/>
              <w:gridCol w:w="783"/>
              <w:gridCol w:w="1052"/>
              <w:gridCol w:w="1199"/>
              <w:gridCol w:w="3288"/>
            </w:tblGrid>
            <w:tr w14:paraId="32EFB6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144" w:type="pct"/>
                  <w:tcBorders>
                    <w:top w:val="single" w:color="auto" w:sz="12" w:space="0"/>
                    <w:left w:val="single" w:color="auto" w:sz="12" w:space="0"/>
                    <w:tl2br w:val="nil"/>
                    <w:tr2bl w:val="nil"/>
                  </w:tcBorders>
                  <w:noWrap w:val="0"/>
                  <w:vAlign w:val="center"/>
                </w:tcPr>
                <w:p w14:paraId="35701164">
                  <w:pPr>
                    <w:pStyle w:val="43"/>
                    <w:bidi w:val="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592" w:type="pct"/>
                  <w:tcBorders>
                    <w:top w:val="single" w:color="auto" w:sz="12" w:space="0"/>
                    <w:tl2br w:val="nil"/>
                    <w:tr2bl w:val="nil"/>
                  </w:tcBorders>
                  <w:noWrap w:val="0"/>
                  <w:vAlign w:val="center"/>
                </w:tcPr>
                <w:p w14:paraId="084DBCBB">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环境要素名称</w:t>
                  </w:r>
                </w:p>
              </w:tc>
              <w:tc>
                <w:tcPr>
                  <w:tcW w:w="602" w:type="pct"/>
                  <w:tcBorders>
                    <w:top w:val="single" w:color="auto" w:sz="12" w:space="0"/>
                    <w:tl2br w:val="nil"/>
                    <w:tr2bl w:val="nil"/>
                  </w:tcBorders>
                  <w:noWrap w:val="0"/>
                  <w:vAlign w:val="center"/>
                </w:tcPr>
                <w:p w14:paraId="47124278">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保护对象</w:t>
                  </w:r>
                </w:p>
              </w:tc>
              <w:tc>
                <w:tcPr>
                  <w:tcW w:w="462" w:type="pct"/>
                  <w:tcBorders>
                    <w:top w:val="single" w:color="auto" w:sz="12" w:space="0"/>
                    <w:tl2br w:val="nil"/>
                    <w:tr2bl w:val="nil"/>
                  </w:tcBorders>
                  <w:noWrap w:val="0"/>
                  <w:vAlign w:val="center"/>
                </w:tcPr>
                <w:p w14:paraId="35F8FC13">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保护内容</w:t>
                  </w:r>
                </w:p>
              </w:tc>
              <w:tc>
                <w:tcPr>
                  <w:tcW w:w="615" w:type="pct"/>
                  <w:tcBorders>
                    <w:top w:val="single" w:color="auto" w:sz="12" w:space="0"/>
                    <w:tl2br w:val="nil"/>
                    <w:tr2bl w:val="nil"/>
                  </w:tcBorders>
                  <w:noWrap w:val="0"/>
                  <w:vAlign w:val="center"/>
                </w:tcPr>
                <w:p w14:paraId="06D56B4B">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相对厂址方位</w:t>
                  </w:r>
                </w:p>
              </w:tc>
              <w:tc>
                <w:tcPr>
                  <w:tcW w:w="697" w:type="pct"/>
                  <w:tcBorders>
                    <w:top w:val="single" w:color="auto" w:sz="12" w:space="0"/>
                    <w:tl2br w:val="nil"/>
                    <w:tr2bl w:val="nil"/>
                  </w:tcBorders>
                  <w:noWrap w:val="0"/>
                  <w:vAlign w:val="center"/>
                </w:tcPr>
                <w:p w14:paraId="788F05D1">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相对距离（m）</w:t>
                  </w:r>
                </w:p>
              </w:tc>
              <w:tc>
                <w:tcPr>
                  <w:tcW w:w="1886" w:type="pct"/>
                  <w:tcBorders>
                    <w:top w:val="single" w:color="auto" w:sz="12" w:space="0"/>
                    <w:right w:val="single" w:color="auto" w:sz="12" w:space="0"/>
                    <w:tl2br w:val="nil"/>
                    <w:tr2bl w:val="nil"/>
                  </w:tcBorders>
                  <w:noWrap w:val="0"/>
                  <w:vAlign w:val="center"/>
                </w:tcPr>
                <w:p w14:paraId="6170BB6C">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执行标准</w:t>
                  </w:r>
                </w:p>
              </w:tc>
            </w:tr>
            <w:tr w14:paraId="154167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144" w:type="pct"/>
                  <w:tcBorders>
                    <w:left w:val="single" w:color="auto" w:sz="12" w:space="0"/>
                    <w:tl2br w:val="nil"/>
                    <w:tr2bl w:val="nil"/>
                  </w:tcBorders>
                  <w:noWrap w:val="0"/>
                  <w:vAlign w:val="center"/>
                </w:tcPr>
                <w:p w14:paraId="2AAE8338">
                  <w:pPr>
                    <w:pStyle w:val="43"/>
                    <w:bidi w:val="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92" w:type="pct"/>
                  <w:tcBorders>
                    <w:tl2br w:val="nil"/>
                    <w:tr2bl w:val="nil"/>
                  </w:tcBorders>
                  <w:noWrap w:val="0"/>
                  <w:vAlign w:val="center"/>
                </w:tcPr>
                <w:p w14:paraId="2FD0290A">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w:t>
                  </w:r>
                </w:p>
              </w:tc>
              <w:tc>
                <w:tcPr>
                  <w:tcW w:w="2377" w:type="pct"/>
                  <w:gridSpan w:val="4"/>
                  <w:tcBorders>
                    <w:tl2br w:val="nil"/>
                    <w:tr2bl w:val="nil"/>
                  </w:tcBorders>
                  <w:noWrap w:val="0"/>
                  <w:vAlign w:val="center"/>
                </w:tcPr>
                <w:p w14:paraId="7AF63A89">
                  <w:pPr>
                    <w:pStyle w:val="43"/>
                    <w:bidi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厂址附近500m范围内无大气环境敏感目标</w:t>
                  </w:r>
                </w:p>
              </w:tc>
              <w:tc>
                <w:tcPr>
                  <w:tcW w:w="1886" w:type="pct"/>
                  <w:tcBorders>
                    <w:right w:val="single" w:color="auto" w:sz="12" w:space="0"/>
                    <w:tl2br w:val="nil"/>
                    <w:tr2bl w:val="nil"/>
                  </w:tcBorders>
                  <w:noWrap w:val="0"/>
                  <w:vAlign w:val="center"/>
                </w:tcPr>
                <w:p w14:paraId="17F97A77">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《环境空气质量标准》（GB3095-2012）二级标准</w:t>
                  </w:r>
                </w:p>
              </w:tc>
            </w:tr>
            <w:tr w14:paraId="6AA059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9" w:hRule="atLeast"/>
                <w:jc w:val="center"/>
              </w:trPr>
              <w:tc>
                <w:tcPr>
                  <w:tcW w:w="144" w:type="pct"/>
                  <w:tcBorders>
                    <w:left w:val="single" w:color="auto" w:sz="12" w:space="0"/>
                    <w:tl2br w:val="nil"/>
                    <w:tr2bl w:val="nil"/>
                  </w:tcBorders>
                  <w:noWrap w:val="0"/>
                  <w:vAlign w:val="center"/>
                </w:tcPr>
                <w:p w14:paraId="049938E5">
                  <w:pPr>
                    <w:pStyle w:val="43"/>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592" w:type="pct"/>
                  <w:tcBorders>
                    <w:tl2br w:val="nil"/>
                    <w:tr2bl w:val="nil"/>
                  </w:tcBorders>
                  <w:noWrap w:val="0"/>
                  <w:vAlign w:val="center"/>
                </w:tcPr>
                <w:p w14:paraId="25527569">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声环境</w:t>
                  </w:r>
                </w:p>
              </w:tc>
              <w:tc>
                <w:tcPr>
                  <w:tcW w:w="2377" w:type="pct"/>
                  <w:gridSpan w:val="4"/>
                  <w:tcBorders>
                    <w:tl2br w:val="nil"/>
                    <w:tr2bl w:val="nil"/>
                  </w:tcBorders>
                  <w:noWrap w:val="0"/>
                  <w:vAlign w:val="center"/>
                </w:tcPr>
                <w:p w14:paraId="73FD986D">
                  <w:pPr>
                    <w:pStyle w:val="43"/>
                    <w:bidi w:val="0"/>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lang w:val="en-US" w:eastAsia="zh-CN"/>
                    </w:rPr>
                    <w:t>厂址附近50m范围内无大气环境敏感目标</w:t>
                  </w:r>
                </w:p>
              </w:tc>
              <w:tc>
                <w:tcPr>
                  <w:tcW w:w="1886" w:type="pct"/>
                  <w:tcBorders>
                    <w:right w:val="single" w:color="auto" w:sz="12" w:space="0"/>
                    <w:tl2br w:val="nil"/>
                    <w:tr2bl w:val="nil"/>
                  </w:tcBorders>
                  <w:noWrap w:val="0"/>
                  <w:vAlign w:val="center"/>
                </w:tcPr>
                <w:p w14:paraId="3C0026FD">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《声环境质量标准》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GB3096-2008</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类区</w:t>
                  </w:r>
                </w:p>
              </w:tc>
            </w:tr>
            <w:tr w14:paraId="672ED3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4" w:type="pct"/>
                  <w:tcBorders>
                    <w:left w:val="single" w:color="auto" w:sz="12" w:space="0"/>
                    <w:tl2br w:val="nil"/>
                    <w:tr2bl w:val="nil"/>
                  </w:tcBorders>
                  <w:noWrap w:val="0"/>
                  <w:vAlign w:val="center"/>
                </w:tcPr>
                <w:p w14:paraId="37CF514D">
                  <w:pPr>
                    <w:pStyle w:val="43"/>
                    <w:bidi w:val="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592" w:type="pct"/>
                  <w:tcBorders>
                    <w:tl2br w:val="nil"/>
                    <w:tr2bl w:val="nil"/>
                  </w:tcBorders>
                  <w:noWrap w:val="0"/>
                  <w:vAlign w:val="center"/>
                </w:tcPr>
                <w:p w14:paraId="01DF9093">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w:t>
                  </w:r>
                </w:p>
              </w:tc>
              <w:tc>
                <w:tcPr>
                  <w:tcW w:w="2377" w:type="pct"/>
                  <w:gridSpan w:val="4"/>
                  <w:tcBorders>
                    <w:tl2br w:val="nil"/>
                    <w:tr2bl w:val="nil"/>
                  </w:tcBorders>
                  <w:noWrap w:val="0"/>
                  <w:vAlign w:val="center"/>
                </w:tcPr>
                <w:p w14:paraId="1667CDE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厂界500米范围内无地下水环境敏感目标</w:t>
                  </w:r>
                </w:p>
              </w:tc>
              <w:tc>
                <w:tcPr>
                  <w:tcW w:w="1886" w:type="pct"/>
                  <w:tcBorders>
                    <w:right w:val="single" w:color="auto" w:sz="12" w:space="0"/>
                    <w:tl2br w:val="nil"/>
                    <w:tr2bl w:val="nil"/>
                  </w:tcBorders>
                  <w:noWrap w:val="0"/>
                  <w:vAlign w:val="center"/>
                </w:tcPr>
                <w:p w14:paraId="18810B42">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《地下水质量标准》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GB/T14848-2017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Ⅲ类</w:t>
                  </w:r>
                </w:p>
              </w:tc>
            </w:tr>
            <w:tr w14:paraId="0EABE2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4" w:type="pct"/>
                  <w:tcBorders>
                    <w:left w:val="single" w:color="auto" w:sz="12" w:space="0"/>
                    <w:bottom w:val="single" w:color="auto" w:sz="12" w:space="0"/>
                    <w:tl2br w:val="nil"/>
                    <w:tr2bl w:val="nil"/>
                  </w:tcBorders>
                  <w:noWrap w:val="0"/>
                  <w:vAlign w:val="center"/>
                </w:tcPr>
                <w:p w14:paraId="7A555D06">
                  <w:pPr>
                    <w:pStyle w:val="43"/>
                    <w:bidi w:val="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592" w:type="pct"/>
                  <w:tcBorders>
                    <w:bottom w:val="single" w:color="auto" w:sz="12" w:space="0"/>
                    <w:tl2br w:val="nil"/>
                    <w:tr2bl w:val="nil"/>
                  </w:tcBorders>
                  <w:noWrap w:val="0"/>
                  <w:vAlign w:val="center"/>
                </w:tcPr>
                <w:p w14:paraId="64C091AE">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2377" w:type="pct"/>
                  <w:gridSpan w:val="4"/>
                  <w:tcBorders>
                    <w:bottom w:val="single" w:color="auto" w:sz="12" w:space="0"/>
                    <w:tl2br w:val="nil"/>
                    <w:tr2bl w:val="nil"/>
                  </w:tcBorders>
                  <w:noWrap w:val="0"/>
                  <w:vAlign w:val="center"/>
                </w:tcPr>
                <w:p w14:paraId="55A3C4F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厂址500m范围内无地表水敏感目标</w:t>
                  </w:r>
                </w:p>
              </w:tc>
              <w:tc>
                <w:tcPr>
                  <w:tcW w:w="1886" w:type="pct"/>
                  <w:tcBorders>
                    <w:bottom w:val="single" w:color="auto" w:sz="12" w:space="0"/>
                    <w:right w:val="single" w:color="auto" w:sz="12" w:space="0"/>
                    <w:tl2br w:val="nil"/>
                    <w:tr2bl w:val="nil"/>
                  </w:tcBorders>
                  <w:noWrap w:val="0"/>
                  <w:vAlign w:val="center"/>
                </w:tcPr>
                <w:p w14:paraId="41B4F3B8">
                  <w:pPr>
                    <w:pStyle w:val="43"/>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《地表水环境质量标准》（GB3838-2002）</w:t>
                  </w:r>
                  <w:r>
                    <w:rPr>
                      <w:rFonts w:hint="default" w:ascii="Times New Roman" w:hAnsi="Times New Roman" w:eastAsia="宋体" w:cs="Times New Roman"/>
                      <w:color w:val="auto"/>
                      <w:sz w:val="21"/>
                      <w:szCs w:val="21"/>
                    </w:rPr>
                    <w:t>Ⅲ</w:t>
                  </w:r>
                  <w:r>
                    <w:rPr>
                      <w:rFonts w:hint="default" w:ascii="Times New Roman" w:hAnsi="Times New Roman" w:eastAsia="宋体" w:cs="Times New Roman"/>
                      <w:color w:val="auto"/>
                      <w:sz w:val="21"/>
                      <w:szCs w:val="21"/>
                      <w:lang w:val="en-US" w:eastAsia="zh-CN"/>
                    </w:rPr>
                    <w:t>类标准</w:t>
                  </w:r>
                </w:p>
              </w:tc>
            </w:tr>
          </w:tbl>
          <w:p w14:paraId="4E12CEEB">
            <w:pPr>
              <w:widowControl w:val="0"/>
              <w:spacing w:line="240" w:lineRule="auto"/>
              <w:ind w:firstLine="0"/>
              <w:jc w:val="center"/>
              <w:rPr>
                <w:rFonts w:ascii="Times New Roman" w:hAnsi="Times New Roman" w:eastAsia="宋体" w:cs="宋体"/>
                <w:color w:val="auto"/>
                <w:kern w:val="0"/>
                <w:sz w:val="24"/>
                <w:szCs w:val="28"/>
                <w:lang w:val="en-US" w:eastAsia="zh-CN" w:bidi="ar-SA"/>
              </w:rPr>
            </w:pPr>
          </w:p>
        </w:tc>
      </w:tr>
      <w:tr w14:paraId="0508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6649565F">
            <w:pPr>
              <w:overflowPunct w:val="0"/>
              <w:autoSpaceDE w:val="0"/>
              <w:autoSpaceDN w:val="0"/>
              <w:adjustRightInd w:val="0"/>
              <w:snapToGrid w:val="0"/>
              <w:spacing w:line="500" w:lineRule="exact"/>
              <w:jc w:val="center"/>
              <w:rPr>
                <w:rFonts w:ascii="Times New Roman" w:hAnsi="Times New Roman" w:eastAsia="宋体" w:cs="宋体"/>
                <w:color w:val="auto"/>
              </w:rPr>
            </w:pPr>
            <w:r>
              <w:rPr>
                <w:rFonts w:ascii="Times New Roman" w:hAnsi="Times New Roman" w:eastAsia="宋体" w:cs="宋体"/>
                <w:color w:val="auto"/>
              </w:rPr>
              <w:t>污染</w:t>
            </w:r>
            <w:r>
              <w:rPr>
                <w:rFonts w:hint="eastAsia" w:ascii="Times New Roman" w:hAnsi="Times New Roman" w:eastAsia="宋体" w:cs="宋体"/>
                <w:color w:val="auto"/>
                <w:lang w:eastAsia="zh-Hans"/>
              </w:rPr>
              <w:t>物排放控制标准</w:t>
            </w:r>
          </w:p>
        </w:tc>
        <w:tc>
          <w:tcPr>
            <w:tcW w:w="8645" w:type="dxa"/>
          </w:tcPr>
          <w:p w14:paraId="27DAA12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80" w:lineRule="exact"/>
              <w:ind w:left="0" w:right="0" w:rightChars="0"/>
              <w:jc w:val="left"/>
              <w:textAlignment w:val="auto"/>
              <w:outlineLvl w:val="9"/>
              <w:rPr>
                <w:rFonts w:hint="eastAsia"/>
                <w:b/>
                <w:bCs/>
                <w:color w:val="auto"/>
                <w:sz w:val="28"/>
                <w:szCs w:val="24"/>
                <w:highlight w:val="none"/>
              </w:rPr>
            </w:pPr>
            <w:r>
              <w:rPr>
                <w:rFonts w:hint="eastAsia"/>
                <w:b/>
                <w:bCs/>
                <w:color w:val="auto"/>
                <w:sz w:val="28"/>
                <w:szCs w:val="24"/>
                <w:highlight w:val="none"/>
                <w:lang w:val="en-US" w:eastAsia="zh-CN"/>
              </w:rPr>
              <w:t>1、</w:t>
            </w:r>
            <w:r>
              <w:rPr>
                <w:rFonts w:hint="eastAsia"/>
                <w:b/>
                <w:bCs/>
                <w:color w:val="auto"/>
                <w:sz w:val="28"/>
                <w:szCs w:val="24"/>
                <w:highlight w:val="none"/>
              </w:rPr>
              <w:t>大气污染物排放标准</w:t>
            </w:r>
          </w:p>
          <w:p w14:paraId="0E586E4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color w:val="auto"/>
                <w:sz w:val="24"/>
                <w:highlight w:val="none"/>
              </w:rPr>
            </w:pPr>
            <w:r>
              <w:rPr>
                <w:rFonts w:hint="default" w:ascii="Times New Roman" w:hAnsi="Times New Roman"/>
                <w:color w:val="auto"/>
                <w:sz w:val="24"/>
                <w:highlight w:val="none"/>
              </w:rPr>
              <w:t>H</w:t>
            </w:r>
            <w:r>
              <w:rPr>
                <w:rFonts w:hint="default" w:ascii="Times New Roman" w:hAnsi="Times New Roman"/>
                <w:color w:val="auto"/>
                <w:sz w:val="24"/>
                <w:highlight w:val="none"/>
                <w:vertAlign w:val="subscript"/>
              </w:rPr>
              <w:t>2</w:t>
            </w:r>
            <w:r>
              <w:rPr>
                <w:rFonts w:hint="default" w:ascii="Times New Roman" w:hAnsi="Times New Roman"/>
                <w:color w:val="auto"/>
                <w:sz w:val="24"/>
                <w:highlight w:val="none"/>
              </w:rPr>
              <w:t>S、NH</w:t>
            </w:r>
            <w:r>
              <w:rPr>
                <w:rFonts w:hint="default" w:ascii="Times New Roman" w:hAnsi="Times New Roman"/>
                <w:color w:val="auto"/>
                <w:sz w:val="24"/>
                <w:highlight w:val="none"/>
                <w:vertAlign w:val="subscript"/>
              </w:rPr>
              <w:t>3</w:t>
            </w:r>
            <w:r>
              <w:rPr>
                <w:rFonts w:hint="eastAsia"/>
                <w:color w:val="auto"/>
                <w:sz w:val="24"/>
                <w:highlight w:val="none"/>
                <w:vertAlign w:val="baseline"/>
                <w:lang w:eastAsia="zh-CN"/>
              </w:rPr>
              <w:t>、</w:t>
            </w:r>
            <w:r>
              <w:rPr>
                <w:rFonts w:hint="eastAsia"/>
                <w:color w:val="auto"/>
                <w:sz w:val="24"/>
                <w:highlight w:val="none"/>
                <w:vertAlign w:val="baseline"/>
                <w:lang w:val="en-US" w:eastAsia="zh-CN"/>
              </w:rPr>
              <w:t>臭气浓度</w:t>
            </w:r>
            <w:r>
              <w:rPr>
                <w:rFonts w:hint="default" w:ascii="Times New Roman" w:hAnsi="Times New Roman"/>
                <w:color w:val="auto"/>
                <w:sz w:val="24"/>
                <w:highlight w:val="none"/>
              </w:rPr>
              <w:t>无组织排放浓度参照执行《恶臭污染物排放标准》（GB14554-93）中表1二级新改扩建标准（H</w:t>
            </w:r>
            <w:r>
              <w:rPr>
                <w:rFonts w:hint="default" w:ascii="Times New Roman" w:hAnsi="Times New Roman"/>
                <w:color w:val="auto"/>
                <w:sz w:val="24"/>
                <w:highlight w:val="none"/>
                <w:vertAlign w:val="subscript"/>
              </w:rPr>
              <w:t>2</w:t>
            </w:r>
            <w:r>
              <w:rPr>
                <w:rFonts w:hint="default" w:ascii="Times New Roman" w:hAnsi="Times New Roman"/>
                <w:color w:val="auto"/>
                <w:sz w:val="24"/>
                <w:highlight w:val="none"/>
              </w:rPr>
              <w:t>S：0.06mg/m</w:t>
            </w:r>
            <w:r>
              <w:rPr>
                <w:rFonts w:hint="default" w:ascii="Times New Roman" w:hAnsi="Times New Roman"/>
                <w:color w:val="auto"/>
                <w:sz w:val="24"/>
                <w:highlight w:val="none"/>
                <w:vertAlign w:val="superscript"/>
              </w:rPr>
              <w:t>3</w:t>
            </w:r>
            <w:r>
              <w:rPr>
                <w:rFonts w:hint="default" w:ascii="Times New Roman" w:hAnsi="Times New Roman"/>
                <w:color w:val="auto"/>
                <w:sz w:val="24"/>
                <w:highlight w:val="none"/>
              </w:rPr>
              <w:t>；NH</w:t>
            </w:r>
            <w:r>
              <w:rPr>
                <w:rFonts w:hint="default" w:ascii="Times New Roman" w:hAnsi="Times New Roman"/>
                <w:color w:val="auto"/>
                <w:sz w:val="24"/>
                <w:highlight w:val="none"/>
                <w:vertAlign w:val="subscript"/>
              </w:rPr>
              <w:t>3</w:t>
            </w:r>
            <w:r>
              <w:rPr>
                <w:rFonts w:hint="default" w:ascii="Times New Roman" w:hAnsi="Times New Roman"/>
                <w:color w:val="auto"/>
                <w:sz w:val="24"/>
                <w:highlight w:val="none"/>
              </w:rPr>
              <w:t>：1.5mg/m</w:t>
            </w:r>
            <w:r>
              <w:rPr>
                <w:rFonts w:hint="default" w:ascii="Times New Roman" w:hAnsi="Times New Roman"/>
                <w:color w:val="auto"/>
                <w:sz w:val="24"/>
                <w:highlight w:val="none"/>
                <w:vertAlign w:val="superscript"/>
              </w:rPr>
              <w:t>3</w:t>
            </w:r>
            <w:r>
              <w:rPr>
                <w:rFonts w:hint="default" w:ascii="Times New Roman" w:hAnsi="Times New Roman"/>
                <w:color w:val="auto"/>
                <w:sz w:val="24"/>
                <w:highlight w:val="none"/>
              </w:rPr>
              <w:t>）</w:t>
            </w:r>
          </w:p>
          <w:p w14:paraId="0085358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80" w:lineRule="exact"/>
              <w:ind w:left="0" w:leftChars="0" w:right="0" w:rightChars="0" w:firstLine="0" w:firstLineChars="0"/>
              <w:jc w:val="both"/>
              <w:textAlignment w:val="auto"/>
              <w:outlineLvl w:val="9"/>
              <w:rPr>
                <w:rFonts w:hint="eastAsia"/>
                <w:b/>
                <w:bCs/>
                <w:color w:val="auto"/>
                <w:sz w:val="28"/>
                <w:szCs w:val="24"/>
                <w:highlight w:val="none"/>
              </w:rPr>
            </w:pPr>
            <w:r>
              <w:rPr>
                <w:rFonts w:hint="eastAsia"/>
                <w:b/>
                <w:bCs/>
                <w:color w:val="auto"/>
                <w:sz w:val="28"/>
                <w:szCs w:val="24"/>
                <w:highlight w:val="none"/>
                <w:lang w:val="en-US" w:eastAsia="zh-CN"/>
              </w:rPr>
              <w:t>2、</w:t>
            </w:r>
            <w:r>
              <w:rPr>
                <w:rFonts w:hint="eastAsia"/>
                <w:b/>
                <w:bCs/>
                <w:color w:val="auto"/>
                <w:sz w:val="28"/>
                <w:szCs w:val="24"/>
                <w:highlight w:val="none"/>
              </w:rPr>
              <w:t>噪声排放标准</w:t>
            </w:r>
          </w:p>
          <w:p w14:paraId="18631E4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80" w:lineRule="exact"/>
              <w:ind w:left="0" w:leftChars="0" w:right="0" w:rightChars="0" w:firstLine="480" w:firstLineChars="200"/>
              <w:jc w:val="both"/>
              <w:textAlignment w:val="auto"/>
              <w:outlineLvl w:val="9"/>
              <w:rPr>
                <w:rFonts w:hint="eastAsia"/>
                <w:color w:val="auto"/>
                <w:highlight w:val="none"/>
              </w:rPr>
            </w:pPr>
            <w:r>
              <w:rPr>
                <w:rFonts w:hint="eastAsia"/>
                <w:color w:val="auto"/>
                <w:highlight w:val="none"/>
                <w:lang w:val="en-US" w:eastAsia="zh-CN"/>
              </w:rPr>
              <w:t>施工期执行</w:t>
            </w:r>
            <w:r>
              <w:rPr>
                <w:rFonts w:hint="eastAsia"/>
                <w:color w:val="auto"/>
                <w:highlight w:val="none"/>
              </w:rPr>
              <w:t>《建筑施工场界环境噪声排放标准》(GB12523-2011)</w:t>
            </w:r>
            <w:r>
              <w:rPr>
                <w:rFonts w:hint="eastAsia"/>
                <w:color w:val="auto"/>
                <w:highlight w:val="none"/>
                <w:lang w:eastAsia="zh-CN"/>
              </w:rPr>
              <w:t>（</w:t>
            </w:r>
            <w:r>
              <w:rPr>
                <w:rFonts w:hint="eastAsia"/>
                <w:color w:val="auto"/>
                <w:highlight w:val="none"/>
                <w:lang w:val="en-US" w:eastAsia="zh-CN"/>
              </w:rPr>
              <w:t>昼间：70dB（A）、夜间：55dB（A）</w:t>
            </w:r>
            <w:r>
              <w:rPr>
                <w:rFonts w:hint="eastAsia"/>
                <w:color w:val="auto"/>
                <w:highlight w:val="none"/>
                <w:lang w:eastAsia="zh-CN"/>
              </w:rPr>
              <w:t>）</w:t>
            </w:r>
            <w:r>
              <w:rPr>
                <w:rFonts w:hint="eastAsia"/>
                <w:color w:val="auto"/>
                <w:highlight w:val="none"/>
              </w:rPr>
              <w:t>运营期执行《工业企业厂界环境噪声排放标准》（GB12348-2008）</w:t>
            </w:r>
            <w:r>
              <w:rPr>
                <w:rFonts w:hint="eastAsia"/>
                <w:color w:val="auto"/>
                <w:highlight w:val="none"/>
                <w:lang w:val="en-US" w:eastAsia="zh-CN"/>
              </w:rPr>
              <w:t>3</w:t>
            </w:r>
            <w:r>
              <w:rPr>
                <w:rFonts w:hint="eastAsia"/>
                <w:color w:val="auto"/>
                <w:highlight w:val="none"/>
              </w:rPr>
              <w:t>类的标准限值</w:t>
            </w:r>
            <w:r>
              <w:rPr>
                <w:rFonts w:hint="eastAsia"/>
                <w:color w:val="auto"/>
                <w:highlight w:val="none"/>
                <w:lang w:eastAsia="zh-CN"/>
              </w:rPr>
              <w:t>（</w:t>
            </w:r>
            <w:r>
              <w:rPr>
                <w:rFonts w:hint="eastAsia"/>
                <w:color w:val="auto"/>
                <w:highlight w:val="none"/>
                <w:lang w:val="en-US" w:eastAsia="zh-CN"/>
              </w:rPr>
              <w:t>昼间：65dB（A）、夜间：55dB（A）</w:t>
            </w:r>
            <w:r>
              <w:rPr>
                <w:rFonts w:hint="eastAsia"/>
                <w:color w:val="auto"/>
                <w:highlight w:val="none"/>
                <w:lang w:eastAsia="zh-CN"/>
              </w:rPr>
              <w:t>）</w:t>
            </w:r>
            <w:r>
              <w:rPr>
                <w:rFonts w:hint="eastAsia"/>
                <w:color w:val="auto"/>
                <w:highlight w:val="none"/>
              </w:rPr>
              <w:t>。</w:t>
            </w:r>
          </w:p>
          <w:p w14:paraId="61F4201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80" w:lineRule="exact"/>
              <w:ind w:left="0" w:right="0" w:rightChars="0"/>
              <w:jc w:val="both"/>
              <w:textAlignment w:val="auto"/>
              <w:outlineLvl w:val="9"/>
              <w:rPr>
                <w:rFonts w:hint="default"/>
                <w:b/>
                <w:bCs/>
                <w:color w:val="auto"/>
                <w:sz w:val="28"/>
                <w:szCs w:val="24"/>
                <w:highlight w:val="none"/>
                <w:lang w:val="en-US" w:eastAsia="zh-CN"/>
              </w:rPr>
            </w:pPr>
            <w:r>
              <w:rPr>
                <w:rFonts w:hint="eastAsia"/>
                <w:b/>
                <w:bCs/>
                <w:color w:val="auto"/>
                <w:sz w:val="28"/>
                <w:szCs w:val="24"/>
                <w:highlight w:val="none"/>
                <w:lang w:val="en-US" w:eastAsia="zh-CN"/>
              </w:rPr>
              <w:t>3、水污染物排放标准</w:t>
            </w:r>
          </w:p>
          <w:p w14:paraId="287C3184">
            <w:pPr>
              <w:keepNext w:val="0"/>
              <w:keepLines w:val="0"/>
              <w:suppressLineNumbers w:val="0"/>
              <w:adjustRightInd w:val="0"/>
              <w:snapToGrid w:val="0"/>
              <w:spacing w:before="0" w:beforeAutospacing="0" w:after="0" w:afterAutospacing="0" w:line="460" w:lineRule="exact"/>
              <w:ind w:left="0" w:right="0" w:firstLine="480" w:firstLineChars="200"/>
              <w:rPr>
                <w:rFonts w:hint="default" w:eastAsia="宋体"/>
                <w:color w:val="auto"/>
                <w:highlight w:val="none"/>
                <w:lang w:val="en-US" w:eastAsia="zh-CN"/>
              </w:rPr>
            </w:pPr>
            <w:r>
              <w:rPr>
                <w:rFonts w:hint="eastAsia"/>
                <w:color w:val="auto"/>
                <w:sz w:val="24"/>
                <w:szCs w:val="24"/>
                <w:highlight w:val="none"/>
              </w:rPr>
              <w:t>生产过程中产生的废水和生活污水经厂区内自建污水处理站处理后</w:t>
            </w:r>
            <w:r>
              <w:rPr>
                <w:rFonts w:hint="default"/>
                <w:color w:val="auto"/>
                <w:sz w:val="24"/>
                <w:szCs w:val="24"/>
                <w:highlight w:val="none"/>
              </w:rPr>
              <w:t>，</w:t>
            </w:r>
            <w:r>
              <w:rPr>
                <w:rFonts w:hint="eastAsia"/>
                <w:color w:val="auto"/>
                <w:sz w:val="24"/>
                <w:szCs w:val="24"/>
                <w:highlight w:val="none"/>
                <w:lang w:val="en-US" w:eastAsia="zh-CN"/>
              </w:rPr>
              <w:t>处理达标后排入园区下水管网。</w:t>
            </w:r>
          </w:p>
          <w:p w14:paraId="1A1D4172">
            <w:pPr>
              <w:keepNext w:val="0"/>
              <w:keepLines w:val="0"/>
              <w:suppressLineNumbers w:val="0"/>
              <w:adjustRightInd w:val="0"/>
              <w:snapToGrid w:val="0"/>
              <w:spacing w:before="0" w:beforeAutospacing="0" w:after="0" w:afterAutospacing="0" w:line="460" w:lineRule="exact"/>
              <w:ind w:left="0" w:right="0" w:firstLine="480" w:firstLineChars="200"/>
              <w:rPr>
                <w:rFonts w:hint="eastAsia" w:eastAsia="宋体"/>
                <w:color w:val="auto"/>
                <w:sz w:val="24"/>
                <w:szCs w:val="24"/>
                <w:highlight w:val="none"/>
                <w:lang w:val="en-US" w:eastAsia="zh-CN"/>
              </w:rPr>
            </w:pPr>
            <w:r>
              <w:rPr>
                <w:rFonts w:hint="eastAsia"/>
                <w:color w:val="auto"/>
                <w:sz w:val="24"/>
                <w:szCs w:val="24"/>
                <w:highlight w:val="none"/>
                <w:lang w:val="en-US" w:eastAsia="zh-CN"/>
              </w:rPr>
              <w:t>水污染物</w:t>
            </w:r>
            <w:r>
              <w:rPr>
                <w:rFonts w:hint="default"/>
                <w:color w:val="auto"/>
                <w:sz w:val="24"/>
                <w:szCs w:val="24"/>
                <w:highlight w:val="none"/>
              </w:rPr>
              <w:t>执行</w:t>
            </w:r>
            <w:r>
              <w:rPr>
                <w:rStyle w:val="23"/>
                <w:rFonts w:hint="eastAsia"/>
                <w:color w:val="auto"/>
                <w:kern w:val="0"/>
                <w:sz w:val="24"/>
                <w:szCs w:val="24"/>
                <w:highlight w:val="none"/>
                <w:lang w:val="en-US" w:eastAsia="zh-CN"/>
              </w:rPr>
              <w:t>《污水综合排放标准》（GB8978-1996）三级标准。</w:t>
            </w:r>
          </w:p>
          <w:p w14:paraId="548A8D7B">
            <w:pPr>
              <w:keepNext w:val="0"/>
              <w:keepLines w:val="0"/>
              <w:widowControl/>
              <w:suppressLineNumbers w:val="0"/>
              <w:adjustRightInd w:val="0"/>
              <w:snapToGrid w:val="0"/>
              <w:spacing w:before="0" w:beforeAutospacing="0" w:after="0" w:afterAutospacing="0" w:line="500" w:lineRule="exact"/>
              <w:ind w:left="0" w:right="0" w:firstLine="67" w:firstLineChars="32"/>
              <w:jc w:val="center"/>
              <w:rPr>
                <w:rFonts w:hint="default"/>
                <w:b/>
                <w:bCs/>
                <w:color w:val="auto"/>
                <w:sz w:val="21"/>
                <w:szCs w:val="20"/>
                <w:highlight w:val="none"/>
              </w:rPr>
            </w:pPr>
            <w:r>
              <w:rPr>
                <w:rFonts w:hint="default"/>
                <w:b/>
                <w:bCs/>
                <w:color w:val="auto"/>
                <w:sz w:val="21"/>
                <w:szCs w:val="20"/>
                <w:highlight w:val="none"/>
              </w:rPr>
              <w:t>表3-</w:t>
            </w:r>
            <w:r>
              <w:rPr>
                <w:rFonts w:hint="eastAsia"/>
                <w:b/>
                <w:bCs/>
                <w:color w:val="auto"/>
                <w:sz w:val="21"/>
                <w:szCs w:val="20"/>
                <w:highlight w:val="none"/>
                <w:lang w:val="en-US" w:eastAsia="zh-CN"/>
              </w:rPr>
              <w:t>5</w:t>
            </w:r>
            <w:r>
              <w:rPr>
                <w:rFonts w:hint="eastAsia"/>
                <w:b/>
                <w:bCs/>
                <w:color w:val="auto"/>
                <w:sz w:val="21"/>
                <w:szCs w:val="20"/>
                <w:highlight w:val="none"/>
              </w:rPr>
              <w:t>《污水综合排放标准》（GB 27631—2011）及修改单</w:t>
            </w:r>
          </w:p>
          <w:tbl>
            <w:tblPr>
              <w:tblStyle w:val="20"/>
              <w:tblW w:w="8764" w:type="dxa"/>
              <w:tblInd w:w="-1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70"/>
              <w:gridCol w:w="2740"/>
              <w:gridCol w:w="3154"/>
            </w:tblGrid>
            <w:tr w14:paraId="23FB0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70" w:type="dxa"/>
                  <w:tcBorders>
                    <w:bottom w:val="single" w:color="auto" w:sz="4" w:space="0"/>
                  </w:tcBorders>
                  <w:noWrap w:val="0"/>
                  <w:vAlign w:val="top"/>
                </w:tcPr>
                <w:p w14:paraId="073FEAA9">
                  <w:pPr>
                    <w:keepNext w:val="0"/>
                    <w:keepLines w:val="0"/>
                    <w:suppressLineNumbers w:val="0"/>
                    <w:tabs>
                      <w:tab w:val="left" w:pos="597"/>
                      <w:tab w:val="left" w:pos="2970"/>
                    </w:tabs>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序号</w:t>
                  </w:r>
                </w:p>
              </w:tc>
              <w:tc>
                <w:tcPr>
                  <w:tcW w:w="2740" w:type="dxa"/>
                  <w:tcBorders>
                    <w:bottom w:val="single" w:color="auto" w:sz="4" w:space="0"/>
                  </w:tcBorders>
                  <w:noWrap w:val="0"/>
                  <w:vAlign w:val="top"/>
                </w:tcPr>
                <w:p w14:paraId="36A64981">
                  <w:pPr>
                    <w:keepNext w:val="0"/>
                    <w:keepLines w:val="0"/>
                    <w:suppressLineNumbers w:val="0"/>
                    <w:tabs>
                      <w:tab w:val="left" w:pos="597"/>
                      <w:tab w:val="left" w:pos="2970"/>
                    </w:tabs>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污染物</w:t>
                  </w:r>
                </w:p>
              </w:tc>
              <w:tc>
                <w:tcPr>
                  <w:tcW w:w="3154" w:type="dxa"/>
                  <w:tcBorders>
                    <w:bottom w:val="single" w:color="auto" w:sz="4" w:space="0"/>
                  </w:tcBorders>
                  <w:noWrap w:val="0"/>
                  <w:vAlign w:val="top"/>
                </w:tcPr>
                <w:p w14:paraId="2913A4AF">
                  <w:pPr>
                    <w:keepNext w:val="0"/>
                    <w:keepLines w:val="0"/>
                    <w:suppressLineNumbers w:val="0"/>
                    <w:tabs>
                      <w:tab w:val="left" w:pos="597"/>
                      <w:tab w:val="left" w:pos="2970"/>
                    </w:tabs>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标准（mg/L）</w:t>
                  </w:r>
                </w:p>
              </w:tc>
            </w:tr>
            <w:tr w14:paraId="741E2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70" w:type="dxa"/>
                  <w:tcBorders>
                    <w:top w:val="single" w:color="auto" w:sz="4" w:space="0"/>
                    <w:bottom w:val="single" w:color="auto" w:sz="4" w:space="0"/>
                  </w:tcBorders>
                  <w:noWrap w:val="0"/>
                  <w:vAlign w:val="top"/>
                </w:tcPr>
                <w:p w14:paraId="50D8690F">
                  <w:pPr>
                    <w:keepNext w:val="0"/>
                    <w:keepLines w:val="0"/>
                    <w:suppressLineNumbers w:val="0"/>
                    <w:tabs>
                      <w:tab w:val="left" w:pos="597"/>
                      <w:tab w:val="left" w:pos="2970"/>
                    </w:tabs>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w:t>
                  </w:r>
                </w:p>
              </w:tc>
              <w:tc>
                <w:tcPr>
                  <w:tcW w:w="2740" w:type="dxa"/>
                  <w:tcBorders>
                    <w:top w:val="single" w:color="auto" w:sz="4" w:space="0"/>
                    <w:bottom w:val="single" w:color="auto" w:sz="4" w:space="0"/>
                  </w:tcBorders>
                  <w:noWrap w:val="0"/>
                  <w:vAlign w:val="center"/>
                </w:tcPr>
                <w:p w14:paraId="6E4632E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pH</w:t>
                  </w:r>
                </w:p>
              </w:tc>
              <w:tc>
                <w:tcPr>
                  <w:tcW w:w="3154" w:type="dxa"/>
                  <w:tcBorders>
                    <w:top w:val="single" w:color="auto" w:sz="4" w:space="0"/>
                    <w:bottom w:val="single" w:color="auto" w:sz="4" w:space="0"/>
                  </w:tcBorders>
                  <w:noWrap w:val="0"/>
                  <w:vAlign w:val="center"/>
                </w:tcPr>
                <w:p w14:paraId="40BBD70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6~9</w:t>
                  </w:r>
                </w:p>
              </w:tc>
            </w:tr>
            <w:tr w14:paraId="5B840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70" w:type="dxa"/>
                  <w:tcBorders>
                    <w:top w:val="single" w:color="auto" w:sz="4" w:space="0"/>
                    <w:bottom w:val="single" w:color="auto" w:sz="4" w:space="0"/>
                  </w:tcBorders>
                  <w:noWrap w:val="0"/>
                  <w:vAlign w:val="top"/>
                </w:tcPr>
                <w:p w14:paraId="394CE8A1">
                  <w:pPr>
                    <w:keepNext w:val="0"/>
                    <w:keepLines w:val="0"/>
                    <w:suppressLineNumbers w:val="0"/>
                    <w:tabs>
                      <w:tab w:val="left" w:pos="597"/>
                      <w:tab w:val="left" w:pos="2970"/>
                    </w:tabs>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2</w:t>
                  </w:r>
                </w:p>
              </w:tc>
              <w:tc>
                <w:tcPr>
                  <w:tcW w:w="2740" w:type="dxa"/>
                  <w:tcBorders>
                    <w:top w:val="single" w:color="auto" w:sz="4" w:space="0"/>
                    <w:bottom w:val="single" w:color="auto" w:sz="4" w:space="0"/>
                  </w:tcBorders>
                  <w:noWrap w:val="0"/>
                  <w:vAlign w:val="center"/>
                </w:tcPr>
                <w:p w14:paraId="4E33293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COD</w:t>
                  </w:r>
                </w:p>
              </w:tc>
              <w:tc>
                <w:tcPr>
                  <w:tcW w:w="3154" w:type="dxa"/>
                  <w:tcBorders>
                    <w:top w:val="single" w:color="auto" w:sz="4" w:space="0"/>
                    <w:bottom w:val="single" w:color="auto" w:sz="4" w:space="0"/>
                  </w:tcBorders>
                  <w:noWrap w:val="0"/>
                  <w:vAlign w:val="center"/>
                </w:tcPr>
                <w:p w14:paraId="22231DC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cs="Times New Roman"/>
                      <w:b w:val="0"/>
                      <w:bCs w:val="0"/>
                      <w:color w:val="auto"/>
                      <w:sz w:val="21"/>
                      <w:szCs w:val="21"/>
                      <w:lang w:val="en-US" w:eastAsia="zh-CN"/>
                    </w:rPr>
                    <w:t>500</w:t>
                  </w:r>
                </w:p>
              </w:tc>
            </w:tr>
            <w:tr w14:paraId="48695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70" w:type="dxa"/>
                  <w:tcBorders>
                    <w:top w:val="single" w:color="auto" w:sz="4" w:space="0"/>
                    <w:bottom w:val="single" w:color="auto" w:sz="4" w:space="0"/>
                  </w:tcBorders>
                  <w:noWrap w:val="0"/>
                  <w:vAlign w:val="top"/>
                </w:tcPr>
                <w:p w14:paraId="17C20CDF">
                  <w:pPr>
                    <w:keepNext w:val="0"/>
                    <w:keepLines w:val="0"/>
                    <w:suppressLineNumbers w:val="0"/>
                    <w:tabs>
                      <w:tab w:val="left" w:pos="597"/>
                      <w:tab w:val="left" w:pos="2970"/>
                    </w:tabs>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3</w:t>
                  </w:r>
                </w:p>
              </w:tc>
              <w:tc>
                <w:tcPr>
                  <w:tcW w:w="2740" w:type="dxa"/>
                  <w:tcBorders>
                    <w:top w:val="single" w:color="auto" w:sz="4" w:space="0"/>
                    <w:bottom w:val="single" w:color="auto" w:sz="4" w:space="0"/>
                  </w:tcBorders>
                  <w:noWrap w:val="0"/>
                  <w:vAlign w:val="center"/>
                </w:tcPr>
                <w:p w14:paraId="30F94E2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SS</w:t>
                  </w:r>
                </w:p>
              </w:tc>
              <w:tc>
                <w:tcPr>
                  <w:tcW w:w="3154" w:type="dxa"/>
                  <w:tcBorders>
                    <w:top w:val="single" w:color="auto" w:sz="4" w:space="0"/>
                    <w:bottom w:val="single" w:color="auto" w:sz="4" w:space="0"/>
                  </w:tcBorders>
                  <w:noWrap w:val="0"/>
                  <w:vAlign w:val="center"/>
                </w:tcPr>
                <w:p w14:paraId="5D08D6F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ascii="Times New Roman" w:hAnsi="Times New Roman" w:eastAsia="宋体" w:cs="宋体"/>
                      <w:color w:val="auto"/>
                      <w:sz w:val="21"/>
                      <w:szCs w:val="21"/>
                      <w:highlight w:val="none"/>
                      <w:lang w:val="en-US" w:eastAsia="zh-CN" w:bidi="ar-SA"/>
                    </w:rPr>
                  </w:pPr>
                  <w:r>
                    <w:rPr>
                      <w:rFonts w:hint="eastAsia" w:ascii="Times New Roman" w:hAnsi="Times New Roman" w:cs="Times New Roman"/>
                      <w:b w:val="0"/>
                      <w:bCs w:val="0"/>
                      <w:color w:val="auto"/>
                      <w:sz w:val="21"/>
                      <w:szCs w:val="21"/>
                      <w:lang w:val="en-US" w:eastAsia="zh-CN"/>
                    </w:rPr>
                    <w:t>400</w:t>
                  </w:r>
                </w:p>
              </w:tc>
            </w:tr>
            <w:tr w14:paraId="58A2C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70" w:type="dxa"/>
                  <w:tcBorders>
                    <w:top w:val="single" w:color="auto" w:sz="4" w:space="0"/>
                    <w:bottom w:val="single" w:color="auto" w:sz="4" w:space="0"/>
                  </w:tcBorders>
                  <w:noWrap w:val="0"/>
                  <w:vAlign w:val="top"/>
                </w:tcPr>
                <w:p w14:paraId="1747978F">
                  <w:pPr>
                    <w:keepNext w:val="0"/>
                    <w:keepLines w:val="0"/>
                    <w:suppressLineNumbers w:val="0"/>
                    <w:tabs>
                      <w:tab w:val="left" w:pos="597"/>
                      <w:tab w:val="left" w:pos="2970"/>
                    </w:tabs>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4</w:t>
                  </w:r>
                </w:p>
              </w:tc>
              <w:tc>
                <w:tcPr>
                  <w:tcW w:w="2740" w:type="dxa"/>
                  <w:tcBorders>
                    <w:top w:val="single" w:color="auto" w:sz="4" w:space="0"/>
                    <w:bottom w:val="single" w:color="auto" w:sz="4" w:space="0"/>
                  </w:tcBorders>
                  <w:noWrap w:val="0"/>
                  <w:vAlign w:val="center"/>
                </w:tcPr>
                <w:p w14:paraId="5D2000C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cs="Times New Roman"/>
                      <w:b w:val="0"/>
                      <w:bCs w:val="0"/>
                      <w:color w:val="auto"/>
                      <w:sz w:val="21"/>
                      <w:szCs w:val="21"/>
                      <w:lang w:val="en-US" w:eastAsia="zh-CN"/>
                    </w:rPr>
                    <w:t>BOD</w:t>
                  </w:r>
                </w:p>
              </w:tc>
              <w:tc>
                <w:tcPr>
                  <w:tcW w:w="3154" w:type="dxa"/>
                  <w:tcBorders>
                    <w:top w:val="single" w:color="auto" w:sz="4" w:space="0"/>
                    <w:bottom w:val="single" w:color="auto" w:sz="4" w:space="0"/>
                  </w:tcBorders>
                  <w:noWrap w:val="0"/>
                  <w:vAlign w:val="center"/>
                </w:tcPr>
                <w:p w14:paraId="2A66F4E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cs="Times New Roman"/>
                      <w:b w:val="0"/>
                      <w:bCs w:val="0"/>
                      <w:color w:val="auto"/>
                      <w:sz w:val="21"/>
                      <w:szCs w:val="21"/>
                      <w:lang w:val="en-US" w:eastAsia="zh-CN"/>
                    </w:rPr>
                    <w:t>300</w:t>
                  </w:r>
                </w:p>
              </w:tc>
            </w:tr>
            <w:tr w14:paraId="3CCCB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70" w:type="dxa"/>
                  <w:tcBorders>
                    <w:top w:val="single" w:color="auto" w:sz="4" w:space="0"/>
                  </w:tcBorders>
                  <w:noWrap w:val="0"/>
                  <w:vAlign w:val="top"/>
                </w:tcPr>
                <w:p w14:paraId="5532A84F">
                  <w:pPr>
                    <w:keepNext w:val="0"/>
                    <w:keepLines w:val="0"/>
                    <w:suppressLineNumbers w:val="0"/>
                    <w:tabs>
                      <w:tab w:val="left" w:pos="597"/>
                      <w:tab w:val="left" w:pos="2970"/>
                    </w:tabs>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2740" w:type="dxa"/>
                  <w:tcBorders>
                    <w:top w:val="single" w:color="auto" w:sz="4" w:space="0"/>
                  </w:tcBorders>
                  <w:noWrap w:val="0"/>
                  <w:vAlign w:val="center"/>
                </w:tcPr>
                <w:p w14:paraId="6BC3A5A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cs="Times New Roman"/>
                      <w:b w:val="0"/>
                      <w:bCs w:val="0"/>
                      <w:color w:val="auto"/>
                      <w:sz w:val="21"/>
                      <w:szCs w:val="21"/>
                      <w:lang w:val="en-US" w:eastAsia="zh-CN"/>
                    </w:rPr>
                    <w:t>氨氮</w:t>
                  </w:r>
                </w:p>
              </w:tc>
              <w:tc>
                <w:tcPr>
                  <w:tcW w:w="3154" w:type="dxa"/>
                  <w:tcBorders>
                    <w:top w:val="single" w:color="auto" w:sz="4" w:space="0"/>
                  </w:tcBorders>
                  <w:noWrap w:val="0"/>
                  <w:vAlign w:val="center"/>
                </w:tcPr>
                <w:p w14:paraId="1DDCB7B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cs="Times New Roman"/>
                      <w:b w:val="0"/>
                      <w:bCs w:val="0"/>
                      <w:color w:val="auto"/>
                      <w:sz w:val="21"/>
                      <w:szCs w:val="21"/>
                      <w:lang w:val="en-US" w:eastAsia="zh-CN"/>
                    </w:rPr>
                    <w:t>-</w:t>
                  </w:r>
                </w:p>
              </w:tc>
            </w:tr>
          </w:tbl>
          <w:p w14:paraId="1AA6DF1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80" w:lineRule="exact"/>
              <w:ind w:left="0" w:right="0"/>
              <w:jc w:val="left"/>
              <w:textAlignment w:val="auto"/>
              <w:rPr>
                <w:rFonts w:hint="eastAsia"/>
                <w:b/>
                <w:bCs/>
                <w:color w:val="auto"/>
                <w:sz w:val="28"/>
                <w:szCs w:val="24"/>
                <w:highlight w:val="none"/>
              </w:rPr>
            </w:pPr>
            <w:r>
              <w:rPr>
                <w:rFonts w:hint="eastAsia"/>
                <w:b/>
                <w:bCs/>
                <w:color w:val="auto"/>
                <w:sz w:val="28"/>
                <w:szCs w:val="24"/>
                <w:highlight w:val="none"/>
                <w:lang w:val="en-US" w:eastAsia="zh-CN"/>
              </w:rPr>
              <w:t>4、</w:t>
            </w:r>
            <w:r>
              <w:rPr>
                <w:rFonts w:hint="eastAsia"/>
                <w:b/>
                <w:bCs/>
                <w:color w:val="auto"/>
                <w:sz w:val="28"/>
                <w:szCs w:val="24"/>
                <w:highlight w:val="none"/>
              </w:rPr>
              <w:t>固体废物</w:t>
            </w:r>
            <w:r>
              <w:rPr>
                <w:rFonts w:hint="eastAsia"/>
                <w:b/>
                <w:bCs/>
                <w:color w:val="auto"/>
                <w:sz w:val="28"/>
                <w:szCs w:val="24"/>
                <w:highlight w:val="none"/>
                <w:lang w:eastAsia="zh-CN"/>
              </w:rPr>
              <w:t>排放执行标准</w:t>
            </w:r>
          </w:p>
          <w:p w14:paraId="29E7643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480" w:lineRule="exact"/>
              <w:ind w:left="0" w:leftChars="0" w:right="0" w:rightChars="0" w:firstLine="480" w:firstLineChars="200"/>
              <w:jc w:val="both"/>
              <w:textAlignment w:val="auto"/>
              <w:rPr>
                <w:rFonts w:hint="default"/>
                <w:color w:val="auto"/>
                <w:highlight w:val="none"/>
                <w:lang w:eastAsia="zh-CN"/>
              </w:rPr>
            </w:pPr>
            <w:r>
              <w:rPr>
                <w:rFonts w:hint="default"/>
                <w:color w:val="auto"/>
                <w:highlight w:val="none"/>
              </w:rPr>
              <w:t>一般固体废物执行</w:t>
            </w:r>
            <w:r>
              <w:rPr>
                <w:rFonts w:hint="default"/>
                <w:color w:val="auto"/>
                <w:highlight w:val="none"/>
                <w:lang w:eastAsia="zh-CN"/>
              </w:rPr>
              <w:t>《一般工业固体废物贮存和填埋场污染控制标准》（GB18599-2020）；危险废物在厂区内的贮存执行《危险废物贮存污染控制标准》（GB18597-2023）。</w:t>
            </w:r>
          </w:p>
          <w:p w14:paraId="5A1A9142">
            <w:pPr>
              <w:pStyle w:val="13"/>
              <w:rPr>
                <w:rFonts w:hint="eastAsia" w:ascii="Times New Roman" w:hAnsi="Times New Roman" w:eastAsia="宋体" w:cs="宋体"/>
                <w:color w:val="auto"/>
              </w:rPr>
            </w:pPr>
          </w:p>
          <w:p w14:paraId="4BA68BB2">
            <w:pPr>
              <w:rPr>
                <w:rFonts w:hint="eastAsia" w:ascii="Times New Roman" w:hAnsi="Times New Roman" w:eastAsia="宋体" w:cs="宋体"/>
                <w:color w:val="auto"/>
              </w:rPr>
            </w:pPr>
          </w:p>
          <w:p w14:paraId="57AA0D7D">
            <w:pPr>
              <w:pStyle w:val="13"/>
              <w:rPr>
                <w:color w:val="auto"/>
                <w:lang w:val="en-US" w:eastAsia="zh-CN"/>
              </w:rPr>
            </w:pPr>
          </w:p>
        </w:tc>
      </w:tr>
      <w:tr w14:paraId="422E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9" w:hRule="atLeast"/>
          <w:jc w:val="center"/>
        </w:trPr>
        <w:tc>
          <w:tcPr>
            <w:tcW w:w="426" w:type="dxa"/>
            <w:vAlign w:val="center"/>
          </w:tcPr>
          <w:p w14:paraId="0725272F">
            <w:pPr>
              <w:overflowPunct w:val="0"/>
              <w:autoSpaceDE w:val="0"/>
              <w:autoSpaceDN w:val="0"/>
              <w:adjustRightInd w:val="0"/>
              <w:snapToGrid w:val="0"/>
              <w:spacing w:line="500" w:lineRule="exact"/>
              <w:jc w:val="center"/>
              <w:rPr>
                <w:rFonts w:ascii="Times New Roman" w:hAnsi="Times New Roman" w:eastAsia="宋体" w:cs="宋体"/>
                <w:color w:val="auto"/>
              </w:rPr>
            </w:pPr>
            <w:r>
              <w:rPr>
                <w:rFonts w:hint="eastAsia" w:ascii="Times New Roman" w:hAnsi="Times New Roman" w:eastAsia="宋体" w:cs="宋体"/>
                <w:color w:val="auto"/>
              </w:rPr>
              <w:t>总量控制标准</w:t>
            </w:r>
          </w:p>
        </w:tc>
        <w:tc>
          <w:tcPr>
            <w:tcW w:w="8645" w:type="dxa"/>
            <w:vAlign w:val="center"/>
          </w:tcPr>
          <w:p w14:paraId="162A5615">
            <w:pPr>
              <w:overflowPunct w:val="0"/>
              <w:autoSpaceDE w:val="0"/>
              <w:autoSpaceDN w:val="0"/>
              <w:adjustRightInd w:val="0"/>
              <w:snapToGrid w:val="0"/>
              <w:spacing w:line="500" w:lineRule="exact"/>
              <w:ind w:firstLine="480" w:firstLineChars="200"/>
              <w:jc w:val="both"/>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根据自治区党委自治区人民政府印发的</w:t>
            </w:r>
            <w:r>
              <w:rPr>
                <w:rFonts w:hint="eastAsia" w:ascii="Times New Roman" w:hAnsi="Times New Roman" w:eastAsia="宋体" w:cs="Times New Roman"/>
                <w:color w:val="auto"/>
                <w:highlight w:val="none"/>
              </w:rPr>
              <w:t>《新疆生态环境保护“十四五”规划》</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新疆“</w:t>
            </w:r>
            <w:r>
              <w:rPr>
                <w:rFonts w:ascii="Times New Roman" w:hAnsi="Times New Roman" w:eastAsia="宋体" w:cs="Times New Roman"/>
                <w:color w:val="auto"/>
                <w:highlight w:val="none"/>
              </w:rPr>
              <w:t>十四五</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生态环境保护规划</w:t>
            </w:r>
            <w:r>
              <w:rPr>
                <w:rFonts w:hint="eastAsia" w:ascii="Times New Roman" w:hAnsi="Times New Roman" w:eastAsia="宋体" w:cs="Times New Roman"/>
                <w:color w:val="auto"/>
                <w:highlight w:val="none"/>
              </w:rPr>
              <w:t>总量控制指标为</w:t>
            </w:r>
            <w:r>
              <w:rPr>
                <w:rFonts w:ascii="Times New Roman" w:hAnsi="Times New Roman" w:eastAsia="宋体" w:cs="Times New Roman"/>
                <w:color w:val="auto"/>
                <w:highlight w:val="none"/>
              </w:rPr>
              <w:t>COD、氨氮、氮氧化物和VOCs。</w:t>
            </w:r>
          </w:p>
          <w:p w14:paraId="13A1E9B3">
            <w:pPr>
              <w:overflowPunct w:val="0"/>
              <w:autoSpaceDE w:val="0"/>
              <w:autoSpaceDN w:val="0"/>
              <w:adjustRightInd w:val="0"/>
              <w:snapToGrid w:val="0"/>
              <w:spacing w:before="0" w:after="0" w:line="500" w:lineRule="exact"/>
              <w:ind w:left="0" w:right="0" w:firstLine="480" w:firstLineChars="200"/>
              <w:jc w:val="both"/>
              <w:rPr>
                <w:rFonts w:ascii="Times New Roman" w:hAnsi="Times New Roman" w:eastAsia="宋体" w:cs="宋体"/>
                <w:snapToGrid w:val="0"/>
                <w:color w:val="auto"/>
                <w:szCs w:val="21"/>
              </w:rPr>
            </w:pPr>
            <w:r>
              <w:rPr>
                <w:rFonts w:ascii="Times New Roman" w:hAnsi="Times New Roman" w:eastAsia="宋体" w:cs="Times New Roman"/>
                <w:color w:val="auto"/>
                <w:kern w:val="2"/>
                <w:szCs w:val="24"/>
                <w:highlight w:val="none"/>
              </w:rPr>
              <w:t>本项目</w:t>
            </w:r>
            <w:r>
              <w:rPr>
                <w:rFonts w:hint="eastAsia" w:cs="Times New Roman"/>
                <w:color w:val="auto"/>
                <w:kern w:val="2"/>
                <w:szCs w:val="24"/>
                <w:highlight w:val="none"/>
                <w:lang w:val="en-US" w:eastAsia="zh-CN"/>
              </w:rPr>
              <w:t>生产废水、</w:t>
            </w:r>
            <w:r>
              <w:rPr>
                <w:rFonts w:hint="eastAsia" w:ascii="Times New Roman" w:hAnsi="Times New Roman" w:eastAsia="宋体" w:cs="Times New Roman"/>
                <w:color w:val="auto"/>
                <w:kern w:val="2"/>
                <w:szCs w:val="24"/>
                <w:highlight w:val="none"/>
              </w:rPr>
              <w:t>生活污水排入</w:t>
            </w:r>
            <w:r>
              <w:rPr>
                <w:rFonts w:hint="eastAsia" w:ascii="Times New Roman" w:hAnsi="Times New Roman" w:eastAsia="宋体" w:cs="Times New Roman"/>
                <w:color w:val="auto"/>
                <w:kern w:val="2"/>
                <w:szCs w:val="24"/>
                <w:highlight w:val="none"/>
                <w:lang w:val="en-US" w:eastAsia="zh-CN"/>
              </w:rPr>
              <w:t>污水处理厂</w:t>
            </w:r>
            <w:r>
              <w:rPr>
                <w:rFonts w:hint="eastAsia" w:ascii="Times New Roman" w:hAnsi="Times New Roman" w:eastAsia="宋体" w:cs="Times New Roman"/>
                <w:color w:val="auto"/>
                <w:kern w:val="2"/>
                <w:szCs w:val="24"/>
                <w:highlight w:val="none"/>
              </w:rPr>
              <w:t>，由污水处理厂进行调控</w:t>
            </w:r>
            <w:r>
              <w:rPr>
                <w:rFonts w:ascii="Times New Roman" w:hAnsi="Times New Roman" w:eastAsia="宋体" w:cs="Times New Roman"/>
                <w:color w:val="auto"/>
                <w:kern w:val="2"/>
                <w:szCs w:val="24"/>
                <w:highlight w:val="none"/>
              </w:rPr>
              <w:t>。</w:t>
            </w:r>
            <w:r>
              <w:rPr>
                <w:rFonts w:ascii="Times New Roman" w:hAnsi="Times New Roman" w:eastAsia="宋体" w:cs="Times New Roman"/>
                <w:color w:val="auto"/>
                <w:highlight w:val="none"/>
              </w:rPr>
              <w:t>根据本项目总量因子排放特点，</w:t>
            </w: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不进行总量申请。</w:t>
            </w:r>
          </w:p>
        </w:tc>
      </w:tr>
    </w:tbl>
    <w:p w14:paraId="5CC67E32">
      <w:pPr>
        <w:rPr>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940C72E">
      <w:pPr>
        <w:widowControl w:val="0"/>
        <w:numPr>
          <w:ilvl w:val="0"/>
          <w:numId w:val="3"/>
        </w:numPr>
        <w:overflowPunct w:val="0"/>
        <w:autoSpaceDE w:val="0"/>
        <w:autoSpaceDN w:val="0"/>
        <w:bidi w:val="0"/>
        <w:adjustRightInd w:val="0"/>
        <w:snapToGrid w:val="0"/>
        <w:spacing w:before="0" w:after="0" w:line="560" w:lineRule="exact"/>
        <w:ind w:left="0" w:right="0" w:firstLine="0" w:firstLineChars="0"/>
        <w:jc w:val="center"/>
        <w:outlineLvl w:val="0"/>
        <w:rPr>
          <w:rFonts w:ascii="Times New Roman" w:hAnsi="Times New Roman" w:eastAsia="宋体" w:cs="宋体"/>
          <w:b/>
          <w:color w:val="auto"/>
          <w:kern w:val="44"/>
          <w:sz w:val="28"/>
          <w:szCs w:val="22"/>
          <w:lang w:val="en-US" w:eastAsia="zh-CN" w:bidi="ar-SA"/>
        </w:rPr>
      </w:pPr>
      <w:bookmarkStart w:id="71" w:name="_Toc22281"/>
      <w:r>
        <w:rPr>
          <w:rFonts w:hint="eastAsia" w:ascii="Times New Roman" w:hAnsi="Times New Roman" w:eastAsia="宋体" w:cs="宋体"/>
          <w:b/>
          <w:color w:val="auto"/>
          <w:kern w:val="44"/>
          <w:sz w:val="28"/>
          <w:szCs w:val="22"/>
          <w:lang w:val="en-US" w:eastAsia="zh-CN" w:bidi="ar-SA"/>
        </w:rPr>
        <w:t>主要环境影响和保护措施</w:t>
      </w:r>
      <w:bookmarkEnd w:id="71"/>
    </w:p>
    <w:tbl>
      <w:tblPr>
        <w:tblStyle w:val="20"/>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45"/>
      </w:tblGrid>
      <w:tr w14:paraId="119B1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4" w:hRule="atLeast"/>
          <w:jc w:val="center"/>
        </w:trPr>
        <w:tc>
          <w:tcPr>
            <w:tcW w:w="426" w:type="dxa"/>
            <w:noWrap w:val="0"/>
            <w:tcMar>
              <w:left w:w="28" w:type="dxa"/>
              <w:right w:w="28" w:type="dxa"/>
            </w:tcMar>
            <w:vAlign w:val="center"/>
          </w:tcPr>
          <w:p w14:paraId="6FC4AC35">
            <w:pPr>
              <w:widowControl/>
              <w:overflowPunct w:val="0"/>
              <w:autoSpaceDE w:val="0"/>
              <w:autoSpaceDN w:val="0"/>
              <w:adjustRightInd w:val="0"/>
              <w:snapToGrid w:val="0"/>
              <w:spacing w:before="0" w:beforeAutospacing="0" w:after="0" w:afterAutospacing="0" w:line="360" w:lineRule="auto"/>
              <w:ind w:left="0" w:right="0" w:firstLine="480" w:firstLineChars="200"/>
              <w:jc w:val="center"/>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施施工期环保措施</w:t>
            </w:r>
          </w:p>
          <w:p w14:paraId="3679BCF9">
            <w:pPr>
              <w:widowControl/>
              <w:overflowPunct w:val="0"/>
              <w:autoSpaceDE w:val="0"/>
              <w:autoSpaceDN w:val="0"/>
              <w:adjustRightInd w:val="0"/>
              <w:snapToGrid w:val="0"/>
              <w:spacing w:before="0" w:beforeAutospacing="0" w:after="0" w:afterAutospacing="0" w:line="360" w:lineRule="auto"/>
              <w:ind w:left="0" w:right="0" w:firstLine="480" w:firstLineChars="20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施</w:t>
            </w:r>
          </w:p>
        </w:tc>
        <w:tc>
          <w:tcPr>
            <w:tcW w:w="8645" w:type="dxa"/>
            <w:noWrap w:val="0"/>
            <w:vAlign w:val="center"/>
          </w:tcPr>
          <w:p w14:paraId="2F93A7E3">
            <w:pPr>
              <w:pStyle w:val="4"/>
              <w:keepNext w:val="0"/>
              <w:keepLines w:val="0"/>
              <w:pageBreakBefore w:val="0"/>
              <w:widowControl w:val="0"/>
              <w:kinsoku/>
              <w:wordWrap/>
              <w:overflowPunct/>
              <w:topLinePunct w:val="0"/>
              <w:autoSpaceDE/>
              <w:autoSpaceDN/>
              <w:bidi w:val="0"/>
              <w:spacing w:line="480" w:lineRule="exact"/>
              <w:jc w:val="both"/>
              <w:textAlignment w:val="auto"/>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1、施工期大气环境保护措施</w:t>
            </w:r>
          </w:p>
          <w:p w14:paraId="1B75B112">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施工期间对环境空气影响最主要的是粉尘和施工机械、运输车辆的尾气排放。施工过程中场地平整、清除杂物、挖穴等过程会产生粉尘污染，车辆运输会引起二次扬尘。</w:t>
            </w:r>
          </w:p>
          <w:p w14:paraId="74817C3D">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具体环境保护措施如下：</w:t>
            </w:r>
          </w:p>
          <w:p w14:paraId="19D03421">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（1）对施工现场实行合理化管理，使砂石料统一堆放，水泥应在专门库房堆放，并尽量减少搬运环节，搬运时做到轻举轻放，防止包装袋破裂；</w:t>
            </w:r>
          </w:p>
          <w:p w14:paraId="387063FC">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（2）对作业面和土堆适当喷水，使其保持一定湿度，以减少扬尘量，而且开挖的泥土和建筑垃圾要及时运走，以防长期堆放表面干燥而起尘或被雨水冲刷；</w:t>
            </w:r>
          </w:p>
          <w:p w14:paraId="7FB292CE">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运输车辆应完好，不应装载过满，并尽量采取遮盖、密闭措施，减少沿途抛洒，并及时清扫散落在路面上的泥土和建筑材料，施工道路和场地应定时洒水压尘，运输车辆上路前应喷水冲洗轮胎，以减少运输过程中的扬尘；</w:t>
            </w:r>
          </w:p>
          <w:p w14:paraId="45439CE8">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（4）应首选使用商品混凝土，因需要必须进行现场搅拌砂浆、混凝土时，应尽量做到不洒、不漏、不剩、不倒；混凝土搅拌应设置在棚内，搅拌时要有喷雾降尘措施；</w:t>
            </w:r>
          </w:p>
          <w:p w14:paraId="33397424">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（5）施工现场要设围栏或部分围栏，缩小施工扬尘扩散范围；</w:t>
            </w:r>
          </w:p>
          <w:p w14:paraId="56D3B306">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（6）当风速过大时，应停止施工作业，并对堆存的砂粉等建筑材料采取遮盖措施。</w:t>
            </w:r>
          </w:p>
          <w:p w14:paraId="652AB479">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采取适当措施，严格控制施工期间产生的扬尘，确保能够满足《大气污染物综合排放标准》（GB16297-1996）表2中无组织排放监控浓度限值标准，措施可行。</w:t>
            </w:r>
          </w:p>
          <w:p w14:paraId="1B39FC04">
            <w:pPr>
              <w:pStyle w:val="4"/>
              <w:keepNext w:val="0"/>
              <w:keepLines w:val="0"/>
              <w:pageBreakBefore w:val="0"/>
              <w:widowControl w:val="0"/>
              <w:kinsoku/>
              <w:wordWrap/>
              <w:overflowPunct/>
              <w:topLinePunct w:val="0"/>
              <w:autoSpaceDE/>
              <w:autoSpaceDN/>
              <w:bidi w:val="0"/>
              <w:spacing w:line="480" w:lineRule="exact"/>
              <w:jc w:val="both"/>
              <w:textAlignment w:val="auto"/>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2、施工期水环境保护措施</w:t>
            </w:r>
          </w:p>
          <w:p w14:paraId="731489C9">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（1）生产废水</w:t>
            </w:r>
          </w:p>
          <w:p w14:paraId="32A01A63">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本项目施工废水主要来自施工材料养护排水，主要污染物是SS，水量较少。此类废水经沉淀池沉淀后循环使用，不排放。</w:t>
            </w:r>
          </w:p>
          <w:p w14:paraId="799F149B">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（2）生活废水</w:t>
            </w:r>
          </w:p>
          <w:p w14:paraId="7B87974D">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施工期间设立生活营地，施工期生活污水主要污染物为COD、BOD、SS、氨氮，施工期生活污水</w:t>
            </w:r>
            <w:r>
              <w:rPr>
                <w:rFonts w:hint="default" w:ascii="Times New Roman" w:hAnsi="Times New Roman" w:eastAsia="宋体" w:cs="Times New Roman"/>
                <w:color w:val="auto"/>
                <w:lang w:val="en-US" w:eastAsia="zh-CN"/>
              </w:rPr>
              <w:t>采用移动环保厕所，生活污水经收集，定期由吸污车拉运至污水处理厂处理</w:t>
            </w:r>
            <w:r>
              <w:rPr>
                <w:rFonts w:hint="default" w:ascii="Times New Roman" w:hAnsi="Times New Roman" w:eastAsia="宋体" w:cs="Times New Roman"/>
                <w:color w:val="auto"/>
              </w:rPr>
              <w:t>。</w:t>
            </w:r>
          </w:p>
          <w:p w14:paraId="262F81B1">
            <w:pPr>
              <w:pStyle w:val="4"/>
              <w:keepNext w:val="0"/>
              <w:keepLines w:val="0"/>
              <w:pageBreakBefore w:val="0"/>
              <w:widowControl w:val="0"/>
              <w:kinsoku/>
              <w:wordWrap/>
              <w:overflowPunct/>
              <w:topLinePunct w:val="0"/>
              <w:autoSpaceDE/>
              <w:autoSpaceDN/>
              <w:bidi w:val="0"/>
              <w:spacing w:line="480" w:lineRule="exact"/>
              <w:jc w:val="both"/>
              <w:textAlignment w:val="auto"/>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3、施工期声环境保护措施</w:t>
            </w:r>
          </w:p>
          <w:p w14:paraId="69B6C94C">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bookmarkStart w:id="72" w:name="_Toc231294638"/>
            <w:bookmarkStart w:id="73" w:name="_Toc231294740"/>
            <w:r>
              <w:rPr>
                <w:rFonts w:hint="default" w:ascii="Times New Roman" w:hAnsi="Times New Roman" w:eastAsia="宋体" w:cs="Times New Roman"/>
                <w:color w:val="auto"/>
                <w:lang w:val="en-US" w:eastAsia="zh-CN"/>
              </w:rPr>
              <w:t>施工期设备安装过程产生的噪声，主要来源于包括施工现场的各类机械设备、设备装卸碰撞噪声和机械设备调试噪声。</w:t>
            </w:r>
          </w:p>
          <w:p w14:paraId="198BBF2F">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（1）加强施工管理，合理安排作业时间，严格按照施工噪声管理的有关规定，夜间不得进行打桩作业；</w:t>
            </w:r>
          </w:p>
          <w:p w14:paraId="64A3B9B7">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（2）尽量采用低噪声施工设备和噪声低的施工方法；</w:t>
            </w:r>
          </w:p>
          <w:p w14:paraId="621997F2">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（3）作业时在高噪声设备周围设置屏蔽；</w:t>
            </w:r>
          </w:p>
          <w:p w14:paraId="4757B4D6">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（4）尽量采用商品混凝土；</w:t>
            </w:r>
          </w:p>
          <w:p w14:paraId="3C2D39C1">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（5）加强运输车辆的管理，运输尽量在白天进行，并控制车辆鸣笛。</w:t>
            </w:r>
          </w:p>
          <w:p w14:paraId="156AEA24">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通过上述措施，施工场界噪声可以达到《建筑施工场界环境噪声排放标准》 （GB12523-2011），对环境影响较小。</w:t>
            </w:r>
          </w:p>
          <w:p w14:paraId="45178561">
            <w:pPr>
              <w:pStyle w:val="4"/>
              <w:keepNext w:val="0"/>
              <w:keepLines w:val="0"/>
              <w:pageBreakBefore w:val="0"/>
              <w:widowControl w:val="0"/>
              <w:kinsoku/>
              <w:wordWrap/>
              <w:overflowPunct/>
              <w:topLinePunct w:val="0"/>
              <w:autoSpaceDE/>
              <w:autoSpaceDN/>
              <w:bidi w:val="0"/>
              <w:spacing w:line="480" w:lineRule="exact"/>
              <w:jc w:val="both"/>
              <w:textAlignment w:val="auto"/>
              <w:rPr>
                <w:rFonts w:hint="default" w:ascii="Times New Roman" w:hAnsi="Times New Roman" w:eastAsia="宋体" w:cs="Times New Roman"/>
                <w:color w:val="auto"/>
                <w:sz w:val="28"/>
                <w:szCs w:val="24"/>
                <w:lang w:val="en-US" w:eastAsia="zh-CN"/>
              </w:rPr>
            </w:pPr>
            <w:r>
              <w:rPr>
                <w:rFonts w:hint="default" w:ascii="Times New Roman" w:hAnsi="Times New Roman" w:eastAsia="宋体" w:cs="Times New Roman"/>
                <w:color w:val="auto"/>
                <w:sz w:val="28"/>
                <w:szCs w:val="24"/>
                <w:lang w:val="en-US" w:eastAsia="zh-CN"/>
              </w:rPr>
              <w:t>4、施工期固体废物</w:t>
            </w:r>
            <w:bookmarkEnd w:id="72"/>
            <w:bookmarkEnd w:id="73"/>
            <w:r>
              <w:rPr>
                <w:rFonts w:hint="default" w:ascii="Times New Roman" w:hAnsi="Times New Roman" w:eastAsia="宋体" w:cs="Times New Roman"/>
                <w:color w:val="auto"/>
                <w:sz w:val="28"/>
                <w:szCs w:val="24"/>
                <w:lang w:val="en-US" w:eastAsia="zh-CN"/>
              </w:rPr>
              <w:t>污染防治措施</w:t>
            </w:r>
          </w:p>
          <w:p w14:paraId="4F604C46">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施工期固废主要是施工建筑垃圾、废弃的包装材料、工人产生的生活垃圾等。</w:t>
            </w:r>
          </w:p>
          <w:p w14:paraId="7CBFF82B">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（1）建筑垃圾</w:t>
            </w:r>
          </w:p>
          <w:p w14:paraId="6454CD67">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项目施工过程中可能会产生</w:t>
            </w:r>
            <w:r>
              <w:rPr>
                <w:rFonts w:hint="default" w:ascii="Times New Roman" w:hAnsi="Times New Roman" w:eastAsia="宋体" w:cs="Times New Roman"/>
                <w:color w:val="auto"/>
                <w:lang w:val="en-US" w:eastAsia="zh-CN"/>
              </w:rPr>
              <w:t>少</w:t>
            </w:r>
            <w:r>
              <w:rPr>
                <w:rFonts w:hint="default" w:ascii="Times New Roman" w:hAnsi="Times New Roman" w:eastAsia="宋体" w:cs="Times New Roman"/>
                <w:color w:val="auto"/>
              </w:rPr>
              <w:t>量的建筑垃圾。施工建筑垃圾可作为筑路材料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定期</w:t>
            </w:r>
            <w:r>
              <w:rPr>
                <w:rFonts w:hint="default" w:ascii="Times New Roman" w:hAnsi="Times New Roman" w:eastAsia="宋体" w:cs="Times New Roman"/>
                <w:color w:val="auto"/>
              </w:rPr>
              <w:t>用封闭式废土运输车及时清运，并送到指定倾倒点处置，不得随意抛弃、转移和扩散</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部分废弃钢筋、钢板等可回收固废，集中收集后进行回用；</w:t>
            </w:r>
            <w:r>
              <w:rPr>
                <w:rFonts w:hint="default" w:ascii="Times New Roman" w:hAnsi="Times New Roman" w:eastAsia="宋体" w:cs="Times New Roman"/>
                <w:color w:val="auto"/>
              </w:rPr>
              <w:t>少量施工废料（包装废弃物等）可与生活垃圾一同处置，基本不会对环境造成影响。</w:t>
            </w:r>
          </w:p>
          <w:p w14:paraId="381EE9B9">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（2）生活垃圾</w:t>
            </w:r>
          </w:p>
          <w:p w14:paraId="48150A75">
            <w:pPr>
              <w:keepNext w:val="0"/>
              <w:keepLines w:val="0"/>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生活垃圾以有机类废物为主，其成</w:t>
            </w:r>
            <w:r>
              <w:rPr>
                <w:rFonts w:hint="eastAsia" w:cs="Times New Roman"/>
                <w:color w:val="auto"/>
                <w:lang w:val="en-US" w:eastAsia="zh-CN"/>
              </w:rPr>
              <w:t>分</w:t>
            </w:r>
            <w:r>
              <w:rPr>
                <w:rFonts w:hint="default" w:ascii="Times New Roman" w:hAnsi="Times New Roman" w:eastAsia="宋体" w:cs="Times New Roman"/>
                <w:color w:val="auto"/>
              </w:rPr>
              <w:t>为易拉罐、矿泉水瓶、塑料袋等。由于这些生活垃圾的污染物含量很高，由建设单位</w:t>
            </w:r>
            <w:r>
              <w:rPr>
                <w:rFonts w:hint="default" w:ascii="Times New Roman" w:hAnsi="Times New Roman" w:eastAsia="宋体" w:cs="Times New Roman"/>
                <w:color w:val="auto"/>
                <w:lang w:val="en-US" w:eastAsia="zh-CN"/>
              </w:rPr>
              <w:t>在施工区</w:t>
            </w:r>
            <w:r>
              <w:rPr>
                <w:rFonts w:hint="default" w:ascii="Times New Roman" w:hAnsi="Times New Roman" w:eastAsia="宋体" w:cs="Times New Roman"/>
                <w:color w:val="auto"/>
              </w:rPr>
              <w:t>设临时垃圾箱或有防护措施的堆放点收集后，统一运送至生活垃圾填埋场卫生填埋。</w:t>
            </w:r>
          </w:p>
          <w:p w14:paraId="176BED8E">
            <w:pPr>
              <w:keepNext w:val="0"/>
              <w:keepLines w:val="0"/>
              <w:pageBreakBefore w:val="0"/>
              <w:widowControl w:val="0"/>
              <w:kinsoku/>
              <w:wordWrap/>
              <w:overflowPunct/>
              <w:topLinePunct w:val="0"/>
              <w:autoSpaceDE/>
              <w:autoSpaceDN/>
              <w:bidi w:val="0"/>
              <w:adjustRightInd w:val="0"/>
              <w:snapToGrid w:val="0"/>
              <w:spacing w:before="0" w:after="0" w:line="480" w:lineRule="exact"/>
              <w:ind w:left="0" w:right="0" w:firstLine="480" w:firstLineChars="200"/>
              <w:jc w:val="both"/>
              <w:textAlignment w:val="auto"/>
              <w:rPr>
                <w:rFonts w:hint="eastAsia" w:ascii="Times New Roman" w:hAnsi="Times New Roman" w:eastAsia="宋体" w:cs="宋体"/>
                <w:color w:val="auto"/>
                <w:kern w:val="0"/>
                <w:sz w:val="24"/>
                <w:szCs w:val="24"/>
                <w:highlight w:val="none"/>
                <w:lang w:val="en-US" w:eastAsia="zh-CN" w:bidi="ar"/>
              </w:rPr>
            </w:pPr>
            <w:r>
              <w:rPr>
                <w:rFonts w:hint="default" w:ascii="Times New Roman" w:hAnsi="Times New Roman" w:eastAsia="宋体" w:cs="Times New Roman"/>
                <w:color w:val="auto"/>
              </w:rPr>
              <w:t>经以上分析可知，根据各类固体废物的不同特点，分别采取不同的、行之有效的处理措施，项目建设过程中产生的各类固体废物均可得到妥善的、合理可行的处理处置，并将其对周围环境带来的影响降低到最低程度。</w:t>
            </w:r>
          </w:p>
        </w:tc>
      </w:tr>
    </w:tbl>
    <w:p w14:paraId="7904C2E1">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91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713"/>
      </w:tblGrid>
      <w:tr w14:paraId="2FF94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8" w:hRule="atLeast"/>
          <w:jc w:val="center"/>
        </w:trPr>
        <w:tc>
          <w:tcPr>
            <w:tcW w:w="434" w:type="dxa"/>
            <w:noWrap w:val="0"/>
            <w:tcMar>
              <w:left w:w="28" w:type="dxa"/>
              <w:right w:w="28" w:type="dxa"/>
            </w:tcMar>
            <w:vAlign w:val="center"/>
          </w:tcPr>
          <w:p w14:paraId="6D60DE47">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right="0" w:rightChars="0" w:firstLine="0"/>
              <w:jc w:val="center"/>
              <w:textAlignment w:val="auto"/>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运</w:t>
            </w:r>
          </w:p>
          <w:p w14:paraId="486A527B">
            <w:pPr>
              <w:keepNext w:val="0"/>
              <w:keepLines w:val="0"/>
              <w:pageBreakBefore w:val="0"/>
              <w:kinsoku/>
              <w:wordWrap/>
              <w:overflowPunct/>
              <w:topLinePunct w:val="0"/>
              <w:autoSpaceDE/>
              <w:autoSpaceDN/>
              <w:bidi w:val="0"/>
              <w:adjustRightInd/>
              <w:snapToGrid/>
              <w:spacing w:line="360" w:lineRule="auto"/>
              <w:ind w:right="0" w:rightChars="0" w:firstLine="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kern w:val="2"/>
                <w:sz w:val="24"/>
                <w:szCs w:val="24"/>
                <w:highlight w:val="none"/>
                <w:lang w:val="en-US" w:eastAsia="zh-CN" w:bidi="ar-SA"/>
              </w:rPr>
              <w:t>运营期环保措施</w:t>
            </w:r>
          </w:p>
        </w:tc>
        <w:tc>
          <w:tcPr>
            <w:tcW w:w="8637" w:type="dxa"/>
            <w:noWrap w:val="0"/>
            <w:vAlign w:val="center"/>
          </w:tcPr>
          <w:p w14:paraId="5CB4AE26">
            <w:pPr>
              <w:widowControl w:val="0"/>
              <w:overflowPunct w:val="0"/>
              <w:autoSpaceDE w:val="0"/>
              <w:autoSpaceDN w:val="0"/>
              <w:bidi w:val="0"/>
              <w:adjustRightInd w:val="0"/>
              <w:snapToGrid w:val="0"/>
              <w:spacing w:before="0" w:after="0" w:line="360" w:lineRule="auto"/>
              <w:ind w:right="0"/>
              <w:jc w:val="left"/>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1、</w:t>
            </w:r>
            <w:r>
              <w:rPr>
                <w:rFonts w:hint="eastAsia" w:ascii="Times New Roman" w:hAnsi="Times New Roman" w:eastAsia="宋体" w:cs="黑体"/>
                <w:b/>
                <w:color w:val="auto"/>
                <w:sz w:val="28"/>
                <w:szCs w:val="30"/>
                <w:lang w:val="en-US" w:eastAsia="zh-CN" w:bidi="ar-SA"/>
              </w:rPr>
              <w:t>废气</w:t>
            </w:r>
          </w:p>
          <w:p w14:paraId="78ADFB41">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宋体"/>
                <w:b/>
                <w:bCs/>
                <w:color w:val="auto"/>
                <w:kern w:val="0"/>
                <w:sz w:val="24"/>
                <w:szCs w:val="24"/>
                <w:highlight w:val="none"/>
                <w:lang w:val="en-US" w:eastAsia="zh-CN" w:bidi="ar"/>
              </w:rPr>
            </w:pPr>
            <w:r>
              <w:rPr>
                <w:rFonts w:hint="eastAsia" w:cs="宋体"/>
                <w:b/>
                <w:bCs/>
                <w:color w:val="auto"/>
                <w:kern w:val="0"/>
                <w:sz w:val="24"/>
                <w:szCs w:val="24"/>
                <w:highlight w:val="none"/>
                <w:lang w:val="en-US" w:eastAsia="zh-CN" w:bidi="ar"/>
              </w:rPr>
              <w:t>1.1</w:t>
            </w:r>
            <w:r>
              <w:rPr>
                <w:rFonts w:hint="eastAsia" w:ascii="Times New Roman" w:hAnsi="Times New Roman" w:eastAsia="宋体" w:cs="宋体"/>
                <w:b/>
                <w:bCs/>
                <w:color w:val="auto"/>
                <w:kern w:val="0"/>
                <w:sz w:val="24"/>
                <w:szCs w:val="24"/>
                <w:highlight w:val="none"/>
                <w:lang w:val="en-US" w:eastAsia="zh-CN" w:bidi="ar"/>
              </w:rPr>
              <w:t>废气产排情况</w:t>
            </w:r>
          </w:p>
          <w:p w14:paraId="129F253B">
            <w:pPr>
              <w:widowControl w:val="0"/>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本项目废气主要为项目车间内烂果暂存及污水处理站产生的恶臭气体。</w:t>
            </w:r>
          </w:p>
          <w:p w14:paraId="525B6C11">
            <w:pPr>
              <w:widowControl w:val="0"/>
              <w:overflowPunct/>
              <w:autoSpaceDE/>
              <w:autoSpaceDN/>
              <w:adjustRightInd/>
              <w:snapToGrid/>
              <w:spacing w:before="0" w:after="0" w:line="360" w:lineRule="auto"/>
              <w:ind w:left="0" w:right="0" w:firstLine="480" w:firstLineChars="200"/>
              <w:jc w:val="both"/>
              <w:rPr>
                <w:rFonts w:hint="eastAsia"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本项目废气产排污节点、污染物及污染治理设施信息见表 4.2-1，废气污染源源强核算结果及相关参数见表 4.2-2。</w:t>
            </w:r>
          </w:p>
          <w:p w14:paraId="430568D2">
            <w:pPr>
              <w:widowControl w:val="0"/>
              <w:autoSpaceDE w:val="0"/>
              <w:autoSpaceDN w:val="0"/>
              <w:adjustRightInd w:val="0"/>
              <w:spacing w:line="360" w:lineRule="auto"/>
              <w:ind w:firstLine="480" w:firstLineChars="200"/>
              <w:rPr>
                <w:rFonts w:hint="eastAsia" w:cs="Times New Roman"/>
                <w:snapToGrid w:val="0"/>
                <w:color w:val="auto"/>
                <w:sz w:val="24"/>
                <w:szCs w:val="24"/>
                <w:highlight w:val="none"/>
                <w:lang w:val="en-US" w:eastAsia="zh-CN" w:bidi="ar-SA"/>
              </w:rPr>
            </w:pPr>
            <w:r>
              <w:rPr>
                <w:rFonts w:hint="eastAsia" w:ascii="Times New Roman" w:hAnsi="Times New Roman" w:cs="Times New Roman"/>
                <w:color w:val="auto"/>
                <w:sz w:val="24"/>
                <w:szCs w:val="24"/>
                <w:lang w:val="en-US" w:eastAsia="zh-CN" w:bidi="ar-SA"/>
              </w:rPr>
              <w:t>①</w:t>
            </w:r>
            <w:r>
              <w:rPr>
                <w:rFonts w:hint="eastAsia" w:cs="Times New Roman"/>
                <w:snapToGrid w:val="0"/>
                <w:color w:val="auto"/>
                <w:sz w:val="24"/>
                <w:szCs w:val="24"/>
                <w:highlight w:val="none"/>
                <w:lang w:val="en-US" w:eastAsia="zh-CN" w:bidi="ar-SA"/>
              </w:rPr>
              <w:t>生产车间内原料果、烂果暂存恶臭气体</w:t>
            </w:r>
          </w:p>
          <w:p w14:paraId="1F1A3376">
            <w:pPr>
              <w:widowControl w:val="0"/>
              <w:autoSpaceDE w:val="0"/>
              <w:autoSpaceDN w:val="0"/>
              <w:adjustRightInd w:val="0"/>
              <w:spacing w:line="360" w:lineRule="auto"/>
              <w:ind w:firstLine="480" w:firstLineChars="200"/>
              <w:rPr>
                <w:rFonts w:hint="default" w:ascii="Times New Roman" w:hAnsi="Times New Roman" w:cs="Times New Roman"/>
                <w:color w:val="auto"/>
                <w:sz w:val="24"/>
                <w:szCs w:val="24"/>
                <w:lang w:val="en-US" w:eastAsia="zh-CN" w:bidi="ar-SA"/>
              </w:rPr>
            </w:pPr>
            <w:r>
              <w:rPr>
                <w:rFonts w:hint="eastAsia" w:cs="Times New Roman"/>
                <w:snapToGrid w:val="0"/>
                <w:color w:val="auto"/>
                <w:sz w:val="24"/>
                <w:szCs w:val="24"/>
                <w:highlight w:val="none"/>
                <w:lang w:val="en-US" w:eastAsia="zh-CN" w:bidi="ar-SA"/>
              </w:rPr>
              <w:t>项目生产车间内原料果、烂果暂存过程产生少量异味气体，产生量较小，为进一步保障工作环境，本次环评要求在车间布置排气扇等换气设施，加强车间与外界空气的交换与流通，并采取加强生产管理，做到烂果及时清运处理，加强厂区绿化等措施进一步减小烂果暂存过程恶臭气体排放</w:t>
            </w:r>
            <w:r>
              <w:rPr>
                <w:rFonts w:hint="eastAsia" w:ascii="Times New Roman" w:hAnsi="Times New Roman" w:eastAsia="宋体" w:cs="Times New Roman"/>
                <w:color w:val="auto"/>
                <w:sz w:val="24"/>
                <w:szCs w:val="24"/>
                <w:lang w:val="en-US" w:eastAsia="zh-CN" w:bidi="ar-SA"/>
              </w:rPr>
              <w:t>，对周边影响较小</w:t>
            </w:r>
            <w:r>
              <w:rPr>
                <w:rFonts w:hint="default" w:ascii="Times New Roman" w:hAnsi="Times New Roman" w:eastAsia="宋体" w:cs="Times New Roman"/>
                <w:color w:val="auto"/>
                <w:sz w:val="24"/>
                <w:szCs w:val="24"/>
                <w:lang w:val="en-US" w:eastAsia="zh-CN" w:bidi="ar-SA"/>
              </w:rPr>
              <w:t>，本环评不进行定量分析。</w:t>
            </w:r>
          </w:p>
          <w:p w14:paraId="0C4972B1">
            <w:pPr>
              <w:widowControl w:val="0"/>
              <w:autoSpaceDE w:val="0"/>
              <w:autoSpaceDN w:val="0"/>
              <w:adjustRightInd w:val="0"/>
              <w:spacing w:line="360" w:lineRule="auto"/>
              <w:ind w:firstLine="480" w:firstLineChars="200"/>
              <w:rPr>
                <w:rFonts w:hint="default" w:cs="Times New Roman"/>
                <w:snapToGrid w:val="0"/>
                <w:color w:val="auto"/>
                <w:sz w:val="24"/>
                <w:szCs w:val="24"/>
                <w:highlight w:val="none"/>
                <w:lang w:val="en-US" w:eastAsia="zh-CN" w:bidi="ar-SA"/>
              </w:rPr>
            </w:pPr>
            <w:r>
              <w:rPr>
                <w:rFonts w:hint="eastAsia" w:ascii="Times New Roman" w:hAnsi="Times New Roman" w:cs="Times New Roman"/>
                <w:color w:val="auto"/>
                <w:sz w:val="24"/>
                <w:szCs w:val="24"/>
                <w:lang w:val="en-US" w:eastAsia="zh-CN" w:bidi="ar-SA"/>
              </w:rPr>
              <w:t>②</w:t>
            </w:r>
            <w:r>
              <w:rPr>
                <w:rFonts w:hint="eastAsia" w:cs="Times New Roman"/>
                <w:snapToGrid w:val="0"/>
                <w:color w:val="auto"/>
                <w:sz w:val="24"/>
                <w:szCs w:val="24"/>
                <w:highlight w:val="none"/>
                <w:lang w:val="en-US" w:eastAsia="zh-CN" w:bidi="ar-SA"/>
              </w:rPr>
              <w:t>污水处理站产生的恶臭气体</w:t>
            </w:r>
          </w:p>
          <w:p w14:paraId="67D202F9">
            <w:pPr>
              <w:widowControl w:val="0"/>
              <w:autoSpaceDE w:val="0"/>
              <w:autoSpaceDN w:val="0"/>
              <w:adjustRightInd w:val="0"/>
              <w:spacing w:line="360" w:lineRule="auto"/>
              <w:ind w:firstLine="480" w:firstLineChars="200"/>
              <w:rPr>
                <w:rFonts w:hint="default" w:ascii="Times New Roman" w:hAnsi="Times New Roman" w:cs="Times New Roman"/>
                <w:color w:val="auto"/>
                <w:sz w:val="24"/>
                <w:szCs w:val="24"/>
                <w:highlight w:val="green"/>
                <w:lang w:val="en-US" w:eastAsia="zh-CN" w:bidi="ar-SA"/>
              </w:rPr>
            </w:pPr>
            <w:r>
              <w:rPr>
                <w:rFonts w:hint="default" w:ascii="Times New Roman" w:hAnsi="Times New Roman" w:eastAsia="宋体" w:cs="Times New Roman"/>
                <w:color w:val="auto"/>
                <w:sz w:val="24"/>
                <w:szCs w:val="24"/>
                <w:lang w:val="en-US" w:eastAsia="zh-CN" w:bidi="ar-SA"/>
              </w:rPr>
              <w:t>本项目</w:t>
            </w:r>
            <w:r>
              <w:rPr>
                <w:rFonts w:hint="eastAsia" w:eastAsia="宋体" w:cs="Times New Roman"/>
                <w:color w:val="auto"/>
                <w:sz w:val="24"/>
                <w:szCs w:val="24"/>
                <w:lang w:val="en-US" w:eastAsia="zh-CN" w:bidi="ar-SA"/>
              </w:rPr>
              <w:t>生产</w:t>
            </w:r>
            <w:r>
              <w:rPr>
                <w:rFonts w:hint="default" w:ascii="Times New Roman" w:hAnsi="Times New Roman" w:eastAsia="宋体" w:cs="Times New Roman"/>
                <w:color w:val="auto"/>
                <w:sz w:val="24"/>
                <w:szCs w:val="24"/>
                <w:lang w:val="en-US" w:eastAsia="zh-CN" w:bidi="ar-SA"/>
              </w:rPr>
              <w:t>废水在污水处理设施构筑物停留过程中会产生恶臭废气，根据美国 EPA对城市污水处理站恶臭污染物产生情</w:t>
            </w:r>
            <w:r>
              <w:rPr>
                <w:rFonts w:hint="default" w:ascii="Times New Roman" w:hAnsi="Times New Roman" w:eastAsia="宋体" w:cs="Times New Roman"/>
                <w:color w:val="auto"/>
                <w:sz w:val="24"/>
                <w:szCs w:val="24"/>
                <w:highlight w:val="none"/>
                <w:lang w:val="en-US" w:eastAsia="zh-CN" w:bidi="ar-SA"/>
              </w:rPr>
              <w:t>况研究：每处理1gBOD</w:t>
            </w:r>
            <w:r>
              <w:rPr>
                <w:rFonts w:hint="default" w:ascii="Times New Roman" w:hAnsi="Times New Roman" w:eastAsia="宋体" w:cs="Times New Roman"/>
                <w:color w:val="auto"/>
                <w:sz w:val="24"/>
                <w:szCs w:val="24"/>
                <w:highlight w:val="none"/>
                <w:vertAlign w:val="subscript"/>
                <w:lang w:val="en-US" w:eastAsia="zh-CN" w:bidi="ar-SA"/>
              </w:rPr>
              <w:t>5</w:t>
            </w:r>
            <w:r>
              <w:rPr>
                <w:rFonts w:hint="default" w:ascii="Times New Roman" w:hAnsi="Times New Roman" w:eastAsia="宋体" w:cs="Times New Roman"/>
                <w:color w:val="auto"/>
                <w:sz w:val="24"/>
                <w:szCs w:val="24"/>
                <w:highlight w:val="none"/>
                <w:lang w:val="en-US" w:eastAsia="zh-CN" w:bidi="ar-SA"/>
              </w:rPr>
              <w:t>可产生0.0031g的NH</w:t>
            </w:r>
            <w:r>
              <w:rPr>
                <w:rFonts w:hint="default" w:ascii="Times New Roman" w:hAnsi="Times New Roman" w:eastAsia="宋体" w:cs="Times New Roman"/>
                <w:color w:val="auto"/>
                <w:sz w:val="24"/>
                <w:szCs w:val="24"/>
                <w:highlight w:val="none"/>
                <w:vertAlign w:val="subscript"/>
                <w:lang w:val="en-US" w:eastAsia="zh-CN" w:bidi="ar-SA"/>
              </w:rPr>
              <w:t>3</w:t>
            </w:r>
            <w:r>
              <w:rPr>
                <w:rFonts w:hint="default" w:ascii="Times New Roman" w:hAnsi="Times New Roman" w:eastAsia="宋体" w:cs="Times New Roman"/>
                <w:color w:val="auto"/>
                <w:sz w:val="24"/>
                <w:szCs w:val="24"/>
                <w:highlight w:val="none"/>
                <w:lang w:val="en-US" w:eastAsia="zh-CN" w:bidi="ar-SA"/>
              </w:rPr>
              <w:t>和0.00012g的H</w:t>
            </w:r>
            <w:r>
              <w:rPr>
                <w:rFonts w:hint="default" w:ascii="Times New Roman" w:hAnsi="Times New Roman" w:eastAsia="宋体" w:cs="Times New Roman"/>
                <w:color w:val="auto"/>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lang w:val="en-US" w:eastAsia="zh-CN" w:bidi="ar-SA"/>
              </w:rPr>
              <w:t>S，</w:t>
            </w:r>
            <w:r>
              <w:rPr>
                <w:rFonts w:hint="eastAsia" w:cs="Times New Roman"/>
                <w:color w:val="auto"/>
                <w:sz w:val="24"/>
                <w:szCs w:val="24"/>
                <w:highlight w:val="none"/>
                <w:lang w:val="en-US" w:eastAsia="zh-CN" w:bidi="ar-SA"/>
              </w:rPr>
              <w:t>本项目年处理生产废水预计</w:t>
            </w:r>
            <w:r>
              <w:rPr>
                <w:rFonts w:hint="eastAsia" w:cs="宋体"/>
                <w:color w:val="auto"/>
                <w:sz w:val="24"/>
                <w:szCs w:val="24"/>
                <w:lang w:val="en-US" w:eastAsia="zh-CN"/>
              </w:rPr>
              <w:t>15034.88</w:t>
            </w:r>
            <w:r>
              <w:rPr>
                <w:rFonts w:hint="eastAsia"/>
                <w:color w:val="auto"/>
                <w:sz w:val="24"/>
                <w:szCs w:val="24"/>
                <w:lang w:val="en-US" w:eastAsia="zh-CN"/>
              </w:rPr>
              <w:t>t/a</w:t>
            </w:r>
            <w:r>
              <w:rPr>
                <w:rFonts w:hint="eastAsia" w:cs="Times New Roman"/>
                <w:color w:val="auto"/>
                <w:sz w:val="24"/>
                <w:szCs w:val="24"/>
                <w:highlight w:val="none"/>
                <w:lang w:val="en-US" w:eastAsia="zh-CN" w:bidi="ar-SA"/>
              </w:rPr>
              <w:t>m</w:t>
            </w:r>
            <w:r>
              <w:rPr>
                <w:rFonts w:hint="eastAsia" w:cs="Times New Roman"/>
                <w:color w:val="auto"/>
                <w:sz w:val="24"/>
                <w:szCs w:val="24"/>
                <w:highlight w:val="none"/>
                <w:vertAlign w:val="superscript"/>
                <w:lang w:val="en-US" w:eastAsia="zh-CN" w:bidi="ar-SA"/>
              </w:rPr>
              <w:t>3</w:t>
            </w:r>
            <w:r>
              <w:rPr>
                <w:rFonts w:hint="eastAsia" w:cs="Times New Roman"/>
                <w:color w:val="auto"/>
                <w:sz w:val="24"/>
                <w:szCs w:val="24"/>
                <w:highlight w:val="none"/>
                <w:lang w:val="en-US" w:eastAsia="zh-CN" w:bidi="ar-SA"/>
              </w:rPr>
              <w:t>/a，根据</w:t>
            </w:r>
            <w:r>
              <w:rPr>
                <w:rFonts w:hint="eastAsia" w:ascii="Times New Roman" w:hAnsi="Times New Roman" w:eastAsia="宋体" w:cs="宋体"/>
                <w:color w:val="auto"/>
                <w:highlight w:val="none"/>
                <w:lang w:val="en-US" w:eastAsia="zh-CN"/>
              </w:rPr>
              <w:t>《排污许可证申请与核发技术规范 酒、饮料制造工业》（HJ1028-2019）</w:t>
            </w:r>
            <w:r>
              <w:rPr>
                <w:rFonts w:hint="eastAsia" w:cs="Times New Roman"/>
                <w:color w:val="auto"/>
                <w:sz w:val="24"/>
                <w:szCs w:val="24"/>
                <w:highlight w:val="none"/>
                <w:lang w:val="en-US" w:eastAsia="zh-CN" w:bidi="ar-SA"/>
              </w:rPr>
              <w:t>，生产废水水质：BOD</w:t>
            </w:r>
            <w:r>
              <w:rPr>
                <w:rFonts w:hint="eastAsia" w:cs="Times New Roman"/>
                <w:color w:val="auto"/>
                <w:sz w:val="24"/>
                <w:szCs w:val="24"/>
                <w:highlight w:val="none"/>
                <w:vertAlign w:val="subscript"/>
                <w:lang w:val="en-US" w:eastAsia="zh-CN" w:bidi="ar-SA"/>
              </w:rPr>
              <w:t>5</w:t>
            </w:r>
            <w:r>
              <w:rPr>
                <w:rFonts w:hint="eastAsia" w:cs="Times New Roman"/>
                <w:color w:val="auto"/>
                <w:sz w:val="24"/>
                <w:szCs w:val="24"/>
                <w:highlight w:val="none"/>
                <w:vertAlign w:val="baseline"/>
                <w:lang w:val="en-US" w:eastAsia="zh-CN" w:bidi="ar-SA"/>
              </w:rPr>
              <w:t>浓度：</w:t>
            </w:r>
            <w:r>
              <w:rPr>
                <w:rFonts w:hint="eastAsia"/>
                <w:color w:val="auto"/>
                <w:sz w:val="24"/>
                <w:szCs w:val="24"/>
                <w:highlight w:val="none"/>
                <w:lang w:val="en-US" w:eastAsia="zh-CN"/>
              </w:rPr>
              <w:t>16475.62mg/L</w:t>
            </w:r>
            <w:r>
              <w:rPr>
                <w:rFonts w:hint="eastAsia" w:cs="Times New Roman"/>
                <w:color w:val="auto"/>
                <w:sz w:val="24"/>
                <w:szCs w:val="24"/>
                <w:highlight w:val="none"/>
                <w:lang w:val="en-US" w:eastAsia="zh-CN" w:bidi="ar-SA"/>
              </w:rPr>
              <w:t>、处理后BOD</w:t>
            </w:r>
            <w:r>
              <w:rPr>
                <w:rFonts w:hint="eastAsia" w:cs="Times New Roman"/>
                <w:color w:val="auto"/>
                <w:sz w:val="24"/>
                <w:szCs w:val="24"/>
                <w:highlight w:val="none"/>
                <w:vertAlign w:val="subscript"/>
                <w:lang w:val="en-US" w:eastAsia="zh-CN" w:bidi="ar-SA"/>
              </w:rPr>
              <w:t>5</w:t>
            </w:r>
            <w:r>
              <w:rPr>
                <w:rFonts w:hint="eastAsia" w:cs="Times New Roman"/>
                <w:color w:val="auto"/>
                <w:sz w:val="24"/>
                <w:szCs w:val="24"/>
                <w:highlight w:val="none"/>
                <w:vertAlign w:val="baseline"/>
                <w:lang w:val="en-US" w:eastAsia="zh-CN" w:bidi="ar-SA"/>
              </w:rPr>
              <w:t>浓度：</w:t>
            </w:r>
            <w:r>
              <w:rPr>
                <w:rFonts w:hint="eastAsia" w:cs="Times New Roman"/>
                <w:color w:val="auto"/>
                <w:sz w:val="24"/>
                <w:szCs w:val="24"/>
                <w:highlight w:val="none"/>
                <w:lang w:val="en-US" w:eastAsia="zh-CN" w:bidi="ar-SA"/>
              </w:rPr>
              <w:t>300mg/L，则BOD</w:t>
            </w:r>
            <w:r>
              <w:rPr>
                <w:rFonts w:hint="eastAsia" w:cs="Times New Roman"/>
                <w:color w:val="auto"/>
                <w:sz w:val="24"/>
                <w:szCs w:val="24"/>
                <w:highlight w:val="none"/>
                <w:vertAlign w:val="subscript"/>
                <w:lang w:val="en-US" w:eastAsia="zh-CN" w:bidi="ar-SA"/>
              </w:rPr>
              <w:t>5</w:t>
            </w:r>
            <w:r>
              <w:rPr>
                <w:rFonts w:hint="eastAsia" w:cs="Times New Roman"/>
                <w:color w:val="auto"/>
                <w:sz w:val="24"/>
                <w:szCs w:val="24"/>
                <w:highlight w:val="none"/>
                <w:lang w:val="en-US" w:eastAsia="zh-CN" w:bidi="ar-SA"/>
              </w:rPr>
              <w:t>处理量为243.198354t/a。因此产生的H</w:t>
            </w:r>
            <w:r>
              <w:rPr>
                <w:rFonts w:hint="eastAsia" w:cs="Times New Roman"/>
                <w:color w:val="auto"/>
                <w:sz w:val="24"/>
                <w:szCs w:val="24"/>
                <w:highlight w:val="none"/>
                <w:vertAlign w:val="subscript"/>
                <w:lang w:val="en-US" w:eastAsia="zh-CN" w:bidi="ar-SA"/>
              </w:rPr>
              <w:t>2</w:t>
            </w:r>
            <w:r>
              <w:rPr>
                <w:rFonts w:hint="eastAsia" w:cs="Times New Roman"/>
                <w:color w:val="auto"/>
                <w:sz w:val="24"/>
                <w:szCs w:val="24"/>
                <w:highlight w:val="none"/>
                <w:lang w:val="en-US" w:eastAsia="zh-CN" w:bidi="ar-SA"/>
              </w:rPr>
              <w:t>S量为0.0292t/a，产生的NH</w:t>
            </w:r>
            <w:r>
              <w:rPr>
                <w:rFonts w:hint="eastAsia" w:cs="Times New Roman"/>
                <w:color w:val="auto"/>
                <w:sz w:val="24"/>
                <w:szCs w:val="24"/>
                <w:highlight w:val="none"/>
                <w:vertAlign w:val="subscript"/>
                <w:lang w:val="en-US" w:eastAsia="zh-CN" w:bidi="ar-SA"/>
              </w:rPr>
              <w:t>3</w:t>
            </w:r>
            <w:r>
              <w:rPr>
                <w:rFonts w:hint="eastAsia" w:cs="Times New Roman"/>
                <w:color w:val="auto"/>
                <w:sz w:val="24"/>
                <w:szCs w:val="24"/>
                <w:highlight w:val="none"/>
                <w:lang w:val="en-US" w:eastAsia="zh-CN" w:bidi="ar-SA"/>
              </w:rPr>
              <w:t>量为0.754t/a，</w:t>
            </w:r>
            <w:r>
              <w:rPr>
                <w:rFonts w:hint="default" w:ascii="Times New Roman" w:hAnsi="Times New Roman" w:eastAsia="宋体" w:cs="Times New Roman"/>
                <w:color w:val="auto"/>
                <w:sz w:val="24"/>
                <w:szCs w:val="24"/>
                <w:highlight w:val="none"/>
                <w:lang w:val="en-US" w:eastAsia="zh-CN" w:bidi="ar-SA"/>
              </w:rPr>
              <w:t>项目</w:t>
            </w:r>
            <w:r>
              <w:rPr>
                <w:rFonts w:hint="eastAsia" w:cs="Times New Roman"/>
                <w:color w:val="auto"/>
                <w:sz w:val="24"/>
                <w:szCs w:val="24"/>
                <w:highlight w:val="none"/>
                <w:lang w:val="en-US" w:eastAsia="zh-CN" w:bidi="ar-SA"/>
              </w:rPr>
              <w:t>区对污水处理站采取封闭加盖+喷洒除臭剂，减少恶臭废气的产生</w:t>
            </w:r>
            <w:r>
              <w:rPr>
                <w:rFonts w:hint="eastAsia" w:cs="Times New Roman"/>
                <w:snapToGrid w:val="0"/>
                <w:color w:val="auto"/>
                <w:sz w:val="24"/>
                <w:szCs w:val="24"/>
                <w:highlight w:val="none"/>
                <w:lang w:val="en-US" w:eastAsia="zh-CN" w:bidi="ar-SA"/>
              </w:rPr>
              <w:t>。</w:t>
            </w:r>
          </w:p>
          <w:p w14:paraId="2B100CA0">
            <w:pPr>
              <w:tabs>
                <w:tab w:val="left" w:pos="6295"/>
              </w:tabs>
              <w:overflowPunct/>
              <w:autoSpaceDE/>
              <w:autoSpaceDN/>
              <w:adjustRightInd/>
              <w:snapToGrid/>
              <w:spacing w:before="0" w:after="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废气产生和排放情况见表</w:t>
            </w:r>
            <w:r>
              <w:rPr>
                <w:rFonts w:hint="eastAsia" w:ascii="Times New Roman" w:hAnsi="Times New Roman" w:eastAsia="宋体" w:cs="Times New Roman"/>
                <w:color w:val="auto"/>
                <w:kern w:val="2"/>
                <w:sz w:val="24"/>
                <w:szCs w:val="24"/>
                <w:lang w:val="en-US" w:eastAsia="zh-CN"/>
              </w:rPr>
              <w:t>4.</w:t>
            </w:r>
            <w:r>
              <w:rPr>
                <w:rFonts w:hint="eastAsia" w:cs="Times New Roman"/>
                <w:color w:val="auto"/>
                <w:kern w:val="2"/>
                <w:sz w:val="24"/>
                <w:szCs w:val="24"/>
                <w:lang w:val="en-US" w:eastAsia="zh-CN"/>
              </w:rPr>
              <w:t>1</w:t>
            </w:r>
            <w:r>
              <w:rPr>
                <w:rFonts w:hint="eastAsia" w:ascii="Times New Roman" w:hAnsi="Times New Roman" w:eastAsia="宋体" w:cs="Times New Roman"/>
                <w:color w:val="auto"/>
                <w:kern w:val="2"/>
                <w:sz w:val="24"/>
                <w:szCs w:val="24"/>
                <w:lang w:val="en-US" w:eastAsia="zh-CN"/>
              </w:rPr>
              <w:t>-</w:t>
            </w:r>
            <w:r>
              <w:rPr>
                <w:rFonts w:hint="eastAsia" w:cs="Times New Roman"/>
                <w:color w:val="auto"/>
                <w:kern w:val="2"/>
                <w:sz w:val="24"/>
                <w:szCs w:val="24"/>
                <w:lang w:val="en-US" w:eastAsia="zh-CN"/>
              </w:rPr>
              <w:t>1</w:t>
            </w:r>
            <w:r>
              <w:rPr>
                <w:rFonts w:hint="default" w:ascii="Times New Roman" w:hAnsi="Times New Roman" w:eastAsia="宋体" w:cs="Times New Roman"/>
                <w:color w:val="auto"/>
                <w:kern w:val="2"/>
                <w:sz w:val="24"/>
                <w:szCs w:val="24"/>
              </w:rPr>
              <w:t>。</w:t>
            </w:r>
          </w:p>
          <w:p w14:paraId="01893EB7">
            <w:pPr>
              <w:widowControl w:val="0"/>
              <w:overflowPunct/>
              <w:autoSpaceDE/>
              <w:autoSpaceDN/>
              <w:adjustRightInd/>
              <w:snapToGrid/>
              <w:spacing w:before="0" w:after="0" w:line="360" w:lineRule="auto"/>
              <w:ind w:left="0" w:right="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color w:val="auto"/>
                <w:kern w:val="0"/>
                <w:sz w:val="24"/>
                <w:szCs w:val="24"/>
                <w:lang w:val="en-US" w:eastAsia="zh-CN" w:bidi="ar-SA"/>
              </w:rPr>
              <w:t>表</w:t>
            </w:r>
            <w:r>
              <w:rPr>
                <w:rFonts w:hint="eastAsia" w:ascii="Times New Roman" w:hAnsi="Times New Roman" w:eastAsia="宋体" w:cs="Times New Roman"/>
                <w:b/>
                <w:color w:val="auto"/>
                <w:kern w:val="0"/>
                <w:sz w:val="24"/>
                <w:szCs w:val="24"/>
                <w:lang w:val="en-US" w:eastAsia="zh-CN" w:bidi="ar-SA"/>
              </w:rPr>
              <w:t>4.</w:t>
            </w:r>
            <w:r>
              <w:rPr>
                <w:rFonts w:hint="eastAsia" w:cs="Times New Roman"/>
                <w:b/>
                <w:color w:val="auto"/>
                <w:kern w:val="0"/>
                <w:sz w:val="24"/>
                <w:szCs w:val="24"/>
                <w:lang w:val="en-US" w:eastAsia="zh-CN" w:bidi="ar-SA"/>
              </w:rPr>
              <w:t>1</w:t>
            </w:r>
            <w:r>
              <w:rPr>
                <w:rFonts w:hint="eastAsia" w:ascii="Times New Roman" w:hAnsi="Times New Roman" w:eastAsia="宋体" w:cs="Times New Roman"/>
                <w:b/>
                <w:color w:val="auto"/>
                <w:kern w:val="0"/>
                <w:sz w:val="24"/>
                <w:szCs w:val="24"/>
                <w:lang w:val="en-US" w:eastAsia="zh-CN" w:bidi="ar-SA"/>
              </w:rPr>
              <w:t>-</w:t>
            </w:r>
            <w:r>
              <w:rPr>
                <w:rFonts w:hint="eastAsia" w:cs="Times New Roman"/>
                <w:b/>
                <w:color w:val="auto"/>
                <w:kern w:val="0"/>
                <w:sz w:val="24"/>
                <w:szCs w:val="24"/>
                <w:lang w:val="en-US" w:eastAsia="zh-CN" w:bidi="ar-SA"/>
              </w:rPr>
              <w:t>1废气</w:t>
            </w:r>
            <w:r>
              <w:rPr>
                <w:rFonts w:hint="default" w:ascii="Times New Roman" w:hAnsi="Times New Roman" w:eastAsia="宋体" w:cs="Times New Roman"/>
                <w:b/>
                <w:color w:val="auto"/>
                <w:kern w:val="0"/>
                <w:sz w:val="24"/>
                <w:szCs w:val="24"/>
                <w:lang w:val="en-US" w:eastAsia="zh-CN" w:bidi="ar-SA"/>
              </w:rPr>
              <w:t>产生及排放情况表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867"/>
              <w:gridCol w:w="1381"/>
              <w:gridCol w:w="691"/>
              <w:gridCol w:w="688"/>
              <w:gridCol w:w="775"/>
              <w:gridCol w:w="691"/>
              <w:gridCol w:w="956"/>
              <w:gridCol w:w="750"/>
              <w:gridCol w:w="750"/>
            </w:tblGrid>
            <w:tr w14:paraId="6F5CC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955" w:type="dxa"/>
                  <w:vMerge w:val="restart"/>
                  <w:vAlign w:val="center"/>
                </w:tcPr>
                <w:p w14:paraId="7B17223A">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污染物产生设施</w:t>
                  </w:r>
                </w:p>
              </w:tc>
              <w:tc>
                <w:tcPr>
                  <w:tcW w:w="867" w:type="dxa"/>
                  <w:vMerge w:val="restart"/>
                  <w:vAlign w:val="center"/>
                </w:tcPr>
                <w:p w14:paraId="76D5B19D">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废气产生环节</w:t>
                  </w:r>
                </w:p>
              </w:tc>
              <w:tc>
                <w:tcPr>
                  <w:tcW w:w="1381" w:type="dxa"/>
                  <w:vMerge w:val="restart"/>
                  <w:vAlign w:val="center"/>
                </w:tcPr>
                <w:p w14:paraId="1F10740B">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污染物种类</w:t>
                  </w:r>
                </w:p>
              </w:tc>
              <w:tc>
                <w:tcPr>
                  <w:tcW w:w="691" w:type="dxa"/>
                  <w:vMerge w:val="restart"/>
                  <w:vAlign w:val="center"/>
                </w:tcPr>
                <w:p w14:paraId="721357DD">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排放形式</w:t>
                  </w:r>
                </w:p>
              </w:tc>
              <w:tc>
                <w:tcPr>
                  <w:tcW w:w="3110" w:type="dxa"/>
                  <w:gridSpan w:val="4"/>
                  <w:vAlign w:val="center"/>
                </w:tcPr>
                <w:p w14:paraId="0DAD52FA">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污染治理措施</w:t>
                  </w:r>
                </w:p>
              </w:tc>
              <w:tc>
                <w:tcPr>
                  <w:tcW w:w="750" w:type="dxa"/>
                  <w:vMerge w:val="restart"/>
                  <w:vAlign w:val="center"/>
                </w:tcPr>
                <w:p w14:paraId="402EFC84">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排放口编号</w:t>
                  </w:r>
                </w:p>
              </w:tc>
              <w:tc>
                <w:tcPr>
                  <w:tcW w:w="750" w:type="dxa"/>
                  <w:vMerge w:val="restart"/>
                  <w:vAlign w:val="center"/>
                </w:tcPr>
                <w:p w14:paraId="07160029">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排放口名称</w:t>
                  </w:r>
                </w:p>
              </w:tc>
            </w:tr>
            <w:tr w14:paraId="25558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955" w:type="dxa"/>
                  <w:vMerge w:val="continue"/>
                  <w:vAlign w:val="center"/>
                </w:tcPr>
                <w:p w14:paraId="34E45821">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color w:val="auto"/>
                      <w:sz w:val="21"/>
                      <w:szCs w:val="21"/>
                    </w:rPr>
                  </w:pPr>
                </w:p>
              </w:tc>
              <w:tc>
                <w:tcPr>
                  <w:tcW w:w="867" w:type="dxa"/>
                  <w:vMerge w:val="continue"/>
                  <w:vAlign w:val="center"/>
                </w:tcPr>
                <w:p w14:paraId="1E7861FF">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color w:val="auto"/>
                      <w:sz w:val="21"/>
                      <w:szCs w:val="21"/>
                    </w:rPr>
                  </w:pPr>
                </w:p>
              </w:tc>
              <w:tc>
                <w:tcPr>
                  <w:tcW w:w="1381" w:type="dxa"/>
                  <w:vMerge w:val="continue"/>
                  <w:vAlign w:val="center"/>
                </w:tcPr>
                <w:p w14:paraId="0EE8BFCE">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color w:val="auto"/>
                      <w:sz w:val="21"/>
                      <w:szCs w:val="21"/>
                    </w:rPr>
                  </w:pPr>
                </w:p>
              </w:tc>
              <w:tc>
                <w:tcPr>
                  <w:tcW w:w="691" w:type="dxa"/>
                  <w:vMerge w:val="continue"/>
                  <w:vAlign w:val="center"/>
                </w:tcPr>
                <w:p w14:paraId="1EA092A5">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color w:val="auto"/>
                      <w:sz w:val="21"/>
                      <w:szCs w:val="21"/>
                    </w:rPr>
                  </w:pPr>
                </w:p>
              </w:tc>
              <w:tc>
                <w:tcPr>
                  <w:tcW w:w="688" w:type="dxa"/>
                  <w:vAlign w:val="center"/>
                </w:tcPr>
                <w:p w14:paraId="5907427C">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收集效率</w:t>
                  </w:r>
                </w:p>
              </w:tc>
              <w:tc>
                <w:tcPr>
                  <w:tcW w:w="775" w:type="dxa"/>
                  <w:vAlign w:val="center"/>
                </w:tcPr>
                <w:p w14:paraId="2D91341F">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治理工艺</w:t>
                  </w:r>
                </w:p>
              </w:tc>
              <w:tc>
                <w:tcPr>
                  <w:tcW w:w="691" w:type="dxa"/>
                  <w:vAlign w:val="center"/>
                </w:tcPr>
                <w:p w14:paraId="5863444F">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处理效率</w:t>
                  </w:r>
                </w:p>
              </w:tc>
              <w:tc>
                <w:tcPr>
                  <w:tcW w:w="956" w:type="dxa"/>
                  <w:vAlign w:val="center"/>
                </w:tcPr>
                <w:p w14:paraId="1EB3EAC1">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是否为可行技术</w:t>
                  </w:r>
                </w:p>
              </w:tc>
              <w:tc>
                <w:tcPr>
                  <w:tcW w:w="750" w:type="dxa"/>
                  <w:vMerge w:val="continue"/>
                  <w:vAlign w:val="center"/>
                </w:tcPr>
                <w:p w14:paraId="14B72BE2">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p>
              </w:tc>
              <w:tc>
                <w:tcPr>
                  <w:tcW w:w="750" w:type="dxa"/>
                  <w:vMerge w:val="continue"/>
                  <w:vAlign w:val="center"/>
                </w:tcPr>
                <w:p w14:paraId="35E0E623">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p>
              </w:tc>
            </w:tr>
            <w:tr w14:paraId="434C8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5" w:type="dxa"/>
                  <w:vAlign w:val="center"/>
                </w:tcPr>
                <w:p w14:paraId="63FBDC08">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生产车间</w:t>
                  </w:r>
                </w:p>
              </w:tc>
              <w:tc>
                <w:tcPr>
                  <w:tcW w:w="867" w:type="dxa"/>
                  <w:vAlign w:val="center"/>
                </w:tcPr>
                <w:p w14:paraId="2F589699">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堆存原料</w:t>
                  </w:r>
                </w:p>
              </w:tc>
              <w:tc>
                <w:tcPr>
                  <w:tcW w:w="1381" w:type="dxa"/>
                  <w:vAlign w:val="center"/>
                </w:tcPr>
                <w:p w14:paraId="202BFB10">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NH</w:t>
                  </w:r>
                  <w:r>
                    <w:rPr>
                      <w:rFonts w:hint="eastAsia" w:cs="宋体"/>
                      <w:color w:val="auto"/>
                      <w:kern w:val="0"/>
                      <w:sz w:val="21"/>
                      <w:szCs w:val="21"/>
                      <w:highlight w:val="none"/>
                      <w:vertAlign w:val="subscript"/>
                      <w:lang w:val="en-US" w:eastAsia="zh-CN" w:bidi="ar"/>
                    </w:rPr>
                    <w:t>3</w:t>
                  </w:r>
                  <w:r>
                    <w:rPr>
                      <w:rFonts w:hint="eastAsia" w:cs="宋体"/>
                      <w:color w:val="auto"/>
                      <w:kern w:val="0"/>
                      <w:sz w:val="21"/>
                      <w:szCs w:val="21"/>
                      <w:highlight w:val="none"/>
                      <w:vertAlign w:val="baseline"/>
                      <w:lang w:val="en-US" w:eastAsia="zh-CN" w:bidi="ar"/>
                    </w:rPr>
                    <w:t>、H</w:t>
                  </w:r>
                  <w:r>
                    <w:rPr>
                      <w:rFonts w:hint="eastAsia" w:cs="宋体"/>
                      <w:color w:val="auto"/>
                      <w:kern w:val="0"/>
                      <w:sz w:val="21"/>
                      <w:szCs w:val="21"/>
                      <w:highlight w:val="none"/>
                      <w:vertAlign w:val="subscript"/>
                      <w:lang w:val="en-US" w:eastAsia="zh-CN" w:bidi="ar"/>
                    </w:rPr>
                    <w:t>2</w:t>
                  </w:r>
                  <w:r>
                    <w:rPr>
                      <w:rFonts w:hint="eastAsia" w:cs="宋体"/>
                      <w:color w:val="auto"/>
                      <w:kern w:val="0"/>
                      <w:sz w:val="21"/>
                      <w:szCs w:val="21"/>
                      <w:highlight w:val="none"/>
                      <w:vertAlign w:val="baseline"/>
                      <w:lang w:val="en-US" w:eastAsia="zh-CN" w:bidi="ar"/>
                    </w:rPr>
                    <w:t>S、臭气浓度</w:t>
                  </w:r>
                </w:p>
              </w:tc>
              <w:tc>
                <w:tcPr>
                  <w:tcW w:w="691" w:type="dxa"/>
                  <w:vAlign w:val="center"/>
                </w:tcPr>
                <w:p w14:paraId="60351EB2">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无组织</w:t>
                  </w:r>
                </w:p>
              </w:tc>
              <w:tc>
                <w:tcPr>
                  <w:tcW w:w="688" w:type="dxa"/>
                  <w:vAlign w:val="center"/>
                </w:tcPr>
                <w:p w14:paraId="1499A705">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w:t>
                  </w:r>
                </w:p>
              </w:tc>
              <w:tc>
                <w:tcPr>
                  <w:tcW w:w="775" w:type="dxa"/>
                  <w:vAlign w:val="center"/>
                </w:tcPr>
                <w:p w14:paraId="763B09CA">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排气扇通风</w:t>
                  </w:r>
                </w:p>
              </w:tc>
              <w:tc>
                <w:tcPr>
                  <w:tcW w:w="691" w:type="dxa"/>
                  <w:vAlign w:val="center"/>
                </w:tcPr>
                <w:p w14:paraId="1DC31908">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w:t>
                  </w:r>
                </w:p>
              </w:tc>
              <w:tc>
                <w:tcPr>
                  <w:tcW w:w="956" w:type="dxa"/>
                  <w:vAlign w:val="center"/>
                </w:tcPr>
                <w:p w14:paraId="5917CCE7">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是</w:t>
                  </w:r>
                </w:p>
              </w:tc>
              <w:tc>
                <w:tcPr>
                  <w:tcW w:w="750" w:type="dxa"/>
                  <w:vAlign w:val="center"/>
                </w:tcPr>
                <w:p w14:paraId="64F00F0D">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w:t>
                  </w:r>
                </w:p>
              </w:tc>
              <w:tc>
                <w:tcPr>
                  <w:tcW w:w="750" w:type="dxa"/>
                  <w:vAlign w:val="center"/>
                </w:tcPr>
                <w:p w14:paraId="3860DEB6">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w:t>
                  </w:r>
                </w:p>
              </w:tc>
            </w:tr>
            <w:tr w14:paraId="4FE86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vAlign w:val="center"/>
                </w:tcPr>
                <w:p w14:paraId="3C7694D2">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污水处理设施</w:t>
                  </w:r>
                </w:p>
              </w:tc>
              <w:tc>
                <w:tcPr>
                  <w:tcW w:w="867" w:type="dxa"/>
                  <w:vAlign w:val="center"/>
                </w:tcPr>
                <w:p w14:paraId="27431611">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污水处理</w:t>
                  </w:r>
                </w:p>
              </w:tc>
              <w:tc>
                <w:tcPr>
                  <w:tcW w:w="1381" w:type="dxa"/>
                  <w:vAlign w:val="center"/>
                </w:tcPr>
                <w:p w14:paraId="45D846A5">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NH</w:t>
                  </w:r>
                  <w:r>
                    <w:rPr>
                      <w:rFonts w:hint="eastAsia" w:cs="宋体"/>
                      <w:color w:val="auto"/>
                      <w:kern w:val="0"/>
                      <w:sz w:val="21"/>
                      <w:szCs w:val="21"/>
                      <w:highlight w:val="none"/>
                      <w:vertAlign w:val="subscript"/>
                      <w:lang w:val="en-US" w:eastAsia="zh-CN" w:bidi="ar"/>
                    </w:rPr>
                    <w:t>3</w:t>
                  </w:r>
                  <w:r>
                    <w:rPr>
                      <w:rFonts w:hint="eastAsia" w:cs="宋体"/>
                      <w:color w:val="auto"/>
                      <w:kern w:val="0"/>
                      <w:sz w:val="21"/>
                      <w:szCs w:val="21"/>
                      <w:highlight w:val="none"/>
                      <w:vertAlign w:val="baseline"/>
                      <w:lang w:val="en-US" w:eastAsia="zh-CN" w:bidi="ar"/>
                    </w:rPr>
                    <w:t>、H</w:t>
                  </w:r>
                  <w:r>
                    <w:rPr>
                      <w:rFonts w:hint="eastAsia" w:cs="宋体"/>
                      <w:color w:val="auto"/>
                      <w:kern w:val="0"/>
                      <w:sz w:val="21"/>
                      <w:szCs w:val="21"/>
                      <w:highlight w:val="none"/>
                      <w:vertAlign w:val="subscript"/>
                      <w:lang w:val="en-US" w:eastAsia="zh-CN" w:bidi="ar"/>
                    </w:rPr>
                    <w:t>2</w:t>
                  </w:r>
                  <w:r>
                    <w:rPr>
                      <w:rFonts w:hint="eastAsia" w:cs="宋体"/>
                      <w:color w:val="auto"/>
                      <w:kern w:val="0"/>
                      <w:sz w:val="21"/>
                      <w:szCs w:val="21"/>
                      <w:highlight w:val="none"/>
                      <w:vertAlign w:val="baseline"/>
                      <w:lang w:val="en-US" w:eastAsia="zh-CN" w:bidi="ar"/>
                    </w:rPr>
                    <w:t>S、臭气浓度</w:t>
                  </w:r>
                </w:p>
              </w:tc>
              <w:tc>
                <w:tcPr>
                  <w:tcW w:w="691" w:type="dxa"/>
                  <w:vAlign w:val="center"/>
                </w:tcPr>
                <w:p w14:paraId="4813C725">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无组织</w:t>
                  </w:r>
                </w:p>
              </w:tc>
              <w:tc>
                <w:tcPr>
                  <w:tcW w:w="688" w:type="dxa"/>
                  <w:vAlign w:val="center"/>
                </w:tcPr>
                <w:p w14:paraId="675E4807">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w:t>
                  </w:r>
                </w:p>
              </w:tc>
              <w:tc>
                <w:tcPr>
                  <w:tcW w:w="775" w:type="dxa"/>
                  <w:vAlign w:val="center"/>
                </w:tcPr>
                <w:p w14:paraId="47521E06">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封闭加盖、喷洒除臭剂</w:t>
                  </w:r>
                </w:p>
              </w:tc>
              <w:tc>
                <w:tcPr>
                  <w:tcW w:w="691" w:type="dxa"/>
                  <w:vAlign w:val="center"/>
                </w:tcPr>
                <w:p w14:paraId="7E93061E">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70%</w:t>
                  </w:r>
                </w:p>
              </w:tc>
              <w:tc>
                <w:tcPr>
                  <w:tcW w:w="956" w:type="dxa"/>
                  <w:vAlign w:val="center"/>
                </w:tcPr>
                <w:p w14:paraId="38653279">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是</w:t>
                  </w:r>
                </w:p>
              </w:tc>
              <w:tc>
                <w:tcPr>
                  <w:tcW w:w="750" w:type="dxa"/>
                  <w:vAlign w:val="center"/>
                </w:tcPr>
                <w:p w14:paraId="21D71D28">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w:t>
                  </w:r>
                </w:p>
              </w:tc>
              <w:tc>
                <w:tcPr>
                  <w:tcW w:w="750" w:type="dxa"/>
                  <w:vAlign w:val="center"/>
                </w:tcPr>
                <w:p w14:paraId="29E77252">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w:t>
                  </w:r>
                </w:p>
              </w:tc>
            </w:tr>
          </w:tbl>
          <w:p w14:paraId="4F8DB29E">
            <w:pPr>
              <w:widowControl w:val="0"/>
              <w:overflowPunct/>
              <w:autoSpaceDE/>
              <w:autoSpaceDN/>
              <w:adjustRightInd/>
              <w:snapToGrid/>
              <w:spacing w:before="0" w:after="0" w:line="360" w:lineRule="auto"/>
              <w:ind w:left="0" w:right="0" w:firstLine="0" w:firstLineChars="0"/>
              <w:jc w:val="center"/>
              <w:rPr>
                <w:rFonts w:hint="default" w:ascii="Times New Roman" w:hAnsi="Times New Roman" w:eastAsia="宋体" w:cs="Times New Roman"/>
                <w:b/>
                <w:color w:val="auto"/>
                <w:kern w:val="0"/>
                <w:sz w:val="24"/>
                <w:szCs w:val="24"/>
                <w:lang w:val="en-US" w:eastAsia="zh-CN" w:bidi="ar-SA"/>
              </w:rPr>
            </w:pPr>
            <w:r>
              <w:rPr>
                <w:rFonts w:hint="eastAsia" w:ascii="Times New Roman" w:hAnsi="Times New Roman" w:eastAsia="宋体" w:cs="宋体"/>
                <w:color w:val="auto"/>
                <w:kern w:val="0"/>
                <w:sz w:val="21"/>
                <w:szCs w:val="21"/>
                <w:highlight w:val="none"/>
                <w:lang w:val="en-US" w:eastAsia="zh-CN" w:bidi="ar"/>
              </w:rPr>
              <w:t>*注：是否为可行技术参照《排污许可申请与核发技术规范酒、饮料制造工业》（HJ1028-2019）。</w:t>
            </w:r>
            <w:r>
              <w:rPr>
                <w:rFonts w:hint="eastAsia" w:ascii="Times New Roman" w:hAnsi="Times New Roman" w:eastAsia="宋体" w:cs="Times New Roman"/>
                <w:b/>
                <w:color w:val="auto"/>
                <w:kern w:val="0"/>
                <w:sz w:val="24"/>
                <w:szCs w:val="24"/>
                <w:lang w:val="en-US" w:eastAsia="zh-CN" w:bidi="ar-SA"/>
              </w:rPr>
              <w:t>4.</w:t>
            </w:r>
            <w:r>
              <w:rPr>
                <w:rFonts w:hint="eastAsia" w:cs="Times New Roman"/>
                <w:b/>
                <w:color w:val="auto"/>
                <w:kern w:val="0"/>
                <w:sz w:val="24"/>
                <w:szCs w:val="24"/>
                <w:lang w:val="en-US" w:eastAsia="zh-CN" w:bidi="ar-SA"/>
              </w:rPr>
              <w:t>1</w:t>
            </w:r>
            <w:r>
              <w:rPr>
                <w:rFonts w:hint="eastAsia" w:ascii="Times New Roman" w:hAnsi="Times New Roman" w:eastAsia="宋体" w:cs="Times New Roman"/>
                <w:b/>
                <w:color w:val="auto"/>
                <w:kern w:val="0"/>
                <w:sz w:val="24"/>
                <w:szCs w:val="24"/>
                <w:lang w:val="en-US" w:eastAsia="zh-CN" w:bidi="ar-SA"/>
              </w:rPr>
              <w:t>-</w:t>
            </w:r>
            <w:r>
              <w:rPr>
                <w:rFonts w:hint="eastAsia" w:cs="Times New Roman"/>
                <w:b/>
                <w:color w:val="auto"/>
                <w:kern w:val="0"/>
                <w:sz w:val="24"/>
                <w:szCs w:val="24"/>
                <w:lang w:val="en-US" w:eastAsia="zh-CN" w:bidi="ar-SA"/>
              </w:rPr>
              <w:t>2废气污染源源强核算结果及相关参数一览表</w:t>
            </w:r>
          </w:p>
          <w:tbl>
            <w:tblPr>
              <w:tblStyle w:val="21"/>
              <w:tblW w:w="85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503"/>
              <w:gridCol w:w="592"/>
              <w:gridCol w:w="634"/>
              <w:gridCol w:w="524"/>
              <w:gridCol w:w="388"/>
              <w:gridCol w:w="887"/>
              <w:gridCol w:w="354"/>
              <w:gridCol w:w="1044"/>
              <w:gridCol w:w="1010"/>
              <w:gridCol w:w="1090"/>
              <w:gridCol w:w="636"/>
            </w:tblGrid>
            <w:tr w14:paraId="02610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26" w:type="dxa"/>
                  <w:vMerge w:val="restart"/>
                  <w:vAlign w:val="center"/>
                </w:tcPr>
                <w:p w14:paraId="6DEC5932">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排放口编号</w:t>
                  </w:r>
                </w:p>
              </w:tc>
              <w:tc>
                <w:tcPr>
                  <w:tcW w:w="426" w:type="dxa"/>
                  <w:vMerge w:val="restart"/>
                  <w:vAlign w:val="center"/>
                </w:tcPr>
                <w:p w14:paraId="32300EFE">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排放口名称</w:t>
                  </w:r>
                </w:p>
              </w:tc>
              <w:tc>
                <w:tcPr>
                  <w:tcW w:w="503" w:type="dxa"/>
                  <w:vMerge w:val="restart"/>
                  <w:vAlign w:val="center"/>
                </w:tcPr>
                <w:p w14:paraId="78074D0A">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产污环节</w:t>
                  </w:r>
                </w:p>
              </w:tc>
              <w:tc>
                <w:tcPr>
                  <w:tcW w:w="592" w:type="dxa"/>
                  <w:vMerge w:val="restart"/>
                  <w:vAlign w:val="center"/>
                </w:tcPr>
                <w:p w14:paraId="6100F14C">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污染物</w:t>
                  </w:r>
                </w:p>
              </w:tc>
              <w:tc>
                <w:tcPr>
                  <w:tcW w:w="1546" w:type="dxa"/>
                  <w:gridSpan w:val="3"/>
                  <w:vAlign w:val="center"/>
                </w:tcPr>
                <w:p w14:paraId="331A35D1">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污染物产生</w:t>
                  </w:r>
                </w:p>
              </w:tc>
              <w:tc>
                <w:tcPr>
                  <w:tcW w:w="1241" w:type="dxa"/>
                  <w:gridSpan w:val="2"/>
                  <w:vAlign w:val="center"/>
                </w:tcPr>
                <w:p w14:paraId="12BFE6C2">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治理措施</w:t>
                  </w:r>
                </w:p>
              </w:tc>
              <w:tc>
                <w:tcPr>
                  <w:tcW w:w="3144" w:type="dxa"/>
                  <w:gridSpan w:val="3"/>
                  <w:vAlign w:val="center"/>
                </w:tcPr>
                <w:p w14:paraId="1525801B">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污染物排放</w:t>
                  </w:r>
                </w:p>
              </w:tc>
              <w:tc>
                <w:tcPr>
                  <w:tcW w:w="636" w:type="dxa"/>
                  <w:vMerge w:val="restart"/>
                  <w:vAlign w:val="center"/>
                </w:tcPr>
                <w:p w14:paraId="5DE7BCAA">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排放时间</w:t>
                  </w:r>
                </w:p>
              </w:tc>
            </w:tr>
            <w:tr w14:paraId="70D61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426" w:type="dxa"/>
                  <w:vMerge w:val="continue"/>
                  <w:vAlign w:val="center"/>
                </w:tcPr>
                <w:p w14:paraId="40266E60">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color w:val="auto"/>
                      <w:sz w:val="21"/>
                      <w:szCs w:val="21"/>
                    </w:rPr>
                  </w:pPr>
                </w:p>
              </w:tc>
              <w:tc>
                <w:tcPr>
                  <w:tcW w:w="426" w:type="dxa"/>
                  <w:vMerge w:val="continue"/>
                  <w:vAlign w:val="center"/>
                </w:tcPr>
                <w:p w14:paraId="49411AFF">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color w:val="auto"/>
                      <w:sz w:val="21"/>
                      <w:szCs w:val="21"/>
                    </w:rPr>
                  </w:pPr>
                </w:p>
              </w:tc>
              <w:tc>
                <w:tcPr>
                  <w:tcW w:w="503" w:type="dxa"/>
                  <w:vMerge w:val="continue"/>
                  <w:vAlign w:val="center"/>
                </w:tcPr>
                <w:p w14:paraId="009BA989">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color w:val="auto"/>
                      <w:sz w:val="21"/>
                      <w:szCs w:val="21"/>
                    </w:rPr>
                  </w:pPr>
                </w:p>
              </w:tc>
              <w:tc>
                <w:tcPr>
                  <w:tcW w:w="592" w:type="dxa"/>
                  <w:vMerge w:val="continue"/>
                  <w:vAlign w:val="center"/>
                </w:tcPr>
                <w:p w14:paraId="02C88AC3">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color w:val="auto"/>
                      <w:sz w:val="21"/>
                      <w:szCs w:val="21"/>
                    </w:rPr>
                  </w:pPr>
                </w:p>
              </w:tc>
              <w:tc>
                <w:tcPr>
                  <w:tcW w:w="634" w:type="dxa"/>
                  <w:vAlign w:val="center"/>
                </w:tcPr>
                <w:p w14:paraId="3D72462B">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产生量</w:t>
                  </w:r>
                </w:p>
              </w:tc>
              <w:tc>
                <w:tcPr>
                  <w:tcW w:w="524" w:type="dxa"/>
                  <w:vAlign w:val="center"/>
                </w:tcPr>
                <w:p w14:paraId="29857086">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产生速率</w:t>
                  </w:r>
                </w:p>
              </w:tc>
              <w:tc>
                <w:tcPr>
                  <w:tcW w:w="388" w:type="dxa"/>
                  <w:vAlign w:val="center"/>
                </w:tcPr>
                <w:p w14:paraId="141DB417">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产生浓度</w:t>
                  </w:r>
                </w:p>
              </w:tc>
              <w:tc>
                <w:tcPr>
                  <w:tcW w:w="887" w:type="dxa"/>
                  <w:vAlign w:val="center"/>
                </w:tcPr>
                <w:p w14:paraId="2ABF0D9A">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污染物治理</w:t>
                  </w:r>
                  <w:r>
                    <w:rPr>
                      <w:rFonts w:hint="eastAsia" w:ascii="Times New Roman" w:hAnsi="Times New Roman" w:eastAsia="宋体" w:cs="宋体"/>
                      <w:color w:val="auto"/>
                      <w:kern w:val="0"/>
                      <w:sz w:val="21"/>
                      <w:szCs w:val="21"/>
                      <w:highlight w:val="none"/>
                      <w:vertAlign w:val="baseline"/>
                      <w:lang w:val="en-US" w:eastAsia="zh-CN" w:bidi="ar"/>
                    </w:rPr>
                    <w:t>工艺</w:t>
                  </w:r>
                </w:p>
              </w:tc>
              <w:tc>
                <w:tcPr>
                  <w:tcW w:w="354" w:type="dxa"/>
                  <w:vAlign w:val="center"/>
                </w:tcPr>
                <w:p w14:paraId="252B61FD">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处理</w:t>
                  </w:r>
                  <w:r>
                    <w:rPr>
                      <w:rFonts w:hint="eastAsia" w:ascii="Times New Roman" w:hAnsi="Times New Roman" w:eastAsia="宋体" w:cs="宋体"/>
                      <w:color w:val="auto"/>
                      <w:kern w:val="0"/>
                      <w:sz w:val="21"/>
                      <w:szCs w:val="21"/>
                      <w:highlight w:val="none"/>
                      <w:vertAlign w:val="baseline"/>
                      <w:lang w:val="en-US" w:eastAsia="zh-CN" w:bidi="ar"/>
                    </w:rPr>
                    <w:t>效率</w:t>
                  </w:r>
                </w:p>
              </w:tc>
              <w:tc>
                <w:tcPr>
                  <w:tcW w:w="1044" w:type="dxa"/>
                  <w:vAlign w:val="center"/>
                </w:tcPr>
                <w:p w14:paraId="2E599367">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排放量</w:t>
                  </w:r>
                </w:p>
              </w:tc>
              <w:tc>
                <w:tcPr>
                  <w:tcW w:w="1010" w:type="dxa"/>
                  <w:vAlign w:val="center"/>
                </w:tcPr>
                <w:p w14:paraId="3A74F5AB">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排放速率</w:t>
                  </w:r>
                </w:p>
              </w:tc>
              <w:tc>
                <w:tcPr>
                  <w:tcW w:w="1090" w:type="dxa"/>
                  <w:vAlign w:val="center"/>
                </w:tcPr>
                <w:p w14:paraId="4946F60B">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排放浓度</w:t>
                  </w:r>
                </w:p>
              </w:tc>
              <w:tc>
                <w:tcPr>
                  <w:tcW w:w="636" w:type="dxa"/>
                  <w:vMerge w:val="continue"/>
                  <w:vAlign w:val="center"/>
                </w:tcPr>
                <w:p w14:paraId="340CE3A8">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p>
              </w:tc>
            </w:tr>
            <w:tr w14:paraId="0792E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gridSpan w:val="2"/>
                  <w:vMerge w:val="restart"/>
                  <w:vAlign w:val="center"/>
                </w:tcPr>
                <w:p w14:paraId="7DEEEC71">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无组织</w:t>
                  </w:r>
                </w:p>
              </w:tc>
              <w:tc>
                <w:tcPr>
                  <w:tcW w:w="503" w:type="dxa"/>
                  <w:vMerge w:val="restart"/>
                  <w:vAlign w:val="center"/>
                </w:tcPr>
                <w:p w14:paraId="6BE2F9BE">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p>
              </w:tc>
              <w:tc>
                <w:tcPr>
                  <w:tcW w:w="592" w:type="dxa"/>
                  <w:vAlign w:val="center"/>
                </w:tcPr>
                <w:p w14:paraId="13CF9771">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NH</w:t>
                  </w:r>
                  <w:r>
                    <w:rPr>
                      <w:rFonts w:hint="eastAsia" w:ascii="Times New Roman" w:hAnsi="Times New Roman" w:eastAsia="宋体" w:cs="宋体"/>
                      <w:color w:val="auto"/>
                      <w:kern w:val="0"/>
                      <w:sz w:val="21"/>
                      <w:szCs w:val="21"/>
                      <w:highlight w:val="none"/>
                      <w:vertAlign w:val="subscript"/>
                      <w:lang w:val="en-US" w:eastAsia="zh-CN" w:bidi="ar"/>
                    </w:rPr>
                    <w:t>3</w:t>
                  </w:r>
                </w:p>
              </w:tc>
              <w:tc>
                <w:tcPr>
                  <w:tcW w:w="634" w:type="dxa"/>
                  <w:vAlign w:val="center"/>
                </w:tcPr>
                <w:p w14:paraId="7AF14512">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0.754</w:t>
                  </w:r>
                </w:p>
              </w:tc>
              <w:tc>
                <w:tcPr>
                  <w:tcW w:w="524" w:type="dxa"/>
                  <w:vAlign w:val="center"/>
                </w:tcPr>
                <w:p w14:paraId="1823C749">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w:t>
                  </w:r>
                </w:p>
              </w:tc>
              <w:tc>
                <w:tcPr>
                  <w:tcW w:w="388" w:type="dxa"/>
                  <w:vAlign w:val="center"/>
                </w:tcPr>
                <w:p w14:paraId="2D3DEA7E">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w:t>
                  </w:r>
                </w:p>
              </w:tc>
              <w:tc>
                <w:tcPr>
                  <w:tcW w:w="887" w:type="dxa"/>
                  <w:vMerge w:val="restart"/>
                  <w:vAlign w:val="center"/>
                </w:tcPr>
                <w:p w14:paraId="73183189">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封闭加盖、喷洒除臭剂</w:t>
                  </w:r>
                </w:p>
              </w:tc>
              <w:tc>
                <w:tcPr>
                  <w:tcW w:w="354" w:type="dxa"/>
                  <w:vMerge w:val="restart"/>
                  <w:vAlign w:val="center"/>
                </w:tcPr>
                <w:p w14:paraId="2F61ECEF">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70%</w:t>
                  </w:r>
                </w:p>
              </w:tc>
              <w:tc>
                <w:tcPr>
                  <w:tcW w:w="1044" w:type="dxa"/>
                  <w:vAlign w:val="center"/>
                </w:tcPr>
                <w:p w14:paraId="396F25FD">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0.2262</w:t>
                  </w:r>
                </w:p>
              </w:tc>
              <w:tc>
                <w:tcPr>
                  <w:tcW w:w="1010" w:type="dxa"/>
                  <w:vAlign w:val="center"/>
                </w:tcPr>
                <w:p w14:paraId="3736BF1F">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0.05236</w:t>
                  </w:r>
                </w:p>
              </w:tc>
              <w:tc>
                <w:tcPr>
                  <w:tcW w:w="1090" w:type="dxa"/>
                  <w:vAlign w:val="center"/>
                </w:tcPr>
                <w:p w14:paraId="155E4131">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w:t>
                  </w:r>
                </w:p>
              </w:tc>
              <w:tc>
                <w:tcPr>
                  <w:tcW w:w="636" w:type="dxa"/>
                  <w:vAlign w:val="center"/>
                </w:tcPr>
                <w:p w14:paraId="5192DEBE">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4320</w:t>
                  </w:r>
                </w:p>
              </w:tc>
            </w:tr>
            <w:tr w14:paraId="4F38B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gridSpan w:val="2"/>
                  <w:vMerge w:val="continue"/>
                  <w:vAlign w:val="center"/>
                </w:tcPr>
                <w:p w14:paraId="5A9BADB5">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p>
              </w:tc>
              <w:tc>
                <w:tcPr>
                  <w:tcW w:w="503" w:type="dxa"/>
                  <w:vMerge w:val="continue"/>
                  <w:vAlign w:val="center"/>
                </w:tcPr>
                <w:p w14:paraId="1EF52EDB">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s="宋体"/>
                      <w:color w:val="auto"/>
                      <w:kern w:val="0"/>
                      <w:sz w:val="21"/>
                      <w:szCs w:val="21"/>
                      <w:highlight w:val="none"/>
                      <w:vertAlign w:val="baseline"/>
                      <w:lang w:val="en-US" w:eastAsia="zh-CN" w:bidi="ar"/>
                    </w:rPr>
                  </w:pPr>
                </w:p>
              </w:tc>
              <w:tc>
                <w:tcPr>
                  <w:tcW w:w="592" w:type="dxa"/>
                  <w:vAlign w:val="center"/>
                </w:tcPr>
                <w:p w14:paraId="4DA7E435">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H</w:t>
                  </w:r>
                  <w:r>
                    <w:rPr>
                      <w:rFonts w:hint="eastAsia" w:ascii="Times New Roman" w:hAnsi="Times New Roman" w:eastAsia="宋体" w:cs="宋体"/>
                      <w:color w:val="auto"/>
                      <w:kern w:val="0"/>
                      <w:sz w:val="21"/>
                      <w:szCs w:val="21"/>
                      <w:highlight w:val="none"/>
                      <w:vertAlign w:val="subscript"/>
                      <w:lang w:val="en-US" w:eastAsia="zh-CN" w:bidi="ar"/>
                    </w:rPr>
                    <w:t>2</w:t>
                  </w:r>
                  <w:r>
                    <w:rPr>
                      <w:rFonts w:hint="eastAsia" w:ascii="Times New Roman" w:hAnsi="Times New Roman" w:eastAsia="宋体" w:cs="宋体"/>
                      <w:color w:val="auto"/>
                      <w:kern w:val="0"/>
                      <w:sz w:val="21"/>
                      <w:szCs w:val="21"/>
                      <w:highlight w:val="none"/>
                      <w:vertAlign w:val="baseline"/>
                      <w:lang w:val="en-US" w:eastAsia="zh-CN" w:bidi="ar"/>
                    </w:rPr>
                    <w:t>S</w:t>
                  </w:r>
                </w:p>
              </w:tc>
              <w:tc>
                <w:tcPr>
                  <w:tcW w:w="634" w:type="dxa"/>
                  <w:vAlign w:val="center"/>
                </w:tcPr>
                <w:p w14:paraId="1E0289A2">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0.0292</w:t>
                  </w:r>
                </w:p>
              </w:tc>
              <w:tc>
                <w:tcPr>
                  <w:tcW w:w="524" w:type="dxa"/>
                  <w:vAlign w:val="center"/>
                </w:tcPr>
                <w:p w14:paraId="546AD827">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w:t>
                  </w:r>
                </w:p>
              </w:tc>
              <w:tc>
                <w:tcPr>
                  <w:tcW w:w="388" w:type="dxa"/>
                  <w:vAlign w:val="center"/>
                </w:tcPr>
                <w:p w14:paraId="56EE2920">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w:t>
                  </w:r>
                </w:p>
              </w:tc>
              <w:tc>
                <w:tcPr>
                  <w:tcW w:w="887" w:type="dxa"/>
                  <w:vMerge w:val="continue"/>
                  <w:vAlign w:val="center"/>
                </w:tcPr>
                <w:p w14:paraId="05BF1B64">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p>
              </w:tc>
              <w:tc>
                <w:tcPr>
                  <w:tcW w:w="354" w:type="dxa"/>
                  <w:vMerge w:val="continue"/>
                  <w:vAlign w:val="center"/>
                </w:tcPr>
                <w:p w14:paraId="7F9AABA8">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p>
              </w:tc>
              <w:tc>
                <w:tcPr>
                  <w:tcW w:w="1044" w:type="dxa"/>
                  <w:vAlign w:val="center"/>
                </w:tcPr>
                <w:p w14:paraId="7537C7EB">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0.00876</w:t>
                  </w:r>
                </w:p>
              </w:tc>
              <w:tc>
                <w:tcPr>
                  <w:tcW w:w="1010" w:type="dxa"/>
                  <w:vAlign w:val="center"/>
                </w:tcPr>
                <w:p w14:paraId="14E913A3">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0.00203</w:t>
                  </w:r>
                </w:p>
              </w:tc>
              <w:tc>
                <w:tcPr>
                  <w:tcW w:w="1090" w:type="dxa"/>
                  <w:vAlign w:val="center"/>
                </w:tcPr>
                <w:p w14:paraId="46C71171">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ascii="Times New Roman" w:hAnsi="Times New Roman" w:eastAsia="宋体" w:cs="宋体"/>
                      <w:color w:val="auto"/>
                      <w:kern w:val="0"/>
                      <w:sz w:val="21"/>
                      <w:szCs w:val="21"/>
                      <w:highlight w:val="none"/>
                      <w:vertAlign w:val="baseline"/>
                      <w:lang w:val="en-US" w:eastAsia="zh-CN" w:bidi="ar"/>
                    </w:rPr>
                    <w:t>/</w:t>
                  </w:r>
                </w:p>
              </w:tc>
              <w:tc>
                <w:tcPr>
                  <w:tcW w:w="636" w:type="dxa"/>
                  <w:vAlign w:val="center"/>
                </w:tcPr>
                <w:p w14:paraId="51C21B80">
                  <w:pPr>
                    <w:keepNext w:val="0"/>
                    <w:keepLines w:val="0"/>
                    <w:pageBreakBefore w:val="0"/>
                    <w:widowControl/>
                    <w:suppressLineNumbers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4320</w:t>
                  </w:r>
                </w:p>
              </w:tc>
            </w:tr>
          </w:tbl>
          <w:p w14:paraId="6139CAB2">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宋体"/>
                <w:b/>
                <w:bCs/>
                <w:color w:val="auto"/>
                <w:kern w:val="0"/>
                <w:sz w:val="24"/>
                <w:szCs w:val="24"/>
                <w:highlight w:val="none"/>
                <w:lang w:val="en-US" w:eastAsia="zh-CN" w:bidi="ar"/>
              </w:rPr>
            </w:pPr>
            <w:r>
              <w:rPr>
                <w:rFonts w:hint="eastAsia" w:cs="宋体"/>
                <w:b/>
                <w:bCs/>
                <w:color w:val="auto"/>
                <w:kern w:val="0"/>
                <w:sz w:val="24"/>
                <w:szCs w:val="24"/>
                <w:highlight w:val="none"/>
                <w:lang w:val="en-US" w:eastAsia="zh-CN" w:bidi="ar"/>
              </w:rPr>
              <w:t>1.3</w:t>
            </w:r>
            <w:r>
              <w:rPr>
                <w:rFonts w:hint="eastAsia" w:ascii="Times New Roman" w:hAnsi="Times New Roman" w:eastAsia="宋体" w:cs="宋体"/>
                <w:b/>
                <w:bCs/>
                <w:color w:val="auto"/>
                <w:kern w:val="0"/>
                <w:sz w:val="24"/>
                <w:szCs w:val="24"/>
                <w:highlight w:val="none"/>
                <w:lang w:val="en-US" w:eastAsia="zh-CN" w:bidi="ar"/>
              </w:rPr>
              <w:t>污染防治措施可行分析</w:t>
            </w:r>
          </w:p>
          <w:p w14:paraId="7B277C5C">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s="宋体"/>
                <w:color w:val="auto"/>
                <w:lang w:val="en-US" w:eastAsia="zh-CN"/>
              </w:rPr>
            </w:pPr>
            <w:r>
              <w:rPr>
                <w:rFonts w:hint="eastAsia" w:cs="宋体"/>
                <w:color w:val="auto"/>
                <w:lang w:val="en-US" w:eastAsia="zh-CN"/>
              </w:rPr>
              <w:t>根据</w:t>
            </w:r>
            <w:r>
              <w:rPr>
                <w:rFonts w:hint="eastAsia" w:ascii="Times New Roman" w:hAnsi="Times New Roman" w:eastAsia="宋体" w:cs="Times New Roman"/>
                <w:color w:val="auto"/>
                <w:kern w:val="2"/>
                <w:sz w:val="24"/>
                <w:szCs w:val="20"/>
                <w:highlight w:val="none"/>
                <w:lang w:val="en-US" w:eastAsia="zh-CN"/>
              </w:rPr>
              <w:t>《排污单位自行监测技术指南 总则》（HJ819-2017）、</w:t>
            </w:r>
            <w:r>
              <w:rPr>
                <w:rFonts w:hint="eastAsia" w:cs="宋体"/>
                <w:color w:val="auto"/>
                <w:highlight w:val="none"/>
                <w:lang w:val="en-US" w:eastAsia="zh-CN"/>
              </w:rPr>
              <w:t>《排污许可申请与核发技术规范酒、饮料制造工业》（HJ1028-2019）</w:t>
            </w:r>
            <w:r>
              <w:rPr>
                <w:rFonts w:hint="eastAsia" w:cs="宋体"/>
                <w:color w:val="auto"/>
                <w:lang w:val="en-US" w:eastAsia="zh-CN"/>
              </w:rPr>
              <w:t>，本项目污水处理设施臭气处理措施属于废气治理的可行技术。</w:t>
            </w:r>
          </w:p>
          <w:p w14:paraId="5C336BC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2" w:firstLineChars="20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Times New Roman"/>
                <w:b/>
                <w:bCs/>
                <w:color w:val="auto"/>
                <w:kern w:val="0"/>
                <w:sz w:val="24"/>
                <w:szCs w:val="24"/>
                <w:lang w:val="en-US" w:eastAsia="zh-CN" w:bidi="ar-SA"/>
              </w:rPr>
              <w:t>表</w:t>
            </w:r>
            <w:r>
              <w:rPr>
                <w:rFonts w:hint="eastAsia" w:cs="Times New Roman"/>
                <w:b/>
                <w:bCs/>
                <w:color w:val="auto"/>
                <w:kern w:val="0"/>
                <w:sz w:val="24"/>
                <w:szCs w:val="24"/>
                <w:lang w:val="en-US" w:eastAsia="zh-CN" w:bidi="ar-SA"/>
              </w:rPr>
              <w:t>4.1-5污染防治措施可行分析</w:t>
            </w:r>
            <w:r>
              <w:rPr>
                <w:rFonts w:hint="eastAsia" w:ascii="Times New Roman" w:hAnsi="Times New Roman" w:eastAsia="宋体" w:cs="Times New Roman"/>
                <w:b/>
                <w:bCs/>
                <w:color w:val="auto"/>
                <w:kern w:val="0"/>
                <w:sz w:val="24"/>
                <w:szCs w:val="24"/>
                <w:lang w:val="en-US" w:eastAsia="zh-CN" w:bidi="ar-SA"/>
              </w:rPr>
              <w:t>表</w:t>
            </w:r>
          </w:p>
          <w:tbl>
            <w:tblPr>
              <w:tblStyle w:val="21"/>
              <w:tblW w:w="8504"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021"/>
              <w:gridCol w:w="1212"/>
              <w:gridCol w:w="1800"/>
              <w:gridCol w:w="1863"/>
              <w:gridCol w:w="1453"/>
            </w:tblGrid>
            <w:tr w14:paraId="2534E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5" w:type="dxa"/>
                  <w:vAlign w:val="center"/>
                </w:tcPr>
                <w:p w14:paraId="14270E27">
                  <w:pPr>
                    <w:pStyle w:val="15"/>
                    <w:jc w:val="center"/>
                    <w:rPr>
                      <w:rFonts w:hint="default"/>
                      <w:color w:val="auto"/>
                      <w:vertAlign w:val="baseline"/>
                      <w:lang w:val="en-US" w:eastAsia="zh-CN"/>
                    </w:rPr>
                  </w:pPr>
                  <w:r>
                    <w:rPr>
                      <w:rFonts w:hint="eastAsia"/>
                      <w:color w:val="auto"/>
                      <w:vertAlign w:val="baseline"/>
                      <w:lang w:val="en-US" w:eastAsia="zh-CN"/>
                    </w:rPr>
                    <w:t>污染物产生设施</w:t>
                  </w:r>
                </w:p>
              </w:tc>
              <w:tc>
                <w:tcPr>
                  <w:tcW w:w="1021" w:type="dxa"/>
                  <w:vAlign w:val="center"/>
                </w:tcPr>
                <w:p w14:paraId="29EA588F">
                  <w:pPr>
                    <w:pStyle w:val="15"/>
                    <w:jc w:val="center"/>
                    <w:rPr>
                      <w:rFonts w:hint="default"/>
                      <w:color w:val="auto"/>
                      <w:vertAlign w:val="baseline"/>
                      <w:lang w:val="en-US" w:eastAsia="zh-CN"/>
                    </w:rPr>
                  </w:pPr>
                  <w:r>
                    <w:rPr>
                      <w:rFonts w:hint="eastAsia"/>
                      <w:color w:val="auto"/>
                      <w:vertAlign w:val="baseline"/>
                      <w:lang w:val="en-US" w:eastAsia="zh-CN"/>
                    </w:rPr>
                    <w:t>污染物种类</w:t>
                  </w:r>
                </w:p>
              </w:tc>
              <w:tc>
                <w:tcPr>
                  <w:tcW w:w="1212" w:type="dxa"/>
                  <w:vAlign w:val="center"/>
                </w:tcPr>
                <w:p w14:paraId="50E56681">
                  <w:pPr>
                    <w:pStyle w:val="15"/>
                    <w:jc w:val="center"/>
                    <w:rPr>
                      <w:rFonts w:hint="default"/>
                      <w:color w:val="auto"/>
                      <w:vertAlign w:val="baseline"/>
                      <w:lang w:val="en-US" w:eastAsia="zh-CN"/>
                    </w:rPr>
                  </w:pPr>
                  <w:r>
                    <w:rPr>
                      <w:rFonts w:hint="eastAsia"/>
                      <w:color w:val="auto"/>
                      <w:vertAlign w:val="baseline"/>
                      <w:lang w:val="en-US" w:eastAsia="zh-CN"/>
                    </w:rPr>
                    <w:t>排放形式</w:t>
                  </w:r>
                </w:p>
              </w:tc>
              <w:tc>
                <w:tcPr>
                  <w:tcW w:w="1800" w:type="dxa"/>
                  <w:vAlign w:val="center"/>
                </w:tcPr>
                <w:p w14:paraId="3EC1E884">
                  <w:pPr>
                    <w:pStyle w:val="15"/>
                    <w:jc w:val="center"/>
                    <w:rPr>
                      <w:rFonts w:hint="default"/>
                      <w:color w:val="auto"/>
                      <w:vertAlign w:val="baseline"/>
                      <w:lang w:val="en-US" w:eastAsia="zh-CN"/>
                    </w:rPr>
                  </w:pPr>
                  <w:r>
                    <w:rPr>
                      <w:rFonts w:hint="eastAsia"/>
                      <w:color w:val="auto"/>
                      <w:vertAlign w:val="baseline"/>
                      <w:lang w:val="en-US" w:eastAsia="zh-CN"/>
                    </w:rPr>
                    <w:t>可行技术</w:t>
                  </w:r>
                </w:p>
              </w:tc>
              <w:tc>
                <w:tcPr>
                  <w:tcW w:w="1863" w:type="dxa"/>
                  <w:vAlign w:val="center"/>
                </w:tcPr>
                <w:p w14:paraId="549EDAAC">
                  <w:pPr>
                    <w:pStyle w:val="15"/>
                    <w:jc w:val="center"/>
                    <w:rPr>
                      <w:rFonts w:hint="default"/>
                      <w:color w:val="auto"/>
                      <w:vertAlign w:val="baseline"/>
                      <w:lang w:val="en-US" w:eastAsia="zh-CN"/>
                    </w:rPr>
                  </w:pPr>
                  <w:r>
                    <w:rPr>
                      <w:rFonts w:hint="eastAsia"/>
                      <w:color w:val="auto"/>
                      <w:vertAlign w:val="baseline"/>
                      <w:lang w:val="en-US" w:eastAsia="zh-CN"/>
                    </w:rPr>
                    <w:t>采取措施</w:t>
                  </w:r>
                </w:p>
              </w:tc>
              <w:tc>
                <w:tcPr>
                  <w:tcW w:w="1453" w:type="dxa"/>
                  <w:vAlign w:val="center"/>
                </w:tcPr>
                <w:p w14:paraId="7F280A0B">
                  <w:pPr>
                    <w:pStyle w:val="15"/>
                    <w:jc w:val="center"/>
                    <w:rPr>
                      <w:rFonts w:hint="default"/>
                      <w:color w:val="auto"/>
                      <w:vertAlign w:val="baseline"/>
                      <w:lang w:val="en-US" w:eastAsia="zh-CN"/>
                    </w:rPr>
                  </w:pPr>
                  <w:r>
                    <w:rPr>
                      <w:rFonts w:hint="eastAsia"/>
                      <w:color w:val="auto"/>
                      <w:vertAlign w:val="baseline"/>
                      <w:lang w:val="en-US" w:eastAsia="zh-CN"/>
                    </w:rPr>
                    <w:t>是否可行</w:t>
                  </w:r>
                </w:p>
              </w:tc>
            </w:tr>
            <w:tr w14:paraId="0599F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155" w:type="dxa"/>
                  <w:vAlign w:val="center"/>
                </w:tcPr>
                <w:p w14:paraId="6A4BBAE8">
                  <w:pPr>
                    <w:pStyle w:val="15"/>
                    <w:jc w:val="center"/>
                    <w:rPr>
                      <w:rFonts w:hint="default"/>
                      <w:color w:val="auto"/>
                      <w:vertAlign w:val="baseline"/>
                      <w:lang w:val="en-US" w:eastAsia="zh-CN"/>
                    </w:rPr>
                  </w:pPr>
                  <w:r>
                    <w:rPr>
                      <w:rFonts w:hint="eastAsia"/>
                      <w:color w:val="auto"/>
                      <w:vertAlign w:val="baseline"/>
                      <w:lang w:val="en-US" w:eastAsia="zh-CN"/>
                    </w:rPr>
                    <w:t>污水处理设施</w:t>
                  </w:r>
                </w:p>
              </w:tc>
              <w:tc>
                <w:tcPr>
                  <w:tcW w:w="1021" w:type="dxa"/>
                  <w:vAlign w:val="center"/>
                </w:tcPr>
                <w:p w14:paraId="00D477C2">
                  <w:pPr>
                    <w:pStyle w:val="15"/>
                    <w:jc w:val="center"/>
                    <w:rPr>
                      <w:rFonts w:hint="default"/>
                      <w:color w:val="auto"/>
                      <w:vertAlign w:val="baseline"/>
                      <w:lang w:val="en-US" w:eastAsia="zh-CN"/>
                    </w:rPr>
                  </w:pPr>
                  <w:r>
                    <w:rPr>
                      <w:rFonts w:hint="eastAsia"/>
                      <w:color w:val="auto"/>
                      <w:vertAlign w:val="baseline"/>
                      <w:lang w:val="en-US" w:eastAsia="zh-CN"/>
                    </w:rPr>
                    <w:t>NH</w:t>
                  </w:r>
                  <w:r>
                    <w:rPr>
                      <w:rFonts w:hint="eastAsia"/>
                      <w:color w:val="auto"/>
                      <w:vertAlign w:val="subscript"/>
                      <w:lang w:val="en-US" w:eastAsia="zh-CN"/>
                    </w:rPr>
                    <w:t>3</w:t>
                  </w:r>
                  <w:r>
                    <w:rPr>
                      <w:rFonts w:hint="eastAsia"/>
                      <w:color w:val="auto"/>
                      <w:vertAlign w:val="baseline"/>
                      <w:lang w:val="en-US" w:eastAsia="zh-CN"/>
                    </w:rPr>
                    <w:t>、H</w:t>
                  </w:r>
                  <w:r>
                    <w:rPr>
                      <w:rFonts w:hint="eastAsia"/>
                      <w:color w:val="auto"/>
                      <w:vertAlign w:val="subscript"/>
                      <w:lang w:val="en-US" w:eastAsia="zh-CN"/>
                    </w:rPr>
                    <w:t>2</w:t>
                  </w:r>
                  <w:r>
                    <w:rPr>
                      <w:rFonts w:hint="eastAsia"/>
                      <w:color w:val="auto"/>
                      <w:vertAlign w:val="baseline"/>
                      <w:lang w:val="en-US" w:eastAsia="zh-CN"/>
                    </w:rPr>
                    <w:t>S、臭气浓度</w:t>
                  </w:r>
                </w:p>
              </w:tc>
              <w:tc>
                <w:tcPr>
                  <w:tcW w:w="1212" w:type="dxa"/>
                  <w:vAlign w:val="center"/>
                </w:tcPr>
                <w:p w14:paraId="38622A42">
                  <w:pPr>
                    <w:pStyle w:val="15"/>
                    <w:jc w:val="center"/>
                    <w:rPr>
                      <w:rFonts w:hint="eastAsia"/>
                      <w:color w:val="auto"/>
                      <w:vertAlign w:val="baseline"/>
                      <w:lang w:val="en-US" w:eastAsia="zh-CN"/>
                    </w:rPr>
                  </w:pPr>
                  <w:r>
                    <w:rPr>
                      <w:rFonts w:hint="eastAsia"/>
                      <w:color w:val="auto"/>
                      <w:vertAlign w:val="baseline"/>
                      <w:lang w:val="en-US" w:eastAsia="zh-CN"/>
                    </w:rPr>
                    <w:t>无组织</w:t>
                  </w:r>
                </w:p>
              </w:tc>
              <w:tc>
                <w:tcPr>
                  <w:tcW w:w="1800" w:type="dxa"/>
                  <w:vAlign w:val="center"/>
                </w:tcPr>
                <w:p w14:paraId="2F12E60F">
                  <w:pPr>
                    <w:pStyle w:val="15"/>
                    <w:jc w:val="center"/>
                    <w:rPr>
                      <w:rFonts w:hint="default"/>
                      <w:color w:val="auto"/>
                      <w:vertAlign w:val="baseline"/>
                      <w:lang w:val="en-US" w:eastAsia="zh-CN"/>
                    </w:rPr>
                  </w:pPr>
                  <w:r>
                    <w:rPr>
                      <w:rFonts w:hint="eastAsia"/>
                      <w:color w:val="auto"/>
                      <w:vertAlign w:val="baseline"/>
                      <w:lang w:val="en-US" w:eastAsia="zh-CN"/>
                    </w:rPr>
                    <w:t>产生恶臭区域加罩或加盖，投放除臭剂</w:t>
                  </w:r>
                </w:p>
              </w:tc>
              <w:tc>
                <w:tcPr>
                  <w:tcW w:w="1863" w:type="dxa"/>
                  <w:vAlign w:val="center"/>
                </w:tcPr>
                <w:p w14:paraId="6A1B670E">
                  <w:pPr>
                    <w:pStyle w:val="15"/>
                    <w:jc w:val="center"/>
                    <w:rPr>
                      <w:rFonts w:hint="default"/>
                      <w:color w:val="auto"/>
                      <w:vertAlign w:val="baseline"/>
                      <w:lang w:val="en-US" w:eastAsia="zh-CN"/>
                    </w:rPr>
                  </w:pPr>
                  <w:r>
                    <w:rPr>
                      <w:rFonts w:hint="eastAsia"/>
                      <w:color w:val="auto"/>
                      <w:vertAlign w:val="baseline"/>
                      <w:lang w:val="en-US" w:eastAsia="zh-CN"/>
                    </w:rPr>
                    <w:t>加盖、喷洒除臭剂</w:t>
                  </w:r>
                </w:p>
              </w:tc>
              <w:tc>
                <w:tcPr>
                  <w:tcW w:w="1453" w:type="dxa"/>
                  <w:vAlign w:val="center"/>
                </w:tcPr>
                <w:p w14:paraId="61E6B909">
                  <w:pPr>
                    <w:pStyle w:val="15"/>
                    <w:jc w:val="center"/>
                    <w:rPr>
                      <w:rFonts w:hint="eastAsia"/>
                      <w:color w:val="auto"/>
                      <w:vertAlign w:val="baseline"/>
                      <w:lang w:val="en-US" w:eastAsia="zh-CN"/>
                    </w:rPr>
                  </w:pPr>
                  <w:r>
                    <w:rPr>
                      <w:rFonts w:hint="eastAsia"/>
                      <w:color w:val="auto"/>
                      <w:vertAlign w:val="baseline"/>
                      <w:lang w:val="en-US" w:eastAsia="zh-CN"/>
                    </w:rPr>
                    <w:t>可行</w:t>
                  </w:r>
                </w:p>
              </w:tc>
            </w:tr>
          </w:tbl>
          <w:p w14:paraId="4991558F">
            <w:pPr>
              <w:pageBreakBefore w:val="0"/>
              <w:widowControl w:val="0"/>
              <w:kinsoku/>
              <w:wordWrap/>
              <w:overflowPunct/>
              <w:topLinePunct w:val="0"/>
              <w:autoSpaceDE/>
              <w:autoSpaceDN/>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lang w:val="en-US" w:eastAsia="zh-CN"/>
              </w:rPr>
              <w:t>1.4</w:t>
            </w:r>
            <w:r>
              <w:rPr>
                <w:rFonts w:hint="eastAsia" w:ascii="Times New Roman" w:hAnsi="Times New Roman" w:eastAsia="宋体" w:cs="Times New Roman"/>
                <w:b/>
                <w:bCs/>
                <w:color w:val="auto"/>
                <w:kern w:val="2"/>
                <w:sz w:val="24"/>
                <w:szCs w:val="24"/>
                <w:highlight w:val="none"/>
                <w:lang w:val="en-US" w:eastAsia="zh-CN" w:bidi="ar-SA"/>
              </w:rPr>
              <w:t>环境影响分析</w:t>
            </w:r>
          </w:p>
          <w:p w14:paraId="17FBF383">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建设项目环境影响报告表编制技术指南（污染影响类）（试行）》要求“结合建设项目所在区域环境质量现状、环境保护目标、项目采取的污染治理措施及污染物排放强度、排放方式，定性分析废气排放的环境影响”。因此本次环评环境影响分析进行定性分析。</w:t>
            </w:r>
          </w:p>
          <w:p w14:paraId="7F2E6B1B">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cs="Times New Roman"/>
                <w:b w:val="0"/>
                <w:bCs w:val="0"/>
                <w:color w:val="auto"/>
                <w:kern w:val="2"/>
                <w:sz w:val="24"/>
                <w:szCs w:val="20"/>
                <w:highlight w:val="none"/>
                <w:lang w:val="en-US" w:eastAsia="zh-CN"/>
              </w:rPr>
              <w:t>本项目</w:t>
            </w:r>
            <w:r>
              <w:rPr>
                <w:rFonts w:hint="eastAsia" w:ascii="Times New Roman" w:hAnsi="Times New Roman" w:eastAsia="宋体" w:cs="Times New Roman"/>
                <w:b w:val="0"/>
                <w:bCs w:val="0"/>
                <w:color w:val="auto"/>
                <w:kern w:val="2"/>
                <w:sz w:val="24"/>
                <w:szCs w:val="20"/>
                <w:highlight w:val="none"/>
                <w:lang w:val="en-US" w:eastAsia="zh-CN"/>
              </w:rPr>
              <w:t>位于</w:t>
            </w:r>
            <w:r>
              <w:rPr>
                <w:rFonts w:hint="eastAsia" w:cs="Times New Roman"/>
                <w:b w:val="0"/>
                <w:bCs w:val="0"/>
                <w:color w:val="auto"/>
                <w:kern w:val="2"/>
                <w:sz w:val="24"/>
                <w:szCs w:val="20"/>
                <w:highlight w:val="none"/>
                <w:lang w:val="en-US" w:eastAsia="zh-CN"/>
              </w:rPr>
              <w:t>胡杨河市</w:t>
            </w:r>
            <w:r>
              <w:rPr>
                <w:rFonts w:hint="eastAsia" w:ascii="Times New Roman" w:hAnsi="Times New Roman" w:eastAsia="宋体" w:cs="Times New Roman"/>
                <w:b w:val="0"/>
                <w:bCs w:val="0"/>
                <w:color w:val="auto"/>
                <w:kern w:val="2"/>
                <w:sz w:val="24"/>
                <w:szCs w:val="20"/>
                <w:highlight w:val="none"/>
                <w:lang w:val="en-US" w:eastAsia="zh-CN"/>
              </w:rPr>
              <w:t>，</w:t>
            </w:r>
            <w:r>
              <w:rPr>
                <w:rFonts w:hint="default" w:ascii="Times New Roman" w:hAnsi="Times New Roman" w:eastAsia="宋体" w:cs="Times New Roman"/>
                <w:b w:val="0"/>
                <w:bCs w:val="0"/>
                <w:color w:val="auto"/>
                <w:kern w:val="2"/>
                <w:sz w:val="24"/>
                <w:szCs w:val="24"/>
                <w:highlight w:val="none"/>
                <w:lang w:val="en-US" w:eastAsia="zh-CN"/>
              </w:rPr>
              <w:t>项目区</w:t>
            </w:r>
            <w:r>
              <w:rPr>
                <w:rFonts w:hint="default" w:ascii="Times New Roman" w:hAnsi="Times New Roman" w:eastAsia="宋体" w:cs="Times New Roman"/>
                <w:b w:val="0"/>
                <w:bCs w:val="0"/>
                <w:color w:val="auto"/>
                <w:kern w:val="2"/>
                <w:sz w:val="24"/>
                <w:szCs w:val="24"/>
                <w:highlight w:val="none"/>
              </w:rPr>
              <w:t>所在区域</w:t>
            </w:r>
            <w:r>
              <w:rPr>
                <w:rFonts w:hint="eastAsia" w:ascii="Times New Roman" w:hAnsi="Times New Roman" w:eastAsia="宋体" w:cs="Times New Roman"/>
                <w:b w:val="0"/>
                <w:bCs w:val="0"/>
                <w:color w:val="auto"/>
                <w:kern w:val="2"/>
                <w:sz w:val="24"/>
                <w:szCs w:val="24"/>
                <w:highlight w:val="none"/>
                <w:lang w:val="en-US" w:eastAsia="zh-CN"/>
              </w:rPr>
              <w:t>属于</w:t>
            </w:r>
            <w:r>
              <w:rPr>
                <w:rFonts w:hint="eastAsia" w:cs="宋体"/>
                <w:color w:val="auto"/>
                <w:lang w:val="en-US" w:eastAsia="zh-CN"/>
              </w:rPr>
              <w:t>不</w:t>
            </w:r>
            <w:r>
              <w:rPr>
                <w:rFonts w:hint="eastAsia" w:ascii="Times New Roman" w:hAnsi="Times New Roman" w:eastAsia="宋体" w:cs="Times New Roman"/>
                <w:b w:val="0"/>
                <w:bCs w:val="0"/>
                <w:color w:val="auto"/>
                <w:kern w:val="2"/>
                <w:sz w:val="24"/>
                <w:szCs w:val="24"/>
                <w:highlight w:val="none"/>
                <w:lang w:val="en-US" w:eastAsia="zh-CN"/>
              </w:rPr>
              <w:t>达标区。</w:t>
            </w:r>
            <w:r>
              <w:rPr>
                <w:rFonts w:hint="eastAsia" w:ascii="Times New Roman" w:hAnsi="Times New Roman" w:eastAsia="宋体" w:cs="Times New Roman"/>
                <w:color w:val="auto"/>
                <w:kern w:val="2"/>
                <w:sz w:val="24"/>
                <w:szCs w:val="24"/>
                <w:highlight w:val="none"/>
                <w:lang w:val="en-US" w:eastAsia="zh-CN"/>
              </w:rPr>
              <w:t>本项目</w:t>
            </w:r>
            <w:r>
              <w:rPr>
                <w:rFonts w:hint="eastAsia" w:ascii="Times New Roman" w:hAnsi="Times New Roman" w:eastAsia="宋体" w:cs="宋体"/>
                <w:color w:val="auto"/>
                <w:highlight w:val="none"/>
                <w:lang w:val="en-US" w:eastAsia="zh-CN"/>
              </w:rPr>
              <w:t>厂界外500米范围内</w:t>
            </w:r>
            <w:r>
              <w:rPr>
                <w:rFonts w:hint="eastAsia" w:cs="宋体"/>
                <w:color w:val="auto"/>
                <w:highlight w:val="none"/>
                <w:lang w:val="en-US" w:eastAsia="zh-CN"/>
              </w:rPr>
              <w:t>不存在</w:t>
            </w:r>
            <w:r>
              <w:rPr>
                <w:rFonts w:hint="eastAsia" w:ascii="Times New Roman" w:hAnsi="Times New Roman" w:eastAsia="宋体" w:cs="宋体"/>
                <w:color w:val="auto"/>
                <w:highlight w:val="none"/>
                <w:lang w:val="en-US" w:eastAsia="zh-CN"/>
              </w:rPr>
              <w:t>环境保护目标。</w:t>
            </w:r>
          </w:p>
          <w:p w14:paraId="19B8F0C3">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①正常工况</w:t>
            </w:r>
          </w:p>
          <w:p w14:paraId="0CC684E3">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2"/>
                <w:sz w:val="24"/>
                <w:szCs w:val="20"/>
                <w:highlight w:val="none"/>
                <w:lang w:val="en-US" w:eastAsia="zh-CN"/>
              </w:rPr>
              <w:t>本项目污水处理设施为</w:t>
            </w:r>
            <w:r>
              <w:rPr>
                <w:rFonts w:hint="eastAsia" w:cs="Times New Roman"/>
                <w:color w:val="auto"/>
                <w:kern w:val="2"/>
                <w:sz w:val="24"/>
                <w:szCs w:val="20"/>
                <w:highlight w:val="none"/>
                <w:lang w:val="en-US" w:eastAsia="zh-CN"/>
              </w:rPr>
              <w:t>封闭式结构，</w:t>
            </w:r>
            <w:r>
              <w:rPr>
                <w:rFonts w:hint="eastAsia" w:ascii="Times New Roman" w:hAnsi="Times New Roman" w:eastAsia="宋体" w:cs="Times New Roman"/>
                <w:color w:val="auto"/>
                <w:kern w:val="0"/>
                <w:sz w:val="24"/>
                <w:szCs w:val="24"/>
                <w:highlight w:val="none"/>
                <w:lang w:val="en-US" w:eastAsia="zh-CN" w:bidi="ar"/>
              </w:rPr>
              <w:t>能满足</w:t>
            </w:r>
            <w:r>
              <w:rPr>
                <w:rFonts w:hint="eastAsia" w:ascii="Times New Roman" w:hAnsi="Times New Roman" w:eastAsia="宋体" w:cs="宋体"/>
                <w:color w:val="auto"/>
                <w:sz w:val="24"/>
                <w:szCs w:val="24"/>
                <w:highlight w:val="none"/>
                <w:lang w:val="zh-CN" w:eastAsia="zh-CN"/>
              </w:rPr>
              <w:t>《恶臭污染物排放标准》（GB14554-93）</w:t>
            </w:r>
            <w:r>
              <w:rPr>
                <w:rFonts w:hint="eastAsia" w:ascii="Times New Roman" w:hAnsi="Times New Roman" w:eastAsia="宋体" w:cs="Times New Roman"/>
                <w:color w:val="auto"/>
                <w:kern w:val="0"/>
                <w:sz w:val="24"/>
                <w:szCs w:val="24"/>
                <w:highlight w:val="none"/>
                <w:lang w:val="en-US" w:eastAsia="zh-CN" w:bidi="ar"/>
              </w:rPr>
              <w:t>中废气排放要求，</w:t>
            </w:r>
            <w:r>
              <w:rPr>
                <w:rFonts w:hint="eastAsia" w:cs="Times New Roman"/>
                <w:color w:val="auto"/>
                <w:kern w:val="0"/>
                <w:sz w:val="24"/>
                <w:szCs w:val="24"/>
                <w:highlight w:val="none"/>
                <w:lang w:val="en-US" w:eastAsia="zh-CN" w:bidi="ar"/>
              </w:rPr>
              <w:t>因此对周边影响较小</w:t>
            </w:r>
            <w:r>
              <w:rPr>
                <w:rFonts w:hint="eastAsia" w:ascii="Times New Roman" w:hAnsi="Times New Roman" w:eastAsia="宋体" w:cs="宋体"/>
                <w:color w:val="auto"/>
                <w:highlight w:val="none"/>
                <w:vertAlign w:val="baseline"/>
                <w:lang w:val="en-US" w:eastAsia="zh-CN"/>
              </w:rPr>
              <w:t>。</w:t>
            </w:r>
          </w:p>
          <w:p w14:paraId="2CDF3776">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对项目周围环境保护目标和所在区域大气环境影响较小，不会降低现有区域环境质量等级。因此环评认为项目废气对周围环境影响不大。</w:t>
            </w:r>
          </w:p>
          <w:p w14:paraId="4EF35581">
            <w:pPr>
              <w:widowControl w:val="0"/>
              <w:overflowPunct w:val="0"/>
              <w:autoSpaceDE w:val="0"/>
              <w:autoSpaceDN w:val="0"/>
              <w:adjustRightInd w:val="0"/>
              <w:snapToGrid w:val="0"/>
              <w:spacing w:before="0" w:after="0" w:line="52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②非正常工况</w:t>
            </w:r>
          </w:p>
          <w:p w14:paraId="75D00987">
            <w:pPr>
              <w:widowControl w:val="0"/>
              <w:overflowPunct w:val="0"/>
              <w:autoSpaceDE w:val="0"/>
              <w:autoSpaceDN w:val="0"/>
              <w:adjustRightInd w:val="0"/>
              <w:snapToGrid w:val="0"/>
              <w:spacing w:before="0" w:after="0" w:line="52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项目非正常情况主要</w:t>
            </w:r>
            <w:r>
              <w:rPr>
                <w:rFonts w:hint="eastAsia" w:cs="Times New Roman"/>
                <w:color w:val="auto"/>
                <w:kern w:val="2"/>
                <w:sz w:val="24"/>
                <w:szCs w:val="24"/>
                <w:highlight w:val="none"/>
                <w:lang w:val="en-US" w:eastAsia="zh-CN" w:bidi="ar-SA"/>
              </w:rPr>
              <w:t>为污水处理站装置出现损坏：停止设备使用，联系设备厂家更换发生装置，</w:t>
            </w:r>
            <w:r>
              <w:rPr>
                <w:rFonts w:hint="default" w:ascii="Times New Roman" w:hAnsi="Times New Roman" w:eastAsia="宋体" w:cs="Times New Roman"/>
                <w:color w:val="auto"/>
                <w:kern w:val="2"/>
                <w:sz w:val="24"/>
                <w:szCs w:val="24"/>
                <w:highlight w:val="none"/>
                <w:lang w:val="en-US" w:eastAsia="zh-CN" w:bidi="ar-SA"/>
              </w:rPr>
              <w:t>且企业平时加强设备巡视、检修，更换的频次很低</w:t>
            </w:r>
            <w:r>
              <w:rPr>
                <w:rFonts w:hint="eastAsia" w:cs="Times New Roman"/>
                <w:color w:val="auto"/>
                <w:kern w:val="2"/>
                <w:sz w:val="24"/>
                <w:szCs w:val="24"/>
                <w:highlight w:val="none"/>
                <w:lang w:val="en-US" w:eastAsia="zh-CN" w:bidi="ar-SA"/>
              </w:rPr>
              <w:t>。</w:t>
            </w:r>
          </w:p>
          <w:p w14:paraId="47227F2E">
            <w:pPr>
              <w:widowControl w:val="0"/>
              <w:overflowPunct w:val="0"/>
              <w:autoSpaceDE w:val="0"/>
              <w:autoSpaceDN w:val="0"/>
              <w:adjustRightInd w:val="0"/>
              <w:snapToGrid w:val="0"/>
              <w:spacing w:before="0" w:after="0" w:line="52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生产车间排气扇损坏：排气扇</w:t>
            </w:r>
            <w:r>
              <w:rPr>
                <w:rFonts w:hint="default" w:ascii="Times New Roman" w:hAnsi="Times New Roman" w:eastAsia="宋体" w:cs="Times New Roman"/>
                <w:color w:val="auto"/>
                <w:kern w:val="2"/>
                <w:sz w:val="24"/>
                <w:szCs w:val="24"/>
                <w:highlight w:val="none"/>
                <w:lang w:val="en-US" w:eastAsia="zh-CN" w:bidi="ar-SA"/>
              </w:rPr>
              <w:t>运转异常更换备用</w:t>
            </w:r>
            <w:r>
              <w:rPr>
                <w:rFonts w:hint="eastAsia" w:cs="Times New Roman"/>
                <w:color w:val="auto"/>
                <w:kern w:val="2"/>
                <w:sz w:val="24"/>
                <w:szCs w:val="24"/>
                <w:highlight w:val="none"/>
                <w:lang w:val="en-US" w:eastAsia="zh-CN" w:bidi="ar-SA"/>
              </w:rPr>
              <w:t>排气扇</w:t>
            </w:r>
            <w:r>
              <w:rPr>
                <w:rFonts w:hint="default" w:ascii="Times New Roman" w:hAnsi="Times New Roman" w:eastAsia="宋体" w:cs="Times New Roman"/>
                <w:color w:val="auto"/>
                <w:kern w:val="2"/>
                <w:sz w:val="24"/>
                <w:szCs w:val="24"/>
                <w:highlight w:val="none"/>
                <w:lang w:val="en-US" w:eastAsia="zh-CN" w:bidi="ar-SA"/>
              </w:rPr>
              <w:t>，用时很短，且企业平时加强设备巡视、检修，更换风机的频次很低。</w:t>
            </w:r>
          </w:p>
          <w:p w14:paraId="52B5890A">
            <w:pPr>
              <w:pageBreakBefore w:val="0"/>
              <w:widowControl w:val="0"/>
              <w:kinsoku/>
              <w:wordWrap/>
              <w:overflowPunct/>
              <w:topLinePunct w:val="0"/>
              <w:autoSpaceDE/>
              <w:autoSpaceDN/>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1.6</w:t>
            </w:r>
            <w:r>
              <w:rPr>
                <w:rFonts w:hint="eastAsia" w:ascii="Times New Roman" w:hAnsi="Times New Roman" w:eastAsia="宋体" w:cs="Times New Roman"/>
                <w:b/>
                <w:bCs/>
                <w:color w:val="auto"/>
                <w:kern w:val="2"/>
                <w:sz w:val="24"/>
                <w:szCs w:val="24"/>
                <w:highlight w:val="none"/>
                <w:lang w:val="en-US" w:eastAsia="zh-CN" w:bidi="ar-SA"/>
              </w:rPr>
              <w:t>废气监测制度</w:t>
            </w:r>
          </w:p>
          <w:p w14:paraId="42F71FC8">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根据《排污单位自行监测技术指南 总则》（HJ819-2017）、</w:t>
            </w:r>
            <w:r>
              <w:rPr>
                <w:rFonts w:hint="eastAsia" w:cs="宋体"/>
                <w:color w:val="auto"/>
                <w:highlight w:val="none"/>
                <w:lang w:val="en-US" w:eastAsia="zh-CN"/>
              </w:rPr>
              <w:t>《排污许可申请与核发技术规范酒、饮料制造工业》（HJ1028-2019）</w:t>
            </w:r>
            <w:r>
              <w:rPr>
                <w:rFonts w:hint="eastAsia" w:ascii="Times New Roman" w:hAnsi="Times New Roman" w:eastAsia="宋体" w:cs="Times New Roman"/>
                <w:color w:val="auto"/>
                <w:kern w:val="2"/>
                <w:sz w:val="24"/>
                <w:szCs w:val="20"/>
                <w:highlight w:val="none"/>
                <w:lang w:val="en-US" w:eastAsia="zh-CN"/>
              </w:rPr>
              <w:t>，本项目废气监测计划如下：</w:t>
            </w:r>
          </w:p>
          <w:p w14:paraId="3A3577B5">
            <w:pPr>
              <w:pageBreakBefore w:val="0"/>
              <w:widowControl w:val="0"/>
              <w:kinsoku/>
              <w:wordWrap/>
              <w:overflowPunct/>
              <w:topLinePunct w:val="0"/>
              <w:autoSpaceDE/>
              <w:autoSpaceDN/>
              <w:bidi w:val="0"/>
              <w:adjustRightInd/>
              <w:snapToGrid/>
              <w:spacing w:before="0" w:after="0" w:line="360" w:lineRule="auto"/>
              <w:ind w:left="0" w:right="0" w:firstLine="482" w:firstLineChars="200"/>
              <w:jc w:val="center"/>
              <w:textAlignment w:val="auto"/>
              <w:rPr>
                <w:rFonts w:hint="eastAsia" w:ascii="Times New Roman" w:hAnsi="Times New Roman" w:eastAsia="宋体" w:cs="Times New Roman"/>
                <w:b/>
                <w:bCs/>
                <w:color w:val="auto"/>
                <w:kern w:val="2"/>
                <w:sz w:val="24"/>
                <w:szCs w:val="20"/>
                <w:highlight w:val="none"/>
                <w:vertAlign w:val="baseline"/>
                <w:lang w:val="en-US" w:eastAsia="zh-CN"/>
              </w:rPr>
            </w:pPr>
            <w:r>
              <w:rPr>
                <w:rFonts w:hint="eastAsia" w:ascii="Times New Roman" w:hAnsi="Times New Roman" w:eastAsia="宋体" w:cs="Times New Roman"/>
                <w:b/>
                <w:bCs/>
                <w:color w:val="auto"/>
                <w:kern w:val="2"/>
                <w:sz w:val="24"/>
                <w:szCs w:val="20"/>
                <w:highlight w:val="none"/>
                <w:vertAlign w:val="baseline"/>
                <w:lang w:val="en-US" w:eastAsia="zh-CN"/>
              </w:rPr>
              <w:t>表</w:t>
            </w:r>
            <w:r>
              <w:rPr>
                <w:rFonts w:hint="eastAsia" w:cs="Times New Roman"/>
                <w:b/>
                <w:bCs/>
                <w:color w:val="auto"/>
                <w:kern w:val="2"/>
                <w:sz w:val="24"/>
                <w:szCs w:val="20"/>
                <w:highlight w:val="none"/>
                <w:vertAlign w:val="baseline"/>
                <w:lang w:val="en-US" w:eastAsia="zh-CN"/>
              </w:rPr>
              <w:t>4.1-6</w:t>
            </w:r>
            <w:r>
              <w:rPr>
                <w:rFonts w:hint="eastAsia" w:ascii="Times New Roman" w:hAnsi="Times New Roman" w:eastAsia="宋体" w:cs="Times New Roman"/>
                <w:b/>
                <w:bCs/>
                <w:color w:val="auto"/>
                <w:kern w:val="2"/>
                <w:sz w:val="24"/>
                <w:szCs w:val="20"/>
                <w:highlight w:val="none"/>
                <w:vertAlign w:val="baseline"/>
                <w:lang w:val="en-US" w:eastAsia="zh-CN"/>
              </w:rPr>
              <w:t>废气监测制度一览表</w:t>
            </w:r>
          </w:p>
          <w:tbl>
            <w:tblPr>
              <w:tblStyle w:val="20"/>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08"/>
              <w:gridCol w:w="1008"/>
              <w:gridCol w:w="1563"/>
              <w:gridCol w:w="4925"/>
            </w:tblGrid>
            <w:tr w14:paraId="0E14D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16" w:type="dxa"/>
                  <w:gridSpan w:val="2"/>
                  <w:tcBorders>
                    <w:tl2br w:val="nil"/>
                    <w:tr2bl w:val="nil"/>
                  </w:tcBorders>
                  <w:noWrap w:val="0"/>
                  <w:vAlign w:val="center"/>
                </w:tcPr>
                <w:p w14:paraId="3A338999">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项目</w:t>
                  </w:r>
                </w:p>
              </w:tc>
              <w:tc>
                <w:tcPr>
                  <w:tcW w:w="6488" w:type="dxa"/>
                  <w:gridSpan w:val="2"/>
                  <w:tcBorders>
                    <w:tl2br w:val="nil"/>
                    <w:tr2bl w:val="nil"/>
                  </w:tcBorders>
                  <w:noWrap w:val="0"/>
                  <w:vAlign w:val="center"/>
                </w:tcPr>
                <w:p w14:paraId="3CABDC89">
                  <w:pPr>
                    <w:keepNext w:val="0"/>
                    <w:keepLines w:val="0"/>
                    <w:widowControl w:val="0"/>
                    <w:suppressLineNumbers w:val="0"/>
                    <w:overflowPunct/>
                    <w:autoSpaceDE/>
                    <w:autoSpaceDN/>
                    <w:adjustRightInd w:val="0"/>
                    <w:snapToGrid w:val="0"/>
                    <w:spacing w:before="0" w:beforeAutospacing="0" w:after="0" w:afterAutospacing="0" w:line="280" w:lineRule="exact"/>
                    <w:ind w:left="0" w:right="0" w:firstLine="0" w:firstLineChars="0"/>
                    <w:jc w:val="center"/>
                    <w:rPr>
                      <w:rFonts w:hint="default"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kern w:val="2"/>
                      <w:sz w:val="21"/>
                      <w:szCs w:val="21"/>
                      <w:highlight w:val="none"/>
                      <w:lang w:val="en-US" w:eastAsia="zh-CN" w:bidi="ar"/>
                    </w:rPr>
                    <w:t>监测制度</w:t>
                  </w:r>
                </w:p>
              </w:tc>
            </w:tr>
            <w:tr w14:paraId="18E10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1008" w:type="dxa"/>
                  <w:vMerge w:val="restart"/>
                  <w:tcBorders>
                    <w:tl2br w:val="nil"/>
                    <w:tr2bl w:val="nil"/>
                  </w:tcBorders>
                  <w:noWrap w:val="0"/>
                  <w:vAlign w:val="center"/>
                </w:tcPr>
                <w:p w14:paraId="7BD5DB9A">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无组织排放</w:t>
                  </w:r>
                </w:p>
              </w:tc>
              <w:tc>
                <w:tcPr>
                  <w:tcW w:w="1008" w:type="dxa"/>
                  <w:vMerge w:val="restart"/>
                  <w:tcBorders>
                    <w:tl2br w:val="nil"/>
                    <w:tr2bl w:val="nil"/>
                  </w:tcBorders>
                  <w:noWrap w:val="0"/>
                  <w:vAlign w:val="center"/>
                </w:tcPr>
                <w:p w14:paraId="41E1F8FC">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cs="Times New Roman"/>
                      <w:color w:val="auto"/>
                      <w:kern w:val="2"/>
                      <w:sz w:val="21"/>
                      <w:szCs w:val="21"/>
                      <w:highlight w:val="none"/>
                      <w:lang w:val="en-US" w:eastAsia="zh-CN"/>
                    </w:rPr>
                  </w:pPr>
                  <w:r>
                    <w:rPr>
                      <w:rFonts w:hint="eastAsia" w:cs="Times New Roman"/>
                      <w:color w:val="auto"/>
                      <w:kern w:val="0"/>
                      <w:sz w:val="21"/>
                      <w:szCs w:val="21"/>
                      <w:highlight w:val="none"/>
                      <w:lang w:val="en-US" w:eastAsia="zh-CN" w:bidi="ar"/>
                    </w:rPr>
                    <w:t>NH</w:t>
                  </w:r>
                  <w:r>
                    <w:rPr>
                      <w:rFonts w:hint="eastAsia" w:cs="Times New Roman"/>
                      <w:color w:val="auto"/>
                      <w:kern w:val="0"/>
                      <w:sz w:val="21"/>
                      <w:szCs w:val="21"/>
                      <w:highlight w:val="none"/>
                      <w:vertAlign w:val="subscript"/>
                      <w:lang w:val="en-US" w:eastAsia="zh-CN" w:bidi="ar"/>
                    </w:rPr>
                    <w:t>3</w:t>
                  </w:r>
                  <w:r>
                    <w:rPr>
                      <w:rFonts w:hint="eastAsia" w:cs="Times New Roman"/>
                      <w:color w:val="auto"/>
                      <w:kern w:val="0"/>
                      <w:sz w:val="21"/>
                      <w:szCs w:val="21"/>
                      <w:highlight w:val="none"/>
                      <w:lang w:val="en-US" w:eastAsia="zh-CN" w:bidi="ar"/>
                    </w:rPr>
                    <w:t>、H</w:t>
                  </w:r>
                  <w:r>
                    <w:rPr>
                      <w:rFonts w:hint="eastAsia" w:cs="Times New Roman"/>
                      <w:color w:val="auto"/>
                      <w:kern w:val="0"/>
                      <w:sz w:val="21"/>
                      <w:szCs w:val="21"/>
                      <w:highlight w:val="none"/>
                      <w:vertAlign w:val="subscript"/>
                      <w:lang w:val="en-US" w:eastAsia="zh-CN" w:bidi="ar"/>
                    </w:rPr>
                    <w:t>2</w:t>
                  </w:r>
                  <w:r>
                    <w:rPr>
                      <w:rFonts w:hint="eastAsia" w:cs="Times New Roman"/>
                      <w:color w:val="auto"/>
                      <w:kern w:val="0"/>
                      <w:sz w:val="21"/>
                      <w:szCs w:val="21"/>
                      <w:highlight w:val="none"/>
                      <w:lang w:val="en-US" w:eastAsia="zh-CN" w:bidi="ar"/>
                    </w:rPr>
                    <w:t>S、臭气浓度</w:t>
                  </w:r>
                </w:p>
              </w:tc>
              <w:tc>
                <w:tcPr>
                  <w:tcW w:w="1563" w:type="dxa"/>
                  <w:tcBorders>
                    <w:tl2br w:val="nil"/>
                    <w:tr2bl w:val="nil"/>
                  </w:tcBorders>
                  <w:noWrap w:val="0"/>
                  <w:vAlign w:val="center"/>
                </w:tcPr>
                <w:p w14:paraId="0248137E">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
                    </w:rPr>
                    <w:t>监测点位</w:t>
                  </w:r>
                </w:p>
              </w:tc>
              <w:tc>
                <w:tcPr>
                  <w:tcW w:w="4925" w:type="dxa"/>
                  <w:tcBorders>
                    <w:tl2br w:val="nil"/>
                    <w:tr2bl w:val="nil"/>
                  </w:tcBorders>
                  <w:noWrap w:val="0"/>
                  <w:vAlign w:val="center"/>
                </w:tcPr>
                <w:p w14:paraId="2565C588">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厂界</w:t>
                  </w:r>
                </w:p>
              </w:tc>
            </w:tr>
            <w:tr w14:paraId="7682E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08" w:type="dxa"/>
                  <w:vMerge w:val="continue"/>
                  <w:tcBorders>
                    <w:tl2br w:val="nil"/>
                    <w:tr2bl w:val="nil"/>
                  </w:tcBorders>
                  <w:noWrap w:val="0"/>
                  <w:vAlign w:val="center"/>
                </w:tcPr>
                <w:p w14:paraId="6334B57D">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cs="Times New Roman"/>
                      <w:color w:val="auto"/>
                      <w:kern w:val="2"/>
                      <w:sz w:val="21"/>
                      <w:szCs w:val="21"/>
                      <w:highlight w:val="none"/>
                      <w:lang w:val="en-US" w:eastAsia="zh-CN"/>
                    </w:rPr>
                  </w:pPr>
                </w:p>
              </w:tc>
              <w:tc>
                <w:tcPr>
                  <w:tcW w:w="1008" w:type="dxa"/>
                  <w:vMerge w:val="continue"/>
                  <w:tcBorders>
                    <w:tl2br w:val="nil"/>
                    <w:tr2bl w:val="nil"/>
                  </w:tcBorders>
                  <w:noWrap w:val="0"/>
                  <w:vAlign w:val="center"/>
                </w:tcPr>
                <w:p w14:paraId="2EEE6662">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cs="Times New Roman"/>
                      <w:color w:val="auto"/>
                      <w:kern w:val="2"/>
                      <w:sz w:val="21"/>
                      <w:szCs w:val="21"/>
                      <w:highlight w:val="none"/>
                      <w:lang w:val="en-US" w:eastAsia="zh-CN"/>
                    </w:rPr>
                  </w:pPr>
                </w:p>
              </w:tc>
              <w:tc>
                <w:tcPr>
                  <w:tcW w:w="1563" w:type="dxa"/>
                  <w:tcBorders>
                    <w:tl2br w:val="nil"/>
                    <w:tr2bl w:val="nil"/>
                  </w:tcBorders>
                  <w:noWrap w:val="0"/>
                  <w:vAlign w:val="center"/>
                </w:tcPr>
                <w:p w14:paraId="6B952282">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
                    </w:rPr>
                    <w:t>监测频次</w:t>
                  </w:r>
                </w:p>
              </w:tc>
              <w:tc>
                <w:tcPr>
                  <w:tcW w:w="4925" w:type="dxa"/>
                  <w:tcBorders>
                    <w:tl2br w:val="nil"/>
                    <w:tr2bl w:val="nil"/>
                  </w:tcBorders>
                  <w:noWrap w:val="0"/>
                  <w:vAlign w:val="center"/>
                </w:tcPr>
                <w:p w14:paraId="47A06095">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半年/次</w:t>
                  </w:r>
                </w:p>
              </w:tc>
            </w:tr>
            <w:tr w14:paraId="4EB96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16" w:type="dxa"/>
                  <w:gridSpan w:val="2"/>
                  <w:tcBorders>
                    <w:tl2br w:val="nil"/>
                    <w:tr2bl w:val="nil"/>
                  </w:tcBorders>
                  <w:noWrap w:val="0"/>
                  <w:vAlign w:val="center"/>
                </w:tcPr>
                <w:p w14:paraId="7456DA1D">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采样分析数据处理</w:t>
                  </w:r>
                </w:p>
              </w:tc>
              <w:tc>
                <w:tcPr>
                  <w:tcW w:w="6488" w:type="dxa"/>
                  <w:gridSpan w:val="2"/>
                  <w:tcBorders>
                    <w:tl2br w:val="nil"/>
                    <w:tr2bl w:val="nil"/>
                  </w:tcBorders>
                  <w:noWrap w:val="0"/>
                  <w:vAlign w:val="center"/>
                </w:tcPr>
                <w:p w14:paraId="406A2AE6">
                  <w:pPr>
                    <w:keepNext w:val="0"/>
                    <w:keepLines w:val="0"/>
                    <w:widowControl w:val="0"/>
                    <w:suppressLineNumbers w:val="0"/>
                    <w:overflowPunct/>
                    <w:autoSpaceDE/>
                    <w:autoSpaceDN/>
                    <w:adjustRightInd w:val="0"/>
                    <w:snapToGrid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按照《环境空气质量标准》(GB3095-2012)、</w:t>
                  </w:r>
                  <w:r>
                    <w:rPr>
                      <w:rFonts w:hint="eastAsia"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环境空气质量手工监测技术规范</w:t>
                  </w:r>
                  <w:r>
                    <w:rPr>
                      <w:rFonts w:hint="eastAsia" w:eastAsia="宋体" w:cs="Times New Roman"/>
                      <w:color w:val="auto"/>
                      <w:kern w:val="2"/>
                      <w:sz w:val="21"/>
                      <w:szCs w:val="21"/>
                      <w:highlight w:val="none"/>
                      <w:lang w:val="en-US" w:eastAsia="zh-CN" w:bidi="ar"/>
                    </w:rPr>
                    <w:t>》（HJ194-2017）、《固定污染源烟气排放连续监测技术规范》（HJ75-2017）</w:t>
                  </w:r>
                  <w:r>
                    <w:rPr>
                      <w:rFonts w:hint="default" w:ascii="Times New Roman" w:hAnsi="Times New Roman" w:eastAsia="宋体" w:cs="Times New Roman"/>
                      <w:color w:val="auto"/>
                      <w:kern w:val="2"/>
                      <w:sz w:val="21"/>
                      <w:szCs w:val="21"/>
                      <w:highlight w:val="none"/>
                      <w:lang w:val="en-US" w:eastAsia="zh-CN" w:bidi="ar"/>
                    </w:rPr>
                    <w:t>的有关规定进行</w:t>
                  </w:r>
                </w:p>
              </w:tc>
            </w:tr>
          </w:tbl>
          <w:p w14:paraId="2C175D8A">
            <w:pPr>
              <w:keepNext w:val="0"/>
              <w:keepLines w:val="0"/>
              <w:pageBreakBefore w:val="0"/>
              <w:widowControl w:val="0"/>
              <w:kinsoku/>
              <w:wordWrap/>
              <w:overflowPunct w:val="0"/>
              <w:topLinePunct w:val="0"/>
              <w:autoSpaceDE w:val="0"/>
              <w:autoSpaceDN w:val="0"/>
              <w:bidi w:val="0"/>
              <w:adjustRightInd w:val="0"/>
              <w:snapToGrid w:val="0"/>
              <w:spacing w:after="0" w:line="360" w:lineRule="auto"/>
              <w:ind w:right="0"/>
              <w:jc w:val="left"/>
              <w:textAlignment w:val="auto"/>
              <w:outlineLvl w:val="1"/>
              <w:rPr>
                <w:rFonts w:hint="eastAsia"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2、</w:t>
            </w:r>
            <w:r>
              <w:rPr>
                <w:rFonts w:hint="eastAsia" w:ascii="Times New Roman" w:hAnsi="Times New Roman" w:eastAsia="宋体" w:cs="黑体"/>
                <w:b/>
                <w:color w:val="auto"/>
                <w:sz w:val="28"/>
                <w:szCs w:val="30"/>
                <w:lang w:val="en-US" w:eastAsia="zh-CN" w:bidi="ar-SA"/>
              </w:rPr>
              <w:t>废水</w:t>
            </w:r>
          </w:p>
          <w:p w14:paraId="3A1D6CEC">
            <w:pPr>
              <w:keepNext w:val="0"/>
              <w:keepLines w:val="0"/>
              <w:pageBreakBefore w:val="0"/>
              <w:widowControl w:val="0"/>
              <w:kinsoku/>
              <w:wordWrap/>
              <w:overflowPunct w:val="0"/>
              <w:topLinePunct w:val="0"/>
              <w:autoSpaceDE w:val="0"/>
              <w:autoSpaceDN w:val="0"/>
              <w:bidi w:val="0"/>
              <w:adjustRightInd w:val="0"/>
              <w:snapToGrid w:val="0"/>
              <w:spacing w:after="0" w:line="360" w:lineRule="auto"/>
              <w:ind w:left="0" w:right="0" w:firstLine="482" w:firstLineChars="200"/>
              <w:jc w:val="both"/>
              <w:textAlignment w:val="auto"/>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2.1废水产生核算</w:t>
            </w:r>
          </w:p>
          <w:p w14:paraId="1C2DB80E">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cs="宋体"/>
                <w:color w:val="auto"/>
                <w:lang w:val="en-US" w:eastAsia="zh-CN"/>
              </w:rPr>
            </w:pPr>
            <w:r>
              <w:rPr>
                <w:rFonts w:hint="eastAsia" w:ascii="Times New Roman" w:hAnsi="Times New Roman" w:eastAsia="宋体" w:cs="宋体"/>
                <w:color w:val="auto"/>
                <w:sz w:val="24"/>
                <w:szCs w:val="22"/>
                <w:lang w:val="en-US" w:eastAsia="zh-CN" w:bidi="ar-SA"/>
              </w:rPr>
              <w:t>（1）</w:t>
            </w:r>
            <w:r>
              <w:rPr>
                <w:rFonts w:hint="eastAsia" w:cs="宋体"/>
                <w:color w:val="auto"/>
                <w:lang w:val="en-US" w:eastAsia="zh-CN"/>
              </w:rPr>
              <w:t>生产废水</w:t>
            </w:r>
          </w:p>
          <w:p w14:paraId="7995922C">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default" w:cs="宋体"/>
                <w:color w:val="auto"/>
                <w:lang w:val="en-US" w:eastAsia="zh-CN"/>
              </w:rPr>
            </w:pPr>
            <w:r>
              <w:rPr>
                <w:rFonts w:hint="eastAsia" w:ascii="Times New Roman" w:hAnsi="Times New Roman" w:eastAsia="宋体" w:cs="宋体"/>
                <w:color w:val="auto"/>
                <w:lang w:val="en-US" w:eastAsia="zh-CN"/>
              </w:rPr>
              <w:t>经项目水平衡分析可知，本项目生产废水排放量为</w:t>
            </w:r>
            <w:r>
              <w:rPr>
                <w:rFonts w:hint="eastAsia" w:cs="宋体"/>
                <w:color w:val="auto"/>
                <w:lang w:val="en-US" w:eastAsia="zh-CN"/>
              </w:rPr>
              <w:t>（不含软化废水）15034.88</w:t>
            </w:r>
            <w:r>
              <w:rPr>
                <w:rFonts w:hint="eastAsia" w:ascii="Times New Roman" w:hAnsi="Times New Roman" w:eastAsia="宋体" w:cs="宋体"/>
                <w:color w:val="auto"/>
                <w:lang w:val="en-US" w:eastAsia="zh-CN"/>
              </w:rPr>
              <w:t>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/a（</w:t>
            </w:r>
            <w:r>
              <w:rPr>
                <w:rFonts w:hint="eastAsia" w:cs="宋体"/>
                <w:color w:val="auto"/>
                <w:lang w:val="en-US" w:eastAsia="zh-CN"/>
              </w:rPr>
              <w:t>83.527</w:t>
            </w:r>
            <w:r>
              <w:rPr>
                <w:rFonts w:hint="eastAsia" w:ascii="Times New Roman" w:hAnsi="Times New Roman" w:eastAsia="宋体" w:cs="宋体"/>
                <w:color w:val="auto"/>
                <w:lang w:val="en-US" w:eastAsia="zh-CN"/>
              </w:rPr>
              <w:t>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/d）。本项目产品</w:t>
            </w:r>
            <w:r>
              <w:rPr>
                <w:rFonts w:hint="eastAsia" w:cs="宋体"/>
                <w:color w:val="auto"/>
                <w:lang w:val="en-US" w:eastAsia="zh-CN"/>
              </w:rPr>
              <w:t>总</w:t>
            </w:r>
            <w:r>
              <w:rPr>
                <w:rFonts w:hint="eastAsia" w:ascii="Times New Roman" w:hAnsi="Times New Roman" w:eastAsia="宋体" w:cs="宋体"/>
                <w:color w:val="auto"/>
                <w:lang w:val="en-US" w:eastAsia="zh-CN"/>
              </w:rPr>
              <w:t>产量为</w:t>
            </w:r>
            <w:r>
              <w:rPr>
                <w:rFonts w:hint="eastAsia" w:cs="宋体"/>
                <w:color w:val="auto"/>
                <w:lang w:val="en-US" w:eastAsia="zh-CN"/>
              </w:rPr>
              <w:t>7000</w:t>
            </w:r>
            <w:r>
              <w:rPr>
                <w:rFonts w:hint="eastAsia" w:ascii="Times New Roman" w:hAnsi="Times New Roman" w:eastAsia="宋体" w:cs="宋体"/>
                <w:color w:val="auto"/>
                <w:lang w:val="en-US" w:eastAsia="zh-CN"/>
              </w:rPr>
              <w:t>吨/年</w:t>
            </w:r>
            <w:r>
              <w:rPr>
                <w:rFonts w:hint="eastAsia" w:cs="宋体"/>
                <w:color w:val="auto"/>
                <w:lang w:val="en-US" w:eastAsia="zh-CN"/>
              </w:rPr>
              <w:t>，由于本项目产品仅为葡萄汁以及葡萄果糖，且果糖生产工艺仅多一道膜浓缩，其余工序一样，因此均参考</w:t>
            </w:r>
            <w:r>
              <w:rPr>
                <w:rFonts w:hint="eastAsia" w:ascii="Times New Roman" w:hAnsi="Times New Roman" w:eastAsia="宋体" w:cs="宋体"/>
                <w:color w:val="auto"/>
                <w:lang w:val="en-US" w:eastAsia="zh-CN"/>
              </w:rPr>
              <w:t>《排污许可证申请与核发技术规范 酒、饮料制造工业》（HJ1028-2019）中附录 C：酒、饮料制造工业水污染物产污系数表中表 C.6 果菜汁及果菜汁饮料制造工业产污系数表中浓缩苹果汁（产量＜10万吨/年）部分产污数据可知：化学需氧量70774克/吨产品、氨氮532.08克/吨产品、总氮709.44克/吨产品、总磷 88.68克/吨产品。经计算得出生产废水污染物产生浓度值分别为：COD</w:t>
            </w:r>
            <w:r>
              <w:rPr>
                <w:rFonts w:hint="eastAsia" w:cs="宋体"/>
                <w:color w:val="auto"/>
                <w:lang w:val="en-US" w:eastAsia="zh-CN"/>
              </w:rPr>
              <w:t>：32951.24</w:t>
            </w:r>
            <w:r>
              <w:rPr>
                <w:rFonts w:hint="eastAsia" w:ascii="Times New Roman" w:hAnsi="Times New Roman" w:eastAsia="宋体" w:cs="宋体"/>
                <w:color w:val="auto"/>
                <w:lang w:val="en-US" w:eastAsia="zh-CN"/>
              </w:rPr>
              <w:t>mg/L，NH</w:t>
            </w:r>
            <w:r>
              <w:rPr>
                <w:rFonts w:hint="eastAsia" w:ascii="Times New Roman" w:hAnsi="Times New Roman" w:eastAsia="宋体" w:cs="宋体"/>
                <w:color w:val="auto"/>
                <w:vertAlign w:val="subscript"/>
                <w:lang w:val="en-US" w:eastAsia="zh-CN"/>
              </w:rPr>
              <w:t>3</w:t>
            </w:r>
            <w:r>
              <w:rPr>
                <w:rFonts w:hint="eastAsia" w:ascii="Times New Roman" w:hAnsi="Times New Roman" w:eastAsia="宋体" w:cs="宋体"/>
                <w:color w:val="auto"/>
                <w:lang w:val="en-US" w:eastAsia="zh-CN"/>
              </w:rPr>
              <w:t>-N</w:t>
            </w:r>
            <w:r>
              <w:rPr>
                <w:rFonts w:hint="eastAsia" w:cs="宋体"/>
                <w:color w:val="auto"/>
                <w:lang w:val="en-US" w:eastAsia="zh-CN"/>
              </w:rPr>
              <w:t>：247.73</w:t>
            </w:r>
            <w:r>
              <w:rPr>
                <w:rFonts w:hint="eastAsia" w:ascii="Times New Roman" w:hAnsi="Times New Roman" w:eastAsia="宋体" w:cs="宋体"/>
                <w:color w:val="auto"/>
                <w:lang w:val="en-US" w:eastAsia="zh-CN"/>
              </w:rPr>
              <w:t>mg/L、总氮</w:t>
            </w:r>
            <w:r>
              <w:rPr>
                <w:rFonts w:hint="eastAsia" w:cs="宋体"/>
                <w:color w:val="auto"/>
                <w:lang w:val="en-US" w:eastAsia="zh-CN"/>
              </w:rPr>
              <w:t>：</w:t>
            </w:r>
            <w:r>
              <w:rPr>
                <w:rFonts w:hint="eastAsia" w:ascii="Times New Roman" w:hAnsi="Times New Roman" w:eastAsia="宋体" w:cs="宋体"/>
                <w:color w:val="auto"/>
                <w:lang w:val="en-US" w:eastAsia="zh-CN"/>
              </w:rPr>
              <w:t>330.30mg/L、总磷</w:t>
            </w:r>
            <w:r>
              <w:rPr>
                <w:rFonts w:hint="eastAsia" w:cs="宋体"/>
                <w:color w:val="auto"/>
                <w:lang w:val="en-US" w:eastAsia="zh-CN"/>
              </w:rPr>
              <w:t>：41.29</w:t>
            </w:r>
            <w:r>
              <w:rPr>
                <w:rFonts w:hint="eastAsia" w:ascii="Times New Roman" w:hAnsi="Times New Roman" w:eastAsia="宋体" w:cs="宋体"/>
                <w:color w:val="auto"/>
                <w:lang w:val="en-US" w:eastAsia="zh-CN"/>
              </w:rPr>
              <w:t>mg/L。本项目废水可生化性较好，按照 B/C比值为0.5考虑，则 BOD5产生浓度值为：</w:t>
            </w:r>
            <w:r>
              <w:rPr>
                <w:rFonts w:hint="eastAsia" w:cs="宋体"/>
                <w:color w:val="auto"/>
                <w:lang w:val="en-US" w:eastAsia="zh-CN"/>
              </w:rPr>
              <w:t>16475.62</w:t>
            </w:r>
            <w:r>
              <w:rPr>
                <w:rFonts w:hint="eastAsia" w:ascii="Times New Roman" w:hAnsi="Times New Roman" w:eastAsia="宋体" w:cs="宋体"/>
                <w:color w:val="auto"/>
                <w:lang w:val="en-US" w:eastAsia="zh-CN"/>
              </w:rPr>
              <w:t>mg/L</w:t>
            </w:r>
            <w:r>
              <w:rPr>
                <w:rFonts w:hint="eastAsia" w:cs="宋体"/>
                <w:color w:val="auto"/>
                <w:lang w:val="en-US" w:eastAsia="zh-CN"/>
              </w:rPr>
              <w:t>。</w:t>
            </w:r>
            <w:r>
              <w:rPr>
                <w:rFonts w:hint="eastAsia" w:ascii="Times New Roman" w:hAnsi="Times New Roman" w:eastAsia="宋体" w:cs="宋体"/>
                <w:color w:val="auto"/>
                <w:lang w:val="en-US" w:eastAsia="zh-CN"/>
              </w:rPr>
              <w:t>本项目用水、排水情况见表</w:t>
            </w:r>
            <w:r>
              <w:rPr>
                <w:rFonts w:hint="eastAsia" w:cs="宋体"/>
                <w:color w:val="auto"/>
                <w:lang w:val="en-US" w:eastAsia="zh-CN"/>
              </w:rPr>
              <w:t>4.2-1</w:t>
            </w:r>
            <w:r>
              <w:rPr>
                <w:rFonts w:hint="eastAsia" w:ascii="Times New Roman" w:hAnsi="Times New Roman" w:eastAsia="宋体" w:cs="宋体"/>
                <w:color w:val="auto"/>
                <w:lang w:val="en-US" w:eastAsia="zh-CN"/>
              </w:rPr>
              <w:t>。</w:t>
            </w:r>
            <w:r>
              <w:rPr>
                <w:rFonts w:hint="eastAsia" w:cs="宋体"/>
                <w:color w:val="auto"/>
                <w:lang w:val="en-US" w:eastAsia="zh-CN"/>
              </w:rPr>
              <w:t>本项目生产废水主要冲洗蔬果、设备、车间产生的废水</w:t>
            </w:r>
            <w:r>
              <w:rPr>
                <w:rFonts w:hint="eastAsia" w:ascii="Times New Roman" w:hAnsi="Times New Roman" w:eastAsia="宋体" w:cs="宋体"/>
                <w:color w:val="auto"/>
                <w:lang w:val="en-US" w:eastAsia="zh-CN"/>
              </w:rPr>
              <w:t>。</w:t>
            </w:r>
            <w:r>
              <w:rPr>
                <w:rFonts w:hint="eastAsia" w:cs="宋体"/>
                <w:color w:val="auto"/>
                <w:lang w:val="en-US" w:eastAsia="zh-CN"/>
              </w:rPr>
              <w:t>通过自建污水处理站处理后，</w:t>
            </w:r>
            <w:r>
              <w:rPr>
                <w:rFonts w:hint="eastAsia" w:cs="Times New Roman"/>
                <w:color w:val="auto"/>
                <w:kern w:val="2"/>
                <w:sz w:val="24"/>
                <w:szCs w:val="24"/>
                <w:highlight w:val="none"/>
                <w:lang w:val="en-US" w:eastAsia="zh-CN" w:bidi="ar-SA"/>
              </w:rPr>
              <w:t>最终通过园区下水排放至园区污水处理厂处理</w:t>
            </w:r>
            <w:r>
              <w:rPr>
                <w:rFonts w:hint="eastAsia" w:cs="Times New Roman"/>
                <w:color w:val="auto"/>
                <w:sz w:val="24"/>
                <w:szCs w:val="24"/>
                <w:highlight w:val="none"/>
                <w:lang w:val="en-US" w:eastAsia="zh-CN" w:bidi="ar-SA"/>
              </w:rPr>
              <w:t>。</w:t>
            </w:r>
          </w:p>
          <w:p w14:paraId="38826B78">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w:t>
            </w:r>
            <w:r>
              <w:rPr>
                <w:rFonts w:hint="eastAsia" w:cs="Times New Roman"/>
                <w:b w:val="0"/>
                <w:bCs w:val="0"/>
                <w:color w:val="auto"/>
                <w:kern w:val="2"/>
                <w:sz w:val="24"/>
                <w:szCs w:val="20"/>
                <w:highlight w:val="none"/>
                <w:lang w:val="en-US" w:eastAsia="zh-CN"/>
              </w:rPr>
              <w:t>2</w:t>
            </w:r>
            <w:r>
              <w:rPr>
                <w:rFonts w:hint="eastAsia" w:ascii="Times New Roman" w:hAnsi="Times New Roman" w:eastAsia="宋体" w:cs="Times New Roman"/>
                <w:b w:val="0"/>
                <w:bCs w:val="0"/>
                <w:color w:val="auto"/>
                <w:kern w:val="2"/>
                <w:sz w:val="24"/>
                <w:szCs w:val="20"/>
                <w:highlight w:val="none"/>
                <w:lang w:val="en-US" w:eastAsia="zh-CN"/>
              </w:rPr>
              <w:t>）生活污水产排情况</w:t>
            </w:r>
          </w:p>
          <w:p w14:paraId="5C8D9E5D">
            <w:pPr>
              <w:keepNext w:val="0"/>
              <w:keepLines w:val="0"/>
              <w:pageBreakBefore w:val="0"/>
              <w:widowControl w:val="0"/>
              <w:kinsoku/>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本项目新增员工</w:t>
            </w:r>
            <w:r>
              <w:rPr>
                <w:rFonts w:hint="eastAsia" w:cs="Times New Roman"/>
                <w:color w:val="auto"/>
                <w:sz w:val="24"/>
                <w:szCs w:val="24"/>
                <w:highlight w:val="none"/>
                <w:lang w:val="en-US" w:eastAsia="zh-CN" w:bidi="ar-SA"/>
              </w:rPr>
              <w:t>40</w:t>
            </w:r>
            <w:r>
              <w:rPr>
                <w:rFonts w:hint="default" w:ascii="Times New Roman" w:hAnsi="Times New Roman" w:eastAsia="宋体" w:cs="Times New Roman"/>
                <w:color w:val="auto"/>
                <w:sz w:val="24"/>
                <w:szCs w:val="24"/>
                <w:highlight w:val="none"/>
                <w:lang w:val="en-US" w:eastAsia="zh-CN" w:bidi="ar-SA"/>
              </w:rPr>
              <w:t>人，根据《新疆维吾尔自治区生活用水定额》集体宿舍取80L/人•d，职工生活用水量为</w:t>
            </w:r>
            <w:r>
              <w:rPr>
                <w:rFonts w:hint="eastAsia" w:cs="Times New Roman"/>
                <w:color w:val="auto"/>
                <w:sz w:val="24"/>
                <w:szCs w:val="24"/>
                <w:highlight w:val="none"/>
                <w:lang w:val="en-US" w:eastAsia="zh-CN" w:bidi="ar-SA"/>
              </w:rPr>
              <w:t>3.2</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w:t>
            </w:r>
            <w:r>
              <w:rPr>
                <w:rFonts w:hint="eastAsia" w:cs="Times New Roman"/>
                <w:color w:val="auto"/>
                <w:sz w:val="24"/>
                <w:szCs w:val="24"/>
                <w:highlight w:val="none"/>
                <w:lang w:val="en-US" w:eastAsia="zh-CN" w:bidi="ar-SA"/>
              </w:rPr>
              <w:t>576</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/a。生活污水产污系数以0.8计</w:t>
            </w:r>
            <w:r>
              <w:rPr>
                <w:rFonts w:hint="eastAsia" w:ascii="Times New Roman" w:hAnsi="Times New Roman" w:eastAsia="宋体" w:cs="Times New Roman"/>
                <w:color w:val="auto"/>
                <w:sz w:val="24"/>
                <w:szCs w:val="24"/>
                <w:highlight w:val="none"/>
                <w:lang w:val="en-US" w:eastAsia="zh-CN" w:bidi="ar-SA"/>
              </w:rPr>
              <w:t>，即</w:t>
            </w:r>
            <w:r>
              <w:rPr>
                <w:rFonts w:hint="eastAsia" w:cs="Times New Roman"/>
                <w:color w:val="auto"/>
                <w:sz w:val="24"/>
                <w:szCs w:val="24"/>
                <w:highlight w:val="none"/>
                <w:lang w:val="en-US" w:eastAsia="zh-CN" w:bidi="ar-SA"/>
              </w:rPr>
              <w:t>2.56</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/d，</w:t>
            </w:r>
            <w:r>
              <w:rPr>
                <w:rFonts w:hint="eastAsia" w:cs="Times New Roman"/>
                <w:color w:val="auto"/>
                <w:sz w:val="24"/>
                <w:szCs w:val="24"/>
                <w:highlight w:val="none"/>
                <w:lang w:val="en-US" w:eastAsia="zh-CN" w:bidi="ar-SA"/>
              </w:rPr>
              <w:t>460.8</w:t>
            </w:r>
            <w:r>
              <w:rPr>
                <w:rFonts w:hint="default" w:ascii="Times New Roman" w:hAnsi="Times New Roman" w:eastAsia="宋体" w:cs="Times New Roman"/>
                <w:color w:val="auto"/>
                <w:sz w:val="24"/>
                <w:szCs w:val="24"/>
                <w:highlight w:val="none"/>
                <w:lang w:val="en-US" w:eastAsia="zh-CN" w:bidi="ar-SA"/>
              </w:rPr>
              <w:t>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/a</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废水中含COD、BOD</w:t>
            </w:r>
            <w:r>
              <w:rPr>
                <w:rFonts w:hint="default" w:ascii="Times New Roman" w:hAnsi="Times New Roman" w:eastAsia="宋体" w:cs="Times New Roman"/>
                <w:color w:val="auto"/>
                <w:sz w:val="24"/>
                <w:szCs w:val="24"/>
                <w:highlight w:val="none"/>
                <w:vertAlign w:val="subscript"/>
                <w:lang w:val="en-US" w:eastAsia="zh-CN" w:bidi="ar-SA"/>
              </w:rPr>
              <w:t>5</w:t>
            </w:r>
            <w:r>
              <w:rPr>
                <w:rFonts w:hint="default" w:ascii="Times New Roman" w:hAnsi="Times New Roman" w:eastAsia="宋体" w:cs="Times New Roman"/>
                <w:color w:val="auto"/>
                <w:sz w:val="24"/>
                <w:szCs w:val="24"/>
                <w:highlight w:val="none"/>
                <w:lang w:val="en-US" w:eastAsia="zh-CN" w:bidi="ar-SA"/>
              </w:rPr>
              <w:t>、SS、氨氮等污染物</w:t>
            </w:r>
            <w:r>
              <w:rPr>
                <w:rFonts w:hint="eastAsia" w:cs="Times New Roman"/>
                <w:color w:val="auto"/>
                <w:kern w:val="2"/>
                <w:sz w:val="24"/>
                <w:szCs w:val="24"/>
                <w:highlight w:val="none"/>
                <w:lang w:val="en-US" w:eastAsia="zh-CN" w:bidi="ar-SA"/>
              </w:rPr>
              <w:t>。</w:t>
            </w:r>
          </w:p>
          <w:p w14:paraId="406B2F17">
            <w:pPr>
              <w:keepNext w:val="0"/>
              <w:keepLines w:val="0"/>
              <w:pageBreakBefore w:val="0"/>
              <w:widowControl w:val="0"/>
              <w:kinsoku/>
              <w:wordWrap/>
              <w:overflowPunct w:val="0"/>
              <w:topLinePunct w:val="0"/>
              <w:autoSpaceDE w:val="0"/>
              <w:autoSpaceDN w:val="0"/>
              <w:bidi w:val="0"/>
              <w:adjustRightInd w:val="0"/>
              <w:snapToGrid w:val="0"/>
              <w:spacing w:before="0" w:after="0" w:line="360" w:lineRule="auto"/>
              <w:ind w:left="0" w:right="0" w:firstLine="380" w:firstLineChars="200"/>
              <w:jc w:val="both"/>
              <w:textAlignment w:val="auto"/>
              <w:rPr>
                <w:rFonts w:ascii="Times New Roman" w:hAnsi="Times New Roman" w:eastAsia="宋体" w:cs="宋体"/>
                <w:bCs/>
                <w:snapToGrid w:val="0"/>
                <w:color w:val="auto"/>
                <w:spacing w:val="-10"/>
                <w:kern w:val="2"/>
                <w:sz w:val="21"/>
                <w:szCs w:val="21"/>
                <w:highlight w:val="none"/>
                <w:lang w:val="en-US" w:eastAsia="zh-CN" w:bidi="ar-SA"/>
              </w:rPr>
            </w:pPr>
          </w:p>
        </w:tc>
      </w:tr>
    </w:tbl>
    <w:p w14:paraId="505BB96E">
      <w:pPr>
        <w:widowControl w:val="0"/>
        <w:overflowPunct w:val="0"/>
        <w:autoSpaceDE w:val="0"/>
        <w:autoSpaceDN w:val="0"/>
        <w:adjustRightInd w:val="0"/>
        <w:snapToGrid w:val="0"/>
        <w:spacing w:before="0" w:after="0" w:line="400" w:lineRule="exact"/>
        <w:ind w:left="0" w:leftChars="0" w:right="0" w:rightChars="0" w:firstLine="0" w:firstLineChars="0"/>
        <w:jc w:val="center"/>
        <w:rPr>
          <w:rFonts w:ascii="Times New Roman" w:hAnsi="Times New Roman" w:eastAsia="宋体" w:cs="宋体"/>
          <w:color w:val="auto"/>
          <w:sz w:val="24"/>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1760819">
      <w:pPr>
        <w:pStyle w:val="44"/>
        <w:bidi w:val="0"/>
        <w:rPr>
          <w:color w:val="auto"/>
        </w:rPr>
      </w:pPr>
      <w:r>
        <w:rPr>
          <w:rFonts w:hint="eastAsia"/>
          <w:color w:val="auto"/>
          <w:lang w:val="en-US" w:eastAsia="zh-CN"/>
        </w:rPr>
        <w:t>表4.2-2本项目各种生产</w:t>
      </w:r>
      <w:r>
        <w:rPr>
          <w:color w:val="auto"/>
          <w:lang w:val="en-US" w:eastAsia="zh-CN"/>
        </w:rPr>
        <w:t>废水</w:t>
      </w:r>
      <w:r>
        <w:rPr>
          <w:rFonts w:hint="eastAsia"/>
          <w:color w:val="auto"/>
          <w:lang w:val="en-US" w:eastAsia="zh-CN"/>
        </w:rPr>
        <w:t>产生</w:t>
      </w:r>
      <w:r>
        <w:rPr>
          <w:color w:val="auto"/>
          <w:lang w:val="en-US" w:eastAsia="zh-CN"/>
        </w:rPr>
        <w:t>情况表</w:t>
      </w:r>
    </w:p>
    <w:tbl>
      <w:tblPr>
        <w:tblStyle w:val="21"/>
        <w:tblW w:w="55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635"/>
        <w:gridCol w:w="1460"/>
        <w:gridCol w:w="3061"/>
        <w:gridCol w:w="1946"/>
        <w:gridCol w:w="2883"/>
        <w:gridCol w:w="3489"/>
      </w:tblGrid>
      <w:tr w14:paraId="0EBD8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tcBorders>
              <w:tl2br w:val="nil"/>
              <w:tr2bl w:val="nil"/>
            </w:tcBorders>
            <w:vAlign w:val="center"/>
          </w:tcPr>
          <w:p w14:paraId="1112AF37">
            <w:pPr>
              <w:pStyle w:val="46"/>
              <w:bidi w:val="0"/>
              <w:jc w:val="center"/>
              <w:rPr>
                <w:rFonts w:hint="default"/>
                <w:color w:val="auto"/>
                <w:sz w:val="21"/>
                <w:szCs w:val="21"/>
                <w:lang w:val="en-US" w:eastAsia="zh-CN"/>
              </w:rPr>
            </w:pPr>
            <w:r>
              <w:rPr>
                <w:rFonts w:hint="eastAsia"/>
                <w:color w:val="auto"/>
                <w:sz w:val="21"/>
                <w:szCs w:val="21"/>
                <w:lang w:val="en-US" w:eastAsia="zh-CN"/>
              </w:rPr>
              <w:t>废水类别</w:t>
            </w:r>
          </w:p>
        </w:tc>
        <w:tc>
          <w:tcPr>
            <w:tcW w:w="515" w:type="pct"/>
            <w:tcBorders>
              <w:tl2br w:val="nil"/>
              <w:tr2bl w:val="nil"/>
            </w:tcBorders>
            <w:vAlign w:val="center"/>
          </w:tcPr>
          <w:p w14:paraId="22483264">
            <w:pPr>
              <w:pStyle w:val="46"/>
              <w:bidi w:val="0"/>
              <w:jc w:val="center"/>
              <w:rPr>
                <w:rFonts w:hint="default"/>
                <w:color w:val="auto"/>
                <w:sz w:val="21"/>
                <w:szCs w:val="21"/>
                <w:lang w:val="en-US" w:eastAsia="zh-CN"/>
              </w:rPr>
            </w:pPr>
            <w:r>
              <w:rPr>
                <w:rFonts w:hint="eastAsia"/>
                <w:color w:val="auto"/>
                <w:sz w:val="21"/>
                <w:szCs w:val="21"/>
                <w:lang w:val="en-US" w:eastAsia="zh-CN"/>
              </w:rPr>
              <w:t>废水排放量</w:t>
            </w:r>
          </w:p>
        </w:tc>
        <w:tc>
          <w:tcPr>
            <w:tcW w:w="460" w:type="pct"/>
            <w:tcBorders>
              <w:tl2br w:val="nil"/>
              <w:tr2bl w:val="nil"/>
            </w:tcBorders>
            <w:vAlign w:val="center"/>
          </w:tcPr>
          <w:p w14:paraId="1622E218">
            <w:pPr>
              <w:pStyle w:val="46"/>
              <w:bidi w:val="0"/>
              <w:jc w:val="center"/>
              <w:rPr>
                <w:rFonts w:hint="default"/>
                <w:color w:val="auto"/>
                <w:sz w:val="21"/>
                <w:szCs w:val="21"/>
                <w:lang w:val="en-US" w:eastAsia="zh-CN"/>
              </w:rPr>
            </w:pPr>
            <w:r>
              <w:rPr>
                <w:rFonts w:hint="eastAsia"/>
                <w:color w:val="auto"/>
                <w:sz w:val="21"/>
                <w:szCs w:val="21"/>
                <w:lang w:val="en-US" w:eastAsia="zh-CN"/>
              </w:rPr>
              <w:t>污染物种类</w:t>
            </w:r>
          </w:p>
        </w:tc>
        <w:tc>
          <w:tcPr>
            <w:tcW w:w="964" w:type="pct"/>
            <w:tcBorders>
              <w:tl2br w:val="nil"/>
              <w:tr2bl w:val="nil"/>
            </w:tcBorders>
            <w:vAlign w:val="center"/>
          </w:tcPr>
          <w:p w14:paraId="1132EB4D">
            <w:pPr>
              <w:pStyle w:val="46"/>
              <w:bidi w:val="0"/>
              <w:jc w:val="center"/>
              <w:rPr>
                <w:rFonts w:hint="default"/>
                <w:color w:val="auto"/>
                <w:sz w:val="21"/>
                <w:szCs w:val="21"/>
                <w:lang w:val="en-US" w:eastAsia="zh-CN"/>
              </w:rPr>
            </w:pPr>
            <w:r>
              <w:rPr>
                <w:rFonts w:hint="eastAsia"/>
                <w:color w:val="auto"/>
                <w:sz w:val="21"/>
                <w:szCs w:val="21"/>
                <w:lang w:val="en-US" w:eastAsia="zh-CN"/>
              </w:rPr>
              <w:t>污染物产生量及浓度</w:t>
            </w:r>
          </w:p>
        </w:tc>
        <w:tc>
          <w:tcPr>
            <w:tcW w:w="613" w:type="pct"/>
            <w:tcBorders>
              <w:tl2br w:val="nil"/>
              <w:tr2bl w:val="nil"/>
            </w:tcBorders>
            <w:vAlign w:val="center"/>
          </w:tcPr>
          <w:p w14:paraId="1068F025">
            <w:pPr>
              <w:pStyle w:val="46"/>
              <w:bidi w:val="0"/>
              <w:jc w:val="center"/>
              <w:rPr>
                <w:rFonts w:hint="default"/>
                <w:color w:val="auto"/>
                <w:sz w:val="21"/>
                <w:szCs w:val="21"/>
                <w:lang w:val="en-US" w:eastAsia="zh-CN"/>
              </w:rPr>
            </w:pPr>
            <w:r>
              <w:rPr>
                <w:rFonts w:hint="eastAsia"/>
                <w:color w:val="auto"/>
                <w:sz w:val="21"/>
                <w:szCs w:val="21"/>
                <w:lang w:val="en-US" w:eastAsia="zh-CN"/>
              </w:rPr>
              <w:t>处理措施</w:t>
            </w:r>
          </w:p>
        </w:tc>
        <w:tc>
          <w:tcPr>
            <w:tcW w:w="908" w:type="pct"/>
            <w:tcBorders>
              <w:tl2br w:val="nil"/>
              <w:tr2bl w:val="nil"/>
            </w:tcBorders>
            <w:vAlign w:val="center"/>
          </w:tcPr>
          <w:p w14:paraId="34E8E77F">
            <w:pPr>
              <w:pStyle w:val="46"/>
              <w:bidi w:val="0"/>
              <w:jc w:val="center"/>
              <w:rPr>
                <w:rFonts w:hint="default"/>
                <w:color w:val="auto"/>
                <w:sz w:val="21"/>
                <w:szCs w:val="21"/>
                <w:lang w:val="en-US" w:eastAsia="zh-CN"/>
              </w:rPr>
            </w:pPr>
            <w:r>
              <w:rPr>
                <w:rFonts w:hint="eastAsia"/>
                <w:color w:val="auto"/>
                <w:sz w:val="21"/>
                <w:szCs w:val="21"/>
                <w:lang w:val="en-US" w:eastAsia="zh-CN"/>
              </w:rPr>
              <w:t>污染物排放量及浓度</w:t>
            </w:r>
          </w:p>
        </w:tc>
        <w:tc>
          <w:tcPr>
            <w:tcW w:w="1099" w:type="pct"/>
            <w:tcBorders>
              <w:tl2br w:val="nil"/>
              <w:tr2bl w:val="nil"/>
            </w:tcBorders>
            <w:vAlign w:val="center"/>
          </w:tcPr>
          <w:p w14:paraId="0213E002">
            <w:pPr>
              <w:pStyle w:val="46"/>
              <w:bidi w:val="0"/>
              <w:jc w:val="center"/>
              <w:rPr>
                <w:rFonts w:hint="default"/>
                <w:color w:val="auto"/>
                <w:lang w:val="en-US" w:eastAsia="zh-CN"/>
              </w:rPr>
            </w:pPr>
            <w:r>
              <w:rPr>
                <w:rFonts w:hint="eastAsia"/>
                <w:color w:val="auto"/>
                <w:lang w:val="en-US" w:eastAsia="zh-CN"/>
              </w:rPr>
              <w:t>排放去向</w:t>
            </w:r>
          </w:p>
        </w:tc>
      </w:tr>
      <w:tr w14:paraId="12DAF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38" w:type="pct"/>
            <w:vMerge w:val="restart"/>
            <w:tcBorders>
              <w:tl2br w:val="nil"/>
              <w:tr2bl w:val="nil"/>
            </w:tcBorders>
            <w:vAlign w:val="center"/>
          </w:tcPr>
          <w:p w14:paraId="2391F0EA">
            <w:pPr>
              <w:pStyle w:val="46"/>
              <w:bidi w:val="0"/>
              <w:jc w:val="center"/>
              <w:rPr>
                <w:rFonts w:hint="default"/>
                <w:color w:val="auto"/>
                <w:sz w:val="21"/>
                <w:szCs w:val="21"/>
                <w:lang w:val="en-US" w:eastAsia="zh-CN"/>
              </w:rPr>
            </w:pPr>
            <w:r>
              <w:rPr>
                <w:rFonts w:hint="eastAsia"/>
                <w:color w:val="auto"/>
                <w:sz w:val="21"/>
                <w:szCs w:val="21"/>
                <w:lang w:val="en-US" w:eastAsia="zh-CN"/>
              </w:rPr>
              <w:t>生活污水</w:t>
            </w:r>
          </w:p>
        </w:tc>
        <w:tc>
          <w:tcPr>
            <w:tcW w:w="515" w:type="pct"/>
            <w:vMerge w:val="restart"/>
            <w:tcBorders>
              <w:tl2br w:val="nil"/>
              <w:tr2bl w:val="nil"/>
            </w:tcBorders>
            <w:vAlign w:val="center"/>
          </w:tcPr>
          <w:p w14:paraId="7A81DAA2">
            <w:pPr>
              <w:pStyle w:val="46"/>
              <w:bidi w:val="0"/>
              <w:jc w:val="center"/>
              <w:rPr>
                <w:rFonts w:hint="default"/>
                <w:color w:val="auto"/>
                <w:sz w:val="21"/>
                <w:szCs w:val="21"/>
                <w:lang w:val="en-US" w:eastAsia="zh-CN"/>
              </w:rPr>
            </w:pPr>
            <w:r>
              <w:rPr>
                <w:rFonts w:hint="eastAsia" w:cs="Times New Roman"/>
                <w:color w:val="auto"/>
                <w:sz w:val="21"/>
                <w:szCs w:val="21"/>
                <w:highlight w:val="none"/>
                <w:lang w:val="en-US" w:eastAsia="zh-CN" w:bidi="ar-SA"/>
              </w:rPr>
              <w:t>460.8</w:t>
            </w:r>
            <w:r>
              <w:rPr>
                <w:rFonts w:hint="eastAsia"/>
                <w:color w:val="auto"/>
                <w:sz w:val="21"/>
                <w:szCs w:val="21"/>
                <w:lang w:val="en-US" w:eastAsia="zh-CN"/>
              </w:rPr>
              <w:t>t/a</w:t>
            </w:r>
          </w:p>
        </w:tc>
        <w:tc>
          <w:tcPr>
            <w:tcW w:w="460" w:type="pct"/>
            <w:tcBorders>
              <w:tl2br w:val="nil"/>
              <w:tr2bl w:val="nil"/>
            </w:tcBorders>
            <w:vAlign w:val="center"/>
          </w:tcPr>
          <w:p w14:paraId="0197A8B6">
            <w:pPr>
              <w:pStyle w:val="46"/>
              <w:bidi w:val="0"/>
              <w:ind w:firstLine="0" w:firstLineChars="0"/>
              <w:jc w:val="center"/>
              <w:rPr>
                <w:rFonts w:hint="eastAsia"/>
                <w:color w:val="auto"/>
                <w:sz w:val="21"/>
                <w:szCs w:val="21"/>
              </w:rPr>
            </w:pPr>
            <w:r>
              <w:rPr>
                <w:rFonts w:hint="eastAsia"/>
                <w:color w:val="auto"/>
                <w:sz w:val="21"/>
                <w:szCs w:val="21"/>
                <w:lang w:val="en-US" w:eastAsia="zh-CN"/>
              </w:rPr>
              <w:t>pH</w:t>
            </w:r>
          </w:p>
        </w:tc>
        <w:tc>
          <w:tcPr>
            <w:tcW w:w="964" w:type="pct"/>
            <w:tcBorders>
              <w:tl2br w:val="nil"/>
              <w:tr2bl w:val="nil"/>
            </w:tcBorders>
            <w:vAlign w:val="center"/>
          </w:tcPr>
          <w:p w14:paraId="06538ACF">
            <w:pPr>
              <w:pStyle w:val="46"/>
              <w:bidi w:val="0"/>
              <w:ind w:firstLine="0" w:firstLineChars="0"/>
              <w:jc w:val="center"/>
              <w:rPr>
                <w:rFonts w:hint="eastAsia"/>
                <w:color w:val="auto"/>
                <w:sz w:val="21"/>
                <w:szCs w:val="21"/>
                <w:lang w:val="en-US" w:eastAsia="zh-CN"/>
              </w:rPr>
            </w:pPr>
            <w:r>
              <w:rPr>
                <w:rFonts w:hint="eastAsia"/>
                <w:color w:val="auto"/>
                <w:sz w:val="21"/>
                <w:szCs w:val="21"/>
                <w:lang w:val="en-US" w:eastAsia="zh-CN"/>
              </w:rPr>
              <w:t>6-9（无量纲）</w:t>
            </w:r>
          </w:p>
        </w:tc>
        <w:tc>
          <w:tcPr>
            <w:tcW w:w="613" w:type="pct"/>
            <w:vMerge w:val="restart"/>
            <w:tcBorders>
              <w:tl2br w:val="nil"/>
              <w:tr2bl w:val="nil"/>
            </w:tcBorders>
            <w:vAlign w:val="center"/>
          </w:tcPr>
          <w:p w14:paraId="0D82E115">
            <w:pPr>
              <w:pStyle w:val="46"/>
              <w:bidi w:val="0"/>
              <w:jc w:val="center"/>
              <w:rPr>
                <w:rFonts w:hint="default"/>
                <w:color w:val="auto"/>
                <w:sz w:val="21"/>
                <w:szCs w:val="21"/>
                <w:lang w:val="en-US" w:eastAsia="zh-CN"/>
              </w:rPr>
            </w:pPr>
            <w:r>
              <w:rPr>
                <w:rFonts w:hint="eastAsia"/>
                <w:color w:val="auto"/>
                <w:sz w:val="21"/>
                <w:szCs w:val="21"/>
                <w:lang w:val="en-US" w:eastAsia="zh-CN"/>
              </w:rPr>
              <w:t>排入园区下水管网</w:t>
            </w:r>
          </w:p>
        </w:tc>
        <w:tc>
          <w:tcPr>
            <w:tcW w:w="908" w:type="pct"/>
            <w:tcBorders>
              <w:tl2br w:val="nil"/>
              <w:tr2bl w:val="nil"/>
            </w:tcBorders>
            <w:vAlign w:val="center"/>
          </w:tcPr>
          <w:p w14:paraId="352EFC8F">
            <w:pPr>
              <w:pStyle w:val="46"/>
              <w:bidi w:val="0"/>
              <w:ind w:firstLine="0" w:firstLineChars="0"/>
              <w:jc w:val="center"/>
              <w:rPr>
                <w:rFonts w:hint="eastAsia"/>
                <w:color w:val="auto"/>
                <w:sz w:val="21"/>
                <w:szCs w:val="21"/>
                <w:lang w:val="en-US" w:eastAsia="zh-CN"/>
              </w:rPr>
            </w:pPr>
            <w:r>
              <w:rPr>
                <w:rFonts w:hint="eastAsia"/>
                <w:color w:val="auto"/>
                <w:sz w:val="21"/>
                <w:szCs w:val="21"/>
                <w:lang w:val="en-US" w:eastAsia="zh-CN"/>
              </w:rPr>
              <w:t>6-9（无量纲）</w:t>
            </w:r>
          </w:p>
        </w:tc>
        <w:tc>
          <w:tcPr>
            <w:tcW w:w="1099" w:type="pct"/>
            <w:vMerge w:val="restart"/>
            <w:tcBorders>
              <w:tl2br w:val="nil"/>
              <w:tr2bl w:val="nil"/>
            </w:tcBorders>
            <w:vAlign w:val="center"/>
          </w:tcPr>
          <w:p w14:paraId="5CF3CE5B">
            <w:pPr>
              <w:pStyle w:val="46"/>
              <w:bidi w:val="0"/>
              <w:jc w:val="center"/>
              <w:rPr>
                <w:rFonts w:hint="default"/>
                <w:color w:val="auto"/>
                <w:lang w:val="en-US" w:eastAsia="zh-CN"/>
              </w:rPr>
            </w:pPr>
            <w:r>
              <w:rPr>
                <w:rFonts w:hint="eastAsia" w:cs="Times New Roman"/>
                <w:color w:val="auto"/>
                <w:highlight w:val="none"/>
                <w:lang w:val="en-US" w:eastAsia="zh-CN"/>
              </w:rPr>
              <w:t>园区污水处理厂</w:t>
            </w:r>
          </w:p>
        </w:tc>
      </w:tr>
      <w:tr w14:paraId="7A2D0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38" w:type="pct"/>
            <w:vMerge w:val="continue"/>
            <w:tcBorders>
              <w:tl2br w:val="nil"/>
              <w:tr2bl w:val="nil"/>
            </w:tcBorders>
            <w:vAlign w:val="center"/>
          </w:tcPr>
          <w:p w14:paraId="134282F8">
            <w:pPr>
              <w:pStyle w:val="46"/>
              <w:bidi w:val="0"/>
              <w:jc w:val="center"/>
              <w:rPr>
                <w:rFonts w:hint="default"/>
                <w:color w:val="auto"/>
                <w:sz w:val="21"/>
                <w:szCs w:val="21"/>
                <w:lang w:val="en-US" w:eastAsia="zh-CN"/>
              </w:rPr>
            </w:pPr>
          </w:p>
        </w:tc>
        <w:tc>
          <w:tcPr>
            <w:tcW w:w="515" w:type="pct"/>
            <w:vMerge w:val="continue"/>
            <w:tcBorders>
              <w:tl2br w:val="nil"/>
              <w:tr2bl w:val="nil"/>
            </w:tcBorders>
            <w:vAlign w:val="center"/>
          </w:tcPr>
          <w:p w14:paraId="7A93DD31">
            <w:pPr>
              <w:pStyle w:val="46"/>
              <w:bidi w:val="0"/>
              <w:jc w:val="center"/>
              <w:rPr>
                <w:rFonts w:hint="default"/>
                <w:color w:val="auto"/>
                <w:sz w:val="21"/>
                <w:szCs w:val="21"/>
                <w:lang w:val="en-US" w:eastAsia="zh-CN"/>
              </w:rPr>
            </w:pPr>
          </w:p>
        </w:tc>
        <w:tc>
          <w:tcPr>
            <w:tcW w:w="460" w:type="pct"/>
            <w:tcBorders>
              <w:tl2br w:val="nil"/>
              <w:tr2bl w:val="nil"/>
            </w:tcBorders>
            <w:vAlign w:val="center"/>
          </w:tcPr>
          <w:p w14:paraId="2E45607C">
            <w:pPr>
              <w:pStyle w:val="46"/>
              <w:bidi w:val="0"/>
              <w:jc w:val="center"/>
              <w:rPr>
                <w:rFonts w:hint="default"/>
                <w:color w:val="auto"/>
                <w:sz w:val="21"/>
                <w:szCs w:val="21"/>
                <w:lang w:val="en-US" w:eastAsia="zh-CN"/>
              </w:rPr>
            </w:pPr>
            <w:r>
              <w:rPr>
                <w:rFonts w:hint="eastAsia"/>
                <w:color w:val="auto"/>
                <w:sz w:val="21"/>
                <w:szCs w:val="21"/>
              </w:rPr>
              <w:t>COD</w:t>
            </w:r>
          </w:p>
        </w:tc>
        <w:tc>
          <w:tcPr>
            <w:tcW w:w="964" w:type="pct"/>
            <w:tcBorders>
              <w:tl2br w:val="nil"/>
              <w:tr2bl w:val="nil"/>
            </w:tcBorders>
            <w:vAlign w:val="center"/>
          </w:tcPr>
          <w:p w14:paraId="4CC769F6">
            <w:pPr>
              <w:bidi w:val="0"/>
              <w:ind w:firstLine="0" w:firstLineChars="0"/>
              <w:jc w:val="center"/>
              <w:rPr>
                <w:rFonts w:hint="default"/>
                <w:color w:val="auto"/>
                <w:sz w:val="21"/>
                <w:szCs w:val="21"/>
                <w:lang w:val="en-US" w:eastAsia="zh-CN"/>
              </w:rPr>
            </w:pPr>
            <w:r>
              <w:rPr>
                <w:rFonts w:hint="eastAsia"/>
                <w:color w:val="auto"/>
                <w:sz w:val="21"/>
                <w:szCs w:val="21"/>
                <w:lang w:val="en-US" w:eastAsia="zh-CN"/>
              </w:rPr>
              <w:t>500mg/L，0.2304t/a</w:t>
            </w:r>
          </w:p>
        </w:tc>
        <w:tc>
          <w:tcPr>
            <w:tcW w:w="613" w:type="pct"/>
            <w:vMerge w:val="continue"/>
            <w:tcBorders>
              <w:tl2br w:val="nil"/>
              <w:tr2bl w:val="nil"/>
            </w:tcBorders>
            <w:vAlign w:val="center"/>
          </w:tcPr>
          <w:p w14:paraId="439B3B7C">
            <w:pPr>
              <w:pStyle w:val="46"/>
              <w:bidi w:val="0"/>
              <w:jc w:val="center"/>
              <w:rPr>
                <w:rFonts w:hint="default"/>
                <w:color w:val="auto"/>
                <w:sz w:val="21"/>
                <w:szCs w:val="21"/>
                <w:lang w:val="en-US" w:eastAsia="zh-CN"/>
              </w:rPr>
            </w:pPr>
          </w:p>
        </w:tc>
        <w:tc>
          <w:tcPr>
            <w:tcW w:w="908" w:type="pct"/>
            <w:tcBorders>
              <w:tl2br w:val="nil"/>
              <w:tr2bl w:val="nil"/>
            </w:tcBorders>
            <w:vAlign w:val="center"/>
          </w:tcPr>
          <w:p w14:paraId="1846CCB0">
            <w:pPr>
              <w:bidi w:val="0"/>
              <w:ind w:firstLine="0" w:firstLineChars="0"/>
              <w:jc w:val="center"/>
              <w:rPr>
                <w:rFonts w:hint="default"/>
                <w:color w:val="auto"/>
                <w:sz w:val="21"/>
                <w:szCs w:val="21"/>
                <w:lang w:val="en-US" w:eastAsia="zh-CN"/>
              </w:rPr>
            </w:pPr>
            <w:r>
              <w:rPr>
                <w:rFonts w:hint="eastAsia"/>
                <w:color w:val="auto"/>
                <w:sz w:val="21"/>
                <w:szCs w:val="21"/>
                <w:lang w:val="en-US" w:eastAsia="zh-CN"/>
              </w:rPr>
              <w:t>500mg/L，0.2304t/a</w:t>
            </w:r>
          </w:p>
        </w:tc>
        <w:tc>
          <w:tcPr>
            <w:tcW w:w="1099" w:type="pct"/>
            <w:vMerge w:val="continue"/>
            <w:tcBorders>
              <w:tl2br w:val="nil"/>
              <w:tr2bl w:val="nil"/>
            </w:tcBorders>
            <w:vAlign w:val="center"/>
          </w:tcPr>
          <w:p w14:paraId="72946215">
            <w:pPr>
              <w:pStyle w:val="46"/>
              <w:bidi w:val="0"/>
              <w:jc w:val="center"/>
              <w:rPr>
                <w:rFonts w:hint="default"/>
                <w:color w:val="auto"/>
                <w:lang w:val="en-US" w:eastAsia="zh-CN"/>
              </w:rPr>
            </w:pPr>
          </w:p>
        </w:tc>
      </w:tr>
      <w:tr w14:paraId="432A6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38" w:type="pct"/>
            <w:vMerge w:val="continue"/>
            <w:tcBorders>
              <w:tl2br w:val="nil"/>
              <w:tr2bl w:val="nil"/>
            </w:tcBorders>
            <w:vAlign w:val="center"/>
          </w:tcPr>
          <w:p w14:paraId="6BB2EFE1">
            <w:pPr>
              <w:pStyle w:val="46"/>
              <w:bidi w:val="0"/>
              <w:jc w:val="center"/>
              <w:rPr>
                <w:color w:val="auto"/>
                <w:sz w:val="21"/>
                <w:szCs w:val="21"/>
              </w:rPr>
            </w:pPr>
          </w:p>
        </w:tc>
        <w:tc>
          <w:tcPr>
            <w:tcW w:w="515" w:type="pct"/>
            <w:vMerge w:val="continue"/>
            <w:tcBorders>
              <w:tl2br w:val="nil"/>
              <w:tr2bl w:val="nil"/>
            </w:tcBorders>
            <w:vAlign w:val="center"/>
          </w:tcPr>
          <w:p w14:paraId="4C3D3CAC">
            <w:pPr>
              <w:pStyle w:val="46"/>
              <w:bidi w:val="0"/>
              <w:jc w:val="center"/>
              <w:rPr>
                <w:color w:val="auto"/>
                <w:sz w:val="21"/>
                <w:szCs w:val="21"/>
              </w:rPr>
            </w:pPr>
          </w:p>
        </w:tc>
        <w:tc>
          <w:tcPr>
            <w:tcW w:w="460" w:type="pct"/>
            <w:tcBorders>
              <w:tl2br w:val="nil"/>
              <w:tr2bl w:val="nil"/>
            </w:tcBorders>
            <w:vAlign w:val="center"/>
          </w:tcPr>
          <w:p w14:paraId="7204756E">
            <w:pPr>
              <w:pStyle w:val="46"/>
              <w:bidi w:val="0"/>
              <w:jc w:val="center"/>
              <w:rPr>
                <w:rFonts w:hint="default"/>
                <w:color w:val="auto"/>
                <w:sz w:val="21"/>
                <w:szCs w:val="21"/>
                <w:lang w:val="en-US" w:eastAsia="zh-CN"/>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964" w:type="pct"/>
            <w:tcBorders>
              <w:tl2br w:val="nil"/>
              <w:tr2bl w:val="nil"/>
            </w:tcBorders>
            <w:vAlign w:val="center"/>
          </w:tcPr>
          <w:p w14:paraId="01DF49B6">
            <w:pPr>
              <w:bidi w:val="0"/>
              <w:ind w:firstLine="0" w:firstLineChars="0"/>
              <w:jc w:val="center"/>
              <w:rPr>
                <w:rFonts w:hint="default"/>
                <w:color w:val="auto"/>
                <w:sz w:val="21"/>
                <w:szCs w:val="21"/>
                <w:lang w:val="en-US" w:eastAsia="zh-CN"/>
              </w:rPr>
            </w:pPr>
            <w:r>
              <w:rPr>
                <w:rFonts w:hint="eastAsia"/>
                <w:color w:val="auto"/>
                <w:sz w:val="21"/>
                <w:szCs w:val="21"/>
                <w:lang w:val="en-US" w:eastAsia="zh-CN"/>
              </w:rPr>
              <w:t>25mg/L，0.01152t/a</w:t>
            </w:r>
          </w:p>
        </w:tc>
        <w:tc>
          <w:tcPr>
            <w:tcW w:w="613" w:type="pct"/>
            <w:vMerge w:val="continue"/>
            <w:tcBorders>
              <w:tl2br w:val="nil"/>
              <w:tr2bl w:val="nil"/>
            </w:tcBorders>
            <w:vAlign w:val="center"/>
          </w:tcPr>
          <w:p w14:paraId="289CA6A0">
            <w:pPr>
              <w:pStyle w:val="46"/>
              <w:bidi w:val="0"/>
              <w:jc w:val="center"/>
              <w:rPr>
                <w:rFonts w:hint="default"/>
                <w:color w:val="auto"/>
                <w:sz w:val="21"/>
                <w:szCs w:val="21"/>
                <w:lang w:val="en-US" w:eastAsia="zh-CN"/>
              </w:rPr>
            </w:pPr>
          </w:p>
        </w:tc>
        <w:tc>
          <w:tcPr>
            <w:tcW w:w="908" w:type="pct"/>
            <w:tcBorders>
              <w:tl2br w:val="nil"/>
              <w:tr2bl w:val="nil"/>
            </w:tcBorders>
            <w:vAlign w:val="center"/>
          </w:tcPr>
          <w:p w14:paraId="5E9B88F5">
            <w:pPr>
              <w:bidi w:val="0"/>
              <w:ind w:firstLine="0" w:firstLineChars="0"/>
              <w:jc w:val="center"/>
              <w:rPr>
                <w:rFonts w:hint="default"/>
                <w:color w:val="auto"/>
                <w:sz w:val="21"/>
                <w:szCs w:val="21"/>
                <w:lang w:val="en-US" w:eastAsia="zh-CN"/>
              </w:rPr>
            </w:pPr>
            <w:r>
              <w:rPr>
                <w:rFonts w:hint="eastAsia"/>
                <w:color w:val="auto"/>
                <w:sz w:val="21"/>
                <w:szCs w:val="21"/>
                <w:lang w:val="en-US" w:eastAsia="zh-CN"/>
              </w:rPr>
              <w:t>25mg/L，0.01152t/a</w:t>
            </w:r>
          </w:p>
        </w:tc>
        <w:tc>
          <w:tcPr>
            <w:tcW w:w="1099" w:type="pct"/>
            <w:vMerge w:val="continue"/>
            <w:tcBorders>
              <w:tl2br w:val="nil"/>
              <w:tr2bl w:val="nil"/>
            </w:tcBorders>
            <w:vAlign w:val="center"/>
          </w:tcPr>
          <w:p w14:paraId="58C734E9">
            <w:pPr>
              <w:pStyle w:val="46"/>
              <w:bidi w:val="0"/>
              <w:jc w:val="center"/>
              <w:rPr>
                <w:rFonts w:hint="default"/>
                <w:color w:val="auto"/>
                <w:lang w:val="en-US" w:eastAsia="zh-CN"/>
              </w:rPr>
            </w:pPr>
          </w:p>
        </w:tc>
      </w:tr>
      <w:tr w14:paraId="5DAD1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38" w:type="pct"/>
            <w:vMerge w:val="continue"/>
            <w:tcBorders>
              <w:tl2br w:val="nil"/>
              <w:tr2bl w:val="nil"/>
            </w:tcBorders>
            <w:vAlign w:val="center"/>
          </w:tcPr>
          <w:p w14:paraId="3C4464BB">
            <w:pPr>
              <w:pStyle w:val="46"/>
              <w:bidi w:val="0"/>
              <w:jc w:val="center"/>
              <w:rPr>
                <w:rFonts w:hint="default"/>
                <w:color w:val="auto"/>
                <w:sz w:val="21"/>
                <w:szCs w:val="21"/>
                <w:lang w:val="en-US" w:eastAsia="zh-CN"/>
              </w:rPr>
            </w:pPr>
          </w:p>
        </w:tc>
        <w:tc>
          <w:tcPr>
            <w:tcW w:w="515" w:type="pct"/>
            <w:vMerge w:val="continue"/>
            <w:tcBorders>
              <w:tl2br w:val="nil"/>
              <w:tr2bl w:val="nil"/>
            </w:tcBorders>
            <w:vAlign w:val="center"/>
          </w:tcPr>
          <w:p w14:paraId="30AF0378">
            <w:pPr>
              <w:pStyle w:val="46"/>
              <w:bidi w:val="0"/>
              <w:jc w:val="center"/>
              <w:rPr>
                <w:rFonts w:hint="default"/>
                <w:color w:val="auto"/>
                <w:sz w:val="21"/>
                <w:szCs w:val="21"/>
                <w:lang w:val="en-US" w:eastAsia="zh-CN"/>
              </w:rPr>
            </w:pPr>
          </w:p>
        </w:tc>
        <w:tc>
          <w:tcPr>
            <w:tcW w:w="460" w:type="pct"/>
            <w:tcBorders>
              <w:tl2br w:val="nil"/>
              <w:tr2bl w:val="nil"/>
            </w:tcBorders>
            <w:vAlign w:val="center"/>
          </w:tcPr>
          <w:p w14:paraId="4ABCB53A">
            <w:pPr>
              <w:pStyle w:val="46"/>
              <w:bidi w:val="0"/>
              <w:jc w:val="center"/>
              <w:rPr>
                <w:rFonts w:hint="default"/>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964" w:type="pct"/>
            <w:tcBorders>
              <w:tl2br w:val="nil"/>
              <w:tr2bl w:val="nil"/>
            </w:tcBorders>
            <w:vAlign w:val="center"/>
          </w:tcPr>
          <w:p w14:paraId="260245AD">
            <w:pPr>
              <w:bidi w:val="0"/>
              <w:ind w:firstLine="0" w:firstLineChars="0"/>
              <w:jc w:val="center"/>
              <w:rPr>
                <w:rFonts w:hint="default"/>
                <w:color w:val="auto"/>
                <w:sz w:val="21"/>
                <w:szCs w:val="21"/>
                <w:lang w:val="en-US" w:eastAsia="zh-CN"/>
              </w:rPr>
            </w:pPr>
            <w:r>
              <w:rPr>
                <w:rFonts w:hint="eastAsia"/>
                <w:color w:val="auto"/>
                <w:sz w:val="21"/>
                <w:szCs w:val="21"/>
                <w:lang w:val="en-US" w:eastAsia="zh-CN"/>
              </w:rPr>
              <w:t>300mg/L，0.13824t/a</w:t>
            </w:r>
          </w:p>
        </w:tc>
        <w:tc>
          <w:tcPr>
            <w:tcW w:w="613" w:type="pct"/>
            <w:vMerge w:val="continue"/>
            <w:tcBorders>
              <w:tl2br w:val="nil"/>
              <w:tr2bl w:val="nil"/>
            </w:tcBorders>
            <w:vAlign w:val="center"/>
          </w:tcPr>
          <w:p w14:paraId="1748AFDC">
            <w:pPr>
              <w:pStyle w:val="46"/>
              <w:bidi w:val="0"/>
              <w:jc w:val="center"/>
              <w:rPr>
                <w:rFonts w:hint="default"/>
                <w:color w:val="auto"/>
                <w:sz w:val="21"/>
                <w:szCs w:val="21"/>
                <w:lang w:val="en-US" w:eastAsia="zh-CN"/>
              </w:rPr>
            </w:pPr>
          </w:p>
        </w:tc>
        <w:tc>
          <w:tcPr>
            <w:tcW w:w="908" w:type="pct"/>
            <w:tcBorders>
              <w:tl2br w:val="nil"/>
              <w:tr2bl w:val="nil"/>
            </w:tcBorders>
            <w:vAlign w:val="center"/>
          </w:tcPr>
          <w:p w14:paraId="5152FB3B">
            <w:pPr>
              <w:bidi w:val="0"/>
              <w:ind w:firstLine="0" w:firstLineChars="0"/>
              <w:jc w:val="center"/>
              <w:rPr>
                <w:rFonts w:hint="default"/>
                <w:color w:val="auto"/>
                <w:sz w:val="21"/>
                <w:szCs w:val="21"/>
                <w:lang w:val="en-US" w:eastAsia="zh-CN"/>
              </w:rPr>
            </w:pPr>
            <w:r>
              <w:rPr>
                <w:rFonts w:hint="eastAsia"/>
                <w:color w:val="auto"/>
                <w:sz w:val="21"/>
                <w:szCs w:val="21"/>
                <w:lang w:val="en-US" w:eastAsia="zh-CN"/>
              </w:rPr>
              <w:t>300mg/L，0.13824t/a</w:t>
            </w:r>
          </w:p>
        </w:tc>
        <w:tc>
          <w:tcPr>
            <w:tcW w:w="1099" w:type="pct"/>
            <w:vMerge w:val="continue"/>
            <w:tcBorders>
              <w:tl2br w:val="nil"/>
              <w:tr2bl w:val="nil"/>
            </w:tcBorders>
            <w:vAlign w:val="center"/>
          </w:tcPr>
          <w:p w14:paraId="26661957">
            <w:pPr>
              <w:pStyle w:val="46"/>
              <w:bidi w:val="0"/>
              <w:jc w:val="center"/>
              <w:rPr>
                <w:rFonts w:hint="default"/>
                <w:color w:val="auto"/>
                <w:lang w:val="en-US" w:eastAsia="zh-CN"/>
              </w:rPr>
            </w:pPr>
          </w:p>
        </w:tc>
      </w:tr>
      <w:tr w14:paraId="3EE90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38" w:type="pct"/>
            <w:vMerge w:val="continue"/>
            <w:tcBorders>
              <w:tl2br w:val="nil"/>
              <w:tr2bl w:val="nil"/>
            </w:tcBorders>
            <w:vAlign w:val="center"/>
          </w:tcPr>
          <w:p w14:paraId="4C32CF65">
            <w:pPr>
              <w:pStyle w:val="46"/>
              <w:bidi w:val="0"/>
              <w:jc w:val="center"/>
              <w:rPr>
                <w:rFonts w:hint="default"/>
                <w:color w:val="auto"/>
                <w:sz w:val="21"/>
                <w:szCs w:val="21"/>
                <w:lang w:val="en-US" w:eastAsia="zh-CN"/>
              </w:rPr>
            </w:pPr>
          </w:p>
        </w:tc>
        <w:tc>
          <w:tcPr>
            <w:tcW w:w="515" w:type="pct"/>
            <w:vMerge w:val="continue"/>
            <w:tcBorders>
              <w:tl2br w:val="nil"/>
              <w:tr2bl w:val="nil"/>
            </w:tcBorders>
            <w:vAlign w:val="center"/>
          </w:tcPr>
          <w:p w14:paraId="2A16C159">
            <w:pPr>
              <w:pStyle w:val="46"/>
              <w:bidi w:val="0"/>
              <w:jc w:val="center"/>
              <w:rPr>
                <w:rFonts w:hint="default"/>
                <w:color w:val="auto"/>
                <w:sz w:val="21"/>
                <w:szCs w:val="21"/>
                <w:lang w:val="en-US" w:eastAsia="zh-CN"/>
              </w:rPr>
            </w:pPr>
          </w:p>
        </w:tc>
        <w:tc>
          <w:tcPr>
            <w:tcW w:w="460" w:type="pct"/>
            <w:tcBorders>
              <w:tl2br w:val="nil"/>
              <w:tr2bl w:val="nil"/>
            </w:tcBorders>
            <w:vAlign w:val="center"/>
          </w:tcPr>
          <w:p w14:paraId="4B14B927">
            <w:pPr>
              <w:pStyle w:val="46"/>
              <w:bidi w:val="0"/>
              <w:jc w:val="center"/>
              <w:rPr>
                <w:rFonts w:hint="default"/>
                <w:color w:val="auto"/>
                <w:sz w:val="21"/>
                <w:szCs w:val="21"/>
                <w:lang w:val="en-US" w:eastAsia="zh-CN"/>
              </w:rPr>
            </w:pPr>
            <w:r>
              <w:rPr>
                <w:rFonts w:hint="eastAsia"/>
                <w:color w:val="auto"/>
                <w:sz w:val="21"/>
                <w:szCs w:val="21"/>
                <w:lang w:val="en-US" w:eastAsia="zh-CN"/>
              </w:rPr>
              <w:t>SS</w:t>
            </w:r>
          </w:p>
        </w:tc>
        <w:tc>
          <w:tcPr>
            <w:tcW w:w="964" w:type="pct"/>
            <w:tcBorders>
              <w:tl2br w:val="nil"/>
              <w:tr2bl w:val="nil"/>
            </w:tcBorders>
            <w:vAlign w:val="center"/>
          </w:tcPr>
          <w:p w14:paraId="702142B5">
            <w:pPr>
              <w:bidi w:val="0"/>
              <w:ind w:firstLine="0" w:firstLineChars="0"/>
              <w:jc w:val="center"/>
              <w:rPr>
                <w:rFonts w:hint="default"/>
                <w:color w:val="auto"/>
                <w:sz w:val="21"/>
                <w:szCs w:val="21"/>
                <w:lang w:val="en-US" w:eastAsia="zh-CN"/>
              </w:rPr>
            </w:pPr>
            <w:r>
              <w:rPr>
                <w:rFonts w:hint="eastAsia"/>
                <w:color w:val="auto"/>
                <w:sz w:val="21"/>
                <w:szCs w:val="21"/>
                <w:lang w:val="en-US" w:eastAsia="zh-CN"/>
              </w:rPr>
              <w:t>400mg/L，0.18432t/a</w:t>
            </w:r>
          </w:p>
        </w:tc>
        <w:tc>
          <w:tcPr>
            <w:tcW w:w="613" w:type="pct"/>
            <w:vMerge w:val="continue"/>
            <w:tcBorders>
              <w:tl2br w:val="nil"/>
              <w:tr2bl w:val="nil"/>
            </w:tcBorders>
            <w:vAlign w:val="center"/>
          </w:tcPr>
          <w:p w14:paraId="10E30A30">
            <w:pPr>
              <w:pStyle w:val="46"/>
              <w:bidi w:val="0"/>
              <w:jc w:val="center"/>
              <w:rPr>
                <w:rFonts w:hint="default"/>
                <w:color w:val="auto"/>
                <w:sz w:val="21"/>
                <w:szCs w:val="21"/>
                <w:lang w:val="en-US" w:eastAsia="zh-CN"/>
              </w:rPr>
            </w:pPr>
          </w:p>
        </w:tc>
        <w:tc>
          <w:tcPr>
            <w:tcW w:w="908" w:type="pct"/>
            <w:tcBorders>
              <w:tl2br w:val="nil"/>
              <w:tr2bl w:val="nil"/>
            </w:tcBorders>
            <w:vAlign w:val="center"/>
          </w:tcPr>
          <w:p w14:paraId="0BB4CE9C">
            <w:pPr>
              <w:bidi w:val="0"/>
              <w:ind w:firstLine="0" w:firstLineChars="0"/>
              <w:jc w:val="center"/>
              <w:rPr>
                <w:rFonts w:hint="default"/>
                <w:color w:val="auto"/>
                <w:sz w:val="21"/>
                <w:szCs w:val="21"/>
                <w:lang w:val="en-US" w:eastAsia="zh-CN"/>
              </w:rPr>
            </w:pPr>
            <w:r>
              <w:rPr>
                <w:rFonts w:hint="eastAsia"/>
                <w:color w:val="auto"/>
                <w:sz w:val="21"/>
                <w:szCs w:val="21"/>
                <w:lang w:val="en-US" w:eastAsia="zh-CN"/>
              </w:rPr>
              <w:t>400mg/L，0.18432t/a</w:t>
            </w:r>
          </w:p>
        </w:tc>
        <w:tc>
          <w:tcPr>
            <w:tcW w:w="1099" w:type="pct"/>
            <w:vMerge w:val="continue"/>
            <w:tcBorders>
              <w:tl2br w:val="nil"/>
              <w:tr2bl w:val="nil"/>
            </w:tcBorders>
            <w:vAlign w:val="center"/>
          </w:tcPr>
          <w:p w14:paraId="4F575E62">
            <w:pPr>
              <w:pStyle w:val="46"/>
              <w:bidi w:val="0"/>
              <w:jc w:val="center"/>
              <w:rPr>
                <w:rFonts w:hint="default"/>
                <w:color w:val="auto"/>
                <w:lang w:val="en-US" w:eastAsia="zh-CN"/>
              </w:rPr>
            </w:pPr>
          </w:p>
        </w:tc>
      </w:tr>
      <w:tr w14:paraId="6FD9E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38" w:type="pct"/>
            <w:vMerge w:val="restart"/>
            <w:tcBorders>
              <w:tl2br w:val="nil"/>
              <w:tr2bl w:val="nil"/>
            </w:tcBorders>
            <w:vAlign w:val="center"/>
          </w:tcPr>
          <w:p w14:paraId="4D6AC42A">
            <w:pPr>
              <w:pStyle w:val="46"/>
              <w:bidi w:val="0"/>
              <w:jc w:val="center"/>
              <w:rPr>
                <w:rFonts w:hint="default"/>
                <w:color w:val="auto"/>
                <w:sz w:val="21"/>
                <w:szCs w:val="21"/>
                <w:lang w:val="en-US" w:eastAsia="zh-CN"/>
              </w:rPr>
            </w:pPr>
            <w:r>
              <w:rPr>
                <w:rFonts w:hint="eastAsia" w:eastAsia="宋体"/>
                <w:color w:val="auto"/>
                <w:sz w:val="21"/>
                <w:szCs w:val="21"/>
                <w:lang w:val="en-US" w:eastAsia="zh-CN"/>
              </w:rPr>
              <w:t>生产废水</w:t>
            </w:r>
          </w:p>
        </w:tc>
        <w:tc>
          <w:tcPr>
            <w:tcW w:w="515" w:type="pct"/>
            <w:vMerge w:val="restart"/>
            <w:tcBorders>
              <w:tl2br w:val="nil"/>
              <w:tr2bl w:val="nil"/>
            </w:tcBorders>
            <w:vAlign w:val="center"/>
          </w:tcPr>
          <w:p w14:paraId="4EB0AD4C">
            <w:pPr>
              <w:pStyle w:val="46"/>
              <w:bidi w:val="0"/>
              <w:jc w:val="center"/>
              <w:rPr>
                <w:rFonts w:hint="default"/>
                <w:color w:val="auto"/>
                <w:sz w:val="21"/>
                <w:szCs w:val="21"/>
                <w:lang w:val="en-US" w:eastAsia="zh-CN"/>
              </w:rPr>
            </w:pPr>
            <w:r>
              <w:rPr>
                <w:rFonts w:hint="eastAsia" w:cs="宋体"/>
                <w:color w:val="auto"/>
                <w:sz w:val="21"/>
                <w:szCs w:val="21"/>
                <w:lang w:val="en-US" w:eastAsia="zh-CN"/>
              </w:rPr>
              <w:t>15034.88</w:t>
            </w:r>
            <w:r>
              <w:rPr>
                <w:rFonts w:hint="eastAsia"/>
                <w:color w:val="auto"/>
                <w:sz w:val="21"/>
                <w:szCs w:val="21"/>
                <w:lang w:val="en-US" w:eastAsia="zh-CN"/>
              </w:rPr>
              <w:t>t/a</w:t>
            </w:r>
          </w:p>
        </w:tc>
        <w:tc>
          <w:tcPr>
            <w:tcW w:w="460" w:type="pct"/>
            <w:tcBorders>
              <w:tl2br w:val="nil"/>
              <w:tr2bl w:val="nil"/>
            </w:tcBorders>
            <w:vAlign w:val="center"/>
          </w:tcPr>
          <w:p w14:paraId="3ED8B56C">
            <w:pPr>
              <w:bidi w:val="0"/>
              <w:ind w:firstLine="0" w:firstLineChars="0"/>
              <w:jc w:val="center"/>
              <w:rPr>
                <w:rFonts w:hint="eastAsia"/>
                <w:color w:val="auto"/>
                <w:sz w:val="21"/>
                <w:szCs w:val="21"/>
              </w:rPr>
            </w:pPr>
            <w:r>
              <w:rPr>
                <w:rFonts w:hint="eastAsia"/>
                <w:color w:val="auto"/>
                <w:sz w:val="21"/>
                <w:szCs w:val="21"/>
              </w:rPr>
              <w:t>COD</w:t>
            </w:r>
          </w:p>
        </w:tc>
        <w:tc>
          <w:tcPr>
            <w:tcW w:w="964" w:type="pct"/>
            <w:tcBorders>
              <w:tl2br w:val="nil"/>
              <w:tr2bl w:val="nil"/>
            </w:tcBorders>
            <w:vAlign w:val="center"/>
          </w:tcPr>
          <w:p w14:paraId="38592F90">
            <w:pPr>
              <w:bidi w:val="0"/>
              <w:ind w:firstLine="0" w:firstLineChars="0"/>
              <w:jc w:val="center"/>
              <w:rPr>
                <w:rFonts w:hint="default"/>
                <w:color w:val="auto"/>
                <w:sz w:val="21"/>
                <w:szCs w:val="21"/>
                <w:lang w:val="en-US" w:eastAsia="zh-CN"/>
              </w:rPr>
            </w:pPr>
            <w:r>
              <w:rPr>
                <w:rFonts w:hint="eastAsia" w:cs="宋体"/>
                <w:color w:val="auto"/>
                <w:sz w:val="21"/>
                <w:szCs w:val="21"/>
                <w:lang w:val="en-US" w:eastAsia="zh-CN"/>
              </w:rPr>
              <w:t>32951.24</w:t>
            </w:r>
            <w:r>
              <w:rPr>
                <w:rFonts w:hint="eastAsia"/>
                <w:color w:val="auto"/>
                <w:sz w:val="21"/>
                <w:szCs w:val="21"/>
                <w:lang w:val="en-US" w:eastAsia="zh-CN"/>
              </w:rPr>
              <w:t>mg/L，495.418t/a</w:t>
            </w:r>
          </w:p>
        </w:tc>
        <w:tc>
          <w:tcPr>
            <w:tcW w:w="613" w:type="pct"/>
            <w:vMerge w:val="restart"/>
            <w:tcBorders>
              <w:tl2br w:val="nil"/>
              <w:tr2bl w:val="nil"/>
            </w:tcBorders>
            <w:vAlign w:val="center"/>
          </w:tcPr>
          <w:p w14:paraId="753A3314">
            <w:pPr>
              <w:pStyle w:val="46"/>
              <w:bidi w:val="0"/>
              <w:jc w:val="center"/>
              <w:rPr>
                <w:rFonts w:hint="default"/>
                <w:color w:val="auto"/>
                <w:sz w:val="21"/>
                <w:szCs w:val="21"/>
                <w:lang w:val="en-US" w:eastAsia="zh-CN"/>
              </w:rPr>
            </w:pPr>
            <w:r>
              <w:rPr>
                <w:rFonts w:hint="eastAsia"/>
                <w:color w:val="auto"/>
                <w:sz w:val="21"/>
                <w:szCs w:val="21"/>
                <w:lang w:val="en-US" w:eastAsia="zh-CN"/>
              </w:rPr>
              <w:t>自建污水处理站处置</w:t>
            </w:r>
          </w:p>
        </w:tc>
        <w:tc>
          <w:tcPr>
            <w:tcW w:w="908" w:type="pct"/>
            <w:tcBorders>
              <w:tl2br w:val="nil"/>
              <w:tr2bl w:val="nil"/>
            </w:tcBorders>
            <w:vAlign w:val="center"/>
          </w:tcPr>
          <w:p w14:paraId="6421D96F">
            <w:pPr>
              <w:bidi w:val="0"/>
              <w:ind w:firstLine="0" w:firstLineChars="0"/>
              <w:jc w:val="center"/>
              <w:rPr>
                <w:rFonts w:hint="eastAsia"/>
                <w:color w:val="auto"/>
                <w:sz w:val="21"/>
                <w:szCs w:val="21"/>
                <w:lang w:val="en-US" w:eastAsia="zh-CN"/>
              </w:rPr>
            </w:pPr>
            <w:r>
              <w:rPr>
                <w:rFonts w:hint="eastAsia"/>
                <w:color w:val="auto"/>
                <w:sz w:val="21"/>
                <w:szCs w:val="21"/>
                <w:lang w:val="en-US" w:eastAsia="zh-CN"/>
              </w:rPr>
              <w:t>500mg/L，7.51744t/a</w:t>
            </w:r>
          </w:p>
        </w:tc>
        <w:tc>
          <w:tcPr>
            <w:tcW w:w="1099" w:type="pct"/>
            <w:vMerge w:val="restart"/>
            <w:tcBorders>
              <w:tl2br w:val="nil"/>
              <w:tr2bl w:val="nil"/>
            </w:tcBorders>
            <w:vAlign w:val="center"/>
          </w:tcPr>
          <w:p w14:paraId="644A3DD3">
            <w:pPr>
              <w:pStyle w:val="46"/>
              <w:bidi w:val="0"/>
              <w:jc w:val="center"/>
              <w:rPr>
                <w:rFonts w:hint="default"/>
                <w:color w:val="auto"/>
                <w:lang w:val="en-US" w:eastAsia="zh-CN"/>
              </w:rPr>
            </w:pPr>
            <w:r>
              <w:rPr>
                <w:rFonts w:hint="eastAsia" w:cs="Times New Roman"/>
                <w:color w:val="auto"/>
                <w:highlight w:val="none"/>
                <w:lang w:val="en-US" w:eastAsia="zh-CN"/>
              </w:rPr>
              <w:t>园区污水处理厂</w:t>
            </w:r>
          </w:p>
        </w:tc>
      </w:tr>
      <w:tr w14:paraId="34BC2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38" w:type="pct"/>
            <w:vMerge w:val="continue"/>
            <w:tcBorders>
              <w:tl2br w:val="nil"/>
              <w:tr2bl w:val="nil"/>
            </w:tcBorders>
            <w:vAlign w:val="center"/>
          </w:tcPr>
          <w:p w14:paraId="5C8E3BD3">
            <w:pPr>
              <w:pStyle w:val="46"/>
              <w:bidi w:val="0"/>
              <w:jc w:val="center"/>
              <w:rPr>
                <w:rFonts w:hint="default"/>
                <w:color w:val="auto"/>
                <w:sz w:val="21"/>
                <w:szCs w:val="21"/>
                <w:lang w:val="en-US" w:eastAsia="zh-CN"/>
              </w:rPr>
            </w:pPr>
          </w:p>
        </w:tc>
        <w:tc>
          <w:tcPr>
            <w:tcW w:w="515" w:type="pct"/>
            <w:vMerge w:val="continue"/>
            <w:tcBorders>
              <w:tl2br w:val="nil"/>
              <w:tr2bl w:val="nil"/>
            </w:tcBorders>
            <w:vAlign w:val="center"/>
          </w:tcPr>
          <w:p w14:paraId="7057BC2E">
            <w:pPr>
              <w:pStyle w:val="46"/>
              <w:bidi w:val="0"/>
              <w:jc w:val="center"/>
              <w:rPr>
                <w:rFonts w:hint="default"/>
                <w:color w:val="auto"/>
                <w:sz w:val="21"/>
                <w:szCs w:val="21"/>
                <w:lang w:val="en-US" w:eastAsia="zh-CN"/>
              </w:rPr>
            </w:pPr>
          </w:p>
        </w:tc>
        <w:tc>
          <w:tcPr>
            <w:tcW w:w="460" w:type="pct"/>
            <w:tcBorders>
              <w:tl2br w:val="nil"/>
              <w:tr2bl w:val="nil"/>
            </w:tcBorders>
            <w:vAlign w:val="center"/>
          </w:tcPr>
          <w:p w14:paraId="611CEA2E">
            <w:pPr>
              <w:bidi w:val="0"/>
              <w:jc w:val="center"/>
              <w:rPr>
                <w:rFonts w:hint="eastAsia"/>
                <w:color w:val="auto"/>
                <w:sz w:val="21"/>
                <w:szCs w:val="21"/>
                <w:lang w:val="en-US" w:eastAsia="zh-CN"/>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964" w:type="pct"/>
            <w:tcBorders>
              <w:tl2br w:val="nil"/>
              <w:tr2bl w:val="nil"/>
            </w:tcBorders>
            <w:vAlign w:val="center"/>
          </w:tcPr>
          <w:p w14:paraId="707D0356">
            <w:pPr>
              <w:bidi w:val="0"/>
              <w:jc w:val="center"/>
              <w:rPr>
                <w:rFonts w:hint="default"/>
                <w:color w:val="auto"/>
                <w:sz w:val="21"/>
                <w:szCs w:val="21"/>
                <w:lang w:val="en-US" w:eastAsia="zh-CN"/>
              </w:rPr>
            </w:pPr>
            <w:r>
              <w:rPr>
                <w:rFonts w:hint="eastAsia"/>
                <w:color w:val="auto"/>
                <w:sz w:val="21"/>
                <w:szCs w:val="21"/>
                <w:lang w:val="en-US" w:eastAsia="zh-CN"/>
              </w:rPr>
              <w:t>247.73mg/L，3.72456t/a</w:t>
            </w:r>
          </w:p>
        </w:tc>
        <w:tc>
          <w:tcPr>
            <w:tcW w:w="613" w:type="pct"/>
            <w:vMerge w:val="continue"/>
            <w:tcBorders>
              <w:tl2br w:val="nil"/>
              <w:tr2bl w:val="nil"/>
            </w:tcBorders>
            <w:vAlign w:val="center"/>
          </w:tcPr>
          <w:p w14:paraId="678EF107">
            <w:pPr>
              <w:pStyle w:val="46"/>
              <w:bidi w:val="0"/>
              <w:jc w:val="center"/>
              <w:rPr>
                <w:rFonts w:hint="default"/>
                <w:color w:val="auto"/>
                <w:sz w:val="21"/>
                <w:szCs w:val="21"/>
                <w:lang w:val="en-US" w:eastAsia="zh-CN"/>
              </w:rPr>
            </w:pPr>
          </w:p>
        </w:tc>
        <w:tc>
          <w:tcPr>
            <w:tcW w:w="908" w:type="pct"/>
            <w:tcBorders>
              <w:tl2br w:val="nil"/>
              <w:tr2bl w:val="nil"/>
            </w:tcBorders>
            <w:vAlign w:val="center"/>
          </w:tcPr>
          <w:p w14:paraId="23218FCB">
            <w:pPr>
              <w:bidi w:val="0"/>
              <w:ind w:firstLine="0" w:firstLineChars="0"/>
              <w:jc w:val="center"/>
              <w:rPr>
                <w:rFonts w:hint="eastAsia"/>
                <w:color w:val="auto"/>
                <w:sz w:val="21"/>
                <w:szCs w:val="21"/>
                <w:lang w:val="en-US" w:eastAsia="zh-CN"/>
              </w:rPr>
            </w:pPr>
            <w:r>
              <w:rPr>
                <w:rFonts w:hint="eastAsia"/>
                <w:color w:val="auto"/>
                <w:sz w:val="21"/>
                <w:szCs w:val="21"/>
                <w:lang w:val="en-US" w:eastAsia="zh-CN"/>
              </w:rPr>
              <w:t>25mg/L，0.375872t/a</w:t>
            </w:r>
          </w:p>
        </w:tc>
        <w:tc>
          <w:tcPr>
            <w:tcW w:w="1099" w:type="pct"/>
            <w:vMerge w:val="continue"/>
            <w:tcBorders>
              <w:tl2br w:val="nil"/>
              <w:tr2bl w:val="nil"/>
            </w:tcBorders>
            <w:vAlign w:val="center"/>
          </w:tcPr>
          <w:p w14:paraId="5EBEF61C">
            <w:pPr>
              <w:pStyle w:val="46"/>
              <w:bidi w:val="0"/>
              <w:jc w:val="center"/>
              <w:rPr>
                <w:rFonts w:hint="default"/>
                <w:color w:val="auto"/>
                <w:lang w:val="en-US" w:eastAsia="zh-CN"/>
              </w:rPr>
            </w:pPr>
          </w:p>
        </w:tc>
      </w:tr>
      <w:tr w14:paraId="7B27E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38" w:type="pct"/>
            <w:vMerge w:val="continue"/>
            <w:tcBorders>
              <w:tl2br w:val="nil"/>
              <w:tr2bl w:val="nil"/>
            </w:tcBorders>
            <w:vAlign w:val="center"/>
          </w:tcPr>
          <w:p w14:paraId="2C007617">
            <w:pPr>
              <w:pStyle w:val="46"/>
              <w:bidi w:val="0"/>
              <w:jc w:val="center"/>
              <w:rPr>
                <w:rFonts w:hint="eastAsia"/>
                <w:color w:val="auto"/>
                <w:sz w:val="21"/>
                <w:szCs w:val="21"/>
                <w:lang w:val="en-US" w:eastAsia="zh-CN"/>
              </w:rPr>
            </w:pPr>
          </w:p>
        </w:tc>
        <w:tc>
          <w:tcPr>
            <w:tcW w:w="515" w:type="pct"/>
            <w:vMerge w:val="continue"/>
            <w:tcBorders>
              <w:tl2br w:val="nil"/>
              <w:tr2bl w:val="nil"/>
            </w:tcBorders>
            <w:vAlign w:val="center"/>
          </w:tcPr>
          <w:p w14:paraId="75897BCC">
            <w:pPr>
              <w:pStyle w:val="46"/>
              <w:bidi w:val="0"/>
              <w:jc w:val="center"/>
              <w:rPr>
                <w:rFonts w:hint="eastAsia"/>
                <w:color w:val="auto"/>
                <w:sz w:val="21"/>
                <w:szCs w:val="21"/>
                <w:lang w:val="en-US" w:eastAsia="zh-CN"/>
              </w:rPr>
            </w:pPr>
          </w:p>
        </w:tc>
        <w:tc>
          <w:tcPr>
            <w:tcW w:w="460" w:type="pct"/>
            <w:tcBorders>
              <w:tl2br w:val="nil"/>
              <w:tr2bl w:val="nil"/>
            </w:tcBorders>
            <w:vAlign w:val="center"/>
          </w:tcPr>
          <w:p w14:paraId="638914D0">
            <w:pPr>
              <w:bidi w:val="0"/>
              <w:jc w:val="center"/>
              <w:rPr>
                <w:rFonts w:hint="eastAsia"/>
                <w:color w:val="auto"/>
                <w:sz w:val="21"/>
                <w:szCs w:val="21"/>
              </w:rPr>
            </w:pPr>
            <w:r>
              <w:rPr>
                <w:rFonts w:hint="eastAsia"/>
                <w:color w:val="auto"/>
                <w:sz w:val="21"/>
                <w:szCs w:val="21"/>
              </w:rPr>
              <w:t>BOD</w:t>
            </w:r>
            <w:r>
              <w:rPr>
                <w:rFonts w:hint="eastAsia"/>
                <w:color w:val="auto"/>
                <w:sz w:val="21"/>
                <w:szCs w:val="21"/>
                <w:vertAlign w:val="subscript"/>
              </w:rPr>
              <w:t>5</w:t>
            </w:r>
          </w:p>
        </w:tc>
        <w:tc>
          <w:tcPr>
            <w:tcW w:w="964" w:type="pct"/>
            <w:tcBorders>
              <w:tl2br w:val="nil"/>
              <w:tr2bl w:val="nil"/>
            </w:tcBorders>
            <w:vAlign w:val="center"/>
          </w:tcPr>
          <w:p w14:paraId="3FEB7CB6">
            <w:pPr>
              <w:bidi w:val="0"/>
              <w:jc w:val="center"/>
              <w:rPr>
                <w:rFonts w:hint="default"/>
                <w:color w:val="auto"/>
                <w:sz w:val="21"/>
                <w:szCs w:val="21"/>
                <w:lang w:val="en-US" w:eastAsia="zh-CN"/>
              </w:rPr>
            </w:pPr>
            <w:r>
              <w:rPr>
                <w:rFonts w:hint="eastAsia"/>
                <w:color w:val="auto"/>
                <w:sz w:val="21"/>
                <w:szCs w:val="21"/>
                <w:lang w:val="en-US" w:eastAsia="zh-CN"/>
              </w:rPr>
              <w:t>16475.62mg/L，247.709t/a</w:t>
            </w:r>
          </w:p>
        </w:tc>
        <w:tc>
          <w:tcPr>
            <w:tcW w:w="613" w:type="pct"/>
            <w:vMerge w:val="continue"/>
            <w:tcBorders>
              <w:tl2br w:val="nil"/>
              <w:tr2bl w:val="nil"/>
            </w:tcBorders>
            <w:vAlign w:val="center"/>
          </w:tcPr>
          <w:p w14:paraId="620F0804">
            <w:pPr>
              <w:pStyle w:val="46"/>
              <w:bidi w:val="0"/>
              <w:jc w:val="center"/>
              <w:rPr>
                <w:rFonts w:hint="eastAsia"/>
                <w:color w:val="auto"/>
                <w:sz w:val="21"/>
                <w:szCs w:val="21"/>
                <w:lang w:val="en-US" w:eastAsia="zh-CN"/>
              </w:rPr>
            </w:pPr>
          </w:p>
        </w:tc>
        <w:tc>
          <w:tcPr>
            <w:tcW w:w="908" w:type="pct"/>
            <w:tcBorders>
              <w:tl2br w:val="nil"/>
              <w:tr2bl w:val="nil"/>
            </w:tcBorders>
            <w:vAlign w:val="center"/>
          </w:tcPr>
          <w:p w14:paraId="2E9C1BC7">
            <w:pPr>
              <w:bidi w:val="0"/>
              <w:ind w:firstLine="0" w:firstLineChars="0"/>
              <w:jc w:val="center"/>
              <w:rPr>
                <w:rFonts w:hint="eastAsia"/>
                <w:color w:val="auto"/>
                <w:sz w:val="21"/>
                <w:szCs w:val="21"/>
                <w:lang w:val="en-US" w:eastAsia="zh-CN"/>
              </w:rPr>
            </w:pPr>
            <w:r>
              <w:rPr>
                <w:rFonts w:hint="eastAsia"/>
                <w:color w:val="auto"/>
                <w:sz w:val="21"/>
                <w:szCs w:val="21"/>
                <w:lang w:val="en-US" w:eastAsia="zh-CN"/>
              </w:rPr>
              <w:t>300mg/L，4.510646t/a</w:t>
            </w:r>
          </w:p>
        </w:tc>
        <w:tc>
          <w:tcPr>
            <w:tcW w:w="1099" w:type="pct"/>
            <w:vMerge w:val="continue"/>
            <w:tcBorders>
              <w:tl2br w:val="nil"/>
              <w:tr2bl w:val="nil"/>
            </w:tcBorders>
            <w:vAlign w:val="center"/>
          </w:tcPr>
          <w:p w14:paraId="6E7A1F4E">
            <w:pPr>
              <w:pStyle w:val="46"/>
              <w:bidi w:val="0"/>
              <w:jc w:val="center"/>
              <w:rPr>
                <w:rFonts w:hint="eastAsia"/>
                <w:color w:val="auto"/>
                <w:lang w:val="en-US" w:eastAsia="zh-CN"/>
              </w:rPr>
            </w:pPr>
          </w:p>
        </w:tc>
      </w:tr>
      <w:tr w14:paraId="7B977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38" w:type="pct"/>
            <w:vMerge w:val="continue"/>
            <w:tcBorders>
              <w:tl2br w:val="nil"/>
              <w:tr2bl w:val="nil"/>
            </w:tcBorders>
            <w:vAlign w:val="center"/>
          </w:tcPr>
          <w:p w14:paraId="485B250C">
            <w:pPr>
              <w:pStyle w:val="46"/>
              <w:bidi w:val="0"/>
              <w:jc w:val="center"/>
              <w:rPr>
                <w:rFonts w:hint="eastAsia"/>
                <w:color w:val="auto"/>
                <w:sz w:val="21"/>
                <w:szCs w:val="21"/>
                <w:lang w:val="en-US" w:eastAsia="zh-CN"/>
              </w:rPr>
            </w:pPr>
          </w:p>
        </w:tc>
        <w:tc>
          <w:tcPr>
            <w:tcW w:w="515" w:type="pct"/>
            <w:vMerge w:val="continue"/>
            <w:tcBorders>
              <w:tl2br w:val="nil"/>
              <w:tr2bl w:val="nil"/>
            </w:tcBorders>
            <w:vAlign w:val="center"/>
          </w:tcPr>
          <w:p w14:paraId="6B06219E">
            <w:pPr>
              <w:pStyle w:val="46"/>
              <w:bidi w:val="0"/>
              <w:jc w:val="center"/>
              <w:rPr>
                <w:rFonts w:hint="eastAsia"/>
                <w:color w:val="auto"/>
                <w:sz w:val="21"/>
                <w:szCs w:val="21"/>
                <w:lang w:val="en-US" w:eastAsia="zh-CN"/>
              </w:rPr>
            </w:pPr>
          </w:p>
        </w:tc>
        <w:tc>
          <w:tcPr>
            <w:tcW w:w="460" w:type="pct"/>
            <w:tcBorders>
              <w:tl2br w:val="nil"/>
              <w:tr2bl w:val="nil"/>
            </w:tcBorders>
            <w:vAlign w:val="center"/>
          </w:tcPr>
          <w:p w14:paraId="13E23A17">
            <w:pPr>
              <w:bidi w:val="0"/>
              <w:jc w:val="center"/>
              <w:rPr>
                <w:rFonts w:hint="eastAsia" w:eastAsia="宋体"/>
                <w:color w:val="auto"/>
                <w:sz w:val="21"/>
                <w:szCs w:val="21"/>
                <w:lang w:eastAsia="zh-CN"/>
              </w:rPr>
            </w:pPr>
            <w:r>
              <w:rPr>
                <w:rFonts w:hint="eastAsia"/>
                <w:color w:val="auto"/>
                <w:sz w:val="21"/>
                <w:szCs w:val="21"/>
                <w:lang w:val="en-US" w:eastAsia="zh-CN"/>
              </w:rPr>
              <w:t>总氮</w:t>
            </w:r>
          </w:p>
        </w:tc>
        <w:tc>
          <w:tcPr>
            <w:tcW w:w="964" w:type="pct"/>
            <w:tcBorders>
              <w:tl2br w:val="nil"/>
              <w:tr2bl w:val="nil"/>
            </w:tcBorders>
            <w:vAlign w:val="center"/>
          </w:tcPr>
          <w:p w14:paraId="6F746F47">
            <w:pPr>
              <w:bidi w:val="0"/>
              <w:ind w:firstLine="0" w:firstLineChars="0"/>
              <w:jc w:val="center"/>
              <w:rPr>
                <w:rFonts w:hint="default"/>
                <w:color w:val="auto"/>
                <w:sz w:val="21"/>
                <w:szCs w:val="21"/>
                <w:lang w:val="en-US" w:eastAsia="zh-CN"/>
              </w:rPr>
            </w:pPr>
            <w:r>
              <w:rPr>
                <w:rFonts w:hint="eastAsia" w:cs="宋体"/>
                <w:color w:val="auto"/>
                <w:sz w:val="21"/>
                <w:szCs w:val="21"/>
                <w:lang w:val="en-US" w:eastAsia="zh-CN"/>
              </w:rPr>
              <w:t>330.30</w:t>
            </w:r>
            <w:r>
              <w:rPr>
                <w:rFonts w:hint="eastAsia"/>
                <w:color w:val="auto"/>
                <w:sz w:val="21"/>
                <w:szCs w:val="21"/>
                <w:lang w:val="en-US" w:eastAsia="zh-CN"/>
              </w:rPr>
              <w:t>mg/L，4.96608t/a</w:t>
            </w:r>
          </w:p>
        </w:tc>
        <w:tc>
          <w:tcPr>
            <w:tcW w:w="613" w:type="pct"/>
            <w:vMerge w:val="continue"/>
            <w:tcBorders>
              <w:tl2br w:val="nil"/>
              <w:tr2bl w:val="nil"/>
            </w:tcBorders>
            <w:vAlign w:val="center"/>
          </w:tcPr>
          <w:p w14:paraId="0671CADE">
            <w:pPr>
              <w:pStyle w:val="46"/>
              <w:bidi w:val="0"/>
              <w:jc w:val="center"/>
              <w:rPr>
                <w:rFonts w:hint="eastAsia"/>
                <w:color w:val="auto"/>
                <w:sz w:val="21"/>
                <w:szCs w:val="21"/>
                <w:lang w:val="en-US" w:eastAsia="zh-CN"/>
              </w:rPr>
            </w:pPr>
          </w:p>
        </w:tc>
        <w:tc>
          <w:tcPr>
            <w:tcW w:w="2883" w:type="dxa"/>
            <w:tcBorders>
              <w:tl2br w:val="nil"/>
              <w:tr2bl w:val="nil"/>
            </w:tcBorders>
            <w:vAlign w:val="center"/>
          </w:tcPr>
          <w:p w14:paraId="342C74B3">
            <w:pPr>
              <w:bidi w:val="0"/>
              <w:ind w:firstLine="0" w:firstLineChars="0"/>
              <w:jc w:val="center"/>
              <w:rPr>
                <w:rFonts w:hint="eastAsia"/>
                <w:color w:val="auto"/>
                <w:sz w:val="21"/>
                <w:szCs w:val="21"/>
                <w:lang w:val="en-US" w:eastAsia="zh-CN"/>
              </w:rPr>
            </w:pPr>
            <w:r>
              <w:rPr>
                <w:rFonts w:hint="eastAsia" w:cs="宋体"/>
                <w:color w:val="auto"/>
                <w:sz w:val="21"/>
                <w:szCs w:val="21"/>
                <w:lang w:val="en-US" w:eastAsia="zh-CN"/>
              </w:rPr>
              <w:t>330.30</w:t>
            </w:r>
            <w:r>
              <w:rPr>
                <w:rFonts w:hint="eastAsia"/>
                <w:color w:val="auto"/>
                <w:sz w:val="21"/>
                <w:szCs w:val="21"/>
                <w:lang w:val="en-US" w:eastAsia="zh-CN"/>
              </w:rPr>
              <w:t>mg/L，4.96608t/a</w:t>
            </w:r>
          </w:p>
        </w:tc>
        <w:tc>
          <w:tcPr>
            <w:tcW w:w="1099" w:type="pct"/>
            <w:vMerge w:val="continue"/>
            <w:tcBorders>
              <w:tl2br w:val="nil"/>
              <w:tr2bl w:val="nil"/>
            </w:tcBorders>
            <w:vAlign w:val="center"/>
          </w:tcPr>
          <w:p w14:paraId="3D51BB99">
            <w:pPr>
              <w:pStyle w:val="46"/>
              <w:bidi w:val="0"/>
              <w:jc w:val="center"/>
              <w:rPr>
                <w:rFonts w:hint="eastAsia"/>
                <w:color w:val="auto"/>
                <w:lang w:val="en-US" w:eastAsia="zh-CN"/>
              </w:rPr>
            </w:pPr>
          </w:p>
        </w:tc>
      </w:tr>
      <w:tr w14:paraId="38C2E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38" w:type="pct"/>
            <w:vMerge w:val="continue"/>
            <w:tcBorders>
              <w:tl2br w:val="nil"/>
              <w:tr2bl w:val="nil"/>
            </w:tcBorders>
            <w:vAlign w:val="center"/>
          </w:tcPr>
          <w:p w14:paraId="489D5D58">
            <w:pPr>
              <w:pStyle w:val="46"/>
              <w:bidi w:val="0"/>
              <w:jc w:val="center"/>
              <w:rPr>
                <w:rFonts w:hint="eastAsia"/>
                <w:color w:val="auto"/>
                <w:sz w:val="21"/>
                <w:szCs w:val="21"/>
                <w:lang w:val="en-US" w:eastAsia="zh-CN"/>
              </w:rPr>
            </w:pPr>
          </w:p>
        </w:tc>
        <w:tc>
          <w:tcPr>
            <w:tcW w:w="515" w:type="pct"/>
            <w:vMerge w:val="continue"/>
            <w:tcBorders>
              <w:tl2br w:val="nil"/>
              <w:tr2bl w:val="nil"/>
            </w:tcBorders>
            <w:vAlign w:val="center"/>
          </w:tcPr>
          <w:p w14:paraId="79A81788">
            <w:pPr>
              <w:pStyle w:val="46"/>
              <w:bidi w:val="0"/>
              <w:jc w:val="center"/>
              <w:rPr>
                <w:rFonts w:hint="eastAsia"/>
                <w:color w:val="auto"/>
                <w:sz w:val="21"/>
                <w:szCs w:val="21"/>
                <w:lang w:val="en-US" w:eastAsia="zh-CN"/>
              </w:rPr>
            </w:pPr>
          </w:p>
        </w:tc>
        <w:tc>
          <w:tcPr>
            <w:tcW w:w="460" w:type="pct"/>
            <w:tcBorders>
              <w:tl2br w:val="nil"/>
              <w:tr2bl w:val="nil"/>
            </w:tcBorders>
            <w:vAlign w:val="center"/>
          </w:tcPr>
          <w:p w14:paraId="0AEDC918">
            <w:pPr>
              <w:bidi w:val="0"/>
              <w:jc w:val="center"/>
              <w:rPr>
                <w:rFonts w:hint="eastAsia" w:eastAsia="宋体"/>
                <w:color w:val="auto"/>
                <w:sz w:val="21"/>
                <w:szCs w:val="21"/>
                <w:lang w:eastAsia="zh-CN"/>
              </w:rPr>
            </w:pPr>
            <w:r>
              <w:rPr>
                <w:rFonts w:hint="eastAsia"/>
                <w:color w:val="auto"/>
                <w:sz w:val="21"/>
                <w:szCs w:val="21"/>
                <w:lang w:val="en-US" w:eastAsia="zh-CN"/>
              </w:rPr>
              <w:t>总磷</w:t>
            </w:r>
          </w:p>
        </w:tc>
        <w:tc>
          <w:tcPr>
            <w:tcW w:w="964" w:type="pct"/>
            <w:tcBorders>
              <w:tl2br w:val="nil"/>
              <w:tr2bl w:val="nil"/>
            </w:tcBorders>
            <w:vAlign w:val="center"/>
          </w:tcPr>
          <w:p w14:paraId="66E8DB53">
            <w:pPr>
              <w:bidi w:val="0"/>
              <w:ind w:firstLine="0" w:firstLineChars="0"/>
              <w:jc w:val="center"/>
              <w:rPr>
                <w:rFonts w:hint="default"/>
                <w:color w:val="auto"/>
                <w:sz w:val="21"/>
                <w:szCs w:val="21"/>
                <w:lang w:val="en-US" w:eastAsia="zh-CN"/>
              </w:rPr>
            </w:pPr>
            <w:r>
              <w:rPr>
                <w:rFonts w:hint="eastAsia" w:cs="宋体"/>
                <w:color w:val="auto"/>
                <w:sz w:val="21"/>
                <w:szCs w:val="21"/>
                <w:lang w:val="en-US" w:eastAsia="zh-CN"/>
              </w:rPr>
              <w:t>41.29</w:t>
            </w:r>
            <w:r>
              <w:rPr>
                <w:rFonts w:hint="eastAsia"/>
                <w:color w:val="auto"/>
                <w:sz w:val="21"/>
                <w:szCs w:val="21"/>
                <w:lang w:val="en-US" w:eastAsia="zh-CN"/>
              </w:rPr>
              <w:t>mg/L，0.62076t/a</w:t>
            </w:r>
          </w:p>
        </w:tc>
        <w:tc>
          <w:tcPr>
            <w:tcW w:w="613" w:type="pct"/>
            <w:vMerge w:val="continue"/>
            <w:tcBorders>
              <w:tl2br w:val="nil"/>
              <w:tr2bl w:val="nil"/>
            </w:tcBorders>
            <w:vAlign w:val="center"/>
          </w:tcPr>
          <w:p w14:paraId="1A08C70F">
            <w:pPr>
              <w:pStyle w:val="46"/>
              <w:bidi w:val="0"/>
              <w:jc w:val="center"/>
              <w:rPr>
                <w:rFonts w:hint="eastAsia"/>
                <w:color w:val="auto"/>
                <w:sz w:val="21"/>
                <w:szCs w:val="21"/>
                <w:lang w:val="en-US" w:eastAsia="zh-CN"/>
              </w:rPr>
            </w:pPr>
          </w:p>
        </w:tc>
        <w:tc>
          <w:tcPr>
            <w:tcW w:w="2883" w:type="dxa"/>
            <w:tcBorders>
              <w:tl2br w:val="nil"/>
              <w:tr2bl w:val="nil"/>
            </w:tcBorders>
            <w:vAlign w:val="center"/>
          </w:tcPr>
          <w:p w14:paraId="37170264">
            <w:pPr>
              <w:bidi w:val="0"/>
              <w:ind w:firstLine="0" w:firstLineChars="0"/>
              <w:jc w:val="center"/>
              <w:rPr>
                <w:rFonts w:hint="eastAsia"/>
                <w:color w:val="auto"/>
                <w:sz w:val="21"/>
                <w:szCs w:val="21"/>
                <w:lang w:val="en-US" w:eastAsia="zh-CN"/>
              </w:rPr>
            </w:pPr>
            <w:r>
              <w:rPr>
                <w:rFonts w:hint="eastAsia" w:cs="宋体"/>
                <w:color w:val="auto"/>
                <w:sz w:val="21"/>
                <w:szCs w:val="21"/>
                <w:lang w:val="en-US" w:eastAsia="zh-CN"/>
              </w:rPr>
              <w:t>41.29</w:t>
            </w:r>
            <w:r>
              <w:rPr>
                <w:rFonts w:hint="eastAsia"/>
                <w:color w:val="auto"/>
                <w:sz w:val="21"/>
                <w:szCs w:val="21"/>
                <w:lang w:val="en-US" w:eastAsia="zh-CN"/>
              </w:rPr>
              <w:t>mg/L，0.62076t/a</w:t>
            </w:r>
          </w:p>
        </w:tc>
        <w:tc>
          <w:tcPr>
            <w:tcW w:w="1099" w:type="pct"/>
            <w:vMerge w:val="continue"/>
            <w:tcBorders>
              <w:tl2br w:val="nil"/>
              <w:tr2bl w:val="nil"/>
            </w:tcBorders>
            <w:vAlign w:val="center"/>
          </w:tcPr>
          <w:p w14:paraId="13E064CA">
            <w:pPr>
              <w:pStyle w:val="46"/>
              <w:bidi w:val="0"/>
              <w:jc w:val="center"/>
              <w:rPr>
                <w:rFonts w:hint="eastAsia"/>
                <w:color w:val="auto"/>
                <w:lang w:val="en-US" w:eastAsia="zh-CN"/>
              </w:rPr>
            </w:pPr>
          </w:p>
        </w:tc>
      </w:tr>
      <w:tr w14:paraId="11D38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38" w:type="pct"/>
            <w:tcBorders>
              <w:tl2br w:val="nil"/>
              <w:tr2bl w:val="nil"/>
            </w:tcBorders>
            <w:vAlign w:val="center"/>
          </w:tcPr>
          <w:p w14:paraId="5CD219BF">
            <w:pPr>
              <w:pStyle w:val="46"/>
              <w:bidi w:val="0"/>
              <w:jc w:val="center"/>
              <w:rPr>
                <w:rFonts w:hint="default"/>
                <w:color w:val="auto"/>
                <w:lang w:val="en-US" w:eastAsia="zh-CN"/>
              </w:rPr>
            </w:pPr>
            <w:r>
              <w:rPr>
                <w:rFonts w:hint="eastAsia"/>
                <w:color w:val="auto"/>
                <w:lang w:val="en-US" w:eastAsia="zh-CN"/>
              </w:rPr>
              <w:t>软化废水</w:t>
            </w:r>
          </w:p>
        </w:tc>
        <w:tc>
          <w:tcPr>
            <w:tcW w:w="515" w:type="pct"/>
            <w:tcBorders>
              <w:tl2br w:val="nil"/>
              <w:tr2bl w:val="nil"/>
            </w:tcBorders>
            <w:vAlign w:val="center"/>
          </w:tcPr>
          <w:p w14:paraId="12258B40">
            <w:pPr>
              <w:pStyle w:val="46"/>
              <w:bidi w:val="0"/>
              <w:jc w:val="center"/>
              <w:rPr>
                <w:rFonts w:hint="eastAsia"/>
                <w:color w:val="auto"/>
                <w:lang w:val="en-US" w:eastAsia="zh-CN"/>
              </w:rPr>
            </w:pPr>
            <w:r>
              <w:rPr>
                <w:rFonts w:hint="eastAsia"/>
                <w:color w:val="auto"/>
                <w:lang w:val="en-US" w:eastAsia="zh-CN"/>
              </w:rPr>
              <w:t>2100t/a</w:t>
            </w:r>
          </w:p>
        </w:tc>
        <w:tc>
          <w:tcPr>
            <w:tcW w:w="1424" w:type="pct"/>
            <w:gridSpan w:val="2"/>
            <w:tcBorders>
              <w:tl2br w:val="nil"/>
              <w:tr2bl w:val="nil"/>
            </w:tcBorders>
            <w:vAlign w:val="center"/>
          </w:tcPr>
          <w:p w14:paraId="2BADFC21">
            <w:pPr>
              <w:bidi w:val="0"/>
              <w:jc w:val="center"/>
              <w:rPr>
                <w:rFonts w:hint="default"/>
                <w:color w:val="auto"/>
                <w:sz w:val="21"/>
                <w:szCs w:val="21"/>
                <w:lang w:val="en-US" w:eastAsia="zh-CN"/>
              </w:rPr>
            </w:pPr>
            <w:r>
              <w:rPr>
                <w:rFonts w:hint="eastAsia"/>
                <w:color w:val="auto"/>
                <w:sz w:val="21"/>
                <w:szCs w:val="21"/>
                <w:lang w:val="en-US" w:eastAsia="zh-CN"/>
              </w:rPr>
              <w:t>清洁下水（含溶解性总固体）</w:t>
            </w:r>
          </w:p>
        </w:tc>
        <w:tc>
          <w:tcPr>
            <w:tcW w:w="613" w:type="pct"/>
            <w:tcBorders>
              <w:tl2br w:val="nil"/>
              <w:tr2bl w:val="nil"/>
            </w:tcBorders>
            <w:vAlign w:val="center"/>
          </w:tcPr>
          <w:p w14:paraId="1906B411">
            <w:pPr>
              <w:pStyle w:val="46"/>
              <w:bidi w:val="0"/>
              <w:jc w:val="center"/>
              <w:rPr>
                <w:rFonts w:hint="default"/>
                <w:color w:val="auto"/>
                <w:sz w:val="21"/>
                <w:szCs w:val="21"/>
                <w:lang w:val="en-US" w:eastAsia="zh-CN"/>
              </w:rPr>
            </w:pPr>
            <w:r>
              <w:rPr>
                <w:rFonts w:hint="eastAsia"/>
                <w:color w:val="auto"/>
                <w:sz w:val="21"/>
                <w:szCs w:val="21"/>
                <w:lang w:val="en-US" w:eastAsia="zh-CN"/>
              </w:rPr>
              <w:t>排入园区下水管网</w:t>
            </w:r>
          </w:p>
        </w:tc>
        <w:tc>
          <w:tcPr>
            <w:tcW w:w="908" w:type="pct"/>
            <w:tcBorders>
              <w:tl2br w:val="nil"/>
              <w:tr2bl w:val="nil"/>
            </w:tcBorders>
            <w:vAlign w:val="center"/>
          </w:tcPr>
          <w:p w14:paraId="21B122ED">
            <w:pPr>
              <w:bidi w:val="0"/>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1099" w:type="pct"/>
            <w:tcBorders>
              <w:tl2br w:val="nil"/>
              <w:tr2bl w:val="nil"/>
            </w:tcBorders>
            <w:vAlign w:val="center"/>
          </w:tcPr>
          <w:p w14:paraId="5A06F089">
            <w:pPr>
              <w:pStyle w:val="46"/>
              <w:bidi w:val="0"/>
              <w:jc w:val="center"/>
              <w:rPr>
                <w:rFonts w:hint="eastAsia"/>
                <w:color w:val="auto"/>
                <w:lang w:val="en-US" w:eastAsia="zh-CN"/>
              </w:rPr>
            </w:pPr>
            <w:r>
              <w:rPr>
                <w:rFonts w:hint="eastAsia" w:cs="Times New Roman"/>
                <w:color w:val="auto"/>
                <w:highlight w:val="none"/>
                <w:lang w:val="en-US" w:eastAsia="zh-CN"/>
              </w:rPr>
              <w:t>园区污水处理厂</w:t>
            </w:r>
          </w:p>
        </w:tc>
      </w:tr>
    </w:tbl>
    <w:p w14:paraId="400A801F">
      <w:pPr>
        <w:pStyle w:val="44"/>
        <w:bidi w:val="0"/>
        <w:rPr>
          <w:color w:val="auto"/>
        </w:rPr>
      </w:pPr>
      <w:r>
        <w:rPr>
          <w:rFonts w:hint="eastAsia"/>
          <w:color w:val="auto"/>
        </w:rPr>
        <w:t>表</w:t>
      </w:r>
      <w:r>
        <w:rPr>
          <w:rFonts w:hint="eastAsia"/>
          <w:color w:val="auto"/>
          <w:lang w:val="en-US" w:eastAsia="zh-CN"/>
        </w:rPr>
        <w:t>4.2-3</w:t>
      </w:r>
      <w:r>
        <w:rPr>
          <w:rFonts w:hint="eastAsia"/>
          <w:color w:val="auto"/>
        </w:rPr>
        <w:t>废水类别、污染物及污染治理设施信息表</w:t>
      </w:r>
    </w:p>
    <w:tbl>
      <w:tblPr>
        <w:tblStyle w:val="21"/>
        <w:tblW w:w="158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453"/>
        <w:gridCol w:w="3016"/>
        <w:gridCol w:w="1802"/>
        <w:gridCol w:w="1434"/>
        <w:gridCol w:w="1198"/>
        <w:gridCol w:w="791"/>
        <w:gridCol w:w="874"/>
        <w:gridCol w:w="893"/>
        <w:gridCol w:w="1364"/>
        <w:gridCol w:w="2470"/>
      </w:tblGrid>
      <w:tr w14:paraId="62C7F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82" w:type="pct"/>
            <w:vMerge w:val="restart"/>
            <w:tcBorders>
              <w:tl2br w:val="nil"/>
              <w:tr2bl w:val="nil"/>
            </w:tcBorders>
            <w:vAlign w:val="center"/>
          </w:tcPr>
          <w:p w14:paraId="36C5CF2A">
            <w:pPr>
              <w:pStyle w:val="46"/>
              <w:jc w:val="center"/>
              <w:rPr>
                <w:color w:val="auto"/>
              </w:rPr>
            </w:pPr>
            <w:r>
              <w:rPr>
                <w:rFonts w:hint="eastAsia"/>
                <w:color w:val="auto"/>
              </w:rPr>
              <w:t>序号</w:t>
            </w:r>
          </w:p>
        </w:tc>
        <w:tc>
          <w:tcPr>
            <w:tcW w:w="457" w:type="pct"/>
            <w:vMerge w:val="restart"/>
            <w:tcBorders>
              <w:tl2br w:val="nil"/>
              <w:tr2bl w:val="nil"/>
            </w:tcBorders>
            <w:vAlign w:val="center"/>
          </w:tcPr>
          <w:p w14:paraId="4D43C7F4">
            <w:pPr>
              <w:pStyle w:val="46"/>
              <w:jc w:val="center"/>
              <w:rPr>
                <w:color w:val="auto"/>
              </w:rPr>
            </w:pPr>
            <w:r>
              <w:rPr>
                <w:rFonts w:hint="eastAsia"/>
                <w:color w:val="auto"/>
              </w:rPr>
              <w:t>废水类别</w:t>
            </w:r>
          </w:p>
        </w:tc>
        <w:tc>
          <w:tcPr>
            <w:tcW w:w="949" w:type="pct"/>
            <w:vMerge w:val="restart"/>
            <w:tcBorders>
              <w:tl2br w:val="nil"/>
              <w:tr2bl w:val="nil"/>
            </w:tcBorders>
            <w:vAlign w:val="center"/>
          </w:tcPr>
          <w:p w14:paraId="5200D076">
            <w:pPr>
              <w:pStyle w:val="46"/>
              <w:jc w:val="center"/>
              <w:rPr>
                <w:color w:val="auto"/>
              </w:rPr>
            </w:pPr>
            <w:r>
              <w:rPr>
                <w:rFonts w:hint="eastAsia"/>
                <w:color w:val="auto"/>
              </w:rPr>
              <w:t>污染物种类</w:t>
            </w:r>
          </w:p>
        </w:tc>
        <w:tc>
          <w:tcPr>
            <w:tcW w:w="1396" w:type="pct"/>
            <w:gridSpan w:val="3"/>
            <w:tcBorders>
              <w:tl2br w:val="nil"/>
              <w:tr2bl w:val="nil"/>
            </w:tcBorders>
            <w:vAlign w:val="center"/>
          </w:tcPr>
          <w:p w14:paraId="7A8210D7">
            <w:pPr>
              <w:pStyle w:val="46"/>
              <w:jc w:val="center"/>
              <w:rPr>
                <w:color w:val="auto"/>
              </w:rPr>
            </w:pPr>
            <w:r>
              <w:rPr>
                <w:rFonts w:hint="eastAsia"/>
                <w:color w:val="auto"/>
              </w:rPr>
              <w:t>污染治理设施</w:t>
            </w:r>
          </w:p>
        </w:tc>
        <w:tc>
          <w:tcPr>
            <w:tcW w:w="249" w:type="pct"/>
            <w:vMerge w:val="restart"/>
            <w:tcBorders>
              <w:tl2br w:val="nil"/>
              <w:tr2bl w:val="nil"/>
            </w:tcBorders>
            <w:vAlign w:val="center"/>
          </w:tcPr>
          <w:p w14:paraId="6AB73D12">
            <w:pPr>
              <w:pStyle w:val="46"/>
              <w:jc w:val="center"/>
              <w:rPr>
                <w:rFonts w:hint="eastAsia" w:eastAsia="宋体"/>
                <w:color w:val="auto"/>
                <w:lang w:eastAsia="zh-CN"/>
              </w:rPr>
            </w:pPr>
            <w:r>
              <w:rPr>
                <w:rFonts w:hint="eastAsia"/>
                <w:color w:val="auto"/>
              </w:rPr>
              <w:t>排放</w:t>
            </w:r>
            <w:r>
              <w:rPr>
                <w:rFonts w:hint="eastAsia"/>
                <w:color w:val="auto"/>
                <w:lang w:val="en-US" w:eastAsia="zh-CN"/>
              </w:rPr>
              <w:t>方式</w:t>
            </w:r>
          </w:p>
        </w:tc>
        <w:tc>
          <w:tcPr>
            <w:tcW w:w="275" w:type="pct"/>
            <w:vMerge w:val="restart"/>
            <w:tcBorders>
              <w:tl2br w:val="nil"/>
              <w:tr2bl w:val="nil"/>
            </w:tcBorders>
            <w:vAlign w:val="center"/>
          </w:tcPr>
          <w:p w14:paraId="2A1CC189">
            <w:pPr>
              <w:pStyle w:val="46"/>
              <w:jc w:val="center"/>
              <w:rPr>
                <w:rFonts w:hint="eastAsia"/>
                <w:color w:val="auto"/>
              </w:rPr>
            </w:pPr>
            <w:r>
              <w:rPr>
                <w:rFonts w:hint="eastAsia"/>
                <w:color w:val="auto"/>
              </w:rPr>
              <w:t>排放规律</w:t>
            </w:r>
          </w:p>
        </w:tc>
        <w:tc>
          <w:tcPr>
            <w:tcW w:w="281" w:type="pct"/>
            <w:vMerge w:val="restart"/>
            <w:tcBorders>
              <w:tl2br w:val="nil"/>
              <w:tr2bl w:val="nil"/>
            </w:tcBorders>
            <w:vAlign w:val="center"/>
          </w:tcPr>
          <w:p w14:paraId="0FD2C5C6">
            <w:pPr>
              <w:pStyle w:val="46"/>
              <w:ind w:firstLine="0" w:firstLineChars="0"/>
              <w:jc w:val="center"/>
              <w:rPr>
                <w:rFonts w:hint="eastAsia"/>
                <w:color w:val="auto"/>
              </w:rPr>
            </w:pPr>
            <w:r>
              <w:rPr>
                <w:rFonts w:hint="eastAsia"/>
                <w:color w:val="auto"/>
              </w:rPr>
              <w:t>排水去向</w:t>
            </w:r>
          </w:p>
        </w:tc>
        <w:tc>
          <w:tcPr>
            <w:tcW w:w="429" w:type="pct"/>
            <w:vMerge w:val="restart"/>
            <w:tcBorders>
              <w:tl2br w:val="nil"/>
              <w:tr2bl w:val="nil"/>
            </w:tcBorders>
            <w:vAlign w:val="center"/>
          </w:tcPr>
          <w:p w14:paraId="77AE262B">
            <w:pPr>
              <w:pStyle w:val="46"/>
              <w:jc w:val="center"/>
              <w:rPr>
                <w:color w:val="auto"/>
              </w:rPr>
            </w:pPr>
            <w:r>
              <w:rPr>
                <w:rFonts w:hint="eastAsia"/>
                <w:color w:val="auto"/>
              </w:rPr>
              <w:t>排放口设置是否符合要求</w:t>
            </w:r>
          </w:p>
        </w:tc>
        <w:tc>
          <w:tcPr>
            <w:tcW w:w="778" w:type="pct"/>
            <w:vMerge w:val="restart"/>
            <w:tcBorders>
              <w:tl2br w:val="nil"/>
              <w:tr2bl w:val="nil"/>
            </w:tcBorders>
            <w:vAlign w:val="center"/>
          </w:tcPr>
          <w:p w14:paraId="1EE05BE5">
            <w:pPr>
              <w:pStyle w:val="46"/>
              <w:jc w:val="center"/>
              <w:rPr>
                <w:color w:val="auto"/>
              </w:rPr>
            </w:pPr>
            <w:r>
              <w:rPr>
                <w:rFonts w:hint="eastAsia"/>
                <w:color w:val="auto"/>
              </w:rPr>
              <w:t>排放口类型</w:t>
            </w:r>
          </w:p>
        </w:tc>
      </w:tr>
      <w:tr w14:paraId="2C7E7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82" w:type="pct"/>
            <w:vMerge w:val="continue"/>
            <w:tcBorders>
              <w:tl2br w:val="nil"/>
              <w:tr2bl w:val="nil"/>
            </w:tcBorders>
            <w:vAlign w:val="center"/>
          </w:tcPr>
          <w:p w14:paraId="25FF9D3F">
            <w:pPr>
              <w:pStyle w:val="46"/>
              <w:jc w:val="center"/>
              <w:rPr>
                <w:color w:val="auto"/>
              </w:rPr>
            </w:pPr>
          </w:p>
        </w:tc>
        <w:tc>
          <w:tcPr>
            <w:tcW w:w="457" w:type="pct"/>
            <w:vMerge w:val="continue"/>
            <w:tcBorders>
              <w:tl2br w:val="nil"/>
              <w:tr2bl w:val="nil"/>
            </w:tcBorders>
            <w:vAlign w:val="center"/>
          </w:tcPr>
          <w:p w14:paraId="7EB766F4">
            <w:pPr>
              <w:pStyle w:val="46"/>
              <w:jc w:val="center"/>
              <w:rPr>
                <w:color w:val="auto"/>
              </w:rPr>
            </w:pPr>
          </w:p>
        </w:tc>
        <w:tc>
          <w:tcPr>
            <w:tcW w:w="949" w:type="pct"/>
            <w:vMerge w:val="continue"/>
            <w:tcBorders>
              <w:tl2br w:val="nil"/>
              <w:tr2bl w:val="nil"/>
            </w:tcBorders>
            <w:vAlign w:val="center"/>
          </w:tcPr>
          <w:p w14:paraId="063E45BE">
            <w:pPr>
              <w:pStyle w:val="46"/>
              <w:jc w:val="center"/>
              <w:rPr>
                <w:color w:val="auto"/>
              </w:rPr>
            </w:pPr>
          </w:p>
        </w:tc>
        <w:tc>
          <w:tcPr>
            <w:tcW w:w="567" w:type="pct"/>
            <w:tcBorders>
              <w:tl2br w:val="nil"/>
              <w:tr2bl w:val="nil"/>
            </w:tcBorders>
            <w:vAlign w:val="center"/>
          </w:tcPr>
          <w:p w14:paraId="67A9E3F1">
            <w:pPr>
              <w:pStyle w:val="46"/>
              <w:jc w:val="center"/>
              <w:rPr>
                <w:color w:val="auto"/>
              </w:rPr>
            </w:pPr>
            <w:r>
              <w:rPr>
                <w:rFonts w:hint="eastAsia"/>
                <w:color w:val="auto"/>
              </w:rPr>
              <w:t>污染治理设施名称</w:t>
            </w:r>
          </w:p>
        </w:tc>
        <w:tc>
          <w:tcPr>
            <w:tcW w:w="451" w:type="pct"/>
            <w:tcBorders>
              <w:tl2br w:val="nil"/>
              <w:tr2bl w:val="nil"/>
            </w:tcBorders>
            <w:vAlign w:val="center"/>
          </w:tcPr>
          <w:p w14:paraId="419BBF76">
            <w:pPr>
              <w:pStyle w:val="46"/>
              <w:jc w:val="center"/>
              <w:rPr>
                <w:color w:val="auto"/>
              </w:rPr>
            </w:pPr>
            <w:r>
              <w:rPr>
                <w:rFonts w:hint="eastAsia"/>
                <w:color w:val="auto"/>
              </w:rPr>
              <w:t>污染治理设施工艺</w:t>
            </w:r>
          </w:p>
        </w:tc>
        <w:tc>
          <w:tcPr>
            <w:tcW w:w="377" w:type="pct"/>
            <w:tcBorders>
              <w:tl2br w:val="nil"/>
              <w:tr2bl w:val="nil"/>
            </w:tcBorders>
            <w:vAlign w:val="center"/>
          </w:tcPr>
          <w:p w14:paraId="5A6F1E64">
            <w:pPr>
              <w:pStyle w:val="46"/>
              <w:jc w:val="center"/>
              <w:rPr>
                <w:rFonts w:hint="default" w:eastAsia="宋体"/>
                <w:color w:val="auto"/>
                <w:lang w:val="en-US" w:eastAsia="zh-CN"/>
              </w:rPr>
            </w:pPr>
            <w:r>
              <w:rPr>
                <w:rFonts w:hint="eastAsia"/>
                <w:color w:val="auto"/>
                <w:lang w:val="en-US" w:eastAsia="zh-CN"/>
              </w:rPr>
              <w:t>是否为可行技术</w:t>
            </w:r>
          </w:p>
        </w:tc>
        <w:tc>
          <w:tcPr>
            <w:tcW w:w="249" w:type="pct"/>
            <w:vMerge w:val="continue"/>
            <w:tcBorders>
              <w:tl2br w:val="nil"/>
              <w:tr2bl w:val="nil"/>
            </w:tcBorders>
            <w:vAlign w:val="center"/>
          </w:tcPr>
          <w:p w14:paraId="7553DDB3">
            <w:pPr>
              <w:pStyle w:val="46"/>
              <w:jc w:val="center"/>
              <w:rPr>
                <w:color w:val="auto"/>
              </w:rPr>
            </w:pPr>
          </w:p>
        </w:tc>
        <w:tc>
          <w:tcPr>
            <w:tcW w:w="275" w:type="pct"/>
            <w:vMerge w:val="continue"/>
            <w:tcBorders>
              <w:tl2br w:val="nil"/>
              <w:tr2bl w:val="nil"/>
            </w:tcBorders>
            <w:vAlign w:val="center"/>
          </w:tcPr>
          <w:p w14:paraId="20F30463">
            <w:pPr>
              <w:pStyle w:val="46"/>
              <w:jc w:val="center"/>
              <w:rPr>
                <w:color w:val="auto"/>
              </w:rPr>
            </w:pPr>
          </w:p>
        </w:tc>
        <w:tc>
          <w:tcPr>
            <w:tcW w:w="281" w:type="pct"/>
            <w:vMerge w:val="continue"/>
            <w:tcBorders>
              <w:tl2br w:val="nil"/>
              <w:tr2bl w:val="nil"/>
            </w:tcBorders>
            <w:vAlign w:val="center"/>
          </w:tcPr>
          <w:p w14:paraId="3D3D45DF">
            <w:pPr>
              <w:pStyle w:val="46"/>
              <w:jc w:val="center"/>
              <w:rPr>
                <w:color w:val="auto"/>
              </w:rPr>
            </w:pPr>
          </w:p>
        </w:tc>
        <w:tc>
          <w:tcPr>
            <w:tcW w:w="429" w:type="pct"/>
            <w:vMerge w:val="continue"/>
            <w:tcBorders>
              <w:tl2br w:val="nil"/>
              <w:tr2bl w:val="nil"/>
            </w:tcBorders>
            <w:vAlign w:val="center"/>
          </w:tcPr>
          <w:p w14:paraId="691D0A2D">
            <w:pPr>
              <w:pStyle w:val="46"/>
              <w:jc w:val="center"/>
              <w:rPr>
                <w:color w:val="auto"/>
              </w:rPr>
            </w:pPr>
          </w:p>
        </w:tc>
        <w:tc>
          <w:tcPr>
            <w:tcW w:w="778" w:type="pct"/>
            <w:vMerge w:val="continue"/>
            <w:tcBorders>
              <w:tl2br w:val="nil"/>
              <w:tr2bl w:val="nil"/>
            </w:tcBorders>
            <w:vAlign w:val="center"/>
          </w:tcPr>
          <w:p w14:paraId="55EBCF34">
            <w:pPr>
              <w:pStyle w:val="46"/>
              <w:jc w:val="center"/>
              <w:rPr>
                <w:color w:val="auto"/>
              </w:rPr>
            </w:pPr>
          </w:p>
        </w:tc>
      </w:tr>
      <w:tr w14:paraId="37AF0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82" w:type="pct"/>
            <w:tcBorders>
              <w:tl2br w:val="nil"/>
              <w:tr2bl w:val="nil"/>
            </w:tcBorders>
            <w:vAlign w:val="center"/>
          </w:tcPr>
          <w:p w14:paraId="0DD71D97">
            <w:pPr>
              <w:pStyle w:val="46"/>
              <w:jc w:val="center"/>
              <w:rPr>
                <w:color w:val="auto"/>
              </w:rPr>
            </w:pPr>
            <w:r>
              <w:rPr>
                <w:rFonts w:hint="eastAsia"/>
                <w:color w:val="auto"/>
              </w:rPr>
              <w:t>1</w:t>
            </w:r>
          </w:p>
        </w:tc>
        <w:tc>
          <w:tcPr>
            <w:tcW w:w="457" w:type="pct"/>
            <w:tcBorders>
              <w:tl2br w:val="nil"/>
              <w:tr2bl w:val="nil"/>
            </w:tcBorders>
            <w:vAlign w:val="center"/>
          </w:tcPr>
          <w:p w14:paraId="3A26BDD7">
            <w:pPr>
              <w:pStyle w:val="46"/>
              <w:bidi w:val="0"/>
              <w:ind w:firstLine="0" w:firstLineChars="0"/>
              <w:jc w:val="center"/>
              <w:rPr>
                <w:rFonts w:hint="default" w:eastAsia="宋体"/>
                <w:color w:val="auto"/>
                <w:lang w:val="en-US" w:eastAsia="zh-CN"/>
              </w:rPr>
            </w:pPr>
            <w:r>
              <w:rPr>
                <w:rFonts w:hint="eastAsia" w:eastAsia="宋体"/>
                <w:color w:val="auto"/>
                <w:lang w:val="en-US" w:eastAsia="zh-CN"/>
              </w:rPr>
              <w:t>生产废水</w:t>
            </w:r>
          </w:p>
        </w:tc>
        <w:tc>
          <w:tcPr>
            <w:tcW w:w="949" w:type="pct"/>
            <w:tcBorders>
              <w:tl2br w:val="nil"/>
              <w:tr2bl w:val="nil"/>
            </w:tcBorders>
            <w:vAlign w:val="center"/>
          </w:tcPr>
          <w:p w14:paraId="659A5AF1">
            <w:pPr>
              <w:pStyle w:val="46"/>
              <w:jc w:val="center"/>
              <w:rPr>
                <w:rFonts w:hint="default" w:eastAsia="宋体"/>
                <w:color w:val="auto"/>
                <w:lang w:val="en-US" w:eastAsia="zh-CN"/>
              </w:rPr>
            </w:pPr>
            <w:r>
              <w:rPr>
                <w:rFonts w:hint="eastAsia"/>
                <w:color w:val="auto"/>
                <w:lang w:val="en-US" w:eastAsia="zh-CN"/>
              </w:rPr>
              <w:t>5项</w:t>
            </w:r>
          </w:p>
        </w:tc>
        <w:tc>
          <w:tcPr>
            <w:tcW w:w="567" w:type="pct"/>
            <w:tcBorders>
              <w:tl2br w:val="nil"/>
              <w:tr2bl w:val="nil"/>
            </w:tcBorders>
            <w:vAlign w:val="center"/>
          </w:tcPr>
          <w:p w14:paraId="437FCDB3">
            <w:pPr>
              <w:pStyle w:val="46"/>
              <w:jc w:val="center"/>
              <w:rPr>
                <w:rFonts w:hint="default" w:eastAsia="宋体"/>
                <w:color w:val="auto"/>
                <w:lang w:val="en-US" w:eastAsia="zh-CN"/>
              </w:rPr>
            </w:pPr>
            <w:r>
              <w:rPr>
                <w:rFonts w:hint="eastAsia"/>
                <w:color w:val="auto"/>
                <w:lang w:val="en-US" w:eastAsia="zh-CN"/>
              </w:rPr>
              <w:t>一级处理</w:t>
            </w:r>
          </w:p>
        </w:tc>
        <w:tc>
          <w:tcPr>
            <w:tcW w:w="451" w:type="pct"/>
            <w:tcBorders>
              <w:tl2br w:val="nil"/>
              <w:tr2bl w:val="nil"/>
            </w:tcBorders>
            <w:vAlign w:val="center"/>
          </w:tcPr>
          <w:p w14:paraId="11943E14">
            <w:pPr>
              <w:pStyle w:val="46"/>
              <w:jc w:val="center"/>
              <w:rPr>
                <w:rFonts w:hint="default"/>
                <w:color w:val="auto"/>
                <w:lang w:val="en-US"/>
              </w:rPr>
            </w:pPr>
            <w:r>
              <w:rPr>
                <w:rFonts w:hint="eastAsia"/>
                <w:color w:val="auto"/>
                <w:lang w:val="en-US" w:eastAsia="zh-CN"/>
              </w:rPr>
              <w:t>一级处理</w:t>
            </w:r>
          </w:p>
        </w:tc>
        <w:tc>
          <w:tcPr>
            <w:tcW w:w="377" w:type="pct"/>
            <w:tcBorders>
              <w:tl2br w:val="nil"/>
              <w:tr2bl w:val="nil"/>
            </w:tcBorders>
            <w:vAlign w:val="center"/>
          </w:tcPr>
          <w:p w14:paraId="54549BBB">
            <w:pPr>
              <w:pStyle w:val="46"/>
              <w:jc w:val="center"/>
              <w:rPr>
                <w:rFonts w:hint="eastAsia" w:eastAsia="宋体"/>
                <w:color w:val="auto"/>
                <w:lang w:eastAsia="zh-CN"/>
              </w:rPr>
            </w:pPr>
            <w:r>
              <w:rPr>
                <w:rFonts w:hint="eastAsia"/>
                <w:color w:val="auto"/>
                <w:lang w:val="en-US" w:eastAsia="zh-CN"/>
              </w:rPr>
              <w:t>是</w:t>
            </w:r>
          </w:p>
        </w:tc>
        <w:tc>
          <w:tcPr>
            <w:tcW w:w="249" w:type="pct"/>
            <w:vMerge w:val="restart"/>
            <w:tcBorders>
              <w:tl2br w:val="nil"/>
              <w:tr2bl w:val="nil"/>
            </w:tcBorders>
            <w:vAlign w:val="center"/>
          </w:tcPr>
          <w:p w14:paraId="4466A934">
            <w:pPr>
              <w:pStyle w:val="46"/>
              <w:jc w:val="center"/>
              <w:rPr>
                <w:color w:val="auto"/>
              </w:rPr>
            </w:pPr>
            <w:r>
              <w:rPr>
                <w:rFonts w:hint="eastAsia"/>
                <w:color w:val="auto"/>
                <w:lang w:val="en-US" w:eastAsia="zh-CN"/>
              </w:rPr>
              <w:t>间接</w:t>
            </w:r>
            <w:r>
              <w:rPr>
                <w:rFonts w:hint="eastAsia"/>
                <w:color w:val="auto"/>
              </w:rPr>
              <w:t>排放</w:t>
            </w:r>
          </w:p>
        </w:tc>
        <w:tc>
          <w:tcPr>
            <w:tcW w:w="275" w:type="pct"/>
            <w:vMerge w:val="restart"/>
            <w:tcBorders>
              <w:tl2br w:val="nil"/>
              <w:tr2bl w:val="nil"/>
            </w:tcBorders>
            <w:vAlign w:val="center"/>
          </w:tcPr>
          <w:p w14:paraId="594CCB25">
            <w:pPr>
              <w:pStyle w:val="46"/>
              <w:jc w:val="center"/>
              <w:rPr>
                <w:rFonts w:hint="default" w:eastAsia="宋体"/>
                <w:color w:val="auto"/>
                <w:lang w:val="en-US" w:eastAsia="zh-CN"/>
              </w:rPr>
            </w:pPr>
            <w:r>
              <w:rPr>
                <w:rFonts w:hint="eastAsia"/>
                <w:color w:val="auto"/>
                <w:lang w:val="en-US" w:eastAsia="zh-CN"/>
              </w:rPr>
              <w:t>间断</w:t>
            </w:r>
          </w:p>
        </w:tc>
        <w:tc>
          <w:tcPr>
            <w:tcW w:w="281" w:type="pct"/>
            <w:vMerge w:val="restart"/>
            <w:tcBorders>
              <w:tl2br w:val="nil"/>
              <w:tr2bl w:val="nil"/>
            </w:tcBorders>
            <w:vAlign w:val="center"/>
          </w:tcPr>
          <w:p w14:paraId="29D45CCF">
            <w:pPr>
              <w:pStyle w:val="46"/>
              <w:ind w:firstLine="0" w:firstLineChars="0"/>
              <w:jc w:val="center"/>
              <w:rPr>
                <w:rFonts w:hint="eastAsia"/>
                <w:color w:val="auto"/>
                <w:lang w:val="en-US" w:eastAsia="zh-CN"/>
              </w:rPr>
            </w:pPr>
            <w:r>
              <w:rPr>
                <w:rFonts w:hint="eastAsia"/>
                <w:color w:val="auto"/>
              </w:rPr>
              <w:t>污水处理厂</w:t>
            </w:r>
          </w:p>
        </w:tc>
        <w:tc>
          <w:tcPr>
            <w:tcW w:w="429" w:type="pct"/>
            <w:vMerge w:val="restart"/>
            <w:tcBorders>
              <w:tl2br w:val="nil"/>
              <w:tr2bl w:val="nil"/>
            </w:tcBorders>
            <w:vAlign w:val="center"/>
          </w:tcPr>
          <w:p w14:paraId="7F75956B">
            <w:pPr>
              <w:pStyle w:val="46"/>
              <w:jc w:val="center"/>
              <w:rPr>
                <w:rFonts w:ascii="宋体" w:hAnsi="宋体"/>
                <w:color w:val="auto"/>
                <w:sz w:val="24"/>
                <w:szCs w:val="24"/>
              </w:rPr>
            </w:pPr>
            <w:r>
              <w:rPr>
                <w:rFonts w:hint="eastAsia" w:ascii="宋体" w:hAnsi="宋体"/>
                <w:color w:val="auto"/>
                <w:sz w:val="24"/>
                <w:szCs w:val="24"/>
              </w:rPr>
              <w:t>☑是</w:t>
            </w:r>
          </w:p>
          <w:p w14:paraId="685B3947">
            <w:pPr>
              <w:pStyle w:val="46"/>
              <w:jc w:val="center"/>
              <w:rPr>
                <w:rFonts w:ascii="宋体" w:hAnsi="宋体"/>
                <w:color w:val="auto"/>
                <w:sz w:val="24"/>
                <w:szCs w:val="24"/>
              </w:rPr>
            </w:pPr>
            <w:r>
              <w:rPr>
                <w:rFonts w:hint="eastAsia" w:ascii="宋体" w:hAnsi="宋体"/>
                <w:color w:val="auto"/>
                <w:sz w:val="24"/>
                <w:szCs w:val="24"/>
              </w:rPr>
              <w:t>□否</w:t>
            </w:r>
          </w:p>
          <w:p w14:paraId="6A3BE79B">
            <w:pPr>
              <w:pStyle w:val="46"/>
              <w:jc w:val="center"/>
              <w:rPr>
                <w:color w:val="auto"/>
              </w:rPr>
            </w:pPr>
          </w:p>
        </w:tc>
        <w:tc>
          <w:tcPr>
            <w:tcW w:w="778" w:type="pct"/>
            <w:vMerge w:val="restart"/>
            <w:tcBorders>
              <w:tl2br w:val="nil"/>
              <w:tr2bl w:val="nil"/>
            </w:tcBorders>
            <w:vAlign w:val="center"/>
          </w:tcPr>
          <w:p w14:paraId="729025D3">
            <w:pPr>
              <w:pStyle w:val="46"/>
              <w:jc w:val="center"/>
              <w:rPr>
                <w:color w:val="auto"/>
              </w:rPr>
            </w:pPr>
            <w:r>
              <w:rPr>
                <w:rFonts w:hint="eastAsia"/>
                <w:color w:val="auto"/>
              </w:rPr>
              <w:t>☑企业总排</w:t>
            </w:r>
            <w:r>
              <w:rPr>
                <w:rFonts w:hint="eastAsia"/>
                <w:color w:val="auto"/>
                <w:lang w:val="en-US" w:eastAsia="zh-CN"/>
              </w:rPr>
              <w:t xml:space="preserve">  </w:t>
            </w:r>
            <w:r>
              <w:rPr>
                <w:rFonts w:hint="eastAsia"/>
                <w:color w:val="auto"/>
              </w:rPr>
              <w:t>□雨水排放</w:t>
            </w:r>
            <w:r>
              <w:rPr>
                <w:rFonts w:hint="eastAsia"/>
                <w:color w:val="auto"/>
                <w:lang w:val="en-US" w:eastAsia="zh-CN"/>
              </w:rPr>
              <w:t xml:space="preserve"> </w:t>
            </w:r>
            <w:r>
              <w:rPr>
                <w:rFonts w:hint="eastAsia"/>
                <w:color w:val="auto"/>
              </w:rPr>
              <w:t>□清净下水排放</w:t>
            </w:r>
            <w:r>
              <w:rPr>
                <w:rFonts w:hint="eastAsia"/>
                <w:color w:val="auto"/>
                <w:lang w:val="en-US" w:eastAsia="zh-CN"/>
              </w:rPr>
              <w:t xml:space="preserve"> </w:t>
            </w:r>
            <w:r>
              <w:rPr>
                <w:rFonts w:hint="eastAsia"/>
                <w:color w:val="auto"/>
              </w:rPr>
              <w:t>□温排水排放□车间或车间处理设施排放</w:t>
            </w:r>
          </w:p>
        </w:tc>
      </w:tr>
      <w:tr w14:paraId="064A5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82" w:type="pct"/>
            <w:tcBorders>
              <w:tl2br w:val="nil"/>
              <w:tr2bl w:val="nil"/>
            </w:tcBorders>
            <w:vAlign w:val="center"/>
          </w:tcPr>
          <w:p w14:paraId="7E687451">
            <w:pPr>
              <w:pStyle w:val="46"/>
              <w:jc w:val="center"/>
              <w:rPr>
                <w:rFonts w:hint="eastAsia" w:eastAsia="宋体"/>
                <w:color w:val="auto"/>
                <w:lang w:val="en-US" w:eastAsia="zh-CN"/>
              </w:rPr>
            </w:pPr>
            <w:r>
              <w:rPr>
                <w:rFonts w:hint="eastAsia"/>
                <w:color w:val="auto"/>
                <w:lang w:val="en-US" w:eastAsia="zh-CN"/>
              </w:rPr>
              <w:t>2</w:t>
            </w:r>
          </w:p>
        </w:tc>
        <w:tc>
          <w:tcPr>
            <w:tcW w:w="457" w:type="pct"/>
            <w:tcBorders>
              <w:tl2br w:val="nil"/>
              <w:tr2bl w:val="nil"/>
            </w:tcBorders>
            <w:vAlign w:val="center"/>
          </w:tcPr>
          <w:p w14:paraId="2E4689FE">
            <w:pPr>
              <w:pStyle w:val="46"/>
              <w:bidi w:val="0"/>
              <w:ind w:firstLine="0" w:firstLineChars="0"/>
              <w:jc w:val="center"/>
              <w:rPr>
                <w:rFonts w:hint="default"/>
                <w:color w:val="auto"/>
                <w:lang w:val="en-US" w:eastAsia="zh-CN"/>
              </w:rPr>
            </w:pPr>
            <w:r>
              <w:rPr>
                <w:rFonts w:hint="eastAsia"/>
                <w:color w:val="auto"/>
                <w:lang w:val="en-US" w:eastAsia="zh-CN"/>
              </w:rPr>
              <w:t>生活污水</w:t>
            </w:r>
          </w:p>
        </w:tc>
        <w:tc>
          <w:tcPr>
            <w:tcW w:w="949" w:type="pct"/>
            <w:tcBorders>
              <w:tl2br w:val="nil"/>
              <w:tr2bl w:val="nil"/>
            </w:tcBorders>
            <w:vAlign w:val="center"/>
          </w:tcPr>
          <w:p w14:paraId="1130EBFA">
            <w:pPr>
              <w:pStyle w:val="46"/>
              <w:jc w:val="center"/>
              <w:rPr>
                <w:rFonts w:hint="eastAsia"/>
                <w:color w:val="auto"/>
                <w:lang w:val="en-US" w:eastAsia="zh-CN"/>
              </w:rPr>
            </w:pPr>
            <w:r>
              <w:rPr>
                <w:rFonts w:hint="eastAsia"/>
                <w:color w:val="auto"/>
                <w:lang w:val="en-US" w:eastAsia="zh-CN"/>
              </w:rPr>
              <w:t>pH、</w:t>
            </w:r>
            <w:r>
              <w:rPr>
                <w:rFonts w:hint="eastAsia"/>
                <w:color w:val="auto"/>
              </w:rPr>
              <w:t>COD</w:t>
            </w:r>
            <w:r>
              <w:rPr>
                <w:rFonts w:hint="eastAsia"/>
                <w:color w:val="auto"/>
                <w:lang w:eastAsia="zh-CN"/>
              </w:rPr>
              <w:t>、</w:t>
            </w:r>
            <w:r>
              <w:rPr>
                <w:rFonts w:hint="eastAsia"/>
                <w:color w:val="auto"/>
              </w:rPr>
              <w:t>NH</w:t>
            </w:r>
            <w:r>
              <w:rPr>
                <w:rFonts w:hint="eastAsia"/>
                <w:color w:val="auto"/>
                <w:vertAlign w:val="subscript"/>
              </w:rPr>
              <w:t>3</w:t>
            </w:r>
            <w:r>
              <w:rPr>
                <w:rFonts w:hint="eastAsia"/>
                <w:color w:val="auto"/>
              </w:rPr>
              <w:t>-N</w:t>
            </w:r>
            <w:r>
              <w:rPr>
                <w:rFonts w:hint="eastAsia"/>
                <w:color w:val="auto"/>
                <w:lang w:eastAsia="zh-CN"/>
              </w:rPr>
              <w:t>、</w:t>
            </w:r>
            <w:r>
              <w:rPr>
                <w:rFonts w:hint="eastAsia"/>
                <w:color w:val="auto"/>
                <w:lang w:val="en-US" w:eastAsia="zh-CN"/>
              </w:rPr>
              <w:t>BOD</w:t>
            </w:r>
            <w:r>
              <w:rPr>
                <w:rFonts w:hint="eastAsia"/>
                <w:color w:val="auto"/>
                <w:vertAlign w:val="subscript"/>
                <w:lang w:val="en-US" w:eastAsia="zh-CN"/>
              </w:rPr>
              <w:t>5</w:t>
            </w:r>
            <w:r>
              <w:rPr>
                <w:rFonts w:hint="eastAsia"/>
                <w:color w:val="auto"/>
                <w:lang w:val="en-US" w:eastAsia="zh-CN"/>
              </w:rPr>
              <w:t>、SS</w:t>
            </w:r>
          </w:p>
        </w:tc>
        <w:tc>
          <w:tcPr>
            <w:tcW w:w="567" w:type="pct"/>
            <w:tcBorders>
              <w:tl2br w:val="nil"/>
              <w:tr2bl w:val="nil"/>
            </w:tcBorders>
            <w:vAlign w:val="center"/>
          </w:tcPr>
          <w:p w14:paraId="257C1422">
            <w:pPr>
              <w:pStyle w:val="46"/>
              <w:jc w:val="center"/>
              <w:rPr>
                <w:rFonts w:hint="eastAsia" w:eastAsia="宋体"/>
                <w:color w:val="auto"/>
                <w:lang w:val="en-US" w:eastAsia="zh-CN"/>
              </w:rPr>
            </w:pPr>
            <w:r>
              <w:rPr>
                <w:rFonts w:hint="eastAsia"/>
                <w:color w:val="auto"/>
                <w:lang w:val="en-US" w:eastAsia="zh-CN"/>
              </w:rPr>
              <w:t>/</w:t>
            </w:r>
          </w:p>
        </w:tc>
        <w:tc>
          <w:tcPr>
            <w:tcW w:w="451" w:type="pct"/>
            <w:tcBorders>
              <w:tl2br w:val="nil"/>
              <w:tr2bl w:val="nil"/>
            </w:tcBorders>
            <w:vAlign w:val="center"/>
          </w:tcPr>
          <w:p w14:paraId="41F031B1">
            <w:pPr>
              <w:pStyle w:val="46"/>
              <w:jc w:val="center"/>
              <w:rPr>
                <w:rFonts w:hint="eastAsia" w:eastAsia="宋体"/>
                <w:color w:val="auto"/>
                <w:lang w:val="en-US" w:eastAsia="zh-CN"/>
              </w:rPr>
            </w:pPr>
            <w:r>
              <w:rPr>
                <w:rFonts w:hint="eastAsia"/>
                <w:color w:val="auto"/>
                <w:lang w:val="en-US" w:eastAsia="zh-CN"/>
              </w:rPr>
              <w:t>/</w:t>
            </w:r>
          </w:p>
        </w:tc>
        <w:tc>
          <w:tcPr>
            <w:tcW w:w="377" w:type="pct"/>
            <w:tcBorders>
              <w:tl2br w:val="nil"/>
              <w:tr2bl w:val="nil"/>
            </w:tcBorders>
            <w:vAlign w:val="center"/>
          </w:tcPr>
          <w:p w14:paraId="079191ED">
            <w:pPr>
              <w:pStyle w:val="46"/>
              <w:jc w:val="center"/>
              <w:rPr>
                <w:rFonts w:hint="eastAsia" w:eastAsia="宋体"/>
                <w:color w:val="auto"/>
                <w:lang w:val="en-US" w:eastAsia="zh-CN"/>
              </w:rPr>
            </w:pPr>
            <w:r>
              <w:rPr>
                <w:rFonts w:hint="eastAsia"/>
                <w:color w:val="auto"/>
                <w:lang w:val="en-US" w:eastAsia="zh-CN"/>
              </w:rPr>
              <w:t>/</w:t>
            </w:r>
          </w:p>
        </w:tc>
        <w:tc>
          <w:tcPr>
            <w:tcW w:w="249" w:type="pct"/>
            <w:vMerge w:val="continue"/>
            <w:tcBorders>
              <w:tl2br w:val="nil"/>
              <w:tr2bl w:val="nil"/>
            </w:tcBorders>
            <w:vAlign w:val="center"/>
          </w:tcPr>
          <w:p w14:paraId="4F9FCCE6">
            <w:pPr>
              <w:pStyle w:val="46"/>
              <w:jc w:val="center"/>
              <w:rPr>
                <w:rFonts w:hint="eastAsia"/>
                <w:color w:val="auto"/>
              </w:rPr>
            </w:pPr>
          </w:p>
        </w:tc>
        <w:tc>
          <w:tcPr>
            <w:tcW w:w="275" w:type="pct"/>
            <w:vMerge w:val="continue"/>
            <w:tcBorders>
              <w:tl2br w:val="nil"/>
              <w:tr2bl w:val="nil"/>
            </w:tcBorders>
            <w:vAlign w:val="center"/>
          </w:tcPr>
          <w:p w14:paraId="5563D037">
            <w:pPr>
              <w:pStyle w:val="46"/>
              <w:jc w:val="center"/>
              <w:rPr>
                <w:rFonts w:hint="eastAsia"/>
                <w:color w:val="auto"/>
              </w:rPr>
            </w:pPr>
          </w:p>
        </w:tc>
        <w:tc>
          <w:tcPr>
            <w:tcW w:w="281" w:type="pct"/>
            <w:vMerge w:val="continue"/>
            <w:tcBorders>
              <w:tl2br w:val="nil"/>
              <w:tr2bl w:val="nil"/>
            </w:tcBorders>
            <w:vAlign w:val="center"/>
          </w:tcPr>
          <w:p w14:paraId="2C700C60">
            <w:pPr>
              <w:pStyle w:val="46"/>
              <w:ind w:firstLine="0" w:firstLineChars="0"/>
              <w:jc w:val="center"/>
              <w:rPr>
                <w:rFonts w:hint="eastAsia"/>
                <w:color w:val="auto"/>
              </w:rPr>
            </w:pPr>
          </w:p>
        </w:tc>
        <w:tc>
          <w:tcPr>
            <w:tcW w:w="429" w:type="pct"/>
            <w:vMerge w:val="continue"/>
            <w:tcBorders>
              <w:tl2br w:val="nil"/>
              <w:tr2bl w:val="nil"/>
            </w:tcBorders>
            <w:vAlign w:val="center"/>
          </w:tcPr>
          <w:p w14:paraId="03B3FCA7">
            <w:pPr>
              <w:pStyle w:val="46"/>
              <w:jc w:val="center"/>
              <w:rPr>
                <w:color w:val="auto"/>
              </w:rPr>
            </w:pPr>
          </w:p>
        </w:tc>
        <w:tc>
          <w:tcPr>
            <w:tcW w:w="778" w:type="pct"/>
            <w:vMerge w:val="continue"/>
            <w:tcBorders>
              <w:tl2br w:val="nil"/>
              <w:tr2bl w:val="nil"/>
            </w:tcBorders>
            <w:vAlign w:val="center"/>
          </w:tcPr>
          <w:p w14:paraId="69AD1DBD">
            <w:pPr>
              <w:pStyle w:val="46"/>
              <w:jc w:val="center"/>
              <w:rPr>
                <w:rFonts w:hint="eastAsia"/>
                <w:color w:val="auto"/>
              </w:rPr>
            </w:pPr>
          </w:p>
        </w:tc>
      </w:tr>
    </w:tbl>
    <w:p w14:paraId="7CC2372A">
      <w:pPr>
        <w:pStyle w:val="44"/>
        <w:rPr>
          <w:color w:val="auto"/>
        </w:rPr>
      </w:pPr>
      <w:r>
        <w:rPr>
          <w:rFonts w:hint="eastAsia"/>
          <w:color w:val="auto"/>
        </w:rPr>
        <w:t>表</w:t>
      </w:r>
      <w:r>
        <w:rPr>
          <w:rFonts w:hint="eastAsia"/>
          <w:color w:val="auto"/>
          <w:lang w:val="en-US" w:eastAsia="zh-CN"/>
        </w:rPr>
        <w:t>4.2-4</w:t>
      </w:r>
      <w:r>
        <w:rPr>
          <w:rFonts w:hint="eastAsia"/>
          <w:color w:val="auto"/>
        </w:rPr>
        <w:t>废水间接排放口基本情况表</w:t>
      </w:r>
    </w:p>
    <w:tbl>
      <w:tblPr>
        <w:tblStyle w:val="21"/>
        <w:tblW w:w="158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66"/>
        <w:gridCol w:w="1360"/>
        <w:gridCol w:w="1376"/>
        <w:gridCol w:w="1430"/>
        <w:gridCol w:w="1932"/>
        <w:gridCol w:w="1465"/>
        <w:gridCol w:w="1344"/>
        <w:gridCol w:w="5112"/>
      </w:tblGrid>
      <w:tr w14:paraId="2E830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17" w:type="pct"/>
            <w:vMerge w:val="restart"/>
            <w:tcBorders>
              <w:tl2br w:val="nil"/>
              <w:tr2bl w:val="nil"/>
            </w:tcBorders>
            <w:vAlign w:val="center"/>
          </w:tcPr>
          <w:p w14:paraId="4250AE7E">
            <w:pPr>
              <w:pStyle w:val="46"/>
              <w:jc w:val="center"/>
              <w:rPr>
                <w:color w:val="auto"/>
              </w:rPr>
            </w:pPr>
            <w:r>
              <w:rPr>
                <w:rFonts w:hint="eastAsia"/>
                <w:color w:val="auto"/>
              </w:rPr>
              <w:t>序号</w:t>
            </w:r>
          </w:p>
        </w:tc>
        <w:tc>
          <w:tcPr>
            <w:tcW w:w="367" w:type="pct"/>
            <w:vMerge w:val="restart"/>
            <w:tcBorders>
              <w:tl2br w:val="nil"/>
              <w:tr2bl w:val="nil"/>
            </w:tcBorders>
            <w:vAlign w:val="center"/>
          </w:tcPr>
          <w:p w14:paraId="2129670C">
            <w:pPr>
              <w:pStyle w:val="46"/>
              <w:jc w:val="center"/>
              <w:rPr>
                <w:color w:val="auto"/>
              </w:rPr>
            </w:pPr>
            <w:r>
              <w:rPr>
                <w:rFonts w:hint="eastAsia"/>
                <w:color w:val="auto"/>
              </w:rPr>
              <w:t>排放口编号</w:t>
            </w:r>
          </w:p>
        </w:tc>
        <w:tc>
          <w:tcPr>
            <w:tcW w:w="428" w:type="pct"/>
            <w:vMerge w:val="restart"/>
            <w:tcBorders>
              <w:tl2br w:val="nil"/>
              <w:tr2bl w:val="nil"/>
            </w:tcBorders>
            <w:vAlign w:val="center"/>
          </w:tcPr>
          <w:p w14:paraId="4C8CFD4D">
            <w:pPr>
              <w:pStyle w:val="46"/>
              <w:jc w:val="center"/>
              <w:rPr>
                <w:color w:val="auto"/>
              </w:rPr>
            </w:pPr>
            <w:r>
              <w:rPr>
                <w:rFonts w:hint="eastAsia"/>
                <w:color w:val="auto"/>
              </w:rPr>
              <w:t>废水排放量（万t/a）</w:t>
            </w:r>
          </w:p>
        </w:tc>
        <w:tc>
          <w:tcPr>
            <w:tcW w:w="433" w:type="pct"/>
            <w:vMerge w:val="restart"/>
            <w:tcBorders>
              <w:tl2br w:val="nil"/>
              <w:tr2bl w:val="nil"/>
            </w:tcBorders>
            <w:vAlign w:val="center"/>
          </w:tcPr>
          <w:p w14:paraId="259E34B2">
            <w:pPr>
              <w:pStyle w:val="46"/>
              <w:jc w:val="center"/>
              <w:rPr>
                <w:color w:val="auto"/>
              </w:rPr>
            </w:pPr>
            <w:r>
              <w:rPr>
                <w:rFonts w:hint="eastAsia"/>
                <w:color w:val="auto"/>
              </w:rPr>
              <w:t>排水去向</w:t>
            </w:r>
          </w:p>
        </w:tc>
        <w:tc>
          <w:tcPr>
            <w:tcW w:w="450" w:type="pct"/>
            <w:vMerge w:val="restart"/>
            <w:tcBorders>
              <w:tl2br w:val="nil"/>
              <w:tr2bl w:val="nil"/>
            </w:tcBorders>
            <w:vAlign w:val="center"/>
          </w:tcPr>
          <w:p w14:paraId="2E934AC1">
            <w:pPr>
              <w:pStyle w:val="46"/>
              <w:jc w:val="center"/>
              <w:rPr>
                <w:color w:val="auto"/>
              </w:rPr>
            </w:pPr>
            <w:r>
              <w:rPr>
                <w:rFonts w:hint="eastAsia"/>
                <w:color w:val="auto"/>
              </w:rPr>
              <w:t>排放规律</w:t>
            </w:r>
          </w:p>
        </w:tc>
        <w:tc>
          <w:tcPr>
            <w:tcW w:w="608" w:type="pct"/>
            <w:vMerge w:val="restart"/>
            <w:tcBorders>
              <w:tl2br w:val="nil"/>
              <w:tr2bl w:val="nil"/>
            </w:tcBorders>
            <w:vAlign w:val="center"/>
          </w:tcPr>
          <w:p w14:paraId="78928EBA">
            <w:pPr>
              <w:pStyle w:val="46"/>
              <w:jc w:val="center"/>
              <w:rPr>
                <w:color w:val="auto"/>
              </w:rPr>
            </w:pPr>
            <w:r>
              <w:rPr>
                <w:rFonts w:hint="eastAsia"/>
                <w:color w:val="auto"/>
              </w:rPr>
              <w:t>间歇排放时间段</w:t>
            </w:r>
          </w:p>
        </w:tc>
        <w:tc>
          <w:tcPr>
            <w:tcW w:w="2493" w:type="pct"/>
            <w:gridSpan w:val="3"/>
            <w:tcBorders>
              <w:tl2br w:val="nil"/>
              <w:tr2bl w:val="nil"/>
            </w:tcBorders>
            <w:vAlign w:val="center"/>
          </w:tcPr>
          <w:p w14:paraId="5DC456E5">
            <w:pPr>
              <w:pStyle w:val="46"/>
              <w:jc w:val="center"/>
              <w:rPr>
                <w:color w:val="auto"/>
              </w:rPr>
            </w:pPr>
            <w:r>
              <w:rPr>
                <w:rFonts w:hint="eastAsia"/>
                <w:color w:val="auto"/>
              </w:rPr>
              <w:t>收纳污水处理厂</w:t>
            </w:r>
          </w:p>
        </w:tc>
      </w:tr>
      <w:tr w14:paraId="74F09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17" w:type="pct"/>
            <w:vMerge w:val="continue"/>
            <w:tcBorders>
              <w:tl2br w:val="nil"/>
              <w:tr2bl w:val="nil"/>
            </w:tcBorders>
            <w:vAlign w:val="center"/>
          </w:tcPr>
          <w:p w14:paraId="473324B7">
            <w:pPr>
              <w:pStyle w:val="46"/>
              <w:jc w:val="center"/>
              <w:rPr>
                <w:color w:val="auto"/>
              </w:rPr>
            </w:pPr>
          </w:p>
        </w:tc>
        <w:tc>
          <w:tcPr>
            <w:tcW w:w="367" w:type="pct"/>
            <w:vMerge w:val="continue"/>
            <w:tcBorders>
              <w:tl2br w:val="nil"/>
              <w:tr2bl w:val="nil"/>
            </w:tcBorders>
            <w:vAlign w:val="center"/>
          </w:tcPr>
          <w:p w14:paraId="3CC96248">
            <w:pPr>
              <w:pStyle w:val="46"/>
              <w:jc w:val="center"/>
              <w:rPr>
                <w:color w:val="auto"/>
              </w:rPr>
            </w:pPr>
          </w:p>
        </w:tc>
        <w:tc>
          <w:tcPr>
            <w:tcW w:w="428" w:type="pct"/>
            <w:vMerge w:val="continue"/>
            <w:tcBorders>
              <w:tl2br w:val="nil"/>
              <w:tr2bl w:val="nil"/>
            </w:tcBorders>
            <w:vAlign w:val="center"/>
          </w:tcPr>
          <w:p w14:paraId="57D8CC8F">
            <w:pPr>
              <w:pStyle w:val="46"/>
              <w:jc w:val="center"/>
              <w:rPr>
                <w:color w:val="auto"/>
              </w:rPr>
            </w:pPr>
          </w:p>
        </w:tc>
        <w:tc>
          <w:tcPr>
            <w:tcW w:w="433" w:type="pct"/>
            <w:vMerge w:val="continue"/>
            <w:tcBorders>
              <w:tl2br w:val="nil"/>
              <w:tr2bl w:val="nil"/>
            </w:tcBorders>
            <w:vAlign w:val="center"/>
          </w:tcPr>
          <w:p w14:paraId="5441F098">
            <w:pPr>
              <w:pStyle w:val="46"/>
              <w:jc w:val="center"/>
              <w:rPr>
                <w:color w:val="auto"/>
              </w:rPr>
            </w:pPr>
          </w:p>
        </w:tc>
        <w:tc>
          <w:tcPr>
            <w:tcW w:w="450" w:type="pct"/>
            <w:vMerge w:val="continue"/>
            <w:tcBorders>
              <w:tl2br w:val="nil"/>
              <w:tr2bl w:val="nil"/>
            </w:tcBorders>
            <w:vAlign w:val="center"/>
          </w:tcPr>
          <w:p w14:paraId="1D1F77FD">
            <w:pPr>
              <w:pStyle w:val="46"/>
              <w:jc w:val="center"/>
              <w:rPr>
                <w:color w:val="auto"/>
              </w:rPr>
            </w:pPr>
          </w:p>
        </w:tc>
        <w:tc>
          <w:tcPr>
            <w:tcW w:w="608" w:type="pct"/>
            <w:vMerge w:val="continue"/>
            <w:tcBorders>
              <w:tl2br w:val="nil"/>
              <w:tr2bl w:val="nil"/>
            </w:tcBorders>
            <w:vAlign w:val="center"/>
          </w:tcPr>
          <w:p w14:paraId="7B4619DF">
            <w:pPr>
              <w:pStyle w:val="46"/>
              <w:jc w:val="center"/>
              <w:rPr>
                <w:color w:val="auto"/>
              </w:rPr>
            </w:pPr>
          </w:p>
        </w:tc>
        <w:tc>
          <w:tcPr>
            <w:tcW w:w="461" w:type="pct"/>
            <w:tcBorders>
              <w:tl2br w:val="nil"/>
              <w:tr2bl w:val="nil"/>
            </w:tcBorders>
            <w:vAlign w:val="center"/>
          </w:tcPr>
          <w:p w14:paraId="21348993">
            <w:pPr>
              <w:pStyle w:val="46"/>
              <w:jc w:val="center"/>
              <w:rPr>
                <w:color w:val="auto"/>
              </w:rPr>
            </w:pPr>
            <w:r>
              <w:rPr>
                <w:rFonts w:hint="eastAsia"/>
                <w:color w:val="auto"/>
              </w:rPr>
              <w:t>名称</w:t>
            </w:r>
          </w:p>
        </w:tc>
        <w:tc>
          <w:tcPr>
            <w:tcW w:w="423" w:type="pct"/>
            <w:tcBorders>
              <w:tl2br w:val="nil"/>
              <w:tr2bl w:val="nil"/>
            </w:tcBorders>
            <w:vAlign w:val="center"/>
          </w:tcPr>
          <w:p w14:paraId="43B05800">
            <w:pPr>
              <w:pStyle w:val="46"/>
              <w:jc w:val="center"/>
              <w:rPr>
                <w:color w:val="auto"/>
              </w:rPr>
            </w:pPr>
            <w:r>
              <w:rPr>
                <w:rFonts w:hint="eastAsia"/>
                <w:color w:val="auto"/>
              </w:rPr>
              <w:t>污染物</w:t>
            </w:r>
          </w:p>
        </w:tc>
        <w:tc>
          <w:tcPr>
            <w:tcW w:w="1609" w:type="pct"/>
            <w:tcBorders>
              <w:tl2br w:val="nil"/>
              <w:tr2bl w:val="nil"/>
            </w:tcBorders>
            <w:vAlign w:val="center"/>
          </w:tcPr>
          <w:p w14:paraId="7CA2286F">
            <w:pPr>
              <w:pStyle w:val="46"/>
              <w:jc w:val="center"/>
              <w:rPr>
                <w:color w:val="auto"/>
              </w:rPr>
            </w:pPr>
            <w:r>
              <w:rPr>
                <w:rFonts w:hint="eastAsia"/>
                <w:color w:val="auto"/>
              </w:rPr>
              <w:t>国家或地方污染物排放标准浓度限值/（mg/L）</w:t>
            </w:r>
          </w:p>
        </w:tc>
      </w:tr>
      <w:tr w14:paraId="7A628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7" w:type="pct"/>
            <w:vMerge w:val="restart"/>
            <w:tcBorders>
              <w:tl2br w:val="nil"/>
              <w:tr2bl w:val="nil"/>
            </w:tcBorders>
            <w:vAlign w:val="center"/>
          </w:tcPr>
          <w:p w14:paraId="2EC8E48E">
            <w:pPr>
              <w:pStyle w:val="46"/>
              <w:jc w:val="center"/>
              <w:rPr>
                <w:color w:val="auto"/>
              </w:rPr>
            </w:pPr>
            <w:r>
              <w:rPr>
                <w:rFonts w:hint="eastAsia"/>
                <w:color w:val="auto"/>
              </w:rPr>
              <w:t>1</w:t>
            </w:r>
          </w:p>
        </w:tc>
        <w:tc>
          <w:tcPr>
            <w:tcW w:w="367" w:type="pct"/>
            <w:vMerge w:val="restart"/>
            <w:tcBorders>
              <w:tl2br w:val="nil"/>
              <w:tr2bl w:val="nil"/>
            </w:tcBorders>
            <w:vAlign w:val="center"/>
          </w:tcPr>
          <w:p w14:paraId="5EE0ABF0">
            <w:pPr>
              <w:pStyle w:val="46"/>
              <w:jc w:val="center"/>
              <w:rPr>
                <w:color w:val="auto"/>
              </w:rPr>
            </w:pPr>
            <w:r>
              <w:rPr>
                <w:rFonts w:hint="eastAsia"/>
                <w:color w:val="auto"/>
              </w:rPr>
              <w:t>DW001</w:t>
            </w:r>
          </w:p>
        </w:tc>
        <w:tc>
          <w:tcPr>
            <w:tcW w:w="428" w:type="pct"/>
            <w:vMerge w:val="restart"/>
            <w:tcBorders>
              <w:tl2br w:val="nil"/>
              <w:tr2bl w:val="nil"/>
            </w:tcBorders>
            <w:vAlign w:val="center"/>
          </w:tcPr>
          <w:p w14:paraId="377B2021">
            <w:pPr>
              <w:pStyle w:val="46"/>
              <w:jc w:val="center"/>
              <w:rPr>
                <w:rFonts w:hint="default" w:eastAsia="宋体"/>
                <w:color w:val="auto"/>
                <w:lang w:val="en-US" w:eastAsia="zh-CN"/>
              </w:rPr>
            </w:pPr>
            <w:r>
              <w:rPr>
                <w:rFonts w:hint="eastAsia"/>
                <w:color w:val="auto"/>
                <w:lang w:val="en-US" w:eastAsia="zh-CN"/>
              </w:rPr>
              <w:t>17595.68</w:t>
            </w:r>
          </w:p>
        </w:tc>
        <w:tc>
          <w:tcPr>
            <w:tcW w:w="433" w:type="pct"/>
            <w:vMerge w:val="restart"/>
            <w:tcBorders>
              <w:tl2br w:val="nil"/>
              <w:tr2bl w:val="nil"/>
            </w:tcBorders>
            <w:vAlign w:val="center"/>
          </w:tcPr>
          <w:p w14:paraId="194C561A">
            <w:pPr>
              <w:pStyle w:val="46"/>
              <w:jc w:val="center"/>
              <w:rPr>
                <w:color w:val="auto"/>
              </w:rPr>
            </w:pPr>
            <w:r>
              <w:rPr>
                <w:rFonts w:hint="eastAsia" w:cs="Times New Roman"/>
                <w:color w:val="auto"/>
                <w:highlight w:val="none"/>
                <w:lang w:val="en-US" w:eastAsia="zh-CN"/>
              </w:rPr>
              <w:t>园区污水处理厂</w:t>
            </w:r>
          </w:p>
        </w:tc>
        <w:tc>
          <w:tcPr>
            <w:tcW w:w="450" w:type="pct"/>
            <w:vMerge w:val="restart"/>
            <w:tcBorders>
              <w:tl2br w:val="nil"/>
              <w:tr2bl w:val="nil"/>
            </w:tcBorders>
            <w:vAlign w:val="center"/>
          </w:tcPr>
          <w:p w14:paraId="28AFD102">
            <w:pPr>
              <w:pStyle w:val="46"/>
              <w:jc w:val="center"/>
              <w:rPr>
                <w:color w:val="auto"/>
              </w:rPr>
            </w:pPr>
            <w:r>
              <w:rPr>
                <w:rFonts w:hint="eastAsia"/>
                <w:color w:val="auto"/>
                <w:lang w:val="en-US" w:eastAsia="zh-CN"/>
              </w:rPr>
              <w:t>非</w:t>
            </w:r>
            <w:r>
              <w:rPr>
                <w:rFonts w:hint="eastAsia"/>
                <w:color w:val="auto"/>
              </w:rPr>
              <w:t>连续排放</w:t>
            </w:r>
          </w:p>
        </w:tc>
        <w:tc>
          <w:tcPr>
            <w:tcW w:w="608" w:type="pct"/>
            <w:vMerge w:val="restart"/>
            <w:tcBorders>
              <w:tl2br w:val="nil"/>
              <w:tr2bl w:val="nil"/>
            </w:tcBorders>
            <w:vAlign w:val="center"/>
          </w:tcPr>
          <w:p w14:paraId="3843C675">
            <w:pPr>
              <w:pStyle w:val="46"/>
              <w:jc w:val="center"/>
              <w:rPr>
                <w:color w:val="auto"/>
              </w:rPr>
            </w:pPr>
            <w:r>
              <w:rPr>
                <w:rFonts w:hint="eastAsia"/>
                <w:color w:val="auto"/>
              </w:rPr>
              <w:t>/</w:t>
            </w:r>
          </w:p>
        </w:tc>
        <w:tc>
          <w:tcPr>
            <w:tcW w:w="461" w:type="pct"/>
            <w:vMerge w:val="restart"/>
            <w:tcBorders>
              <w:tl2br w:val="nil"/>
              <w:tr2bl w:val="nil"/>
            </w:tcBorders>
            <w:vAlign w:val="center"/>
          </w:tcPr>
          <w:p w14:paraId="5B230A80">
            <w:pPr>
              <w:pStyle w:val="46"/>
              <w:jc w:val="center"/>
              <w:rPr>
                <w:color w:val="auto"/>
              </w:rPr>
            </w:pPr>
            <w:r>
              <w:rPr>
                <w:rFonts w:hint="eastAsia" w:cs="Times New Roman"/>
                <w:color w:val="auto"/>
                <w:highlight w:val="none"/>
                <w:lang w:val="en-US" w:eastAsia="zh-CN"/>
              </w:rPr>
              <w:t>园区污水处理厂</w:t>
            </w:r>
          </w:p>
        </w:tc>
        <w:tc>
          <w:tcPr>
            <w:tcW w:w="423" w:type="pct"/>
            <w:tcBorders>
              <w:tl2br w:val="nil"/>
              <w:tr2bl w:val="nil"/>
            </w:tcBorders>
            <w:vAlign w:val="center"/>
          </w:tcPr>
          <w:p w14:paraId="0361B12F">
            <w:pPr>
              <w:pStyle w:val="46"/>
              <w:ind w:firstLine="0" w:firstLineChars="0"/>
              <w:jc w:val="center"/>
              <w:rPr>
                <w:color w:val="auto"/>
              </w:rPr>
            </w:pPr>
            <w:r>
              <w:rPr>
                <w:rFonts w:hint="eastAsia"/>
                <w:color w:val="auto"/>
                <w:lang w:val="en-US" w:eastAsia="zh-CN"/>
              </w:rPr>
              <w:t>pH</w:t>
            </w:r>
          </w:p>
        </w:tc>
        <w:tc>
          <w:tcPr>
            <w:tcW w:w="1609" w:type="pct"/>
            <w:tcBorders>
              <w:tl2br w:val="nil"/>
              <w:tr2bl w:val="nil"/>
            </w:tcBorders>
            <w:vAlign w:val="center"/>
          </w:tcPr>
          <w:p w14:paraId="699CDEF1">
            <w:pPr>
              <w:pStyle w:val="46"/>
              <w:ind w:firstLine="0" w:firstLineChars="0"/>
              <w:jc w:val="center"/>
              <w:rPr>
                <w:color w:val="auto"/>
              </w:rPr>
            </w:pPr>
            <w:r>
              <w:rPr>
                <w:rFonts w:hint="eastAsia"/>
                <w:color w:val="auto"/>
                <w:lang w:val="en-US" w:eastAsia="zh-CN"/>
              </w:rPr>
              <w:t>6-9</w:t>
            </w:r>
          </w:p>
        </w:tc>
      </w:tr>
      <w:tr w14:paraId="66AD1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7" w:type="pct"/>
            <w:vMerge w:val="continue"/>
            <w:tcBorders>
              <w:tl2br w:val="nil"/>
              <w:tr2bl w:val="nil"/>
            </w:tcBorders>
            <w:vAlign w:val="center"/>
          </w:tcPr>
          <w:p w14:paraId="0D6F2CB6">
            <w:pPr>
              <w:pStyle w:val="46"/>
              <w:jc w:val="center"/>
              <w:rPr>
                <w:rFonts w:hint="eastAsia"/>
                <w:color w:val="auto"/>
              </w:rPr>
            </w:pPr>
          </w:p>
        </w:tc>
        <w:tc>
          <w:tcPr>
            <w:tcW w:w="367" w:type="pct"/>
            <w:vMerge w:val="continue"/>
            <w:tcBorders>
              <w:tl2br w:val="nil"/>
              <w:tr2bl w:val="nil"/>
            </w:tcBorders>
            <w:vAlign w:val="center"/>
          </w:tcPr>
          <w:p w14:paraId="1FEEB334">
            <w:pPr>
              <w:pStyle w:val="46"/>
              <w:jc w:val="center"/>
              <w:rPr>
                <w:rFonts w:hint="eastAsia"/>
                <w:color w:val="auto"/>
              </w:rPr>
            </w:pPr>
          </w:p>
        </w:tc>
        <w:tc>
          <w:tcPr>
            <w:tcW w:w="428" w:type="pct"/>
            <w:vMerge w:val="continue"/>
            <w:tcBorders>
              <w:tl2br w:val="nil"/>
              <w:tr2bl w:val="nil"/>
            </w:tcBorders>
            <w:vAlign w:val="center"/>
          </w:tcPr>
          <w:p w14:paraId="1AB44150">
            <w:pPr>
              <w:pStyle w:val="46"/>
              <w:jc w:val="center"/>
              <w:rPr>
                <w:rFonts w:hint="eastAsia"/>
                <w:color w:val="auto"/>
              </w:rPr>
            </w:pPr>
          </w:p>
        </w:tc>
        <w:tc>
          <w:tcPr>
            <w:tcW w:w="433" w:type="pct"/>
            <w:vMerge w:val="continue"/>
            <w:tcBorders>
              <w:tl2br w:val="nil"/>
              <w:tr2bl w:val="nil"/>
            </w:tcBorders>
            <w:vAlign w:val="center"/>
          </w:tcPr>
          <w:p w14:paraId="7D7A348D">
            <w:pPr>
              <w:pStyle w:val="46"/>
              <w:jc w:val="center"/>
              <w:rPr>
                <w:rFonts w:hint="eastAsia"/>
                <w:color w:val="auto"/>
              </w:rPr>
            </w:pPr>
          </w:p>
        </w:tc>
        <w:tc>
          <w:tcPr>
            <w:tcW w:w="450" w:type="pct"/>
            <w:vMerge w:val="continue"/>
            <w:tcBorders>
              <w:tl2br w:val="nil"/>
              <w:tr2bl w:val="nil"/>
            </w:tcBorders>
            <w:vAlign w:val="center"/>
          </w:tcPr>
          <w:p w14:paraId="3F96F36F">
            <w:pPr>
              <w:pStyle w:val="46"/>
              <w:jc w:val="center"/>
              <w:rPr>
                <w:rFonts w:hint="eastAsia"/>
                <w:color w:val="auto"/>
                <w:lang w:val="en-US" w:eastAsia="zh-CN"/>
              </w:rPr>
            </w:pPr>
          </w:p>
        </w:tc>
        <w:tc>
          <w:tcPr>
            <w:tcW w:w="608" w:type="pct"/>
            <w:vMerge w:val="continue"/>
            <w:tcBorders>
              <w:tl2br w:val="nil"/>
              <w:tr2bl w:val="nil"/>
            </w:tcBorders>
            <w:vAlign w:val="center"/>
          </w:tcPr>
          <w:p w14:paraId="5280DA4C">
            <w:pPr>
              <w:pStyle w:val="46"/>
              <w:jc w:val="center"/>
              <w:rPr>
                <w:rFonts w:hint="eastAsia"/>
                <w:color w:val="auto"/>
              </w:rPr>
            </w:pPr>
          </w:p>
        </w:tc>
        <w:tc>
          <w:tcPr>
            <w:tcW w:w="461" w:type="pct"/>
            <w:vMerge w:val="continue"/>
            <w:tcBorders>
              <w:tl2br w:val="nil"/>
              <w:tr2bl w:val="nil"/>
            </w:tcBorders>
            <w:vAlign w:val="center"/>
          </w:tcPr>
          <w:p w14:paraId="3C2080ED">
            <w:pPr>
              <w:pStyle w:val="46"/>
              <w:jc w:val="center"/>
              <w:rPr>
                <w:rFonts w:hint="eastAsia"/>
                <w:color w:val="auto"/>
              </w:rPr>
            </w:pPr>
          </w:p>
        </w:tc>
        <w:tc>
          <w:tcPr>
            <w:tcW w:w="423" w:type="pct"/>
            <w:tcBorders>
              <w:tl2br w:val="nil"/>
              <w:tr2bl w:val="nil"/>
            </w:tcBorders>
            <w:vAlign w:val="center"/>
          </w:tcPr>
          <w:p w14:paraId="667F5931">
            <w:pPr>
              <w:pStyle w:val="46"/>
              <w:ind w:firstLine="0" w:firstLineChars="0"/>
              <w:jc w:val="center"/>
              <w:rPr>
                <w:rFonts w:hint="eastAsia"/>
                <w:color w:val="auto"/>
              </w:rPr>
            </w:pPr>
            <w:r>
              <w:rPr>
                <w:rFonts w:hint="eastAsia"/>
                <w:color w:val="auto"/>
              </w:rPr>
              <w:t>COD</w:t>
            </w:r>
          </w:p>
        </w:tc>
        <w:tc>
          <w:tcPr>
            <w:tcW w:w="1609" w:type="pct"/>
            <w:tcBorders>
              <w:tl2br w:val="nil"/>
              <w:tr2bl w:val="nil"/>
            </w:tcBorders>
            <w:vAlign w:val="center"/>
          </w:tcPr>
          <w:p w14:paraId="218B9827">
            <w:pPr>
              <w:pStyle w:val="46"/>
              <w:ind w:firstLine="0" w:firstLineChars="0"/>
              <w:jc w:val="center"/>
              <w:rPr>
                <w:rFonts w:hint="eastAsia"/>
                <w:color w:val="auto"/>
              </w:rPr>
            </w:pPr>
            <w:r>
              <w:rPr>
                <w:rFonts w:hint="eastAsia"/>
                <w:color w:val="auto"/>
              </w:rPr>
              <w:t>500</w:t>
            </w:r>
          </w:p>
        </w:tc>
      </w:tr>
      <w:tr w14:paraId="5CB34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7" w:type="pct"/>
            <w:vMerge w:val="continue"/>
            <w:tcBorders>
              <w:tl2br w:val="nil"/>
              <w:tr2bl w:val="nil"/>
            </w:tcBorders>
            <w:vAlign w:val="center"/>
          </w:tcPr>
          <w:p w14:paraId="2E0C6D53">
            <w:pPr>
              <w:pStyle w:val="46"/>
              <w:jc w:val="center"/>
              <w:rPr>
                <w:rFonts w:hint="eastAsia"/>
                <w:color w:val="auto"/>
              </w:rPr>
            </w:pPr>
          </w:p>
        </w:tc>
        <w:tc>
          <w:tcPr>
            <w:tcW w:w="367" w:type="pct"/>
            <w:vMerge w:val="continue"/>
            <w:tcBorders>
              <w:tl2br w:val="nil"/>
              <w:tr2bl w:val="nil"/>
            </w:tcBorders>
            <w:vAlign w:val="center"/>
          </w:tcPr>
          <w:p w14:paraId="00B19847">
            <w:pPr>
              <w:pStyle w:val="46"/>
              <w:jc w:val="center"/>
              <w:rPr>
                <w:rFonts w:hint="eastAsia"/>
                <w:color w:val="auto"/>
              </w:rPr>
            </w:pPr>
          </w:p>
        </w:tc>
        <w:tc>
          <w:tcPr>
            <w:tcW w:w="428" w:type="pct"/>
            <w:vMerge w:val="continue"/>
            <w:tcBorders>
              <w:tl2br w:val="nil"/>
              <w:tr2bl w:val="nil"/>
            </w:tcBorders>
            <w:vAlign w:val="center"/>
          </w:tcPr>
          <w:p w14:paraId="0BFE114E">
            <w:pPr>
              <w:pStyle w:val="46"/>
              <w:jc w:val="center"/>
              <w:rPr>
                <w:rFonts w:hint="eastAsia"/>
                <w:color w:val="auto"/>
              </w:rPr>
            </w:pPr>
          </w:p>
        </w:tc>
        <w:tc>
          <w:tcPr>
            <w:tcW w:w="433" w:type="pct"/>
            <w:vMerge w:val="continue"/>
            <w:tcBorders>
              <w:tl2br w:val="nil"/>
              <w:tr2bl w:val="nil"/>
            </w:tcBorders>
            <w:vAlign w:val="center"/>
          </w:tcPr>
          <w:p w14:paraId="33CF1D69">
            <w:pPr>
              <w:pStyle w:val="46"/>
              <w:jc w:val="center"/>
              <w:rPr>
                <w:rFonts w:hint="eastAsia"/>
                <w:color w:val="auto"/>
              </w:rPr>
            </w:pPr>
          </w:p>
        </w:tc>
        <w:tc>
          <w:tcPr>
            <w:tcW w:w="450" w:type="pct"/>
            <w:vMerge w:val="continue"/>
            <w:tcBorders>
              <w:tl2br w:val="nil"/>
              <w:tr2bl w:val="nil"/>
            </w:tcBorders>
            <w:vAlign w:val="center"/>
          </w:tcPr>
          <w:p w14:paraId="70789A9D">
            <w:pPr>
              <w:pStyle w:val="46"/>
              <w:jc w:val="center"/>
              <w:rPr>
                <w:rFonts w:hint="eastAsia"/>
                <w:color w:val="auto"/>
                <w:lang w:val="en-US" w:eastAsia="zh-CN"/>
              </w:rPr>
            </w:pPr>
          </w:p>
        </w:tc>
        <w:tc>
          <w:tcPr>
            <w:tcW w:w="608" w:type="pct"/>
            <w:vMerge w:val="continue"/>
            <w:tcBorders>
              <w:tl2br w:val="nil"/>
              <w:tr2bl w:val="nil"/>
            </w:tcBorders>
            <w:vAlign w:val="center"/>
          </w:tcPr>
          <w:p w14:paraId="3FF71F39">
            <w:pPr>
              <w:pStyle w:val="46"/>
              <w:jc w:val="center"/>
              <w:rPr>
                <w:rFonts w:hint="eastAsia"/>
                <w:color w:val="auto"/>
              </w:rPr>
            </w:pPr>
          </w:p>
        </w:tc>
        <w:tc>
          <w:tcPr>
            <w:tcW w:w="461" w:type="pct"/>
            <w:vMerge w:val="continue"/>
            <w:tcBorders>
              <w:tl2br w:val="nil"/>
              <w:tr2bl w:val="nil"/>
            </w:tcBorders>
            <w:vAlign w:val="center"/>
          </w:tcPr>
          <w:p w14:paraId="0A4DBA68">
            <w:pPr>
              <w:pStyle w:val="46"/>
              <w:jc w:val="center"/>
              <w:rPr>
                <w:rFonts w:hint="eastAsia"/>
                <w:color w:val="auto"/>
              </w:rPr>
            </w:pPr>
          </w:p>
        </w:tc>
        <w:tc>
          <w:tcPr>
            <w:tcW w:w="423" w:type="pct"/>
            <w:tcBorders>
              <w:tl2br w:val="nil"/>
              <w:tr2bl w:val="nil"/>
            </w:tcBorders>
            <w:vAlign w:val="center"/>
          </w:tcPr>
          <w:p w14:paraId="3ADFB8A0">
            <w:pPr>
              <w:pStyle w:val="46"/>
              <w:ind w:firstLine="0" w:firstLineChars="0"/>
              <w:jc w:val="center"/>
              <w:rPr>
                <w:rFonts w:hint="eastAsia"/>
                <w:color w:val="auto"/>
              </w:rPr>
            </w:pPr>
            <w:r>
              <w:rPr>
                <w:rFonts w:hint="eastAsia"/>
                <w:color w:val="auto"/>
              </w:rPr>
              <w:t>NH</w:t>
            </w:r>
            <w:r>
              <w:rPr>
                <w:rFonts w:hint="eastAsia"/>
                <w:color w:val="auto"/>
                <w:vertAlign w:val="subscript"/>
              </w:rPr>
              <w:t>3</w:t>
            </w:r>
            <w:r>
              <w:rPr>
                <w:rFonts w:hint="eastAsia"/>
                <w:color w:val="auto"/>
              </w:rPr>
              <w:t>-N</w:t>
            </w:r>
          </w:p>
        </w:tc>
        <w:tc>
          <w:tcPr>
            <w:tcW w:w="1609" w:type="pct"/>
            <w:tcBorders>
              <w:tl2br w:val="nil"/>
              <w:tr2bl w:val="nil"/>
            </w:tcBorders>
            <w:vAlign w:val="center"/>
          </w:tcPr>
          <w:p w14:paraId="0F2FF7CF">
            <w:pPr>
              <w:pStyle w:val="46"/>
              <w:ind w:firstLine="0" w:firstLineChars="0"/>
              <w:jc w:val="center"/>
              <w:rPr>
                <w:rFonts w:hint="eastAsia"/>
                <w:color w:val="auto"/>
              </w:rPr>
            </w:pPr>
            <w:r>
              <w:rPr>
                <w:rFonts w:hint="eastAsia"/>
                <w:color w:val="auto"/>
                <w:lang w:val="en-US" w:eastAsia="zh-CN"/>
              </w:rPr>
              <w:t>-</w:t>
            </w:r>
          </w:p>
        </w:tc>
      </w:tr>
      <w:tr w14:paraId="0F919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7" w:type="pct"/>
            <w:vMerge w:val="continue"/>
            <w:tcBorders>
              <w:tl2br w:val="nil"/>
              <w:tr2bl w:val="nil"/>
            </w:tcBorders>
            <w:vAlign w:val="center"/>
          </w:tcPr>
          <w:p w14:paraId="00CC9943">
            <w:pPr>
              <w:pStyle w:val="46"/>
              <w:jc w:val="center"/>
              <w:rPr>
                <w:rFonts w:hint="eastAsia"/>
                <w:color w:val="auto"/>
              </w:rPr>
            </w:pPr>
          </w:p>
        </w:tc>
        <w:tc>
          <w:tcPr>
            <w:tcW w:w="367" w:type="pct"/>
            <w:vMerge w:val="continue"/>
            <w:tcBorders>
              <w:tl2br w:val="nil"/>
              <w:tr2bl w:val="nil"/>
            </w:tcBorders>
            <w:vAlign w:val="center"/>
          </w:tcPr>
          <w:p w14:paraId="3FCA3AF2">
            <w:pPr>
              <w:pStyle w:val="46"/>
              <w:jc w:val="center"/>
              <w:rPr>
                <w:rFonts w:hint="eastAsia"/>
                <w:color w:val="auto"/>
              </w:rPr>
            </w:pPr>
          </w:p>
        </w:tc>
        <w:tc>
          <w:tcPr>
            <w:tcW w:w="428" w:type="pct"/>
            <w:vMerge w:val="continue"/>
            <w:tcBorders>
              <w:tl2br w:val="nil"/>
              <w:tr2bl w:val="nil"/>
            </w:tcBorders>
            <w:vAlign w:val="center"/>
          </w:tcPr>
          <w:p w14:paraId="38CEE563">
            <w:pPr>
              <w:pStyle w:val="46"/>
              <w:jc w:val="center"/>
              <w:rPr>
                <w:rFonts w:hint="eastAsia"/>
                <w:color w:val="auto"/>
              </w:rPr>
            </w:pPr>
          </w:p>
        </w:tc>
        <w:tc>
          <w:tcPr>
            <w:tcW w:w="433" w:type="pct"/>
            <w:vMerge w:val="continue"/>
            <w:tcBorders>
              <w:tl2br w:val="nil"/>
              <w:tr2bl w:val="nil"/>
            </w:tcBorders>
            <w:vAlign w:val="center"/>
          </w:tcPr>
          <w:p w14:paraId="33F4F469">
            <w:pPr>
              <w:pStyle w:val="46"/>
              <w:jc w:val="center"/>
              <w:rPr>
                <w:rFonts w:hint="eastAsia"/>
                <w:color w:val="auto"/>
              </w:rPr>
            </w:pPr>
          </w:p>
        </w:tc>
        <w:tc>
          <w:tcPr>
            <w:tcW w:w="450" w:type="pct"/>
            <w:vMerge w:val="continue"/>
            <w:tcBorders>
              <w:tl2br w:val="nil"/>
              <w:tr2bl w:val="nil"/>
            </w:tcBorders>
            <w:vAlign w:val="center"/>
          </w:tcPr>
          <w:p w14:paraId="422D5264">
            <w:pPr>
              <w:pStyle w:val="46"/>
              <w:jc w:val="center"/>
              <w:rPr>
                <w:rFonts w:hint="eastAsia"/>
                <w:color w:val="auto"/>
                <w:lang w:val="en-US" w:eastAsia="zh-CN"/>
              </w:rPr>
            </w:pPr>
          </w:p>
        </w:tc>
        <w:tc>
          <w:tcPr>
            <w:tcW w:w="608" w:type="pct"/>
            <w:vMerge w:val="continue"/>
            <w:tcBorders>
              <w:tl2br w:val="nil"/>
              <w:tr2bl w:val="nil"/>
            </w:tcBorders>
            <w:vAlign w:val="center"/>
          </w:tcPr>
          <w:p w14:paraId="50D00130">
            <w:pPr>
              <w:pStyle w:val="46"/>
              <w:jc w:val="center"/>
              <w:rPr>
                <w:rFonts w:hint="eastAsia"/>
                <w:color w:val="auto"/>
              </w:rPr>
            </w:pPr>
          </w:p>
        </w:tc>
        <w:tc>
          <w:tcPr>
            <w:tcW w:w="461" w:type="pct"/>
            <w:vMerge w:val="continue"/>
            <w:tcBorders>
              <w:tl2br w:val="nil"/>
              <w:tr2bl w:val="nil"/>
            </w:tcBorders>
            <w:vAlign w:val="center"/>
          </w:tcPr>
          <w:p w14:paraId="2B5C8102">
            <w:pPr>
              <w:pStyle w:val="46"/>
              <w:jc w:val="center"/>
              <w:rPr>
                <w:rFonts w:hint="eastAsia"/>
                <w:color w:val="auto"/>
              </w:rPr>
            </w:pPr>
          </w:p>
        </w:tc>
        <w:tc>
          <w:tcPr>
            <w:tcW w:w="423" w:type="pct"/>
            <w:tcBorders>
              <w:tl2br w:val="nil"/>
              <w:tr2bl w:val="nil"/>
            </w:tcBorders>
            <w:vAlign w:val="center"/>
          </w:tcPr>
          <w:p w14:paraId="12680B10">
            <w:pPr>
              <w:pStyle w:val="46"/>
              <w:ind w:firstLine="0" w:firstLineChars="0"/>
              <w:jc w:val="center"/>
              <w:rPr>
                <w:rFonts w:hint="eastAsia"/>
                <w:color w:val="auto"/>
              </w:rPr>
            </w:pPr>
            <w:r>
              <w:rPr>
                <w:rFonts w:hint="eastAsia"/>
                <w:color w:val="auto"/>
                <w:lang w:val="en-US" w:eastAsia="zh-CN"/>
              </w:rPr>
              <w:t>BOD</w:t>
            </w:r>
            <w:r>
              <w:rPr>
                <w:rFonts w:hint="eastAsia"/>
                <w:color w:val="auto"/>
                <w:vertAlign w:val="subscript"/>
                <w:lang w:val="en-US" w:eastAsia="zh-CN"/>
              </w:rPr>
              <w:t>5</w:t>
            </w:r>
          </w:p>
        </w:tc>
        <w:tc>
          <w:tcPr>
            <w:tcW w:w="1609" w:type="pct"/>
            <w:tcBorders>
              <w:tl2br w:val="nil"/>
              <w:tr2bl w:val="nil"/>
            </w:tcBorders>
            <w:vAlign w:val="center"/>
          </w:tcPr>
          <w:p w14:paraId="497E66BF">
            <w:pPr>
              <w:pStyle w:val="46"/>
              <w:ind w:firstLine="0" w:firstLineChars="0"/>
              <w:jc w:val="center"/>
              <w:rPr>
                <w:rFonts w:hint="eastAsia"/>
                <w:color w:val="auto"/>
              </w:rPr>
            </w:pPr>
            <w:r>
              <w:rPr>
                <w:rFonts w:hint="eastAsia"/>
                <w:color w:val="auto"/>
                <w:lang w:val="en-US" w:eastAsia="zh-CN"/>
              </w:rPr>
              <w:t>300</w:t>
            </w:r>
          </w:p>
        </w:tc>
      </w:tr>
      <w:tr w14:paraId="06954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7" w:type="pct"/>
            <w:vMerge w:val="continue"/>
            <w:tcBorders>
              <w:tl2br w:val="nil"/>
              <w:tr2bl w:val="nil"/>
            </w:tcBorders>
            <w:vAlign w:val="center"/>
          </w:tcPr>
          <w:p w14:paraId="36641760">
            <w:pPr>
              <w:pStyle w:val="46"/>
              <w:jc w:val="center"/>
              <w:rPr>
                <w:rFonts w:hint="eastAsia"/>
                <w:color w:val="auto"/>
              </w:rPr>
            </w:pPr>
          </w:p>
        </w:tc>
        <w:tc>
          <w:tcPr>
            <w:tcW w:w="367" w:type="pct"/>
            <w:vMerge w:val="continue"/>
            <w:tcBorders>
              <w:tl2br w:val="nil"/>
              <w:tr2bl w:val="nil"/>
            </w:tcBorders>
            <w:vAlign w:val="center"/>
          </w:tcPr>
          <w:p w14:paraId="5852A01B">
            <w:pPr>
              <w:pStyle w:val="46"/>
              <w:jc w:val="center"/>
              <w:rPr>
                <w:rFonts w:hint="eastAsia"/>
                <w:color w:val="auto"/>
              </w:rPr>
            </w:pPr>
          </w:p>
        </w:tc>
        <w:tc>
          <w:tcPr>
            <w:tcW w:w="428" w:type="pct"/>
            <w:vMerge w:val="continue"/>
            <w:tcBorders>
              <w:tl2br w:val="nil"/>
              <w:tr2bl w:val="nil"/>
            </w:tcBorders>
            <w:vAlign w:val="center"/>
          </w:tcPr>
          <w:p w14:paraId="38C21BFC">
            <w:pPr>
              <w:pStyle w:val="46"/>
              <w:jc w:val="center"/>
              <w:rPr>
                <w:rFonts w:hint="eastAsia"/>
                <w:color w:val="auto"/>
              </w:rPr>
            </w:pPr>
          </w:p>
        </w:tc>
        <w:tc>
          <w:tcPr>
            <w:tcW w:w="433" w:type="pct"/>
            <w:vMerge w:val="continue"/>
            <w:tcBorders>
              <w:tl2br w:val="nil"/>
              <w:tr2bl w:val="nil"/>
            </w:tcBorders>
            <w:vAlign w:val="center"/>
          </w:tcPr>
          <w:p w14:paraId="33E4D65A">
            <w:pPr>
              <w:pStyle w:val="46"/>
              <w:jc w:val="center"/>
              <w:rPr>
                <w:rFonts w:hint="eastAsia"/>
                <w:color w:val="auto"/>
              </w:rPr>
            </w:pPr>
          </w:p>
        </w:tc>
        <w:tc>
          <w:tcPr>
            <w:tcW w:w="450" w:type="pct"/>
            <w:vMerge w:val="continue"/>
            <w:tcBorders>
              <w:tl2br w:val="nil"/>
              <w:tr2bl w:val="nil"/>
            </w:tcBorders>
            <w:vAlign w:val="center"/>
          </w:tcPr>
          <w:p w14:paraId="0AB127BB">
            <w:pPr>
              <w:pStyle w:val="46"/>
              <w:jc w:val="center"/>
              <w:rPr>
                <w:rFonts w:hint="eastAsia"/>
                <w:color w:val="auto"/>
                <w:lang w:val="en-US" w:eastAsia="zh-CN"/>
              </w:rPr>
            </w:pPr>
          </w:p>
        </w:tc>
        <w:tc>
          <w:tcPr>
            <w:tcW w:w="608" w:type="pct"/>
            <w:vMerge w:val="continue"/>
            <w:tcBorders>
              <w:tl2br w:val="nil"/>
              <w:tr2bl w:val="nil"/>
            </w:tcBorders>
            <w:vAlign w:val="center"/>
          </w:tcPr>
          <w:p w14:paraId="0CFB0BCA">
            <w:pPr>
              <w:pStyle w:val="46"/>
              <w:jc w:val="center"/>
              <w:rPr>
                <w:rFonts w:hint="eastAsia"/>
                <w:color w:val="auto"/>
              </w:rPr>
            </w:pPr>
          </w:p>
        </w:tc>
        <w:tc>
          <w:tcPr>
            <w:tcW w:w="461" w:type="pct"/>
            <w:vMerge w:val="continue"/>
            <w:tcBorders>
              <w:tl2br w:val="nil"/>
              <w:tr2bl w:val="nil"/>
            </w:tcBorders>
            <w:vAlign w:val="center"/>
          </w:tcPr>
          <w:p w14:paraId="520458E1">
            <w:pPr>
              <w:pStyle w:val="46"/>
              <w:jc w:val="center"/>
              <w:rPr>
                <w:rFonts w:hint="eastAsia"/>
                <w:color w:val="auto"/>
              </w:rPr>
            </w:pPr>
          </w:p>
        </w:tc>
        <w:tc>
          <w:tcPr>
            <w:tcW w:w="423" w:type="pct"/>
            <w:tcBorders>
              <w:tl2br w:val="nil"/>
              <w:tr2bl w:val="nil"/>
            </w:tcBorders>
            <w:vAlign w:val="center"/>
          </w:tcPr>
          <w:p w14:paraId="6FD74FF0">
            <w:pPr>
              <w:pStyle w:val="46"/>
              <w:ind w:firstLine="0" w:firstLineChars="0"/>
              <w:jc w:val="center"/>
              <w:rPr>
                <w:rFonts w:hint="eastAsia"/>
                <w:color w:val="auto"/>
              </w:rPr>
            </w:pPr>
            <w:r>
              <w:rPr>
                <w:rFonts w:hint="eastAsia"/>
                <w:color w:val="auto"/>
                <w:lang w:val="en-US" w:eastAsia="zh-CN"/>
              </w:rPr>
              <w:t>SS</w:t>
            </w:r>
          </w:p>
        </w:tc>
        <w:tc>
          <w:tcPr>
            <w:tcW w:w="1609" w:type="pct"/>
            <w:tcBorders>
              <w:tl2br w:val="nil"/>
              <w:tr2bl w:val="nil"/>
            </w:tcBorders>
            <w:vAlign w:val="center"/>
          </w:tcPr>
          <w:p w14:paraId="2D37BCCA">
            <w:pPr>
              <w:pStyle w:val="46"/>
              <w:ind w:firstLine="0" w:firstLineChars="0"/>
              <w:jc w:val="center"/>
              <w:rPr>
                <w:rFonts w:hint="eastAsia"/>
                <w:color w:val="auto"/>
              </w:rPr>
            </w:pPr>
            <w:r>
              <w:rPr>
                <w:rFonts w:hint="eastAsia"/>
                <w:color w:val="auto"/>
                <w:lang w:val="en-US" w:eastAsia="zh-CN"/>
              </w:rPr>
              <w:t>400</w:t>
            </w:r>
          </w:p>
        </w:tc>
      </w:tr>
      <w:tr w14:paraId="56F0B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7" w:type="pct"/>
            <w:vMerge w:val="continue"/>
            <w:tcBorders>
              <w:tl2br w:val="nil"/>
              <w:tr2bl w:val="nil"/>
            </w:tcBorders>
            <w:vAlign w:val="center"/>
          </w:tcPr>
          <w:p w14:paraId="64AE2CFD">
            <w:pPr>
              <w:pStyle w:val="46"/>
              <w:jc w:val="center"/>
              <w:rPr>
                <w:color w:val="auto"/>
              </w:rPr>
            </w:pPr>
          </w:p>
        </w:tc>
        <w:tc>
          <w:tcPr>
            <w:tcW w:w="367" w:type="pct"/>
            <w:vMerge w:val="continue"/>
            <w:tcBorders>
              <w:tl2br w:val="nil"/>
              <w:tr2bl w:val="nil"/>
            </w:tcBorders>
            <w:vAlign w:val="center"/>
          </w:tcPr>
          <w:p w14:paraId="0FA73E34">
            <w:pPr>
              <w:pStyle w:val="46"/>
              <w:jc w:val="center"/>
              <w:rPr>
                <w:color w:val="auto"/>
              </w:rPr>
            </w:pPr>
          </w:p>
        </w:tc>
        <w:tc>
          <w:tcPr>
            <w:tcW w:w="428" w:type="pct"/>
            <w:vMerge w:val="continue"/>
            <w:tcBorders>
              <w:tl2br w:val="nil"/>
              <w:tr2bl w:val="nil"/>
            </w:tcBorders>
            <w:vAlign w:val="center"/>
          </w:tcPr>
          <w:p w14:paraId="59AC6913">
            <w:pPr>
              <w:pStyle w:val="46"/>
              <w:jc w:val="center"/>
              <w:rPr>
                <w:color w:val="auto"/>
              </w:rPr>
            </w:pPr>
          </w:p>
        </w:tc>
        <w:tc>
          <w:tcPr>
            <w:tcW w:w="433" w:type="pct"/>
            <w:vMerge w:val="continue"/>
            <w:tcBorders>
              <w:tl2br w:val="nil"/>
              <w:tr2bl w:val="nil"/>
            </w:tcBorders>
            <w:vAlign w:val="center"/>
          </w:tcPr>
          <w:p w14:paraId="2CBD8CD9">
            <w:pPr>
              <w:pStyle w:val="46"/>
              <w:jc w:val="center"/>
              <w:rPr>
                <w:color w:val="auto"/>
              </w:rPr>
            </w:pPr>
          </w:p>
        </w:tc>
        <w:tc>
          <w:tcPr>
            <w:tcW w:w="450" w:type="pct"/>
            <w:vMerge w:val="continue"/>
            <w:tcBorders>
              <w:tl2br w:val="nil"/>
              <w:tr2bl w:val="nil"/>
            </w:tcBorders>
            <w:vAlign w:val="center"/>
          </w:tcPr>
          <w:p w14:paraId="0CC8CD83">
            <w:pPr>
              <w:pStyle w:val="46"/>
              <w:jc w:val="center"/>
              <w:rPr>
                <w:color w:val="auto"/>
              </w:rPr>
            </w:pPr>
          </w:p>
        </w:tc>
        <w:tc>
          <w:tcPr>
            <w:tcW w:w="608" w:type="pct"/>
            <w:vMerge w:val="continue"/>
            <w:tcBorders>
              <w:tl2br w:val="nil"/>
              <w:tr2bl w:val="nil"/>
            </w:tcBorders>
            <w:vAlign w:val="center"/>
          </w:tcPr>
          <w:p w14:paraId="142D9E84">
            <w:pPr>
              <w:pStyle w:val="46"/>
              <w:jc w:val="center"/>
              <w:rPr>
                <w:color w:val="auto"/>
              </w:rPr>
            </w:pPr>
          </w:p>
        </w:tc>
        <w:tc>
          <w:tcPr>
            <w:tcW w:w="461" w:type="pct"/>
            <w:vMerge w:val="continue"/>
            <w:tcBorders>
              <w:tl2br w:val="nil"/>
              <w:tr2bl w:val="nil"/>
            </w:tcBorders>
            <w:vAlign w:val="center"/>
          </w:tcPr>
          <w:p w14:paraId="38BC80B6">
            <w:pPr>
              <w:pStyle w:val="46"/>
              <w:jc w:val="center"/>
              <w:rPr>
                <w:color w:val="auto"/>
              </w:rPr>
            </w:pPr>
          </w:p>
        </w:tc>
        <w:tc>
          <w:tcPr>
            <w:tcW w:w="423" w:type="pct"/>
            <w:tcBorders>
              <w:tl2br w:val="nil"/>
              <w:tr2bl w:val="nil"/>
            </w:tcBorders>
            <w:vAlign w:val="center"/>
          </w:tcPr>
          <w:p w14:paraId="2C0BF530">
            <w:pPr>
              <w:pStyle w:val="46"/>
              <w:ind w:firstLine="0" w:firstLineChars="0"/>
              <w:jc w:val="center"/>
              <w:rPr>
                <w:color w:val="auto"/>
              </w:rPr>
            </w:pPr>
            <w:r>
              <w:rPr>
                <w:rFonts w:hint="eastAsia"/>
                <w:color w:val="auto"/>
                <w:lang w:val="en-US" w:eastAsia="zh-CN"/>
              </w:rPr>
              <w:t>溶解性总固体（全盐量）</w:t>
            </w:r>
          </w:p>
        </w:tc>
        <w:tc>
          <w:tcPr>
            <w:tcW w:w="1609" w:type="pct"/>
            <w:tcBorders>
              <w:tl2br w:val="nil"/>
              <w:tr2bl w:val="nil"/>
            </w:tcBorders>
            <w:vAlign w:val="center"/>
          </w:tcPr>
          <w:p w14:paraId="16CB3A56">
            <w:pPr>
              <w:pStyle w:val="46"/>
              <w:ind w:firstLine="0" w:firstLineChars="0"/>
              <w:jc w:val="center"/>
              <w:rPr>
                <w:color w:val="auto"/>
              </w:rPr>
            </w:pPr>
            <w:r>
              <w:rPr>
                <w:rFonts w:hint="eastAsia"/>
                <w:color w:val="auto"/>
                <w:lang w:val="en-US" w:eastAsia="zh-CN"/>
              </w:rPr>
              <w:t>-</w:t>
            </w:r>
          </w:p>
        </w:tc>
      </w:tr>
    </w:tbl>
    <w:p w14:paraId="4647DE0A">
      <w:pPr>
        <w:pStyle w:val="44"/>
        <w:rPr>
          <w:color w:val="auto"/>
        </w:rPr>
      </w:pPr>
      <w:r>
        <w:rPr>
          <w:rFonts w:hint="eastAsia"/>
          <w:color w:val="auto"/>
        </w:rPr>
        <w:t>表</w:t>
      </w:r>
      <w:r>
        <w:rPr>
          <w:rFonts w:hint="eastAsia"/>
          <w:color w:val="auto"/>
          <w:lang w:val="en-US" w:eastAsia="zh-CN"/>
        </w:rPr>
        <w:t>4.2-5</w:t>
      </w:r>
      <w:r>
        <w:rPr>
          <w:rFonts w:hint="eastAsia"/>
          <w:color w:val="auto"/>
        </w:rPr>
        <w:t>废水污染物排放执行标准表</w:t>
      </w:r>
    </w:p>
    <w:tbl>
      <w:tblPr>
        <w:tblStyle w:val="21"/>
        <w:tblW w:w="158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2020"/>
        <w:gridCol w:w="8224"/>
        <w:gridCol w:w="3820"/>
      </w:tblGrid>
      <w:tr w14:paraId="4F73F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restart"/>
            <w:tcBorders>
              <w:tl2br w:val="nil"/>
              <w:tr2bl w:val="nil"/>
            </w:tcBorders>
            <w:vAlign w:val="center"/>
          </w:tcPr>
          <w:p w14:paraId="0D0F8351">
            <w:pPr>
              <w:pStyle w:val="46"/>
              <w:jc w:val="center"/>
              <w:rPr>
                <w:color w:val="auto"/>
              </w:rPr>
            </w:pPr>
            <w:r>
              <w:rPr>
                <w:rFonts w:hint="eastAsia"/>
                <w:color w:val="auto"/>
              </w:rPr>
              <w:t>排放口编号</w:t>
            </w:r>
          </w:p>
        </w:tc>
        <w:tc>
          <w:tcPr>
            <w:tcW w:w="636" w:type="pct"/>
            <w:vMerge w:val="restart"/>
            <w:tcBorders>
              <w:tl2br w:val="nil"/>
              <w:tr2bl w:val="nil"/>
            </w:tcBorders>
            <w:vAlign w:val="center"/>
          </w:tcPr>
          <w:p w14:paraId="0BF45631">
            <w:pPr>
              <w:pStyle w:val="46"/>
              <w:jc w:val="center"/>
              <w:rPr>
                <w:color w:val="auto"/>
              </w:rPr>
            </w:pPr>
            <w:r>
              <w:rPr>
                <w:rFonts w:hint="eastAsia"/>
                <w:color w:val="auto"/>
              </w:rPr>
              <w:t>污染物种类</w:t>
            </w:r>
          </w:p>
        </w:tc>
        <w:tc>
          <w:tcPr>
            <w:tcW w:w="3793" w:type="pct"/>
            <w:gridSpan w:val="2"/>
            <w:tcBorders>
              <w:tl2br w:val="nil"/>
              <w:tr2bl w:val="nil"/>
            </w:tcBorders>
            <w:vAlign w:val="center"/>
          </w:tcPr>
          <w:p w14:paraId="5F7DBB66">
            <w:pPr>
              <w:pStyle w:val="46"/>
              <w:jc w:val="center"/>
              <w:rPr>
                <w:color w:val="auto"/>
              </w:rPr>
            </w:pPr>
            <w:r>
              <w:rPr>
                <w:rFonts w:hint="eastAsia"/>
                <w:color w:val="auto"/>
              </w:rPr>
              <w:t>国家或地方污染物排放标准及其他按规定商定的排放协议排放浓度限值</w:t>
            </w:r>
          </w:p>
        </w:tc>
      </w:tr>
      <w:tr w14:paraId="578F3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tcBorders>
              <w:tl2br w:val="nil"/>
              <w:tr2bl w:val="nil"/>
            </w:tcBorders>
            <w:vAlign w:val="center"/>
          </w:tcPr>
          <w:p w14:paraId="3C05F849">
            <w:pPr>
              <w:pStyle w:val="46"/>
              <w:jc w:val="center"/>
              <w:rPr>
                <w:color w:val="auto"/>
              </w:rPr>
            </w:pPr>
          </w:p>
        </w:tc>
        <w:tc>
          <w:tcPr>
            <w:tcW w:w="636" w:type="pct"/>
            <w:vMerge w:val="continue"/>
            <w:tcBorders>
              <w:tl2br w:val="nil"/>
              <w:tr2bl w:val="nil"/>
            </w:tcBorders>
            <w:vAlign w:val="center"/>
          </w:tcPr>
          <w:p w14:paraId="59AC1683">
            <w:pPr>
              <w:pStyle w:val="46"/>
              <w:jc w:val="center"/>
              <w:rPr>
                <w:color w:val="auto"/>
              </w:rPr>
            </w:pPr>
          </w:p>
        </w:tc>
        <w:tc>
          <w:tcPr>
            <w:tcW w:w="2590" w:type="pct"/>
            <w:tcBorders>
              <w:tl2br w:val="nil"/>
              <w:tr2bl w:val="nil"/>
            </w:tcBorders>
            <w:vAlign w:val="center"/>
          </w:tcPr>
          <w:p w14:paraId="326BBE2F">
            <w:pPr>
              <w:pStyle w:val="46"/>
              <w:jc w:val="center"/>
              <w:rPr>
                <w:color w:val="auto"/>
              </w:rPr>
            </w:pPr>
            <w:r>
              <w:rPr>
                <w:rFonts w:hint="eastAsia"/>
                <w:color w:val="auto"/>
              </w:rPr>
              <w:t>名称</w:t>
            </w:r>
          </w:p>
        </w:tc>
        <w:tc>
          <w:tcPr>
            <w:tcW w:w="1203" w:type="pct"/>
            <w:tcBorders>
              <w:tl2br w:val="nil"/>
              <w:tr2bl w:val="nil"/>
            </w:tcBorders>
            <w:vAlign w:val="center"/>
          </w:tcPr>
          <w:p w14:paraId="2894E09E">
            <w:pPr>
              <w:pStyle w:val="46"/>
              <w:jc w:val="center"/>
              <w:rPr>
                <w:color w:val="auto"/>
              </w:rPr>
            </w:pPr>
            <w:r>
              <w:rPr>
                <w:rFonts w:hint="eastAsia"/>
                <w:color w:val="auto"/>
              </w:rPr>
              <w:t>浓度限值（mg/L）</w:t>
            </w:r>
          </w:p>
        </w:tc>
      </w:tr>
      <w:tr w14:paraId="5B923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70" w:type="pct"/>
            <w:vMerge w:val="restart"/>
            <w:tcBorders>
              <w:tl2br w:val="nil"/>
              <w:tr2bl w:val="nil"/>
            </w:tcBorders>
            <w:vAlign w:val="center"/>
          </w:tcPr>
          <w:p w14:paraId="0C7C2249">
            <w:pPr>
              <w:pStyle w:val="46"/>
              <w:jc w:val="center"/>
              <w:rPr>
                <w:color w:val="auto"/>
              </w:rPr>
            </w:pPr>
            <w:r>
              <w:rPr>
                <w:rFonts w:hint="eastAsia"/>
                <w:color w:val="auto"/>
              </w:rPr>
              <w:t>DW001</w:t>
            </w:r>
          </w:p>
        </w:tc>
        <w:tc>
          <w:tcPr>
            <w:tcW w:w="636" w:type="pct"/>
            <w:tcBorders>
              <w:tl2br w:val="nil"/>
              <w:tr2bl w:val="nil"/>
            </w:tcBorders>
            <w:vAlign w:val="center"/>
          </w:tcPr>
          <w:p w14:paraId="120B8197">
            <w:pPr>
              <w:pStyle w:val="46"/>
              <w:jc w:val="center"/>
              <w:rPr>
                <w:color w:val="auto"/>
              </w:rPr>
            </w:pPr>
            <w:r>
              <w:rPr>
                <w:rFonts w:hint="eastAsia"/>
                <w:color w:val="auto"/>
                <w:lang w:val="en-US" w:eastAsia="zh-CN"/>
              </w:rPr>
              <w:t>pH</w:t>
            </w:r>
          </w:p>
        </w:tc>
        <w:tc>
          <w:tcPr>
            <w:tcW w:w="2590" w:type="pct"/>
            <w:vMerge w:val="restart"/>
            <w:tcBorders>
              <w:tl2br w:val="nil"/>
              <w:tr2bl w:val="nil"/>
            </w:tcBorders>
            <w:vAlign w:val="center"/>
          </w:tcPr>
          <w:p w14:paraId="3103C86A">
            <w:pPr>
              <w:pStyle w:val="46"/>
              <w:jc w:val="center"/>
              <w:rPr>
                <w:rFonts w:hint="eastAsia" w:eastAsia="宋体"/>
                <w:color w:val="auto"/>
                <w:lang w:val="en-US" w:eastAsia="zh-CN"/>
              </w:rPr>
            </w:pPr>
            <w:r>
              <w:rPr>
                <w:rFonts w:hint="default" w:ascii="Times New Roman" w:hAnsi="Times New Roman" w:eastAsia="宋体" w:cs="Times New Roman"/>
                <w:b w:val="0"/>
                <w:bCs w:val="0"/>
                <w:color w:val="auto"/>
                <w:sz w:val="21"/>
                <w:szCs w:val="21"/>
                <w:lang w:val="en-US" w:eastAsia="zh-CN"/>
              </w:rPr>
              <w:t>《污水综合排放标准》（GB8978-1996）表4 第二类污染物最高允许排放浓度三级标准</w:t>
            </w:r>
          </w:p>
        </w:tc>
        <w:tc>
          <w:tcPr>
            <w:tcW w:w="1203" w:type="pct"/>
            <w:tcBorders>
              <w:tl2br w:val="nil"/>
              <w:tr2bl w:val="nil"/>
            </w:tcBorders>
            <w:vAlign w:val="center"/>
          </w:tcPr>
          <w:p w14:paraId="32FA0E79">
            <w:pPr>
              <w:pStyle w:val="46"/>
              <w:ind w:firstLine="0" w:firstLineChars="0"/>
              <w:jc w:val="center"/>
              <w:rPr>
                <w:rFonts w:hint="default" w:eastAsia="宋体"/>
                <w:color w:val="auto"/>
                <w:lang w:val="en-US" w:eastAsia="zh-CN"/>
              </w:rPr>
            </w:pPr>
            <w:r>
              <w:rPr>
                <w:rFonts w:hint="eastAsia"/>
                <w:color w:val="auto"/>
                <w:lang w:val="en-US" w:eastAsia="zh-CN"/>
              </w:rPr>
              <w:t>6-9</w:t>
            </w:r>
          </w:p>
        </w:tc>
      </w:tr>
      <w:tr w14:paraId="5B107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tcBorders>
              <w:tl2br w:val="nil"/>
              <w:tr2bl w:val="nil"/>
            </w:tcBorders>
            <w:vAlign w:val="center"/>
          </w:tcPr>
          <w:p w14:paraId="5C13AC1C">
            <w:pPr>
              <w:pStyle w:val="46"/>
              <w:jc w:val="center"/>
              <w:rPr>
                <w:color w:val="auto"/>
              </w:rPr>
            </w:pPr>
          </w:p>
        </w:tc>
        <w:tc>
          <w:tcPr>
            <w:tcW w:w="636" w:type="pct"/>
            <w:tcBorders>
              <w:tl2br w:val="nil"/>
              <w:tr2bl w:val="nil"/>
            </w:tcBorders>
            <w:vAlign w:val="center"/>
          </w:tcPr>
          <w:p w14:paraId="4593869A">
            <w:pPr>
              <w:pStyle w:val="46"/>
              <w:ind w:firstLine="0" w:firstLineChars="0"/>
              <w:jc w:val="center"/>
              <w:rPr>
                <w:color w:val="auto"/>
              </w:rPr>
            </w:pPr>
            <w:r>
              <w:rPr>
                <w:rFonts w:hint="eastAsia"/>
                <w:color w:val="auto"/>
              </w:rPr>
              <w:t>COD</w:t>
            </w:r>
          </w:p>
        </w:tc>
        <w:tc>
          <w:tcPr>
            <w:tcW w:w="2590" w:type="pct"/>
            <w:vMerge w:val="continue"/>
            <w:tcBorders>
              <w:tl2br w:val="nil"/>
              <w:tr2bl w:val="nil"/>
            </w:tcBorders>
            <w:vAlign w:val="center"/>
          </w:tcPr>
          <w:p w14:paraId="4BAC565B">
            <w:pPr>
              <w:pStyle w:val="46"/>
              <w:jc w:val="center"/>
              <w:rPr>
                <w:color w:val="auto"/>
              </w:rPr>
            </w:pPr>
          </w:p>
        </w:tc>
        <w:tc>
          <w:tcPr>
            <w:tcW w:w="1203" w:type="pct"/>
            <w:tcBorders>
              <w:tl2br w:val="nil"/>
              <w:tr2bl w:val="nil"/>
            </w:tcBorders>
            <w:vAlign w:val="center"/>
          </w:tcPr>
          <w:p w14:paraId="768BA25F">
            <w:pPr>
              <w:pStyle w:val="46"/>
              <w:ind w:firstLine="0" w:firstLineChars="0"/>
              <w:jc w:val="center"/>
              <w:rPr>
                <w:color w:val="auto"/>
              </w:rPr>
            </w:pPr>
            <w:r>
              <w:rPr>
                <w:rFonts w:hint="eastAsia"/>
                <w:color w:val="auto"/>
              </w:rPr>
              <w:t>500</w:t>
            </w:r>
          </w:p>
        </w:tc>
      </w:tr>
      <w:tr w14:paraId="5BA57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tcBorders>
              <w:tl2br w:val="nil"/>
              <w:tr2bl w:val="nil"/>
            </w:tcBorders>
            <w:vAlign w:val="center"/>
          </w:tcPr>
          <w:p w14:paraId="500405EF">
            <w:pPr>
              <w:pStyle w:val="46"/>
              <w:jc w:val="center"/>
              <w:rPr>
                <w:color w:val="auto"/>
              </w:rPr>
            </w:pPr>
          </w:p>
        </w:tc>
        <w:tc>
          <w:tcPr>
            <w:tcW w:w="636" w:type="pct"/>
            <w:tcBorders>
              <w:tl2br w:val="nil"/>
              <w:tr2bl w:val="nil"/>
            </w:tcBorders>
            <w:vAlign w:val="center"/>
          </w:tcPr>
          <w:p w14:paraId="7CB6C8CA">
            <w:pPr>
              <w:pStyle w:val="46"/>
              <w:ind w:firstLine="0" w:firstLineChars="0"/>
              <w:jc w:val="center"/>
              <w:rPr>
                <w:rFonts w:hint="eastAsia"/>
                <w:color w:val="auto"/>
              </w:rPr>
            </w:pPr>
            <w:r>
              <w:rPr>
                <w:rFonts w:hint="eastAsia"/>
                <w:color w:val="auto"/>
              </w:rPr>
              <w:t>NH</w:t>
            </w:r>
            <w:r>
              <w:rPr>
                <w:rFonts w:hint="eastAsia"/>
                <w:color w:val="auto"/>
                <w:vertAlign w:val="subscript"/>
              </w:rPr>
              <w:t>3</w:t>
            </w:r>
            <w:r>
              <w:rPr>
                <w:rFonts w:hint="eastAsia"/>
                <w:color w:val="auto"/>
              </w:rPr>
              <w:t>-N</w:t>
            </w:r>
          </w:p>
        </w:tc>
        <w:tc>
          <w:tcPr>
            <w:tcW w:w="2590" w:type="pct"/>
            <w:vMerge w:val="continue"/>
            <w:tcBorders>
              <w:tl2br w:val="nil"/>
              <w:tr2bl w:val="nil"/>
            </w:tcBorders>
            <w:vAlign w:val="center"/>
          </w:tcPr>
          <w:p w14:paraId="73B5BA17">
            <w:pPr>
              <w:pStyle w:val="46"/>
              <w:jc w:val="center"/>
              <w:rPr>
                <w:color w:val="auto"/>
              </w:rPr>
            </w:pPr>
          </w:p>
        </w:tc>
        <w:tc>
          <w:tcPr>
            <w:tcW w:w="1203" w:type="pct"/>
            <w:tcBorders>
              <w:tl2br w:val="nil"/>
              <w:tr2bl w:val="nil"/>
            </w:tcBorders>
            <w:vAlign w:val="center"/>
          </w:tcPr>
          <w:p w14:paraId="124D4D69">
            <w:pPr>
              <w:pStyle w:val="46"/>
              <w:ind w:firstLine="0" w:firstLineChars="0"/>
              <w:jc w:val="center"/>
              <w:rPr>
                <w:rFonts w:hint="eastAsia" w:eastAsia="宋体"/>
                <w:color w:val="auto"/>
                <w:lang w:eastAsia="zh-CN"/>
              </w:rPr>
            </w:pPr>
            <w:r>
              <w:rPr>
                <w:rFonts w:hint="eastAsia"/>
                <w:color w:val="auto"/>
                <w:lang w:val="en-US" w:eastAsia="zh-CN"/>
              </w:rPr>
              <w:t>-</w:t>
            </w:r>
          </w:p>
        </w:tc>
      </w:tr>
      <w:tr w14:paraId="284E5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570" w:type="pct"/>
            <w:vMerge w:val="continue"/>
            <w:tcBorders>
              <w:tl2br w:val="nil"/>
              <w:tr2bl w:val="nil"/>
            </w:tcBorders>
            <w:vAlign w:val="center"/>
          </w:tcPr>
          <w:p w14:paraId="7E8EAC2D">
            <w:pPr>
              <w:pStyle w:val="46"/>
              <w:jc w:val="center"/>
              <w:rPr>
                <w:color w:val="auto"/>
              </w:rPr>
            </w:pPr>
          </w:p>
        </w:tc>
        <w:tc>
          <w:tcPr>
            <w:tcW w:w="636" w:type="pct"/>
            <w:tcBorders>
              <w:tl2br w:val="nil"/>
              <w:tr2bl w:val="nil"/>
            </w:tcBorders>
            <w:vAlign w:val="center"/>
          </w:tcPr>
          <w:p w14:paraId="496087D4">
            <w:pPr>
              <w:pStyle w:val="46"/>
              <w:jc w:val="center"/>
              <w:rPr>
                <w:rFonts w:hint="eastAsia"/>
                <w:color w:val="auto"/>
              </w:rPr>
            </w:pPr>
            <w:r>
              <w:rPr>
                <w:rFonts w:hint="eastAsia"/>
                <w:color w:val="auto"/>
                <w:lang w:val="en-US" w:eastAsia="zh-CN"/>
              </w:rPr>
              <w:t>BOD</w:t>
            </w:r>
            <w:r>
              <w:rPr>
                <w:rFonts w:hint="eastAsia"/>
                <w:color w:val="auto"/>
                <w:vertAlign w:val="subscript"/>
                <w:lang w:val="en-US" w:eastAsia="zh-CN"/>
              </w:rPr>
              <w:t>5</w:t>
            </w:r>
          </w:p>
        </w:tc>
        <w:tc>
          <w:tcPr>
            <w:tcW w:w="2590" w:type="pct"/>
            <w:vMerge w:val="continue"/>
            <w:tcBorders>
              <w:tl2br w:val="nil"/>
              <w:tr2bl w:val="nil"/>
            </w:tcBorders>
            <w:vAlign w:val="center"/>
          </w:tcPr>
          <w:p w14:paraId="1C2CC125">
            <w:pPr>
              <w:pStyle w:val="46"/>
              <w:jc w:val="center"/>
              <w:rPr>
                <w:color w:val="auto"/>
              </w:rPr>
            </w:pPr>
          </w:p>
        </w:tc>
        <w:tc>
          <w:tcPr>
            <w:tcW w:w="1203" w:type="pct"/>
            <w:tcBorders>
              <w:tl2br w:val="nil"/>
              <w:tr2bl w:val="nil"/>
            </w:tcBorders>
            <w:vAlign w:val="center"/>
          </w:tcPr>
          <w:p w14:paraId="62B5FD36">
            <w:pPr>
              <w:pStyle w:val="46"/>
              <w:ind w:firstLine="0" w:firstLineChars="0"/>
              <w:jc w:val="center"/>
              <w:rPr>
                <w:rFonts w:hint="default" w:eastAsia="宋体"/>
                <w:color w:val="auto"/>
                <w:lang w:val="en-US" w:eastAsia="zh-CN"/>
              </w:rPr>
            </w:pPr>
            <w:r>
              <w:rPr>
                <w:rFonts w:hint="eastAsia"/>
                <w:color w:val="auto"/>
                <w:lang w:val="en-US" w:eastAsia="zh-CN"/>
              </w:rPr>
              <w:t>300</w:t>
            </w:r>
          </w:p>
        </w:tc>
      </w:tr>
      <w:tr w14:paraId="1D628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tcBorders>
              <w:tl2br w:val="nil"/>
              <w:tr2bl w:val="nil"/>
            </w:tcBorders>
            <w:vAlign w:val="center"/>
          </w:tcPr>
          <w:p w14:paraId="302B9CF6">
            <w:pPr>
              <w:pStyle w:val="46"/>
              <w:jc w:val="center"/>
              <w:rPr>
                <w:color w:val="auto"/>
              </w:rPr>
            </w:pPr>
          </w:p>
        </w:tc>
        <w:tc>
          <w:tcPr>
            <w:tcW w:w="636" w:type="pct"/>
            <w:tcBorders>
              <w:tl2br w:val="nil"/>
              <w:tr2bl w:val="nil"/>
            </w:tcBorders>
            <w:vAlign w:val="center"/>
          </w:tcPr>
          <w:p w14:paraId="45124768">
            <w:pPr>
              <w:pStyle w:val="46"/>
              <w:jc w:val="center"/>
              <w:rPr>
                <w:rFonts w:hint="eastAsia" w:eastAsia="宋体"/>
                <w:color w:val="auto"/>
                <w:lang w:val="en-US" w:eastAsia="zh-CN"/>
              </w:rPr>
            </w:pPr>
            <w:r>
              <w:rPr>
                <w:rFonts w:hint="eastAsia"/>
                <w:color w:val="auto"/>
                <w:lang w:val="en-US" w:eastAsia="zh-CN"/>
              </w:rPr>
              <w:t>SS</w:t>
            </w:r>
          </w:p>
        </w:tc>
        <w:tc>
          <w:tcPr>
            <w:tcW w:w="2590" w:type="pct"/>
            <w:vMerge w:val="continue"/>
            <w:tcBorders>
              <w:tl2br w:val="nil"/>
              <w:tr2bl w:val="nil"/>
            </w:tcBorders>
            <w:vAlign w:val="center"/>
          </w:tcPr>
          <w:p w14:paraId="3E471CA4">
            <w:pPr>
              <w:pStyle w:val="46"/>
              <w:jc w:val="center"/>
              <w:rPr>
                <w:color w:val="auto"/>
              </w:rPr>
            </w:pPr>
          </w:p>
        </w:tc>
        <w:tc>
          <w:tcPr>
            <w:tcW w:w="1203" w:type="pct"/>
            <w:tcBorders>
              <w:tl2br w:val="nil"/>
              <w:tr2bl w:val="nil"/>
            </w:tcBorders>
            <w:vAlign w:val="center"/>
          </w:tcPr>
          <w:p w14:paraId="4F5ECEC6">
            <w:pPr>
              <w:pStyle w:val="46"/>
              <w:ind w:firstLine="0" w:firstLineChars="0"/>
              <w:jc w:val="center"/>
              <w:rPr>
                <w:rFonts w:hint="default" w:eastAsia="宋体"/>
                <w:color w:val="auto"/>
                <w:lang w:val="en-US" w:eastAsia="zh-CN"/>
              </w:rPr>
            </w:pPr>
            <w:r>
              <w:rPr>
                <w:rFonts w:hint="eastAsia"/>
                <w:color w:val="auto"/>
                <w:lang w:val="en-US" w:eastAsia="zh-CN"/>
              </w:rPr>
              <w:t>400</w:t>
            </w:r>
          </w:p>
        </w:tc>
      </w:tr>
      <w:tr w14:paraId="5FBFF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tcBorders>
              <w:tl2br w:val="nil"/>
              <w:tr2bl w:val="nil"/>
            </w:tcBorders>
            <w:vAlign w:val="center"/>
          </w:tcPr>
          <w:p w14:paraId="57B07654">
            <w:pPr>
              <w:pStyle w:val="46"/>
              <w:jc w:val="center"/>
              <w:rPr>
                <w:color w:val="auto"/>
              </w:rPr>
            </w:pPr>
          </w:p>
        </w:tc>
        <w:tc>
          <w:tcPr>
            <w:tcW w:w="636" w:type="pct"/>
            <w:tcBorders>
              <w:tl2br w:val="nil"/>
              <w:tr2bl w:val="nil"/>
            </w:tcBorders>
            <w:vAlign w:val="center"/>
          </w:tcPr>
          <w:p w14:paraId="3DC985BF">
            <w:pPr>
              <w:pStyle w:val="46"/>
              <w:jc w:val="center"/>
              <w:rPr>
                <w:rFonts w:hint="eastAsia"/>
                <w:color w:val="auto"/>
                <w:lang w:val="en-US" w:eastAsia="zh-CN"/>
              </w:rPr>
            </w:pPr>
            <w:r>
              <w:rPr>
                <w:rFonts w:hint="eastAsia"/>
                <w:color w:val="auto"/>
                <w:lang w:val="en-US" w:eastAsia="zh-CN"/>
              </w:rPr>
              <w:t>溶解性总固体（全盐量）</w:t>
            </w:r>
          </w:p>
        </w:tc>
        <w:tc>
          <w:tcPr>
            <w:tcW w:w="2590" w:type="pct"/>
            <w:vMerge w:val="continue"/>
            <w:tcBorders>
              <w:tl2br w:val="nil"/>
              <w:tr2bl w:val="nil"/>
            </w:tcBorders>
            <w:vAlign w:val="center"/>
          </w:tcPr>
          <w:p w14:paraId="156D0162">
            <w:pPr>
              <w:pStyle w:val="46"/>
              <w:jc w:val="center"/>
              <w:rPr>
                <w:color w:val="auto"/>
              </w:rPr>
            </w:pPr>
          </w:p>
        </w:tc>
        <w:tc>
          <w:tcPr>
            <w:tcW w:w="1203" w:type="pct"/>
            <w:tcBorders>
              <w:tl2br w:val="nil"/>
              <w:tr2bl w:val="nil"/>
            </w:tcBorders>
            <w:vAlign w:val="center"/>
          </w:tcPr>
          <w:p w14:paraId="59E8C451">
            <w:pPr>
              <w:pStyle w:val="46"/>
              <w:ind w:firstLine="0" w:firstLineChars="0"/>
              <w:jc w:val="center"/>
              <w:rPr>
                <w:rFonts w:hint="default"/>
                <w:color w:val="auto"/>
                <w:lang w:val="en-US" w:eastAsia="zh-CN"/>
              </w:rPr>
            </w:pPr>
            <w:r>
              <w:rPr>
                <w:rFonts w:hint="eastAsia"/>
                <w:color w:val="auto"/>
                <w:lang w:val="en-US" w:eastAsia="zh-CN"/>
              </w:rPr>
              <w:t>-</w:t>
            </w:r>
          </w:p>
        </w:tc>
      </w:tr>
    </w:tbl>
    <w:p w14:paraId="7BE54B2F">
      <w:pPr>
        <w:pStyle w:val="26"/>
        <w:rPr>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9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8692"/>
      </w:tblGrid>
      <w:tr w14:paraId="2D52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4" w:hRule="atLeast"/>
          <w:jc w:val="center"/>
        </w:trPr>
        <w:tc>
          <w:tcPr>
            <w:tcW w:w="434" w:type="dxa"/>
            <w:vAlign w:val="center"/>
          </w:tcPr>
          <w:p w14:paraId="06477B7C">
            <w:pPr>
              <w:widowControl w:val="0"/>
              <w:overflowPunct w:val="0"/>
              <w:autoSpaceDE w:val="0"/>
              <w:autoSpaceDN w:val="0"/>
              <w:adjustRightInd w:val="0"/>
              <w:snapToGrid w:val="0"/>
              <w:spacing w:before="0" w:after="0" w:line="400" w:lineRule="exact"/>
              <w:ind w:left="0" w:leftChars="0" w:right="0" w:rightChars="0" w:firstLine="0" w:firstLineChars="0"/>
              <w:jc w:val="center"/>
              <w:rPr>
                <w:rFonts w:ascii="Times New Roman" w:hAnsi="Times New Roman" w:eastAsia="宋体" w:cs="宋体"/>
                <w:color w:val="auto"/>
                <w:sz w:val="24"/>
                <w:szCs w:val="24"/>
                <w:vertAlign w:val="baseline"/>
                <w:lang w:val="en-US" w:eastAsia="zh-CN" w:bidi="ar-SA"/>
              </w:rPr>
            </w:pPr>
            <w:r>
              <w:rPr>
                <w:rFonts w:ascii="Times New Roman" w:hAnsi="Times New Roman" w:eastAsia="宋体" w:cs="宋体"/>
                <w:color w:val="auto"/>
                <w:sz w:val="24"/>
                <w:szCs w:val="22"/>
                <w:lang w:val="en-US" w:eastAsia="zh-CN" w:bidi="ar-SA"/>
              </w:rPr>
              <w:t>项目有关的原有环境污染问</w:t>
            </w:r>
            <w:r>
              <w:rPr>
                <w:rFonts w:hint="eastAsia" w:ascii="Times New Roman" w:hAnsi="Times New Roman" w:eastAsia="宋体" w:cs="宋体"/>
                <w:color w:val="auto"/>
                <w:sz w:val="24"/>
                <w:szCs w:val="22"/>
                <w:lang w:val="en-US" w:eastAsia="zh-CN" w:bidi="ar-SA"/>
              </w:rPr>
              <w:t>题</w:t>
            </w:r>
          </w:p>
        </w:tc>
        <w:tc>
          <w:tcPr>
            <w:tcW w:w="8637" w:type="dxa"/>
            <w:vAlign w:val="top"/>
          </w:tcPr>
          <w:p w14:paraId="60734A3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480" w:lineRule="exact"/>
              <w:ind w:firstLine="482" w:firstLineChars="200"/>
              <w:jc w:val="both"/>
              <w:textAlignment w:val="auto"/>
              <w:rPr>
                <w:rFonts w:hint="eastAsia" w:ascii="Times New Roman" w:hAnsi="Times New Roman" w:eastAsia="宋体" w:cs="Times New Roman"/>
                <w:b/>
                <w:bCs/>
                <w:color w:val="auto"/>
                <w:kern w:val="2"/>
                <w:sz w:val="24"/>
                <w:szCs w:val="20"/>
                <w:highlight w:val="none"/>
                <w:lang w:val="en-US" w:eastAsia="zh-CN" w:bidi="ar-SA"/>
              </w:rPr>
            </w:pPr>
            <w:r>
              <w:rPr>
                <w:rFonts w:hint="eastAsia" w:cs="Times New Roman"/>
                <w:b/>
                <w:bCs/>
                <w:color w:val="auto"/>
                <w:kern w:val="2"/>
                <w:sz w:val="24"/>
                <w:szCs w:val="20"/>
                <w:highlight w:val="none"/>
                <w:lang w:val="en-US" w:eastAsia="zh-CN" w:bidi="ar-SA"/>
              </w:rPr>
              <w:t>2.2</w:t>
            </w:r>
            <w:r>
              <w:rPr>
                <w:rFonts w:hint="eastAsia" w:ascii="Times New Roman" w:hAnsi="Times New Roman" w:eastAsia="宋体" w:cs="Times New Roman"/>
                <w:b/>
                <w:bCs/>
                <w:color w:val="auto"/>
                <w:kern w:val="2"/>
                <w:sz w:val="24"/>
                <w:szCs w:val="20"/>
                <w:highlight w:val="none"/>
                <w:lang w:val="en-US" w:eastAsia="zh-CN" w:bidi="ar-SA"/>
              </w:rPr>
              <w:t>污水依托可行性分析</w:t>
            </w:r>
          </w:p>
          <w:p w14:paraId="108AFAEC">
            <w:pPr>
              <w:keepNext w:val="0"/>
              <w:keepLines w:val="0"/>
              <w:pageBreakBefore w:val="0"/>
              <w:widowControl w:val="0"/>
              <w:kinsoku/>
              <w:wordWrap/>
              <w:overflowPunct w:val="0"/>
              <w:topLinePunct w:val="0"/>
              <w:autoSpaceDE w:val="0"/>
              <w:autoSpaceDN w:val="0"/>
              <w:bidi w:val="0"/>
              <w:adjustRightInd w:val="0"/>
              <w:snapToGrid w:val="0"/>
              <w:spacing w:before="0" w:after="0" w:line="480" w:lineRule="exact"/>
              <w:ind w:left="0" w:right="0" w:firstLine="480" w:firstLineChars="200"/>
              <w:jc w:val="both"/>
              <w:textAlignment w:val="auto"/>
              <w:outlineLvl w:val="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南园区规划设置二座污水处理厂，近期污水通过工业大道上排水管线接入北部污水处理厂，北污水处理厂主要用于化工类污水处理，占地面积约16.02公顷，北污水处理厂已建设完成，处理规模1.5万m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南污水处理厂，南污水处理厂主要用于轻污染类污水处理，南部地块污水通过污水泵站排入占地面积约12.76公顷，南污水处理厂一次性建设完成，处理规模1万m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/d。排水管线布置充分利用地形自然坡度，采用截流干管布置方式，管网排水坡度控制在不小于0.25%。南园区近期规划建设1万m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中水处理厂，中水厂出水水质须满足《城市污水再生利用工业用水水质》(GB/T19923-2005)、《城市污水再生利用景观景观环境用水水质》(GB/T18921-2019)和《城市污水再生利用城市杂用水水质》(GB/T18920-2020)要求后回用于各企业循环冷却或低阶工业用水，剩余用于园区绿化灌溉等。</w:t>
            </w:r>
          </w:p>
          <w:p w14:paraId="2324252B">
            <w:pPr>
              <w:keepNext w:val="0"/>
              <w:keepLines w:val="0"/>
              <w:pageBreakBefore w:val="0"/>
              <w:widowControl w:val="0"/>
              <w:kinsoku/>
              <w:wordWrap/>
              <w:overflowPunct w:val="0"/>
              <w:topLinePunct w:val="0"/>
              <w:autoSpaceDE w:val="0"/>
              <w:autoSpaceDN w:val="0"/>
              <w:bidi w:val="0"/>
              <w:adjustRightInd w:val="0"/>
              <w:snapToGrid w:val="0"/>
              <w:spacing w:before="0" w:after="0" w:line="480" w:lineRule="exact"/>
              <w:ind w:left="0" w:right="0" w:firstLine="480" w:firstLineChars="200"/>
              <w:jc w:val="both"/>
              <w:textAlignment w:val="auto"/>
              <w:outlineLvl w:val="1"/>
              <w:rPr>
                <w:rFonts w:hint="default" w:ascii="宋体" w:hAnsi="宋体" w:eastAsia="宋体" w:cs="宋体"/>
                <w:color w:val="auto"/>
                <w:szCs w:val="24"/>
                <w:highlight w:val="none"/>
                <w:lang w:val="en-US" w:bidi="ar"/>
              </w:rPr>
            </w:pPr>
            <w:r>
              <w:rPr>
                <w:rFonts w:hint="eastAsia" w:ascii="Times New Roman" w:hAnsi="Times New Roman" w:eastAsia="宋体" w:cs="宋体"/>
                <w:color w:val="auto"/>
                <w:lang w:val="en-US" w:eastAsia="zh-CN"/>
              </w:rPr>
              <w:t>本项目废水水质满足《污水综合排放标准》（</w:t>
            </w:r>
            <w:r>
              <w:rPr>
                <w:rFonts w:hint="default" w:ascii="Times New Roman" w:hAnsi="Times New Roman" w:eastAsia="宋体" w:cs="宋体"/>
                <w:color w:val="auto"/>
                <w:lang w:val="en-US" w:eastAsia="zh-CN"/>
              </w:rPr>
              <w:t>GB 8978-1996</w:t>
            </w:r>
            <w:r>
              <w:rPr>
                <w:rFonts w:hint="eastAsia" w:ascii="Times New Roman" w:hAnsi="Times New Roman" w:eastAsia="宋体" w:cs="宋体"/>
                <w:color w:val="auto"/>
                <w:lang w:val="en-US" w:eastAsia="zh-CN"/>
              </w:rPr>
              <w:t>）表</w:t>
            </w:r>
            <w:r>
              <w:rPr>
                <w:rFonts w:hint="default" w:ascii="Times New Roman" w:hAnsi="Times New Roman" w:eastAsia="宋体" w:cs="宋体"/>
                <w:color w:val="auto"/>
                <w:lang w:val="en-US" w:eastAsia="zh-CN"/>
              </w:rPr>
              <w:t>4</w:t>
            </w:r>
            <w:r>
              <w:rPr>
                <w:rFonts w:hint="eastAsia" w:ascii="Times New Roman" w:hAnsi="Times New Roman" w:eastAsia="宋体" w:cs="宋体"/>
                <w:color w:val="auto"/>
                <w:lang w:val="en-US" w:eastAsia="zh-CN"/>
              </w:rPr>
              <w:t>三级标准，不会对污水处理厂的水质水量产生冲击，故本项目废水排放至污水处理厂进一步处理是合理可行的</w:t>
            </w:r>
            <w:r>
              <w:rPr>
                <w:rFonts w:hint="default" w:ascii="Times New Roman" w:hAnsi="Times New Roman" w:eastAsia="宋体" w:cs="Times New Roman"/>
                <w:color w:val="auto"/>
                <w:szCs w:val="24"/>
                <w:highlight w:val="none"/>
                <w:lang w:val="en-US" w:eastAsia="zh-CN" w:bidi="ar"/>
              </w:rPr>
              <w:t>。</w:t>
            </w:r>
          </w:p>
          <w:p w14:paraId="679D8B4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（4）废水监测制度</w:t>
            </w:r>
          </w:p>
          <w:p w14:paraId="382BA5B5">
            <w:pPr>
              <w:keepNext w:val="0"/>
              <w:keepLines w:val="0"/>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根据《排污单位自行监测技术指南 总则》（HJ819-2017）监测要求，本项目为非重点排污单位，监测制度见表4.</w:t>
            </w:r>
            <w:r>
              <w:rPr>
                <w:rFonts w:hint="eastAsia" w:cs="Times New Roman"/>
                <w:color w:val="auto"/>
                <w:kern w:val="2"/>
                <w:sz w:val="24"/>
                <w:szCs w:val="20"/>
                <w:highlight w:val="none"/>
                <w:lang w:val="en-US" w:eastAsia="zh-CN"/>
              </w:rPr>
              <w:t>2</w:t>
            </w:r>
            <w:r>
              <w:rPr>
                <w:rFonts w:hint="eastAsia" w:ascii="Times New Roman" w:hAnsi="Times New Roman" w:eastAsia="宋体" w:cs="Times New Roman"/>
                <w:color w:val="auto"/>
                <w:kern w:val="2"/>
                <w:sz w:val="24"/>
                <w:szCs w:val="20"/>
                <w:highlight w:val="none"/>
                <w:lang w:val="en-US" w:eastAsia="zh-CN"/>
              </w:rPr>
              <w:t>-</w:t>
            </w:r>
            <w:r>
              <w:rPr>
                <w:rFonts w:hint="eastAsia" w:cs="Times New Roman"/>
                <w:color w:val="auto"/>
                <w:kern w:val="2"/>
                <w:sz w:val="24"/>
                <w:szCs w:val="20"/>
                <w:highlight w:val="none"/>
                <w:lang w:val="en-US" w:eastAsia="zh-CN"/>
              </w:rPr>
              <w:t>7</w:t>
            </w:r>
            <w:r>
              <w:rPr>
                <w:rFonts w:hint="eastAsia" w:ascii="Times New Roman" w:hAnsi="Times New Roman" w:eastAsia="宋体" w:cs="Times New Roman"/>
                <w:color w:val="auto"/>
                <w:kern w:val="2"/>
                <w:sz w:val="24"/>
                <w:szCs w:val="20"/>
                <w:highlight w:val="none"/>
                <w:lang w:val="en-US" w:eastAsia="zh-CN"/>
              </w:rPr>
              <w:t>。</w:t>
            </w:r>
          </w:p>
          <w:p w14:paraId="7B432EAE">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cs="Times New Roman"/>
                <w:b/>
                <w:bCs/>
                <w:color w:val="auto"/>
                <w:sz w:val="24"/>
                <w:szCs w:val="20"/>
                <w:highlight w:val="none"/>
                <w:vertAlign w:val="baseline"/>
                <w:lang w:val="en-US" w:eastAsia="zh-CN"/>
              </w:rPr>
            </w:pPr>
            <w:r>
              <w:rPr>
                <w:rFonts w:hint="eastAsia" w:ascii="Times New Roman" w:hAnsi="Times New Roman" w:eastAsia="宋体" w:cs="Times New Roman"/>
                <w:b/>
                <w:bCs/>
                <w:color w:val="auto"/>
                <w:sz w:val="24"/>
                <w:szCs w:val="20"/>
                <w:highlight w:val="none"/>
                <w:vertAlign w:val="baseline"/>
                <w:lang w:val="en-US" w:eastAsia="zh-CN"/>
              </w:rPr>
              <w:t>表</w:t>
            </w:r>
            <w:r>
              <w:rPr>
                <w:rFonts w:hint="eastAsia" w:eastAsia="宋体" w:cs="Times New Roman"/>
                <w:b/>
                <w:bCs/>
                <w:color w:val="auto"/>
                <w:sz w:val="24"/>
                <w:szCs w:val="20"/>
                <w:highlight w:val="none"/>
                <w:vertAlign w:val="baseline"/>
                <w:lang w:val="en-US" w:eastAsia="zh-CN"/>
              </w:rPr>
              <w:t>4.</w:t>
            </w:r>
            <w:r>
              <w:rPr>
                <w:rFonts w:hint="eastAsia" w:cs="Times New Roman"/>
                <w:b/>
                <w:bCs/>
                <w:color w:val="auto"/>
                <w:sz w:val="24"/>
                <w:szCs w:val="20"/>
                <w:highlight w:val="none"/>
                <w:vertAlign w:val="baseline"/>
                <w:lang w:val="en-US" w:eastAsia="zh-CN"/>
              </w:rPr>
              <w:t>2</w:t>
            </w:r>
            <w:r>
              <w:rPr>
                <w:rFonts w:hint="eastAsia" w:eastAsia="宋体" w:cs="Times New Roman"/>
                <w:b/>
                <w:bCs/>
                <w:color w:val="auto"/>
                <w:sz w:val="24"/>
                <w:szCs w:val="20"/>
                <w:highlight w:val="none"/>
                <w:vertAlign w:val="baseline"/>
                <w:lang w:val="en-US" w:eastAsia="zh-CN"/>
              </w:rPr>
              <w:t>-</w:t>
            </w:r>
            <w:r>
              <w:rPr>
                <w:rFonts w:hint="eastAsia" w:cs="Times New Roman"/>
                <w:b/>
                <w:bCs/>
                <w:color w:val="auto"/>
                <w:sz w:val="24"/>
                <w:szCs w:val="20"/>
                <w:highlight w:val="none"/>
                <w:vertAlign w:val="baseline"/>
                <w:lang w:val="en-US" w:eastAsia="zh-CN"/>
              </w:rPr>
              <w:t>7</w:t>
            </w:r>
            <w:r>
              <w:rPr>
                <w:rFonts w:hint="eastAsia" w:ascii="Times New Roman" w:hAnsi="Times New Roman" w:eastAsia="宋体" w:cs="Times New Roman"/>
                <w:b/>
                <w:bCs/>
                <w:color w:val="auto"/>
                <w:sz w:val="24"/>
                <w:szCs w:val="20"/>
                <w:highlight w:val="none"/>
                <w:vertAlign w:val="baseline"/>
                <w:lang w:val="en-US" w:eastAsia="zh-CN"/>
              </w:rPr>
              <w:t>本项目</w:t>
            </w:r>
            <w:r>
              <w:rPr>
                <w:rFonts w:hint="eastAsia" w:cs="Times New Roman"/>
                <w:b/>
                <w:bCs/>
                <w:color w:val="auto"/>
                <w:sz w:val="24"/>
                <w:szCs w:val="20"/>
                <w:highlight w:val="none"/>
                <w:vertAlign w:val="baseline"/>
                <w:lang w:val="en-US" w:eastAsia="zh-CN"/>
              </w:rPr>
              <w:t>废水处理站出水口检测数据</w:t>
            </w:r>
          </w:p>
          <w:tbl>
            <w:tblPr>
              <w:tblStyle w:val="21"/>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5959"/>
              <w:gridCol w:w="1400"/>
            </w:tblGrid>
            <w:tr w14:paraId="1D8C1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 w:type="dxa"/>
                  <w:vAlign w:val="center"/>
                </w:tcPr>
                <w:p w14:paraId="70F70320">
                  <w:pPr>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kern w:val="2"/>
                      <w:sz w:val="21"/>
                      <w:szCs w:val="16"/>
                      <w:highlight w:val="none"/>
                      <w:vertAlign w:val="baseline"/>
                      <w:lang w:val="en-US" w:eastAsia="zh-CN"/>
                    </w:rPr>
                  </w:pPr>
                  <w:r>
                    <w:rPr>
                      <w:rFonts w:hint="eastAsia" w:cs="Times New Roman"/>
                      <w:color w:val="auto"/>
                      <w:kern w:val="2"/>
                      <w:sz w:val="21"/>
                      <w:szCs w:val="16"/>
                      <w:highlight w:val="none"/>
                      <w:vertAlign w:val="baseline"/>
                      <w:lang w:val="en-US" w:eastAsia="zh-CN"/>
                    </w:rPr>
                    <w:t>监测点位</w:t>
                  </w:r>
                </w:p>
              </w:tc>
              <w:tc>
                <w:tcPr>
                  <w:tcW w:w="6006" w:type="dxa"/>
                  <w:vAlign w:val="center"/>
                </w:tcPr>
                <w:p w14:paraId="6A793005">
                  <w:pPr>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kern w:val="2"/>
                      <w:sz w:val="21"/>
                      <w:szCs w:val="16"/>
                      <w:highlight w:val="none"/>
                      <w:vertAlign w:val="baseline"/>
                      <w:lang w:val="en-US" w:eastAsia="zh-CN"/>
                    </w:rPr>
                  </w:pPr>
                  <w:r>
                    <w:rPr>
                      <w:rFonts w:hint="eastAsia" w:cs="Times New Roman"/>
                      <w:color w:val="auto"/>
                      <w:kern w:val="2"/>
                      <w:sz w:val="21"/>
                      <w:szCs w:val="16"/>
                      <w:highlight w:val="none"/>
                      <w:vertAlign w:val="baseline"/>
                      <w:lang w:val="en-US" w:eastAsia="zh-CN"/>
                    </w:rPr>
                    <w:t>监测指标</w:t>
                  </w:r>
                </w:p>
              </w:tc>
              <w:tc>
                <w:tcPr>
                  <w:tcW w:w="1409" w:type="dxa"/>
                  <w:vAlign w:val="center"/>
                </w:tcPr>
                <w:p w14:paraId="53A86FFD">
                  <w:pPr>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eastAsia" w:ascii="Times New Roman" w:hAnsi="Times New Roman" w:eastAsia="宋体" w:cs="Times New Roman"/>
                      <w:color w:val="auto"/>
                      <w:kern w:val="2"/>
                      <w:sz w:val="21"/>
                      <w:szCs w:val="16"/>
                      <w:highlight w:val="none"/>
                      <w:vertAlign w:val="baseline"/>
                      <w:lang w:val="en-US" w:eastAsia="zh-CN"/>
                    </w:rPr>
                  </w:pPr>
                  <w:r>
                    <w:rPr>
                      <w:rFonts w:hint="eastAsia" w:cs="Times New Roman"/>
                      <w:color w:val="auto"/>
                      <w:kern w:val="2"/>
                      <w:sz w:val="21"/>
                      <w:szCs w:val="16"/>
                      <w:highlight w:val="none"/>
                      <w:vertAlign w:val="baseline"/>
                      <w:lang w:val="en-US" w:eastAsia="zh-CN"/>
                    </w:rPr>
                    <w:t>监测频次</w:t>
                  </w:r>
                </w:p>
              </w:tc>
            </w:tr>
            <w:tr w14:paraId="01D16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1089" w:type="dxa"/>
                  <w:vAlign w:val="center"/>
                </w:tcPr>
                <w:p w14:paraId="6478C8CE">
                  <w:pPr>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kern w:val="2"/>
                      <w:sz w:val="21"/>
                      <w:szCs w:val="16"/>
                      <w:highlight w:val="none"/>
                      <w:vertAlign w:val="baseline"/>
                      <w:lang w:val="en-US" w:eastAsia="zh-CN"/>
                    </w:rPr>
                  </w:pPr>
                  <w:r>
                    <w:rPr>
                      <w:rFonts w:hint="eastAsia" w:cs="Times New Roman"/>
                      <w:color w:val="auto"/>
                      <w:kern w:val="2"/>
                      <w:sz w:val="21"/>
                      <w:szCs w:val="16"/>
                      <w:highlight w:val="none"/>
                      <w:vertAlign w:val="baseline"/>
                      <w:lang w:val="en-US" w:eastAsia="zh-CN"/>
                    </w:rPr>
                    <w:t>污水总排口DW001</w:t>
                  </w:r>
                </w:p>
              </w:tc>
              <w:tc>
                <w:tcPr>
                  <w:tcW w:w="6006" w:type="dxa"/>
                  <w:vAlign w:val="center"/>
                </w:tcPr>
                <w:p w14:paraId="55D03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rPr>
                    <w:t>pH值、化学需氧量、氨氮、五日生化需氧量</w:t>
                  </w:r>
                </w:p>
              </w:tc>
              <w:tc>
                <w:tcPr>
                  <w:tcW w:w="1409" w:type="dxa"/>
                  <w:vAlign w:val="center"/>
                </w:tcPr>
                <w:p w14:paraId="4B265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rPr>
                    <w:t>季度/次</w:t>
                  </w:r>
                </w:p>
              </w:tc>
            </w:tr>
          </w:tbl>
          <w:p w14:paraId="168F8835">
            <w:pPr>
              <w:keepNext w:val="0"/>
              <w:keepLines w:val="0"/>
              <w:pageBreakBefore w:val="0"/>
              <w:widowControl w:val="0"/>
              <w:kinsoku/>
              <w:wordWrap/>
              <w:overflowPunct w:val="0"/>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宋体"/>
                <w:color w:val="auto"/>
                <w:sz w:val="24"/>
                <w:szCs w:val="24"/>
                <w:vertAlign w:val="baseline"/>
                <w:lang w:val="en-US" w:eastAsia="zh-CN" w:bidi="ar-SA"/>
              </w:rPr>
            </w:pPr>
          </w:p>
        </w:tc>
      </w:tr>
    </w:tbl>
    <w:p w14:paraId="00DB2B17">
      <w:pPr>
        <w:pStyle w:val="24"/>
        <w:rPr>
          <w:rFonts w:hint="eastAsia" w:ascii="Times New Roman" w:hAnsi="Times New Roman" w:eastAsia="宋体" w:cs="Times New Roman"/>
          <w:b/>
          <w:bCs/>
          <w:color w:val="auto"/>
          <w:sz w:val="24"/>
          <w:szCs w:val="20"/>
          <w:highlight w:val="none"/>
          <w:vertAlign w:val="baseline"/>
          <w:lang w:val="en-US" w:eastAsia="zh-CN"/>
        </w:rPr>
      </w:pPr>
    </w:p>
    <w:p w14:paraId="6DC5EFC6">
      <w:pPr>
        <w:rPr>
          <w:rFonts w:hint="eastAsia" w:ascii="Times New Roman" w:hAnsi="Times New Roman" w:eastAsia="宋体" w:cs="Times New Roman"/>
          <w:b/>
          <w:bCs/>
          <w:color w:val="auto"/>
          <w:sz w:val="24"/>
          <w:szCs w:val="20"/>
          <w:highlight w:val="none"/>
          <w:vertAlign w:val="baseli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025BA0C">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firstLineChars="0"/>
        <w:jc w:val="center"/>
        <w:textAlignment w:val="auto"/>
        <w:rPr>
          <w:rFonts w:hint="eastAsia" w:ascii="Times New Roman" w:hAnsi="Times New Roman" w:eastAsia="宋体" w:cs="Times New Roman"/>
          <w:b/>
          <w:bCs/>
          <w:color w:val="auto"/>
          <w:kern w:val="2"/>
          <w:sz w:val="24"/>
          <w:szCs w:val="20"/>
          <w:highlight w:val="none"/>
          <w:vertAlign w:val="baseline"/>
          <w:lang w:val="en-US" w:eastAsia="zh-CN"/>
        </w:rPr>
      </w:pPr>
      <w:r>
        <w:rPr>
          <w:rFonts w:hint="eastAsia" w:ascii="Times New Roman" w:hAnsi="Times New Roman" w:eastAsia="宋体" w:cs="Times New Roman"/>
          <w:b/>
          <w:bCs/>
          <w:color w:val="auto"/>
          <w:kern w:val="2"/>
          <w:sz w:val="24"/>
          <w:szCs w:val="20"/>
          <w:highlight w:val="none"/>
          <w:vertAlign w:val="baseline"/>
          <w:lang w:val="en-US" w:eastAsia="zh-CN"/>
        </w:rPr>
        <w:t>表</w:t>
      </w:r>
      <w:r>
        <w:rPr>
          <w:rFonts w:hint="eastAsia" w:cs="Times New Roman"/>
          <w:b/>
          <w:bCs/>
          <w:color w:val="auto"/>
          <w:kern w:val="2"/>
          <w:sz w:val="24"/>
          <w:szCs w:val="20"/>
          <w:highlight w:val="none"/>
          <w:vertAlign w:val="baseline"/>
          <w:lang w:val="en-US" w:eastAsia="zh-CN"/>
        </w:rPr>
        <w:t>4.3-1</w:t>
      </w:r>
      <w:r>
        <w:rPr>
          <w:rFonts w:hint="eastAsia" w:ascii="Times New Roman" w:hAnsi="Times New Roman" w:eastAsia="宋体" w:cs="Times New Roman"/>
          <w:b/>
          <w:bCs/>
          <w:color w:val="auto"/>
          <w:kern w:val="2"/>
          <w:sz w:val="24"/>
          <w:szCs w:val="20"/>
          <w:highlight w:val="none"/>
          <w:vertAlign w:val="baseline"/>
          <w:lang w:val="en-US" w:eastAsia="zh-CN"/>
        </w:rPr>
        <w:t>项目噪声源一览表</w:t>
      </w:r>
    </w:p>
    <w:tbl>
      <w:tblPr>
        <w:tblStyle w:val="41"/>
        <w:tblW w:w="555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65"/>
        <w:gridCol w:w="381"/>
        <w:gridCol w:w="1782"/>
        <w:gridCol w:w="825"/>
        <w:gridCol w:w="1994"/>
        <w:gridCol w:w="479"/>
        <w:gridCol w:w="505"/>
        <w:gridCol w:w="464"/>
        <w:gridCol w:w="430"/>
        <w:gridCol w:w="506"/>
        <w:gridCol w:w="472"/>
        <w:gridCol w:w="483"/>
        <w:gridCol w:w="426"/>
        <w:gridCol w:w="445"/>
        <w:gridCol w:w="445"/>
        <w:gridCol w:w="468"/>
        <w:gridCol w:w="550"/>
        <w:gridCol w:w="528"/>
        <w:gridCol w:w="445"/>
        <w:gridCol w:w="445"/>
        <w:gridCol w:w="471"/>
        <w:gridCol w:w="524"/>
        <w:gridCol w:w="446"/>
        <w:gridCol w:w="550"/>
        <w:gridCol w:w="447"/>
        <w:gridCol w:w="563"/>
      </w:tblGrid>
      <w:tr w14:paraId="3AC325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vMerge w:val="restart"/>
            <w:tcBorders>
              <w:tl2br w:val="nil"/>
              <w:tr2bl w:val="nil"/>
            </w:tcBorders>
            <w:vAlign w:val="center"/>
          </w:tcPr>
          <w:p w14:paraId="35F201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序号</w:t>
            </w:r>
          </w:p>
        </w:tc>
        <w:tc>
          <w:tcPr>
            <w:tcW w:w="122" w:type="pct"/>
            <w:vMerge w:val="restart"/>
            <w:tcBorders>
              <w:tl2br w:val="nil"/>
              <w:tr2bl w:val="nil"/>
            </w:tcBorders>
            <w:vAlign w:val="center"/>
          </w:tcPr>
          <w:p w14:paraId="4610BC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建筑物名称</w:t>
            </w:r>
          </w:p>
        </w:tc>
        <w:tc>
          <w:tcPr>
            <w:tcW w:w="573" w:type="pct"/>
            <w:vMerge w:val="restart"/>
            <w:tcBorders>
              <w:tl2br w:val="nil"/>
              <w:tr2bl w:val="nil"/>
            </w:tcBorders>
            <w:vAlign w:val="center"/>
          </w:tcPr>
          <w:p w14:paraId="66CACD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声源名称</w:t>
            </w:r>
          </w:p>
        </w:tc>
        <w:tc>
          <w:tcPr>
            <w:tcW w:w="265" w:type="pct"/>
            <w:tcBorders>
              <w:tl2br w:val="nil"/>
              <w:tr2bl w:val="nil"/>
            </w:tcBorders>
            <w:vAlign w:val="center"/>
          </w:tcPr>
          <w:p w14:paraId="010053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声源源强</w:t>
            </w:r>
          </w:p>
        </w:tc>
        <w:tc>
          <w:tcPr>
            <w:tcW w:w="641" w:type="pct"/>
            <w:vMerge w:val="restart"/>
            <w:tcBorders>
              <w:tl2br w:val="nil"/>
              <w:tr2bl w:val="nil"/>
            </w:tcBorders>
            <w:vAlign w:val="center"/>
          </w:tcPr>
          <w:p w14:paraId="798BA2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声源控制措施</w:t>
            </w:r>
          </w:p>
        </w:tc>
        <w:tc>
          <w:tcPr>
            <w:tcW w:w="465" w:type="pct"/>
            <w:gridSpan w:val="3"/>
            <w:tcBorders>
              <w:tl2br w:val="nil"/>
              <w:tr2bl w:val="nil"/>
            </w:tcBorders>
            <w:vAlign w:val="center"/>
          </w:tcPr>
          <w:p w14:paraId="73250A2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pacing w:val="-2"/>
                <w:sz w:val="18"/>
                <w:szCs w:val="18"/>
              </w:rPr>
              <w:t>空间相对位置/m</w:t>
            </w:r>
            <w:r>
              <w:rPr>
                <w:rFonts w:hint="eastAsia" w:ascii="Times New Roman" w:hAnsi="Times New Roman" w:cs="Times New Roman"/>
                <w:color w:val="auto"/>
                <w:spacing w:val="-2"/>
                <w:sz w:val="18"/>
                <w:szCs w:val="18"/>
                <w:lang w:eastAsia="zh-CN"/>
              </w:rPr>
              <w:t>（</w:t>
            </w:r>
            <w:r>
              <w:rPr>
                <w:rFonts w:hint="eastAsia" w:ascii="Times New Roman" w:hAnsi="Times New Roman" w:cs="Times New Roman"/>
                <w:color w:val="auto"/>
                <w:spacing w:val="-2"/>
                <w:sz w:val="18"/>
                <w:szCs w:val="18"/>
                <w:lang w:val="en-US" w:eastAsia="zh-CN"/>
              </w:rPr>
              <w:t>以生产车间左下角为中心点</w:t>
            </w:r>
            <w:r>
              <w:rPr>
                <w:rFonts w:hint="eastAsia" w:ascii="Times New Roman" w:hAnsi="Times New Roman" w:cs="Times New Roman"/>
                <w:color w:val="auto"/>
                <w:spacing w:val="-2"/>
                <w:sz w:val="18"/>
                <w:szCs w:val="18"/>
                <w:lang w:eastAsia="zh-CN"/>
              </w:rPr>
              <w:t>）</w:t>
            </w:r>
          </w:p>
        </w:tc>
        <w:tc>
          <w:tcPr>
            <w:tcW w:w="608" w:type="pct"/>
            <w:gridSpan w:val="4"/>
            <w:tcBorders>
              <w:tl2br w:val="nil"/>
              <w:tr2bl w:val="nil"/>
            </w:tcBorders>
            <w:vAlign w:val="center"/>
          </w:tcPr>
          <w:p w14:paraId="45D5AFE0">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距室内边界距离/m</w:t>
            </w:r>
          </w:p>
        </w:tc>
        <w:tc>
          <w:tcPr>
            <w:tcW w:w="573" w:type="pct"/>
            <w:gridSpan w:val="4"/>
            <w:tcBorders>
              <w:tl2br w:val="nil"/>
              <w:tr2bl w:val="nil"/>
            </w:tcBorders>
            <w:vAlign w:val="center"/>
          </w:tcPr>
          <w:p w14:paraId="6E0A41EF">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室内边界声级/dB(A)</w:t>
            </w:r>
          </w:p>
        </w:tc>
        <w:tc>
          <w:tcPr>
            <w:tcW w:w="177" w:type="pct"/>
            <w:vMerge w:val="restart"/>
            <w:tcBorders>
              <w:tl2br w:val="nil"/>
              <w:tr2bl w:val="nil"/>
            </w:tcBorders>
            <w:vAlign w:val="center"/>
          </w:tcPr>
          <w:p w14:paraId="505225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运行时</w:t>
            </w:r>
            <w:r>
              <w:rPr>
                <w:rFonts w:hint="default" w:ascii="Times New Roman" w:hAnsi="Times New Roman" w:eastAsia="宋体" w:cs="Times New Roman"/>
                <w:color w:val="auto"/>
                <w:sz w:val="18"/>
                <w:szCs w:val="18"/>
              </w:rPr>
              <w:t>段</w:t>
            </w:r>
          </w:p>
        </w:tc>
        <w:tc>
          <w:tcPr>
            <w:tcW w:w="607" w:type="pct"/>
            <w:gridSpan w:val="4"/>
            <w:tcBorders>
              <w:tl2br w:val="nil"/>
              <w:tr2bl w:val="nil"/>
            </w:tcBorders>
            <w:vAlign w:val="center"/>
          </w:tcPr>
          <w:p w14:paraId="5EBFA6BA">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建筑物插入损失/dB(A)</w:t>
            </w:r>
          </w:p>
        </w:tc>
        <w:tc>
          <w:tcPr>
            <w:tcW w:w="814" w:type="pct"/>
            <w:gridSpan w:val="5"/>
            <w:tcBorders>
              <w:tl2br w:val="nil"/>
              <w:tr2bl w:val="nil"/>
            </w:tcBorders>
            <w:vAlign w:val="center"/>
          </w:tcPr>
          <w:p w14:paraId="6E1DF982">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建筑物外噪声声压级/dB(A)</w:t>
            </w:r>
          </w:p>
        </w:tc>
      </w:tr>
      <w:tr w14:paraId="70F3C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vMerge w:val="continue"/>
            <w:tcBorders>
              <w:tl2br w:val="nil"/>
              <w:tr2bl w:val="nil"/>
            </w:tcBorders>
            <w:vAlign w:val="center"/>
          </w:tcPr>
          <w:p w14:paraId="29EA03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122" w:type="pct"/>
            <w:vMerge w:val="continue"/>
            <w:tcBorders>
              <w:tl2br w:val="nil"/>
              <w:tr2bl w:val="nil"/>
            </w:tcBorders>
            <w:vAlign w:val="center"/>
          </w:tcPr>
          <w:p w14:paraId="047C6F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573" w:type="pct"/>
            <w:vMerge w:val="continue"/>
            <w:tcBorders>
              <w:tl2br w:val="nil"/>
              <w:tr2bl w:val="nil"/>
            </w:tcBorders>
            <w:vAlign w:val="center"/>
          </w:tcPr>
          <w:p w14:paraId="0E49C2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265" w:type="pct"/>
            <w:tcBorders>
              <w:tl2br w:val="nil"/>
              <w:tr2bl w:val="nil"/>
            </w:tcBorders>
            <w:vAlign w:val="center"/>
          </w:tcPr>
          <w:p w14:paraId="5E52D7B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声功率级/dB(A)</w:t>
            </w:r>
          </w:p>
        </w:tc>
        <w:tc>
          <w:tcPr>
            <w:tcW w:w="641" w:type="pct"/>
            <w:vMerge w:val="continue"/>
            <w:tcBorders>
              <w:tl2br w:val="nil"/>
              <w:tr2bl w:val="nil"/>
            </w:tcBorders>
            <w:vAlign w:val="center"/>
          </w:tcPr>
          <w:p w14:paraId="34F8FB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158" w:type="pct"/>
            <w:tcBorders>
              <w:tl2br w:val="nil"/>
              <w:tr2bl w:val="nil"/>
            </w:tcBorders>
            <w:vAlign w:val="center"/>
          </w:tcPr>
          <w:p w14:paraId="5AAE476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X</w:t>
            </w:r>
          </w:p>
        </w:tc>
        <w:tc>
          <w:tcPr>
            <w:tcW w:w="162" w:type="pct"/>
            <w:tcBorders>
              <w:tl2br w:val="nil"/>
              <w:tr2bl w:val="nil"/>
            </w:tcBorders>
            <w:vAlign w:val="center"/>
          </w:tcPr>
          <w:p w14:paraId="0D028C56">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w:t>
            </w:r>
          </w:p>
        </w:tc>
        <w:tc>
          <w:tcPr>
            <w:tcW w:w="144" w:type="pct"/>
            <w:tcBorders>
              <w:tl2br w:val="nil"/>
              <w:tr2bl w:val="nil"/>
            </w:tcBorders>
            <w:vAlign w:val="center"/>
          </w:tcPr>
          <w:p w14:paraId="18DEF869">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Z</w:t>
            </w:r>
          </w:p>
        </w:tc>
        <w:tc>
          <w:tcPr>
            <w:tcW w:w="143" w:type="pct"/>
            <w:tcBorders>
              <w:tl2br w:val="nil"/>
              <w:tr2bl w:val="nil"/>
            </w:tcBorders>
            <w:vAlign w:val="center"/>
          </w:tcPr>
          <w:p w14:paraId="6FA78B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w:t>
            </w:r>
          </w:p>
        </w:tc>
        <w:tc>
          <w:tcPr>
            <w:tcW w:w="163" w:type="pct"/>
            <w:tcBorders>
              <w:tl2br w:val="nil"/>
              <w:tr2bl w:val="nil"/>
            </w:tcBorders>
            <w:vAlign w:val="center"/>
          </w:tcPr>
          <w:p w14:paraId="7E0EF7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152" w:type="pct"/>
            <w:tcBorders>
              <w:tl2br w:val="nil"/>
              <w:tr2bl w:val="nil"/>
            </w:tcBorders>
            <w:vAlign w:val="center"/>
          </w:tcPr>
          <w:p w14:paraId="4D6CE0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w:t>
            </w:r>
          </w:p>
        </w:tc>
        <w:tc>
          <w:tcPr>
            <w:tcW w:w="149" w:type="pct"/>
            <w:tcBorders>
              <w:tl2br w:val="nil"/>
              <w:tr2bl w:val="nil"/>
            </w:tcBorders>
            <w:vAlign w:val="center"/>
          </w:tcPr>
          <w:p w14:paraId="2BFEB5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北</w:t>
            </w:r>
          </w:p>
        </w:tc>
        <w:tc>
          <w:tcPr>
            <w:tcW w:w="143" w:type="pct"/>
            <w:tcBorders>
              <w:tl2br w:val="nil"/>
              <w:tr2bl w:val="nil"/>
            </w:tcBorders>
            <w:vAlign w:val="center"/>
          </w:tcPr>
          <w:p w14:paraId="67C637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w:t>
            </w:r>
          </w:p>
        </w:tc>
        <w:tc>
          <w:tcPr>
            <w:tcW w:w="143" w:type="pct"/>
            <w:tcBorders>
              <w:tl2br w:val="nil"/>
              <w:tr2bl w:val="nil"/>
            </w:tcBorders>
            <w:vAlign w:val="center"/>
          </w:tcPr>
          <w:p w14:paraId="333147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143" w:type="pct"/>
            <w:tcBorders>
              <w:tl2br w:val="nil"/>
              <w:tr2bl w:val="nil"/>
            </w:tcBorders>
            <w:vAlign w:val="center"/>
          </w:tcPr>
          <w:p w14:paraId="2A634B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w:t>
            </w:r>
          </w:p>
        </w:tc>
        <w:tc>
          <w:tcPr>
            <w:tcW w:w="143" w:type="pct"/>
            <w:tcBorders>
              <w:tl2br w:val="nil"/>
              <w:tr2bl w:val="nil"/>
            </w:tcBorders>
            <w:vAlign w:val="center"/>
          </w:tcPr>
          <w:p w14:paraId="5EB126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北</w:t>
            </w:r>
          </w:p>
        </w:tc>
        <w:tc>
          <w:tcPr>
            <w:tcW w:w="177" w:type="pct"/>
            <w:vMerge w:val="continue"/>
            <w:tcBorders>
              <w:tl2br w:val="nil"/>
              <w:tr2bl w:val="nil"/>
            </w:tcBorders>
            <w:vAlign w:val="center"/>
          </w:tcPr>
          <w:p w14:paraId="04FDF4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177" w:type="pct"/>
            <w:tcBorders>
              <w:tl2br w:val="nil"/>
              <w:tr2bl w:val="nil"/>
            </w:tcBorders>
            <w:vAlign w:val="center"/>
          </w:tcPr>
          <w:p w14:paraId="49007B8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w:t>
            </w:r>
          </w:p>
        </w:tc>
        <w:tc>
          <w:tcPr>
            <w:tcW w:w="143" w:type="pct"/>
            <w:tcBorders>
              <w:tl2br w:val="nil"/>
              <w:tr2bl w:val="nil"/>
            </w:tcBorders>
            <w:vAlign w:val="center"/>
          </w:tcPr>
          <w:p w14:paraId="160654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143" w:type="pct"/>
            <w:tcBorders>
              <w:tl2br w:val="nil"/>
              <w:tr2bl w:val="nil"/>
            </w:tcBorders>
            <w:vAlign w:val="center"/>
          </w:tcPr>
          <w:p w14:paraId="6098B8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w:t>
            </w:r>
          </w:p>
        </w:tc>
        <w:tc>
          <w:tcPr>
            <w:tcW w:w="142" w:type="pct"/>
            <w:tcBorders>
              <w:tl2br w:val="nil"/>
              <w:tr2bl w:val="nil"/>
            </w:tcBorders>
            <w:vAlign w:val="center"/>
          </w:tcPr>
          <w:p w14:paraId="4CFA7E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北</w:t>
            </w:r>
          </w:p>
        </w:tc>
        <w:tc>
          <w:tcPr>
            <w:tcW w:w="177" w:type="pct"/>
            <w:tcBorders>
              <w:tl2br w:val="nil"/>
              <w:tr2bl w:val="nil"/>
            </w:tcBorders>
            <w:vAlign w:val="center"/>
          </w:tcPr>
          <w:p w14:paraId="0C8E3D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东</w:t>
            </w:r>
          </w:p>
        </w:tc>
        <w:tc>
          <w:tcPr>
            <w:tcW w:w="143" w:type="pct"/>
            <w:tcBorders>
              <w:tl2br w:val="nil"/>
              <w:tr2bl w:val="nil"/>
            </w:tcBorders>
            <w:vAlign w:val="center"/>
          </w:tcPr>
          <w:p w14:paraId="00DDFB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南</w:t>
            </w:r>
          </w:p>
        </w:tc>
        <w:tc>
          <w:tcPr>
            <w:tcW w:w="177" w:type="pct"/>
            <w:tcBorders>
              <w:tl2br w:val="nil"/>
              <w:tr2bl w:val="nil"/>
            </w:tcBorders>
            <w:vAlign w:val="center"/>
          </w:tcPr>
          <w:p w14:paraId="5AFA65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w:t>
            </w:r>
          </w:p>
        </w:tc>
        <w:tc>
          <w:tcPr>
            <w:tcW w:w="144" w:type="pct"/>
            <w:tcBorders>
              <w:tl2br w:val="nil"/>
              <w:tr2bl w:val="nil"/>
            </w:tcBorders>
            <w:vAlign w:val="center"/>
          </w:tcPr>
          <w:p w14:paraId="17AD54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北</w:t>
            </w:r>
          </w:p>
        </w:tc>
        <w:tc>
          <w:tcPr>
            <w:tcW w:w="170" w:type="pct"/>
            <w:tcBorders>
              <w:tl2br w:val="nil"/>
              <w:tr2bl w:val="nil"/>
            </w:tcBorders>
            <w:vAlign w:val="center"/>
          </w:tcPr>
          <w:p w14:paraId="4B53A9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建筑物外距离</w:t>
            </w:r>
          </w:p>
        </w:tc>
      </w:tr>
      <w:tr w14:paraId="3E1105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 w:type="pct"/>
            <w:tcBorders>
              <w:tl2br w:val="nil"/>
              <w:tr2bl w:val="nil"/>
            </w:tcBorders>
            <w:vAlign w:val="center"/>
          </w:tcPr>
          <w:p w14:paraId="1D7C81AA">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22" w:type="pct"/>
            <w:vMerge w:val="restart"/>
            <w:tcBorders>
              <w:tl2br w:val="nil"/>
              <w:tr2bl w:val="nil"/>
            </w:tcBorders>
            <w:vAlign w:val="center"/>
          </w:tcPr>
          <w:p w14:paraId="5005CF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eastAsia" w:eastAsia="宋体" w:cs="Times New Roman"/>
                <w:b w:val="0"/>
                <w:bCs w:val="0"/>
                <w:color w:val="auto"/>
                <w:kern w:val="2"/>
                <w:sz w:val="18"/>
                <w:szCs w:val="18"/>
                <w:highlight w:val="none"/>
                <w:vertAlign w:val="baseline"/>
                <w:lang w:val="en-US" w:eastAsia="zh-CN"/>
              </w:rPr>
              <w:t>生产车间</w:t>
            </w:r>
          </w:p>
        </w:tc>
        <w:tc>
          <w:tcPr>
            <w:tcW w:w="573" w:type="pct"/>
            <w:tcBorders>
              <w:tl2br w:val="nil"/>
              <w:tr2bl w:val="nil"/>
            </w:tcBorders>
            <w:vAlign w:val="center"/>
          </w:tcPr>
          <w:p w14:paraId="1C35A7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color w:val="auto"/>
                <w:sz w:val="18"/>
                <w:szCs w:val="18"/>
              </w:rPr>
              <w:t>挑选台</w:t>
            </w:r>
          </w:p>
        </w:tc>
        <w:tc>
          <w:tcPr>
            <w:tcW w:w="265" w:type="pct"/>
            <w:tcBorders>
              <w:tl2br w:val="nil"/>
              <w:tr2bl w:val="nil"/>
            </w:tcBorders>
            <w:vAlign w:val="center"/>
          </w:tcPr>
          <w:p w14:paraId="0509DD2D">
            <w:pPr>
              <w:pStyle w:val="26"/>
              <w:keepNext w:val="0"/>
              <w:keepLines w:val="0"/>
              <w:pageBreakBefore w:val="0"/>
              <w:wordWrap/>
              <w:autoSpaceDE w:val="0"/>
              <w:autoSpaceDN w:val="0"/>
              <w:bidi w:val="0"/>
              <w:adjustRightIn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70</w:t>
            </w:r>
          </w:p>
        </w:tc>
        <w:tc>
          <w:tcPr>
            <w:tcW w:w="641" w:type="pct"/>
            <w:tcBorders>
              <w:tl2br w:val="nil"/>
              <w:tr2bl w:val="nil"/>
            </w:tcBorders>
            <w:vAlign w:val="center"/>
          </w:tcPr>
          <w:p w14:paraId="43267513">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减振+建筑物隔声</w:t>
            </w:r>
          </w:p>
        </w:tc>
        <w:tc>
          <w:tcPr>
            <w:tcW w:w="158" w:type="pct"/>
            <w:tcBorders>
              <w:tl2br w:val="nil"/>
              <w:tr2bl w:val="nil"/>
            </w:tcBorders>
            <w:vAlign w:val="center"/>
          </w:tcPr>
          <w:p w14:paraId="2D634EA2">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15</w:t>
            </w:r>
          </w:p>
        </w:tc>
        <w:tc>
          <w:tcPr>
            <w:tcW w:w="162" w:type="pct"/>
            <w:tcBorders>
              <w:tl2br w:val="nil"/>
              <w:tr2bl w:val="nil"/>
            </w:tcBorders>
            <w:vAlign w:val="center"/>
          </w:tcPr>
          <w:p w14:paraId="1A65F277">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15</w:t>
            </w:r>
          </w:p>
        </w:tc>
        <w:tc>
          <w:tcPr>
            <w:tcW w:w="144" w:type="pct"/>
            <w:tcBorders>
              <w:tl2br w:val="nil"/>
              <w:tr2bl w:val="nil"/>
            </w:tcBorders>
            <w:vAlign w:val="center"/>
          </w:tcPr>
          <w:p w14:paraId="4FDFA1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143" w:type="pct"/>
            <w:tcBorders>
              <w:tl2br w:val="nil"/>
              <w:tr2bl w:val="nil"/>
            </w:tcBorders>
            <w:vAlign w:val="center"/>
          </w:tcPr>
          <w:p w14:paraId="3076A241">
            <w:pPr>
              <w:keepNext w:val="0"/>
              <w:keepLines w:val="0"/>
              <w:pageBreakBefore w:val="0"/>
              <w:widowControl/>
              <w:suppressLineNumbers w:val="0"/>
              <w:wordWrap/>
              <w:autoSpaceDE w:val="0"/>
              <w:autoSpaceDN w:val="0"/>
              <w:bidi w:val="0"/>
              <w:adjustRightInd w:val="0"/>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14</w:t>
            </w:r>
          </w:p>
        </w:tc>
        <w:tc>
          <w:tcPr>
            <w:tcW w:w="163" w:type="pct"/>
            <w:tcBorders>
              <w:tl2br w:val="nil"/>
              <w:tr2bl w:val="nil"/>
            </w:tcBorders>
            <w:vAlign w:val="center"/>
          </w:tcPr>
          <w:p w14:paraId="31C3993E">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55</w:t>
            </w:r>
          </w:p>
        </w:tc>
        <w:tc>
          <w:tcPr>
            <w:tcW w:w="152" w:type="pct"/>
            <w:tcBorders>
              <w:tl2br w:val="nil"/>
              <w:tr2bl w:val="nil"/>
            </w:tcBorders>
            <w:vAlign w:val="center"/>
          </w:tcPr>
          <w:p w14:paraId="45A082A9">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14</w:t>
            </w:r>
          </w:p>
        </w:tc>
        <w:tc>
          <w:tcPr>
            <w:tcW w:w="483" w:type="dxa"/>
            <w:tcBorders>
              <w:tl2br w:val="nil"/>
              <w:tr2bl w:val="nil"/>
            </w:tcBorders>
            <w:vAlign w:val="center"/>
          </w:tcPr>
          <w:p w14:paraId="4F216AEC">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15</w:t>
            </w:r>
          </w:p>
        </w:tc>
        <w:tc>
          <w:tcPr>
            <w:tcW w:w="426" w:type="dxa"/>
            <w:tcBorders>
              <w:tl2br w:val="nil"/>
              <w:tr2bl w:val="nil"/>
            </w:tcBorders>
            <w:vAlign w:val="center"/>
          </w:tcPr>
          <w:p w14:paraId="0D9247C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47.1 </w:t>
            </w:r>
          </w:p>
        </w:tc>
        <w:tc>
          <w:tcPr>
            <w:tcW w:w="445" w:type="dxa"/>
            <w:tcBorders>
              <w:tl2br w:val="nil"/>
              <w:tr2bl w:val="nil"/>
            </w:tcBorders>
            <w:vAlign w:val="center"/>
          </w:tcPr>
          <w:p w14:paraId="4BEA9852">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35.2 </w:t>
            </w:r>
          </w:p>
        </w:tc>
        <w:tc>
          <w:tcPr>
            <w:tcW w:w="445" w:type="dxa"/>
            <w:tcBorders>
              <w:tl2br w:val="nil"/>
              <w:tr2bl w:val="nil"/>
            </w:tcBorders>
            <w:vAlign w:val="center"/>
          </w:tcPr>
          <w:p w14:paraId="414BFE15">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47.1 </w:t>
            </w:r>
          </w:p>
        </w:tc>
        <w:tc>
          <w:tcPr>
            <w:tcW w:w="468" w:type="dxa"/>
            <w:tcBorders>
              <w:tl2br w:val="nil"/>
              <w:tr2bl w:val="nil"/>
            </w:tcBorders>
            <w:vAlign w:val="center"/>
          </w:tcPr>
          <w:p w14:paraId="34839E7C">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46.5 </w:t>
            </w:r>
          </w:p>
        </w:tc>
        <w:tc>
          <w:tcPr>
            <w:tcW w:w="177" w:type="pct"/>
            <w:vMerge w:val="restart"/>
            <w:tcBorders>
              <w:tl2br w:val="nil"/>
              <w:tr2bl w:val="nil"/>
            </w:tcBorders>
            <w:vAlign w:val="center"/>
          </w:tcPr>
          <w:p w14:paraId="1F0F826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1440h</w:t>
            </w:r>
          </w:p>
        </w:tc>
        <w:tc>
          <w:tcPr>
            <w:tcW w:w="177" w:type="pct"/>
            <w:tcBorders>
              <w:tl2br w:val="nil"/>
              <w:tr2bl w:val="nil"/>
            </w:tcBorders>
            <w:vAlign w:val="center"/>
          </w:tcPr>
          <w:p w14:paraId="61E8310E">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1B8DCFBA">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1FE48C1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2" w:type="pct"/>
            <w:tcBorders>
              <w:tl2br w:val="nil"/>
              <w:tr2bl w:val="nil"/>
            </w:tcBorders>
            <w:vAlign w:val="center"/>
          </w:tcPr>
          <w:p w14:paraId="02EC3F83">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524" w:type="dxa"/>
            <w:tcBorders>
              <w:tl2br w:val="nil"/>
              <w:tr2bl w:val="nil"/>
            </w:tcBorders>
            <w:vAlign w:val="center"/>
          </w:tcPr>
          <w:p w14:paraId="4FAD14EC">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27.1 </w:t>
            </w:r>
          </w:p>
        </w:tc>
        <w:tc>
          <w:tcPr>
            <w:tcW w:w="446" w:type="dxa"/>
            <w:tcBorders>
              <w:tl2br w:val="nil"/>
              <w:tr2bl w:val="nil"/>
            </w:tcBorders>
            <w:vAlign w:val="center"/>
          </w:tcPr>
          <w:p w14:paraId="11DD05DA">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15.2 </w:t>
            </w:r>
          </w:p>
        </w:tc>
        <w:tc>
          <w:tcPr>
            <w:tcW w:w="550" w:type="dxa"/>
            <w:tcBorders>
              <w:tl2br w:val="nil"/>
              <w:tr2bl w:val="nil"/>
            </w:tcBorders>
            <w:vAlign w:val="center"/>
          </w:tcPr>
          <w:p w14:paraId="37BB82B0">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27.1 </w:t>
            </w:r>
          </w:p>
        </w:tc>
        <w:tc>
          <w:tcPr>
            <w:tcW w:w="447" w:type="dxa"/>
            <w:tcBorders>
              <w:tl2br w:val="nil"/>
              <w:tr2bl w:val="nil"/>
            </w:tcBorders>
            <w:vAlign w:val="center"/>
          </w:tcPr>
          <w:p w14:paraId="3722C7AC">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26.5 </w:t>
            </w:r>
          </w:p>
        </w:tc>
        <w:tc>
          <w:tcPr>
            <w:tcW w:w="170" w:type="pct"/>
            <w:tcBorders>
              <w:tl2br w:val="nil"/>
              <w:tr2bl w:val="nil"/>
            </w:tcBorders>
            <w:vAlign w:val="center"/>
          </w:tcPr>
          <w:p w14:paraId="3A348775">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7F724D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vAlign w:val="center"/>
          </w:tcPr>
          <w:p w14:paraId="10629C0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22" w:type="pct"/>
            <w:vMerge w:val="continue"/>
            <w:tcBorders>
              <w:tl2br w:val="nil"/>
              <w:tr2bl w:val="nil"/>
            </w:tcBorders>
            <w:vAlign w:val="center"/>
          </w:tcPr>
          <w:p w14:paraId="4BFC37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573" w:type="pct"/>
            <w:tcBorders>
              <w:tl2br w:val="nil"/>
              <w:tr2bl w:val="nil"/>
            </w:tcBorders>
            <w:vAlign w:val="center"/>
          </w:tcPr>
          <w:p w14:paraId="52C3CA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18"/>
                <w:szCs w:val="18"/>
                <w:lang w:val="en-US" w:eastAsia="zh-CN" w:bidi="ar-SA"/>
              </w:rPr>
            </w:pPr>
            <w:r>
              <w:rPr>
                <w:rFonts w:hint="eastAsia"/>
                <w:color w:val="auto"/>
                <w:sz w:val="18"/>
                <w:szCs w:val="18"/>
              </w:rPr>
              <w:t>提升机</w:t>
            </w:r>
          </w:p>
        </w:tc>
        <w:tc>
          <w:tcPr>
            <w:tcW w:w="265" w:type="pct"/>
            <w:tcBorders>
              <w:tl2br w:val="nil"/>
              <w:tr2bl w:val="nil"/>
            </w:tcBorders>
            <w:vAlign w:val="center"/>
          </w:tcPr>
          <w:p w14:paraId="2176A578">
            <w:pPr>
              <w:keepNext w:val="0"/>
              <w:keepLines w:val="0"/>
              <w:pageBreakBefore w:val="0"/>
              <w:wordWrap/>
              <w:autoSpaceDE w:val="0"/>
              <w:autoSpaceDN w:val="0"/>
              <w:bidi w:val="0"/>
              <w:adjustRightIn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75</w:t>
            </w:r>
          </w:p>
        </w:tc>
        <w:tc>
          <w:tcPr>
            <w:tcW w:w="641" w:type="pct"/>
            <w:tcBorders>
              <w:tl2br w:val="nil"/>
              <w:tr2bl w:val="nil"/>
            </w:tcBorders>
            <w:vAlign w:val="center"/>
          </w:tcPr>
          <w:p w14:paraId="2E4A1B06">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减振+建筑物隔声</w:t>
            </w:r>
          </w:p>
        </w:tc>
        <w:tc>
          <w:tcPr>
            <w:tcW w:w="158" w:type="pct"/>
            <w:tcBorders>
              <w:tl2br w:val="nil"/>
              <w:tr2bl w:val="nil"/>
            </w:tcBorders>
            <w:vAlign w:val="center"/>
          </w:tcPr>
          <w:p w14:paraId="08B417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eastAsia="宋体" w:cs="Times New Roman"/>
                <w:color w:val="auto"/>
                <w:spacing w:val="-1"/>
                <w:sz w:val="18"/>
                <w:szCs w:val="18"/>
                <w:highlight w:val="none"/>
                <w:lang w:val="en-US" w:eastAsia="zh-CN"/>
              </w:rPr>
              <w:t>11</w:t>
            </w:r>
          </w:p>
        </w:tc>
        <w:tc>
          <w:tcPr>
            <w:tcW w:w="162" w:type="pct"/>
            <w:tcBorders>
              <w:tl2br w:val="nil"/>
              <w:tr2bl w:val="nil"/>
            </w:tcBorders>
            <w:vAlign w:val="center"/>
          </w:tcPr>
          <w:p w14:paraId="7E58CDE5">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20</w:t>
            </w:r>
          </w:p>
        </w:tc>
        <w:tc>
          <w:tcPr>
            <w:tcW w:w="144" w:type="pct"/>
            <w:tcBorders>
              <w:tl2br w:val="nil"/>
              <w:tr2bl w:val="nil"/>
            </w:tcBorders>
            <w:vAlign w:val="center"/>
          </w:tcPr>
          <w:p w14:paraId="12F59A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430" w:type="dxa"/>
            <w:tcBorders>
              <w:tl2br w:val="nil"/>
              <w:tr2bl w:val="nil"/>
            </w:tcBorders>
            <w:vAlign w:val="center"/>
          </w:tcPr>
          <w:p w14:paraId="3084880D">
            <w:pPr>
              <w:keepNext w:val="0"/>
              <w:keepLines w:val="0"/>
              <w:pageBreakBefore w:val="0"/>
              <w:widowControl/>
              <w:suppressLineNumbers w:val="0"/>
              <w:wordWrap/>
              <w:autoSpaceDE w:val="0"/>
              <w:autoSpaceDN w:val="0"/>
              <w:bidi w:val="0"/>
              <w:adjustRightInd w:val="0"/>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14</w:t>
            </w:r>
          </w:p>
        </w:tc>
        <w:tc>
          <w:tcPr>
            <w:tcW w:w="506" w:type="dxa"/>
            <w:tcBorders>
              <w:tl2br w:val="nil"/>
              <w:tr2bl w:val="nil"/>
            </w:tcBorders>
            <w:vAlign w:val="center"/>
          </w:tcPr>
          <w:p w14:paraId="7228327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w:t>
            </w:r>
          </w:p>
        </w:tc>
        <w:tc>
          <w:tcPr>
            <w:tcW w:w="472" w:type="dxa"/>
            <w:tcBorders>
              <w:tl2br w:val="nil"/>
              <w:tr2bl w:val="nil"/>
            </w:tcBorders>
            <w:vAlign w:val="center"/>
          </w:tcPr>
          <w:p w14:paraId="123EB212">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14</w:t>
            </w:r>
          </w:p>
        </w:tc>
        <w:tc>
          <w:tcPr>
            <w:tcW w:w="483" w:type="dxa"/>
            <w:tcBorders>
              <w:tl2br w:val="nil"/>
              <w:tr2bl w:val="nil"/>
            </w:tcBorders>
            <w:vAlign w:val="center"/>
          </w:tcPr>
          <w:p w14:paraId="2A99B56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20</w:t>
            </w:r>
          </w:p>
        </w:tc>
        <w:tc>
          <w:tcPr>
            <w:tcW w:w="426" w:type="dxa"/>
            <w:tcBorders>
              <w:tl2br w:val="nil"/>
              <w:tr2bl w:val="nil"/>
            </w:tcBorders>
            <w:vAlign w:val="center"/>
          </w:tcPr>
          <w:p w14:paraId="158B2C2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52.1 </w:t>
            </w:r>
          </w:p>
        </w:tc>
        <w:tc>
          <w:tcPr>
            <w:tcW w:w="445" w:type="dxa"/>
            <w:tcBorders>
              <w:tl2br w:val="nil"/>
              <w:tr2bl w:val="nil"/>
            </w:tcBorders>
            <w:vAlign w:val="center"/>
          </w:tcPr>
          <w:p w14:paraId="1504D5C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41.0 </w:t>
            </w:r>
          </w:p>
        </w:tc>
        <w:tc>
          <w:tcPr>
            <w:tcW w:w="445" w:type="dxa"/>
            <w:tcBorders>
              <w:tl2br w:val="nil"/>
              <w:tr2bl w:val="nil"/>
            </w:tcBorders>
            <w:vAlign w:val="center"/>
          </w:tcPr>
          <w:p w14:paraId="155D030E">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52.1 </w:t>
            </w:r>
          </w:p>
        </w:tc>
        <w:tc>
          <w:tcPr>
            <w:tcW w:w="468" w:type="dxa"/>
            <w:tcBorders>
              <w:tl2br w:val="nil"/>
              <w:tr2bl w:val="nil"/>
            </w:tcBorders>
            <w:vAlign w:val="center"/>
          </w:tcPr>
          <w:p w14:paraId="37F46350">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49.0 </w:t>
            </w:r>
          </w:p>
        </w:tc>
        <w:tc>
          <w:tcPr>
            <w:tcW w:w="177" w:type="pct"/>
            <w:vMerge w:val="continue"/>
            <w:tcBorders>
              <w:tl2br w:val="nil"/>
              <w:tr2bl w:val="nil"/>
            </w:tcBorders>
            <w:vAlign w:val="center"/>
          </w:tcPr>
          <w:p w14:paraId="1852E2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177" w:type="pct"/>
            <w:tcBorders>
              <w:tl2br w:val="nil"/>
              <w:tr2bl w:val="nil"/>
            </w:tcBorders>
            <w:vAlign w:val="center"/>
          </w:tcPr>
          <w:p w14:paraId="0BEE6EC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6EE4A64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0785E4A6">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142" w:type="pct"/>
            <w:tcBorders>
              <w:tl2br w:val="nil"/>
              <w:tr2bl w:val="nil"/>
            </w:tcBorders>
            <w:vAlign w:val="center"/>
          </w:tcPr>
          <w:p w14:paraId="206D4539">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524" w:type="dxa"/>
            <w:tcBorders>
              <w:tl2br w:val="nil"/>
              <w:tr2bl w:val="nil"/>
            </w:tcBorders>
            <w:vAlign w:val="center"/>
          </w:tcPr>
          <w:p w14:paraId="74C08AD5">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32.1 </w:t>
            </w:r>
          </w:p>
        </w:tc>
        <w:tc>
          <w:tcPr>
            <w:tcW w:w="446" w:type="dxa"/>
            <w:tcBorders>
              <w:tl2br w:val="nil"/>
              <w:tr2bl w:val="nil"/>
            </w:tcBorders>
            <w:vAlign w:val="center"/>
          </w:tcPr>
          <w:p w14:paraId="49D572C9">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550" w:type="dxa"/>
            <w:tcBorders>
              <w:tl2br w:val="nil"/>
              <w:tr2bl w:val="nil"/>
            </w:tcBorders>
            <w:vAlign w:val="center"/>
          </w:tcPr>
          <w:p w14:paraId="25E188A3">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32.1 </w:t>
            </w:r>
          </w:p>
        </w:tc>
        <w:tc>
          <w:tcPr>
            <w:tcW w:w="447" w:type="dxa"/>
            <w:tcBorders>
              <w:tl2br w:val="nil"/>
              <w:tr2bl w:val="nil"/>
            </w:tcBorders>
            <w:vAlign w:val="center"/>
          </w:tcPr>
          <w:p w14:paraId="659B3AB3">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29.0 </w:t>
            </w:r>
          </w:p>
        </w:tc>
        <w:tc>
          <w:tcPr>
            <w:tcW w:w="170" w:type="pct"/>
            <w:tcBorders>
              <w:tl2br w:val="nil"/>
              <w:tr2bl w:val="nil"/>
            </w:tcBorders>
            <w:vAlign w:val="center"/>
          </w:tcPr>
          <w:p w14:paraId="5552E3DE">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4CA9E6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vAlign w:val="center"/>
          </w:tcPr>
          <w:p w14:paraId="488E131E">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122" w:type="pct"/>
            <w:vMerge w:val="continue"/>
            <w:tcBorders>
              <w:tl2br w:val="nil"/>
              <w:tr2bl w:val="nil"/>
            </w:tcBorders>
            <w:vAlign w:val="center"/>
          </w:tcPr>
          <w:p w14:paraId="289E64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573" w:type="pct"/>
            <w:tcBorders>
              <w:tl2br w:val="nil"/>
              <w:tr2bl w:val="nil"/>
            </w:tcBorders>
            <w:vAlign w:val="center"/>
          </w:tcPr>
          <w:p w14:paraId="218F96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18"/>
                <w:szCs w:val="18"/>
                <w:lang w:val="en-US" w:eastAsia="zh-CN" w:bidi="ar-SA"/>
              </w:rPr>
            </w:pPr>
            <w:r>
              <w:rPr>
                <w:rFonts w:hint="eastAsia"/>
                <w:color w:val="auto"/>
                <w:sz w:val="18"/>
                <w:szCs w:val="18"/>
              </w:rPr>
              <w:t>去梗机</w:t>
            </w:r>
          </w:p>
        </w:tc>
        <w:tc>
          <w:tcPr>
            <w:tcW w:w="265" w:type="pct"/>
            <w:tcBorders>
              <w:tl2br w:val="nil"/>
              <w:tr2bl w:val="nil"/>
            </w:tcBorders>
            <w:vAlign w:val="center"/>
          </w:tcPr>
          <w:p w14:paraId="39619CF4">
            <w:pPr>
              <w:keepNext w:val="0"/>
              <w:keepLines w:val="0"/>
              <w:pageBreakBefore w:val="0"/>
              <w:wordWrap/>
              <w:autoSpaceDE w:val="0"/>
              <w:autoSpaceDN w:val="0"/>
              <w:bidi w:val="0"/>
              <w:adjustRightInd w:val="0"/>
              <w:spacing w:line="240" w:lineRule="auto"/>
              <w:ind w:firstLine="0" w:firstLineChars="0"/>
              <w:jc w:val="center"/>
              <w:rPr>
                <w:rFonts w:hint="default" w:ascii="Times New Roman" w:hAnsi="Times New Roman" w:eastAsia="宋体" w:cs="Times New Roman"/>
                <w:color w:val="auto"/>
                <w:spacing w:val="-2"/>
                <w:sz w:val="18"/>
                <w:szCs w:val="18"/>
                <w:lang w:val="en-US" w:eastAsia="zh-CN"/>
              </w:rPr>
            </w:pPr>
            <w:r>
              <w:rPr>
                <w:rFonts w:hint="eastAsia" w:eastAsia="宋体" w:cs="Times New Roman"/>
                <w:color w:val="auto"/>
                <w:spacing w:val="-2"/>
                <w:sz w:val="18"/>
                <w:szCs w:val="18"/>
                <w:lang w:val="en-US" w:eastAsia="zh-CN"/>
              </w:rPr>
              <w:t>75</w:t>
            </w:r>
          </w:p>
        </w:tc>
        <w:tc>
          <w:tcPr>
            <w:tcW w:w="641" w:type="pct"/>
            <w:tcBorders>
              <w:tl2br w:val="nil"/>
              <w:tr2bl w:val="nil"/>
            </w:tcBorders>
            <w:vAlign w:val="center"/>
          </w:tcPr>
          <w:p w14:paraId="294810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减振+建筑物隔声</w:t>
            </w:r>
          </w:p>
        </w:tc>
        <w:tc>
          <w:tcPr>
            <w:tcW w:w="158" w:type="pct"/>
            <w:tcBorders>
              <w:tl2br w:val="nil"/>
              <w:tr2bl w:val="nil"/>
            </w:tcBorders>
            <w:vAlign w:val="center"/>
          </w:tcPr>
          <w:p w14:paraId="711D2C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eastAsia="宋体" w:cs="Times New Roman"/>
                <w:color w:val="auto"/>
                <w:spacing w:val="-1"/>
                <w:sz w:val="18"/>
                <w:szCs w:val="18"/>
                <w:highlight w:val="none"/>
                <w:lang w:val="en-US" w:eastAsia="zh-CN"/>
              </w:rPr>
              <w:t>7</w:t>
            </w:r>
          </w:p>
        </w:tc>
        <w:tc>
          <w:tcPr>
            <w:tcW w:w="162" w:type="pct"/>
            <w:tcBorders>
              <w:tl2br w:val="nil"/>
              <w:tr2bl w:val="nil"/>
            </w:tcBorders>
            <w:vAlign w:val="center"/>
          </w:tcPr>
          <w:p w14:paraId="0194C914">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25</w:t>
            </w:r>
          </w:p>
        </w:tc>
        <w:tc>
          <w:tcPr>
            <w:tcW w:w="144" w:type="pct"/>
            <w:tcBorders>
              <w:tl2br w:val="nil"/>
              <w:tr2bl w:val="nil"/>
            </w:tcBorders>
            <w:vAlign w:val="center"/>
          </w:tcPr>
          <w:p w14:paraId="206283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430" w:type="dxa"/>
            <w:tcBorders>
              <w:tl2br w:val="nil"/>
              <w:tr2bl w:val="nil"/>
            </w:tcBorders>
            <w:vAlign w:val="center"/>
          </w:tcPr>
          <w:p w14:paraId="31C97D49">
            <w:pPr>
              <w:keepNext w:val="0"/>
              <w:keepLines w:val="0"/>
              <w:pageBreakBefore w:val="0"/>
              <w:widowControl/>
              <w:suppressLineNumbers w:val="0"/>
              <w:wordWrap/>
              <w:autoSpaceDE w:val="0"/>
              <w:autoSpaceDN w:val="0"/>
              <w:bidi w:val="0"/>
              <w:adjustRightInd w:val="0"/>
              <w:ind w:firstLine="0" w:firstLineChars="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506" w:type="dxa"/>
            <w:tcBorders>
              <w:tl2br w:val="nil"/>
              <w:tr2bl w:val="nil"/>
            </w:tcBorders>
            <w:vAlign w:val="center"/>
          </w:tcPr>
          <w:p w14:paraId="62908B7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ascii="Times New Roman" w:hAnsi="Times New Roman" w:eastAsia="宋体" w:cs="Times New Roman"/>
                <w:color w:val="auto"/>
                <w:spacing w:val="-2"/>
                <w:sz w:val="18"/>
                <w:szCs w:val="18"/>
                <w:highlight w:val="none"/>
                <w:lang w:val="en-US" w:eastAsia="zh-CN"/>
              </w:rPr>
              <w:t>45</w:t>
            </w:r>
          </w:p>
        </w:tc>
        <w:tc>
          <w:tcPr>
            <w:tcW w:w="472" w:type="dxa"/>
            <w:tcBorders>
              <w:tl2br w:val="nil"/>
              <w:tr2bl w:val="nil"/>
            </w:tcBorders>
            <w:vAlign w:val="center"/>
          </w:tcPr>
          <w:p w14:paraId="48DE087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483" w:type="dxa"/>
            <w:tcBorders>
              <w:tl2br w:val="nil"/>
              <w:tr2bl w:val="nil"/>
            </w:tcBorders>
            <w:vAlign w:val="center"/>
          </w:tcPr>
          <w:p w14:paraId="12116CEF">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25</w:t>
            </w:r>
          </w:p>
        </w:tc>
        <w:tc>
          <w:tcPr>
            <w:tcW w:w="426" w:type="dxa"/>
            <w:tcBorders>
              <w:tl2br w:val="nil"/>
              <w:tr2bl w:val="nil"/>
            </w:tcBorders>
            <w:vAlign w:val="center"/>
          </w:tcPr>
          <w:p w14:paraId="2777ACDB">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52.1 </w:t>
            </w:r>
          </w:p>
        </w:tc>
        <w:tc>
          <w:tcPr>
            <w:tcW w:w="445" w:type="dxa"/>
            <w:tcBorders>
              <w:tl2br w:val="nil"/>
              <w:tr2bl w:val="nil"/>
            </w:tcBorders>
            <w:vAlign w:val="center"/>
          </w:tcPr>
          <w:p w14:paraId="069F8C26">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41.9 </w:t>
            </w:r>
          </w:p>
        </w:tc>
        <w:tc>
          <w:tcPr>
            <w:tcW w:w="445" w:type="dxa"/>
            <w:tcBorders>
              <w:tl2br w:val="nil"/>
              <w:tr2bl w:val="nil"/>
            </w:tcBorders>
            <w:vAlign w:val="center"/>
          </w:tcPr>
          <w:p w14:paraId="3F4430CB">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52.1 </w:t>
            </w:r>
          </w:p>
        </w:tc>
        <w:tc>
          <w:tcPr>
            <w:tcW w:w="468" w:type="dxa"/>
            <w:tcBorders>
              <w:tl2br w:val="nil"/>
              <w:tr2bl w:val="nil"/>
            </w:tcBorders>
            <w:vAlign w:val="center"/>
          </w:tcPr>
          <w:p w14:paraId="0E64D017">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47.0 </w:t>
            </w:r>
          </w:p>
        </w:tc>
        <w:tc>
          <w:tcPr>
            <w:tcW w:w="177" w:type="pct"/>
            <w:vMerge w:val="continue"/>
            <w:tcBorders>
              <w:tl2br w:val="nil"/>
              <w:tr2bl w:val="nil"/>
            </w:tcBorders>
            <w:vAlign w:val="center"/>
          </w:tcPr>
          <w:p w14:paraId="3D121C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3"/>
                <w:sz w:val="18"/>
                <w:szCs w:val="18"/>
              </w:rPr>
            </w:pPr>
          </w:p>
        </w:tc>
        <w:tc>
          <w:tcPr>
            <w:tcW w:w="177" w:type="pct"/>
            <w:tcBorders>
              <w:tl2br w:val="nil"/>
              <w:tr2bl w:val="nil"/>
            </w:tcBorders>
            <w:vAlign w:val="center"/>
          </w:tcPr>
          <w:p w14:paraId="5AC754E9">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39A1F140">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4FA9109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2" w:type="pct"/>
            <w:tcBorders>
              <w:tl2br w:val="nil"/>
              <w:tr2bl w:val="nil"/>
            </w:tcBorders>
            <w:vAlign w:val="center"/>
          </w:tcPr>
          <w:p w14:paraId="2BC1F19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524" w:type="dxa"/>
            <w:tcBorders>
              <w:tl2br w:val="nil"/>
              <w:tr2bl w:val="nil"/>
            </w:tcBorders>
            <w:vAlign w:val="center"/>
          </w:tcPr>
          <w:p w14:paraId="3DD2D2C6">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32.1 </w:t>
            </w:r>
          </w:p>
        </w:tc>
        <w:tc>
          <w:tcPr>
            <w:tcW w:w="446" w:type="dxa"/>
            <w:tcBorders>
              <w:tl2br w:val="nil"/>
              <w:tr2bl w:val="nil"/>
            </w:tcBorders>
            <w:vAlign w:val="center"/>
          </w:tcPr>
          <w:p w14:paraId="09C040C4">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21.9 </w:t>
            </w:r>
          </w:p>
        </w:tc>
        <w:tc>
          <w:tcPr>
            <w:tcW w:w="550" w:type="dxa"/>
            <w:tcBorders>
              <w:tl2br w:val="nil"/>
              <w:tr2bl w:val="nil"/>
            </w:tcBorders>
            <w:vAlign w:val="center"/>
          </w:tcPr>
          <w:p w14:paraId="517F1BAC">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32.1 </w:t>
            </w:r>
          </w:p>
        </w:tc>
        <w:tc>
          <w:tcPr>
            <w:tcW w:w="447" w:type="dxa"/>
            <w:tcBorders>
              <w:tl2br w:val="nil"/>
              <w:tr2bl w:val="nil"/>
            </w:tcBorders>
            <w:vAlign w:val="center"/>
          </w:tcPr>
          <w:p w14:paraId="7812A76E">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27.0 </w:t>
            </w:r>
          </w:p>
        </w:tc>
        <w:tc>
          <w:tcPr>
            <w:tcW w:w="170" w:type="pct"/>
            <w:tcBorders>
              <w:tl2br w:val="nil"/>
              <w:tr2bl w:val="nil"/>
            </w:tcBorders>
            <w:vAlign w:val="center"/>
          </w:tcPr>
          <w:p w14:paraId="04EBC0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07DB82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vAlign w:val="center"/>
          </w:tcPr>
          <w:p w14:paraId="4F7D0FA7">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122" w:type="pct"/>
            <w:vMerge w:val="continue"/>
            <w:tcBorders>
              <w:tl2br w:val="nil"/>
              <w:tr2bl w:val="nil"/>
            </w:tcBorders>
            <w:vAlign w:val="center"/>
          </w:tcPr>
          <w:p w14:paraId="484685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573" w:type="pct"/>
            <w:tcBorders>
              <w:tl2br w:val="nil"/>
              <w:tr2bl w:val="nil"/>
            </w:tcBorders>
            <w:vAlign w:val="center"/>
          </w:tcPr>
          <w:p w14:paraId="212B6E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18"/>
                <w:szCs w:val="18"/>
                <w:lang w:val="en-US" w:eastAsia="zh-CN" w:bidi="ar-SA"/>
              </w:rPr>
            </w:pPr>
            <w:r>
              <w:rPr>
                <w:rFonts w:hint="eastAsia"/>
                <w:color w:val="auto"/>
                <w:sz w:val="18"/>
                <w:szCs w:val="18"/>
              </w:rPr>
              <w:t>破碎机</w:t>
            </w:r>
          </w:p>
        </w:tc>
        <w:tc>
          <w:tcPr>
            <w:tcW w:w="265" w:type="pct"/>
            <w:tcBorders>
              <w:tl2br w:val="nil"/>
              <w:tr2bl w:val="nil"/>
            </w:tcBorders>
            <w:vAlign w:val="center"/>
          </w:tcPr>
          <w:p w14:paraId="262A5E9C">
            <w:pPr>
              <w:keepNext w:val="0"/>
              <w:keepLines w:val="0"/>
              <w:pageBreakBefore w:val="0"/>
              <w:wordWrap/>
              <w:autoSpaceDE w:val="0"/>
              <w:autoSpaceDN w:val="0"/>
              <w:bidi w:val="0"/>
              <w:adjustRightInd w:val="0"/>
              <w:spacing w:line="240" w:lineRule="auto"/>
              <w:ind w:firstLine="0" w:firstLineChars="0"/>
              <w:jc w:val="center"/>
              <w:rPr>
                <w:rFonts w:hint="default" w:ascii="Times New Roman" w:hAnsi="Times New Roman" w:eastAsia="宋体" w:cs="Times New Roman"/>
                <w:color w:val="auto"/>
                <w:spacing w:val="-2"/>
                <w:sz w:val="18"/>
                <w:szCs w:val="18"/>
                <w:lang w:val="en-US" w:eastAsia="zh-CN"/>
              </w:rPr>
            </w:pPr>
            <w:r>
              <w:rPr>
                <w:rFonts w:hint="eastAsia" w:eastAsia="宋体" w:cs="Times New Roman"/>
                <w:color w:val="auto"/>
                <w:spacing w:val="-2"/>
                <w:sz w:val="18"/>
                <w:szCs w:val="18"/>
                <w:lang w:val="en-US" w:eastAsia="zh-CN"/>
              </w:rPr>
              <w:t>85</w:t>
            </w:r>
          </w:p>
        </w:tc>
        <w:tc>
          <w:tcPr>
            <w:tcW w:w="641" w:type="pct"/>
            <w:tcBorders>
              <w:tl2br w:val="nil"/>
              <w:tr2bl w:val="nil"/>
            </w:tcBorders>
            <w:vAlign w:val="center"/>
          </w:tcPr>
          <w:p w14:paraId="4664C8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减振+建筑物隔声</w:t>
            </w:r>
          </w:p>
        </w:tc>
        <w:tc>
          <w:tcPr>
            <w:tcW w:w="158" w:type="pct"/>
            <w:tcBorders>
              <w:tl2br w:val="nil"/>
              <w:tr2bl w:val="nil"/>
            </w:tcBorders>
            <w:vAlign w:val="center"/>
          </w:tcPr>
          <w:p w14:paraId="43BED0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eastAsia="宋体" w:cs="Times New Roman"/>
                <w:color w:val="auto"/>
                <w:spacing w:val="-1"/>
                <w:sz w:val="18"/>
                <w:szCs w:val="18"/>
                <w:highlight w:val="none"/>
                <w:lang w:val="en-US" w:eastAsia="zh-CN"/>
              </w:rPr>
              <w:t>3</w:t>
            </w:r>
          </w:p>
        </w:tc>
        <w:tc>
          <w:tcPr>
            <w:tcW w:w="162" w:type="pct"/>
            <w:tcBorders>
              <w:tl2br w:val="nil"/>
              <w:tr2bl w:val="nil"/>
            </w:tcBorders>
            <w:vAlign w:val="center"/>
          </w:tcPr>
          <w:p w14:paraId="3DBA18F9">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30</w:t>
            </w:r>
          </w:p>
        </w:tc>
        <w:tc>
          <w:tcPr>
            <w:tcW w:w="144" w:type="pct"/>
            <w:tcBorders>
              <w:tl2br w:val="nil"/>
              <w:tr2bl w:val="nil"/>
            </w:tcBorders>
            <w:vAlign w:val="center"/>
          </w:tcPr>
          <w:p w14:paraId="153621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430" w:type="dxa"/>
            <w:tcBorders>
              <w:tl2br w:val="nil"/>
              <w:tr2bl w:val="nil"/>
            </w:tcBorders>
            <w:vAlign w:val="center"/>
          </w:tcPr>
          <w:p w14:paraId="5CEC5481">
            <w:pPr>
              <w:keepNext w:val="0"/>
              <w:keepLines w:val="0"/>
              <w:pageBreakBefore w:val="0"/>
              <w:widowControl/>
              <w:suppressLineNumbers w:val="0"/>
              <w:wordWrap/>
              <w:autoSpaceDE w:val="0"/>
              <w:autoSpaceDN w:val="0"/>
              <w:bidi w:val="0"/>
              <w:adjustRightInd w:val="0"/>
              <w:ind w:firstLine="0" w:firstLineChars="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506" w:type="dxa"/>
            <w:tcBorders>
              <w:tl2br w:val="nil"/>
              <w:tr2bl w:val="nil"/>
            </w:tcBorders>
            <w:vAlign w:val="center"/>
          </w:tcPr>
          <w:p w14:paraId="2D485537">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ascii="Times New Roman" w:hAnsi="Times New Roman" w:eastAsia="宋体" w:cs="Times New Roman"/>
                <w:color w:val="auto"/>
                <w:spacing w:val="-2"/>
                <w:sz w:val="18"/>
                <w:szCs w:val="18"/>
                <w:highlight w:val="none"/>
                <w:lang w:val="en-US" w:eastAsia="zh-CN"/>
              </w:rPr>
              <w:t>40</w:t>
            </w:r>
          </w:p>
        </w:tc>
        <w:tc>
          <w:tcPr>
            <w:tcW w:w="472" w:type="dxa"/>
            <w:tcBorders>
              <w:tl2br w:val="nil"/>
              <w:tr2bl w:val="nil"/>
            </w:tcBorders>
            <w:vAlign w:val="center"/>
          </w:tcPr>
          <w:p w14:paraId="0F76F5A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483" w:type="dxa"/>
            <w:tcBorders>
              <w:tl2br w:val="nil"/>
              <w:tr2bl w:val="nil"/>
            </w:tcBorders>
            <w:vAlign w:val="center"/>
          </w:tcPr>
          <w:p w14:paraId="3580C083">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30</w:t>
            </w:r>
          </w:p>
        </w:tc>
        <w:tc>
          <w:tcPr>
            <w:tcW w:w="426" w:type="dxa"/>
            <w:tcBorders>
              <w:tl2br w:val="nil"/>
              <w:tr2bl w:val="nil"/>
            </w:tcBorders>
            <w:vAlign w:val="center"/>
          </w:tcPr>
          <w:p w14:paraId="358C51B0">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62.1 </w:t>
            </w:r>
          </w:p>
        </w:tc>
        <w:tc>
          <w:tcPr>
            <w:tcW w:w="445" w:type="dxa"/>
            <w:tcBorders>
              <w:tl2br w:val="nil"/>
              <w:tr2bl w:val="nil"/>
            </w:tcBorders>
            <w:vAlign w:val="center"/>
          </w:tcPr>
          <w:p w14:paraId="19487252">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53.0 </w:t>
            </w:r>
          </w:p>
        </w:tc>
        <w:tc>
          <w:tcPr>
            <w:tcW w:w="445" w:type="dxa"/>
            <w:tcBorders>
              <w:tl2br w:val="nil"/>
              <w:tr2bl w:val="nil"/>
            </w:tcBorders>
            <w:vAlign w:val="center"/>
          </w:tcPr>
          <w:p w14:paraId="6FACC4B2">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62.1 </w:t>
            </w:r>
          </w:p>
        </w:tc>
        <w:tc>
          <w:tcPr>
            <w:tcW w:w="468" w:type="dxa"/>
            <w:tcBorders>
              <w:tl2br w:val="nil"/>
              <w:tr2bl w:val="nil"/>
            </w:tcBorders>
            <w:vAlign w:val="center"/>
          </w:tcPr>
          <w:p w14:paraId="127E21A3">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55.5 </w:t>
            </w:r>
          </w:p>
        </w:tc>
        <w:tc>
          <w:tcPr>
            <w:tcW w:w="177" w:type="pct"/>
            <w:vMerge w:val="continue"/>
            <w:tcBorders>
              <w:tl2br w:val="nil"/>
              <w:tr2bl w:val="nil"/>
            </w:tcBorders>
            <w:vAlign w:val="center"/>
          </w:tcPr>
          <w:p w14:paraId="2609BF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3"/>
                <w:sz w:val="18"/>
                <w:szCs w:val="18"/>
              </w:rPr>
            </w:pPr>
          </w:p>
        </w:tc>
        <w:tc>
          <w:tcPr>
            <w:tcW w:w="177" w:type="pct"/>
            <w:tcBorders>
              <w:tl2br w:val="nil"/>
              <w:tr2bl w:val="nil"/>
            </w:tcBorders>
            <w:vAlign w:val="center"/>
          </w:tcPr>
          <w:p w14:paraId="4C161805">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603C9DC3">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4188975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2" w:type="pct"/>
            <w:tcBorders>
              <w:tl2br w:val="nil"/>
              <w:tr2bl w:val="nil"/>
            </w:tcBorders>
            <w:vAlign w:val="center"/>
          </w:tcPr>
          <w:p w14:paraId="4C1DEE04">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524" w:type="dxa"/>
            <w:tcBorders>
              <w:tl2br w:val="nil"/>
              <w:tr2bl w:val="nil"/>
            </w:tcBorders>
            <w:vAlign w:val="center"/>
          </w:tcPr>
          <w:p w14:paraId="45A934ED">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42.1 </w:t>
            </w:r>
          </w:p>
        </w:tc>
        <w:tc>
          <w:tcPr>
            <w:tcW w:w="446" w:type="dxa"/>
            <w:tcBorders>
              <w:tl2br w:val="nil"/>
              <w:tr2bl w:val="nil"/>
            </w:tcBorders>
            <w:vAlign w:val="center"/>
          </w:tcPr>
          <w:p w14:paraId="658F0E96">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33.0 </w:t>
            </w:r>
          </w:p>
        </w:tc>
        <w:tc>
          <w:tcPr>
            <w:tcW w:w="550" w:type="dxa"/>
            <w:tcBorders>
              <w:tl2br w:val="nil"/>
              <w:tr2bl w:val="nil"/>
            </w:tcBorders>
            <w:vAlign w:val="center"/>
          </w:tcPr>
          <w:p w14:paraId="5F47F544">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42.1 </w:t>
            </w:r>
          </w:p>
        </w:tc>
        <w:tc>
          <w:tcPr>
            <w:tcW w:w="447" w:type="dxa"/>
            <w:tcBorders>
              <w:tl2br w:val="nil"/>
              <w:tr2bl w:val="nil"/>
            </w:tcBorders>
            <w:vAlign w:val="center"/>
          </w:tcPr>
          <w:p w14:paraId="0F6B40AB">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35.5 </w:t>
            </w:r>
          </w:p>
        </w:tc>
        <w:tc>
          <w:tcPr>
            <w:tcW w:w="170" w:type="pct"/>
            <w:tcBorders>
              <w:tl2br w:val="nil"/>
              <w:tr2bl w:val="nil"/>
            </w:tcBorders>
            <w:vAlign w:val="center"/>
          </w:tcPr>
          <w:p w14:paraId="7D75E7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3571BB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vAlign w:val="center"/>
          </w:tcPr>
          <w:p w14:paraId="49734893">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122" w:type="pct"/>
            <w:vMerge w:val="continue"/>
            <w:tcBorders>
              <w:tl2br w:val="nil"/>
              <w:tr2bl w:val="nil"/>
            </w:tcBorders>
            <w:vAlign w:val="center"/>
          </w:tcPr>
          <w:p w14:paraId="31638B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573" w:type="pct"/>
            <w:tcBorders>
              <w:tl2br w:val="nil"/>
              <w:tr2bl w:val="nil"/>
            </w:tcBorders>
            <w:vAlign w:val="center"/>
          </w:tcPr>
          <w:p w14:paraId="074DB0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18"/>
                <w:szCs w:val="18"/>
                <w:lang w:val="en-US" w:eastAsia="zh-CN" w:bidi="ar-SA"/>
              </w:rPr>
            </w:pPr>
            <w:r>
              <w:rPr>
                <w:rFonts w:hint="eastAsia"/>
                <w:color w:val="auto"/>
                <w:sz w:val="18"/>
                <w:szCs w:val="18"/>
              </w:rPr>
              <w:t>榨汁机</w:t>
            </w:r>
          </w:p>
        </w:tc>
        <w:tc>
          <w:tcPr>
            <w:tcW w:w="265" w:type="pct"/>
            <w:tcBorders>
              <w:tl2br w:val="nil"/>
              <w:tr2bl w:val="nil"/>
            </w:tcBorders>
            <w:vAlign w:val="center"/>
          </w:tcPr>
          <w:p w14:paraId="142F8B8F">
            <w:pPr>
              <w:keepNext w:val="0"/>
              <w:keepLines w:val="0"/>
              <w:pageBreakBefore w:val="0"/>
              <w:wordWrap/>
              <w:autoSpaceDE w:val="0"/>
              <w:autoSpaceDN w:val="0"/>
              <w:bidi w:val="0"/>
              <w:adjustRightInd w:val="0"/>
              <w:spacing w:line="240" w:lineRule="auto"/>
              <w:ind w:firstLine="0" w:firstLineChars="0"/>
              <w:jc w:val="center"/>
              <w:rPr>
                <w:rFonts w:hint="default" w:ascii="Times New Roman" w:hAnsi="Times New Roman" w:eastAsia="宋体" w:cs="Times New Roman"/>
                <w:color w:val="auto"/>
                <w:spacing w:val="-2"/>
                <w:sz w:val="18"/>
                <w:szCs w:val="18"/>
                <w:lang w:val="en-US" w:eastAsia="zh-CN"/>
              </w:rPr>
            </w:pPr>
            <w:r>
              <w:rPr>
                <w:rFonts w:hint="eastAsia" w:eastAsia="宋体" w:cs="Times New Roman"/>
                <w:color w:val="auto"/>
                <w:spacing w:val="-2"/>
                <w:sz w:val="18"/>
                <w:szCs w:val="18"/>
                <w:lang w:val="en-US" w:eastAsia="zh-CN"/>
              </w:rPr>
              <w:t>80</w:t>
            </w:r>
          </w:p>
        </w:tc>
        <w:tc>
          <w:tcPr>
            <w:tcW w:w="641" w:type="pct"/>
            <w:tcBorders>
              <w:tl2br w:val="nil"/>
              <w:tr2bl w:val="nil"/>
            </w:tcBorders>
            <w:vAlign w:val="center"/>
          </w:tcPr>
          <w:p w14:paraId="2F69DE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减振+建筑物隔声</w:t>
            </w:r>
          </w:p>
        </w:tc>
        <w:tc>
          <w:tcPr>
            <w:tcW w:w="158" w:type="pct"/>
            <w:tcBorders>
              <w:tl2br w:val="nil"/>
              <w:tr2bl w:val="nil"/>
            </w:tcBorders>
            <w:vAlign w:val="center"/>
          </w:tcPr>
          <w:p w14:paraId="70246B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eastAsia="宋体" w:cs="Times New Roman"/>
                <w:color w:val="auto"/>
                <w:spacing w:val="-1"/>
                <w:sz w:val="18"/>
                <w:szCs w:val="18"/>
                <w:highlight w:val="none"/>
                <w:lang w:val="en-US" w:eastAsia="zh-CN"/>
              </w:rPr>
              <w:t>0</w:t>
            </w:r>
          </w:p>
        </w:tc>
        <w:tc>
          <w:tcPr>
            <w:tcW w:w="162" w:type="pct"/>
            <w:tcBorders>
              <w:tl2br w:val="nil"/>
              <w:tr2bl w:val="nil"/>
            </w:tcBorders>
            <w:vAlign w:val="center"/>
          </w:tcPr>
          <w:p w14:paraId="72D6BF4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35</w:t>
            </w:r>
          </w:p>
        </w:tc>
        <w:tc>
          <w:tcPr>
            <w:tcW w:w="144" w:type="pct"/>
            <w:tcBorders>
              <w:tl2br w:val="nil"/>
              <w:tr2bl w:val="nil"/>
            </w:tcBorders>
            <w:vAlign w:val="center"/>
          </w:tcPr>
          <w:p w14:paraId="5F7077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430" w:type="dxa"/>
            <w:tcBorders>
              <w:tl2br w:val="nil"/>
              <w:tr2bl w:val="nil"/>
            </w:tcBorders>
            <w:vAlign w:val="center"/>
          </w:tcPr>
          <w:p w14:paraId="0E2B523D">
            <w:pPr>
              <w:keepNext w:val="0"/>
              <w:keepLines w:val="0"/>
              <w:pageBreakBefore w:val="0"/>
              <w:widowControl/>
              <w:suppressLineNumbers w:val="0"/>
              <w:wordWrap/>
              <w:autoSpaceDE w:val="0"/>
              <w:autoSpaceDN w:val="0"/>
              <w:bidi w:val="0"/>
              <w:adjustRightInd w:val="0"/>
              <w:ind w:firstLine="0" w:firstLineChars="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506" w:type="dxa"/>
            <w:tcBorders>
              <w:tl2br w:val="nil"/>
              <w:tr2bl w:val="nil"/>
            </w:tcBorders>
            <w:vAlign w:val="center"/>
          </w:tcPr>
          <w:p w14:paraId="3FD5A092">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ascii="Times New Roman" w:hAnsi="Times New Roman" w:eastAsia="宋体" w:cs="Times New Roman"/>
                <w:color w:val="auto"/>
                <w:spacing w:val="-2"/>
                <w:sz w:val="18"/>
                <w:szCs w:val="18"/>
                <w:highlight w:val="none"/>
                <w:lang w:val="en-US" w:eastAsia="zh-CN"/>
              </w:rPr>
              <w:t>35</w:t>
            </w:r>
          </w:p>
        </w:tc>
        <w:tc>
          <w:tcPr>
            <w:tcW w:w="472" w:type="dxa"/>
            <w:tcBorders>
              <w:tl2br w:val="nil"/>
              <w:tr2bl w:val="nil"/>
            </w:tcBorders>
            <w:vAlign w:val="center"/>
          </w:tcPr>
          <w:p w14:paraId="56279924">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483" w:type="dxa"/>
            <w:tcBorders>
              <w:tl2br w:val="nil"/>
              <w:tr2bl w:val="nil"/>
            </w:tcBorders>
            <w:vAlign w:val="center"/>
          </w:tcPr>
          <w:p w14:paraId="1647E5F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35</w:t>
            </w:r>
          </w:p>
        </w:tc>
        <w:tc>
          <w:tcPr>
            <w:tcW w:w="426" w:type="dxa"/>
            <w:tcBorders>
              <w:tl2br w:val="nil"/>
              <w:tr2bl w:val="nil"/>
            </w:tcBorders>
            <w:vAlign w:val="center"/>
          </w:tcPr>
          <w:p w14:paraId="0892C842">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57.1 </w:t>
            </w:r>
          </w:p>
        </w:tc>
        <w:tc>
          <w:tcPr>
            <w:tcW w:w="445" w:type="dxa"/>
            <w:tcBorders>
              <w:tl2br w:val="nil"/>
              <w:tr2bl w:val="nil"/>
            </w:tcBorders>
            <w:vAlign w:val="center"/>
          </w:tcPr>
          <w:p w14:paraId="699EF0E6">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49.1 </w:t>
            </w:r>
          </w:p>
        </w:tc>
        <w:tc>
          <w:tcPr>
            <w:tcW w:w="445" w:type="dxa"/>
            <w:tcBorders>
              <w:tl2br w:val="nil"/>
              <w:tr2bl w:val="nil"/>
            </w:tcBorders>
            <w:vAlign w:val="center"/>
          </w:tcPr>
          <w:p w14:paraId="26C617EE">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57.1 </w:t>
            </w:r>
          </w:p>
        </w:tc>
        <w:tc>
          <w:tcPr>
            <w:tcW w:w="468" w:type="dxa"/>
            <w:tcBorders>
              <w:tl2br w:val="nil"/>
              <w:tr2bl w:val="nil"/>
            </w:tcBorders>
            <w:vAlign w:val="center"/>
          </w:tcPr>
          <w:p w14:paraId="1F7C946A">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49.1 </w:t>
            </w:r>
          </w:p>
        </w:tc>
        <w:tc>
          <w:tcPr>
            <w:tcW w:w="177" w:type="pct"/>
            <w:vMerge w:val="continue"/>
            <w:tcBorders>
              <w:tl2br w:val="nil"/>
              <w:tr2bl w:val="nil"/>
            </w:tcBorders>
            <w:vAlign w:val="center"/>
          </w:tcPr>
          <w:p w14:paraId="42D336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3"/>
                <w:sz w:val="18"/>
                <w:szCs w:val="18"/>
              </w:rPr>
            </w:pPr>
          </w:p>
        </w:tc>
        <w:tc>
          <w:tcPr>
            <w:tcW w:w="177" w:type="pct"/>
            <w:tcBorders>
              <w:tl2br w:val="nil"/>
              <w:tr2bl w:val="nil"/>
            </w:tcBorders>
            <w:vAlign w:val="center"/>
          </w:tcPr>
          <w:p w14:paraId="7EE93DD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7344C0A7">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66785A1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2" w:type="pct"/>
            <w:tcBorders>
              <w:tl2br w:val="nil"/>
              <w:tr2bl w:val="nil"/>
            </w:tcBorders>
            <w:vAlign w:val="center"/>
          </w:tcPr>
          <w:p w14:paraId="02E0B916">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524" w:type="dxa"/>
            <w:tcBorders>
              <w:tl2br w:val="nil"/>
              <w:tr2bl w:val="nil"/>
            </w:tcBorders>
            <w:vAlign w:val="center"/>
          </w:tcPr>
          <w:p w14:paraId="0E52AB35">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37.1 </w:t>
            </w:r>
          </w:p>
        </w:tc>
        <w:tc>
          <w:tcPr>
            <w:tcW w:w="446" w:type="dxa"/>
            <w:tcBorders>
              <w:tl2br w:val="nil"/>
              <w:tr2bl w:val="nil"/>
            </w:tcBorders>
            <w:vAlign w:val="center"/>
          </w:tcPr>
          <w:p w14:paraId="3CF4B12B">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29.1 </w:t>
            </w:r>
          </w:p>
        </w:tc>
        <w:tc>
          <w:tcPr>
            <w:tcW w:w="550" w:type="dxa"/>
            <w:tcBorders>
              <w:tl2br w:val="nil"/>
              <w:tr2bl w:val="nil"/>
            </w:tcBorders>
            <w:vAlign w:val="center"/>
          </w:tcPr>
          <w:p w14:paraId="31426EC4">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37.1 </w:t>
            </w:r>
          </w:p>
        </w:tc>
        <w:tc>
          <w:tcPr>
            <w:tcW w:w="447" w:type="dxa"/>
            <w:tcBorders>
              <w:tl2br w:val="nil"/>
              <w:tr2bl w:val="nil"/>
            </w:tcBorders>
            <w:vAlign w:val="center"/>
          </w:tcPr>
          <w:p w14:paraId="4A0F50FD">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29.1 </w:t>
            </w:r>
          </w:p>
        </w:tc>
        <w:tc>
          <w:tcPr>
            <w:tcW w:w="170" w:type="pct"/>
            <w:tcBorders>
              <w:tl2br w:val="nil"/>
              <w:tr2bl w:val="nil"/>
            </w:tcBorders>
            <w:vAlign w:val="center"/>
          </w:tcPr>
          <w:p w14:paraId="4D1C20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6B4CD5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vAlign w:val="center"/>
          </w:tcPr>
          <w:p w14:paraId="2C8E286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122" w:type="pct"/>
            <w:vMerge w:val="continue"/>
            <w:tcBorders>
              <w:tl2br w:val="nil"/>
              <w:tr2bl w:val="nil"/>
            </w:tcBorders>
            <w:vAlign w:val="center"/>
          </w:tcPr>
          <w:p w14:paraId="59EDE1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573" w:type="pct"/>
            <w:tcBorders>
              <w:tl2br w:val="nil"/>
              <w:tr2bl w:val="nil"/>
            </w:tcBorders>
            <w:vAlign w:val="center"/>
          </w:tcPr>
          <w:p w14:paraId="2162AB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pacing w:val="-1"/>
                <w:sz w:val="18"/>
                <w:szCs w:val="18"/>
                <w:lang w:val="en-US" w:eastAsia="zh-CN"/>
              </w:rPr>
            </w:pPr>
            <w:r>
              <w:rPr>
                <w:rFonts w:hint="eastAsia"/>
                <w:color w:val="auto"/>
                <w:sz w:val="18"/>
                <w:szCs w:val="18"/>
              </w:rPr>
              <w:t>超滤机</w:t>
            </w:r>
          </w:p>
        </w:tc>
        <w:tc>
          <w:tcPr>
            <w:tcW w:w="265" w:type="pct"/>
            <w:tcBorders>
              <w:tl2br w:val="nil"/>
              <w:tr2bl w:val="nil"/>
            </w:tcBorders>
            <w:vAlign w:val="center"/>
          </w:tcPr>
          <w:p w14:paraId="667B2FEF">
            <w:pPr>
              <w:keepNext w:val="0"/>
              <w:keepLines w:val="0"/>
              <w:pageBreakBefore w:val="0"/>
              <w:wordWrap/>
              <w:autoSpaceDE w:val="0"/>
              <w:autoSpaceDN w:val="0"/>
              <w:bidi w:val="0"/>
              <w:adjustRightInd w:val="0"/>
              <w:spacing w:line="240" w:lineRule="auto"/>
              <w:ind w:firstLine="0" w:firstLineChars="0"/>
              <w:jc w:val="center"/>
              <w:rPr>
                <w:rFonts w:hint="default" w:ascii="Times New Roman" w:hAnsi="Times New Roman" w:eastAsia="宋体" w:cs="Times New Roman"/>
                <w:color w:val="auto"/>
                <w:spacing w:val="-2"/>
                <w:sz w:val="18"/>
                <w:szCs w:val="18"/>
                <w:lang w:val="en-US" w:eastAsia="zh-CN"/>
              </w:rPr>
            </w:pPr>
            <w:r>
              <w:rPr>
                <w:rFonts w:hint="eastAsia" w:eastAsia="宋体" w:cs="Times New Roman"/>
                <w:color w:val="auto"/>
                <w:spacing w:val="-2"/>
                <w:sz w:val="18"/>
                <w:szCs w:val="18"/>
                <w:lang w:val="en-US" w:eastAsia="zh-CN"/>
              </w:rPr>
              <w:t>75</w:t>
            </w:r>
          </w:p>
        </w:tc>
        <w:tc>
          <w:tcPr>
            <w:tcW w:w="641" w:type="pct"/>
            <w:tcBorders>
              <w:tl2br w:val="nil"/>
              <w:tr2bl w:val="nil"/>
            </w:tcBorders>
            <w:vAlign w:val="center"/>
          </w:tcPr>
          <w:p w14:paraId="25684A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减振+建筑物隔声</w:t>
            </w:r>
          </w:p>
        </w:tc>
        <w:tc>
          <w:tcPr>
            <w:tcW w:w="158" w:type="pct"/>
            <w:tcBorders>
              <w:tl2br w:val="nil"/>
              <w:tr2bl w:val="nil"/>
            </w:tcBorders>
            <w:vAlign w:val="center"/>
          </w:tcPr>
          <w:p w14:paraId="72CCB0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eastAsia="宋体" w:cs="Times New Roman"/>
                <w:color w:val="auto"/>
                <w:spacing w:val="-1"/>
                <w:sz w:val="18"/>
                <w:szCs w:val="18"/>
                <w:highlight w:val="none"/>
                <w:lang w:val="en-US" w:eastAsia="zh-CN"/>
              </w:rPr>
              <w:t>-3</w:t>
            </w:r>
          </w:p>
        </w:tc>
        <w:tc>
          <w:tcPr>
            <w:tcW w:w="162" w:type="pct"/>
            <w:tcBorders>
              <w:tl2br w:val="nil"/>
              <w:tr2bl w:val="nil"/>
            </w:tcBorders>
            <w:vAlign w:val="center"/>
          </w:tcPr>
          <w:p w14:paraId="30258B58">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40</w:t>
            </w:r>
          </w:p>
        </w:tc>
        <w:tc>
          <w:tcPr>
            <w:tcW w:w="144" w:type="pct"/>
            <w:tcBorders>
              <w:tl2br w:val="nil"/>
              <w:tr2bl w:val="nil"/>
            </w:tcBorders>
            <w:vAlign w:val="center"/>
          </w:tcPr>
          <w:p w14:paraId="3F66CF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430" w:type="dxa"/>
            <w:tcBorders>
              <w:tl2br w:val="nil"/>
              <w:tr2bl w:val="nil"/>
            </w:tcBorders>
            <w:vAlign w:val="center"/>
          </w:tcPr>
          <w:p w14:paraId="4E677706">
            <w:pPr>
              <w:keepNext w:val="0"/>
              <w:keepLines w:val="0"/>
              <w:pageBreakBefore w:val="0"/>
              <w:widowControl/>
              <w:suppressLineNumbers w:val="0"/>
              <w:wordWrap/>
              <w:autoSpaceDE w:val="0"/>
              <w:autoSpaceDN w:val="0"/>
              <w:bidi w:val="0"/>
              <w:adjustRightInd w:val="0"/>
              <w:ind w:firstLine="0" w:firstLineChars="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506" w:type="dxa"/>
            <w:tcBorders>
              <w:tl2br w:val="nil"/>
              <w:tr2bl w:val="nil"/>
            </w:tcBorders>
            <w:vAlign w:val="center"/>
          </w:tcPr>
          <w:p w14:paraId="4CFDB515">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ascii="Times New Roman" w:hAnsi="Times New Roman" w:eastAsia="宋体" w:cs="Times New Roman"/>
                <w:color w:val="auto"/>
                <w:spacing w:val="-2"/>
                <w:sz w:val="18"/>
                <w:szCs w:val="18"/>
                <w:highlight w:val="none"/>
                <w:lang w:val="en-US" w:eastAsia="zh-CN"/>
              </w:rPr>
              <w:t>30</w:t>
            </w:r>
          </w:p>
        </w:tc>
        <w:tc>
          <w:tcPr>
            <w:tcW w:w="472" w:type="dxa"/>
            <w:tcBorders>
              <w:tl2br w:val="nil"/>
              <w:tr2bl w:val="nil"/>
            </w:tcBorders>
            <w:vAlign w:val="center"/>
          </w:tcPr>
          <w:p w14:paraId="619FF3F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483" w:type="dxa"/>
            <w:tcBorders>
              <w:tl2br w:val="nil"/>
              <w:tr2bl w:val="nil"/>
            </w:tcBorders>
            <w:vAlign w:val="center"/>
          </w:tcPr>
          <w:p w14:paraId="0456A9A2">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40</w:t>
            </w:r>
          </w:p>
        </w:tc>
        <w:tc>
          <w:tcPr>
            <w:tcW w:w="426" w:type="dxa"/>
            <w:tcBorders>
              <w:tl2br w:val="nil"/>
              <w:tr2bl w:val="nil"/>
            </w:tcBorders>
            <w:vAlign w:val="center"/>
          </w:tcPr>
          <w:p w14:paraId="48FB5725">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52.1 </w:t>
            </w:r>
          </w:p>
        </w:tc>
        <w:tc>
          <w:tcPr>
            <w:tcW w:w="445" w:type="dxa"/>
            <w:tcBorders>
              <w:tl2br w:val="nil"/>
              <w:tr2bl w:val="nil"/>
            </w:tcBorders>
            <w:vAlign w:val="center"/>
          </w:tcPr>
          <w:p w14:paraId="34D38AB4">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45.5 </w:t>
            </w:r>
          </w:p>
        </w:tc>
        <w:tc>
          <w:tcPr>
            <w:tcW w:w="445" w:type="dxa"/>
            <w:tcBorders>
              <w:tl2br w:val="nil"/>
              <w:tr2bl w:val="nil"/>
            </w:tcBorders>
            <w:vAlign w:val="center"/>
          </w:tcPr>
          <w:p w14:paraId="4171F702">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52.1 </w:t>
            </w:r>
          </w:p>
        </w:tc>
        <w:tc>
          <w:tcPr>
            <w:tcW w:w="468" w:type="dxa"/>
            <w:tcBorders>
              <w:tl2br w:val="nil"/>
              <w:tr2bl w:val="nil"/>
            </w:tcBorders>
            <w:vAlign w:val="center"/>
          </w:tcPr>
          <w:p w14:paraId="49571B61">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43.0 </w:t>
            </w:r>
          </w:p>
        </w:tc>
        <w:tc>
          <w:tcPr>
            <w:tcW w:w="177" w:type="pct"/>
            <w:vMerge w:val="continue"/>
            <w:tcBorders>
              <w:tl2br w:val="nil"/>
              <w:tr2bl w:val="nil"/>
            </w:tcBorders>
            <w:vAlign w:val="center"/>
          </w:tcPr>
          <w:p w14:paraId="64FC22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3"/>
                <w:sz w:val="18"/>
                <w:szCs w:val="18"/>
              </w:rPr>
            </w:pPr>
          </w:p>
        </w:tc>
        <w:tc>
          <w:tcPr>
            <w:tcW w:w="177" w:type="pct"/>
            <w:tcBorders>
              <w:tl2br w:val="nil"/>
              <w:tr2bl w:val="nil"/>
            </w:tcBorders>
            <w:vAlign w:val="center"/>
          </w:tcPr>
          <w:p w14:paraId="57B09F5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0BC95C9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53606614">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2" w:type="pct"/>
            <w:tcBorders>
              <w:tl2br w:val="nil"/>
              <w:tr2bl w:val="nil"/>
            </w:tcBorders>
            <w:vAlign w:val="center"/>
          </w:tcPr>
          <w:p w14:paraId="045FDCE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524" w:type="dxa"/>
            <w:tcBorders>
              <w:tl2br w:val="nil"/>
              <w:tr2bl w:val="nil"/>
            </w:tcBorders>
            <w:vAlign w:val="center"/>
          </w:tcPr>
          <w:p w14:paraId="54620B30">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32.1 </w:t>
            </w:r>
          </w:p>
        </w:tc>
        <w:tc>
          <w:tcPr>
            <w:tcW w:w="446" w:type="dxa"/>
            <w:tcBorders>
              <w:tl2br w:val="nil"/>
              <w:tr2bl w:val="nil"/>
            </w:tcBorders>
            <w:vAlign w:val="center"/>
          </w:tcPr>
          <w:p w14:paraId="40B83B31">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25.5 </w:t>
            </w:r>
          </w:p>
        </w:tc>
        <w:tc>
          <w:tcPr>
            <w:tcW w:w="550" w:type="dxa"/>
            <w:tcBorders>
              <w:tl2br w:val="nil"/>
              <w:tr2bl w:val="nil"/>
            </w:tcBorders>
            <w:vAlign w:val="center"/>
          </w:tcPr>
          <w:p w14:paraId="4089FB13">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32.1 </w:t>
            </w:r>
          </w:p>
        </w:tc>
        <w:tc>
          <w:tcPr>
            <w:tcW w:w="447" w:type="dxa"/>
            <w:tcBorders>
              <w:tl2br w:val="nil"/>
              <w:tr2bl w:val="nil"/>
            </w:tcBorders>
            <w:vAlign w:val="center"/>
          </w:tcPr>
          <w:p w14:paraId="7EB94D8A">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23.0 </w:t>
            </w:r>
          </w:p>
        </w:tc>
        <w:tc>
          <w:tcPr>
            <w:tcW w:w="170" w:type="pct"/>
            <w:tcBorders>
              <w:tl2br w:val="nil"/>
              <w:tr2bl w:val="nil"/>
            </w:tcBorders>
            <w:vAlign w:val="center"/>
          </w:tcPr>
          <w:p w14:paraId="5F3065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CA19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vAlign w:val="center"/>
          </w:tcPr>
          <w:p w14:paraId="335DD0B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w:t>
            </w:r>
          </w:p>
        </w:tc>
        <w:tc>
          <w:tcPr>
            <w:tcW w:w="122" w:type="pct"/>
            <w:vMerge w:val="continue"/>
            <w:tcBorders>
              <w:tl2br w:val="nil"/>
              <w:tr2bl w:val="nil"/>
            </w:tcBorders>
            <w:vAlign w:val="center"/>
          </w:tcPr>
          <w:p w14:paraId="378D78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573" w:type="pct"/>
            <w:tcBorders>
              <w:tl2br w:val="nil"/>
              <w:tr2bl w:val="nil"/>
            </w:tcBorders>
            <w:vAlign w:val="center"/>
          </w:tcPr>
          <w:p w14:paraId="5E3269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宋体"/>
                <w:color w:val="auto"/>
                <w:sz w:val="18"/>
                <w:szCs w:val="18"/>
                <w:highlight w:val="none"/>
                <w:lang w:val="en-US" w:eastAsia="zh-CN" w:bidi="ar-SA"/>
              </w:rPr>
            </w:pPr>
            <w:r>
              <w:rPr>
                <w:rFonts w:hint="eastAsia"/>
                <w:color w:val="auto"/>
                <w:sz w:val="18"/>
                <w:szCs w:val="18"/>
              </w:rPr>
              <w:t>五效降膜蒸发器</w:t>
            </w:r>
          </w:p>
        </w:tc>
        <w:tc>
          <w:tcPr>
            <w:tcW w:w="265" w:type="pct"/>
            <w:tcBorders>
              <w:tl2br w:val="nil"/>
              <w:tr2bl w:val="nil"/>
            </w:tcBorders>
            <w:vAlign w:val="center"/>
          </w:tcPr>
          <w:p w14:paraId="282882BC">
            <w:pPr>
              <w:keepNext w:val="0"/>
              <w:keepLines w:val="0"/>
              <w:pageBreakBefore w:val="0"/>
              <w:wordWrap/>
              <w:autoSpaceDE w:val="0"/>
              <w:autoSpaceDN w:val="0"/>
              <w:bidi w:val="0"/>
              <w:adjustRightInd w:val="0"/>
              <w:spacing w:line="240" w:lineRule="auto"/>
              <w:ind w:firstLine="0" w:firstLineChars="0"/>
              <w:jc w:val="center"/>
              <w:rPr>
                <w:rFonts w:hint="default" w:ascii="Times New Roman" w:hAnsi="Times New Roman" w:eastAsia="宋体" w:cs="Times New Roman"/>
                <w:color w:val="auto"/>
                <w:spacing w:val="-2"/>
                <w:sz w:val="18"/>
                <w:szCs w:val="18"/>
                <w:lang w:val="en-US" w:eastAsia="zh-CN"/>
              </w:rPr>
            </w:pPr>
            <w:r>
              <w:rPr>
                <w:rFonts w:hint="eastAsia" w:eastAsia="宋体" w:cs="Times New Roman"/>
                <w:color w:val="auto"/>
                <w:spacing w:val="-2"/>
                <w:sz w:val="18"/>
                <w:szCs w:val="18"/>
                <w:lang w:val="en-US" w:eastAsia="zh-CN"/>
              </w:rPr>
              <w:t>80</w:t>
            </w:r>
          </w:p>
        </w:tc>
        <w:tc>
          <w:tcPr>
            <w:tcW w:w="641" w:type="pct"/>
            <w:tcBorders>
              <w:tl2br w:val="nil"/>
              <w:tr2bl w:val="nil"/>
            </w:tcBorders>
            <w:vAlign w:val="center"/>
          </w:tcPr>
          <w:p w14:paraId="071D04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减振+建筑物隔声</w:t>
            </w:r>
          </w:p>
        </w:tc>
        <w:tc>
          <w:tcPr>
            <w:tcW w:w="158" w:type="pct"/>
            <w:tcBorders>
              <w:tl2br w:val="nil"/>
              <w:tr2bl w:val="nil"/>
            </w:tcBorders>
            <w:vAlign w:val="center"/>
          </w:tcPr>
          <w:p w14:paraId="5D718C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eastAsia="宋体" w:cs="Times New Roman"/>
                <w:color w:val="auto"/>
                <w:spacing w:val="-1"/>
                <w:sz w:val="18"/>
                <w:szCs w:val="18"/>
                <w:highlight w:val="none"/>
                <w:lang w:val="en-US" w:eastAsia="zh-CN"/>
              </w:rPr>
              <w:t>-7</w:t>
            </w:r>
          </w:p>
        </w:tc>
        <w:tc>
          <w:tcPr>
            <w:tcW w:w="162" w:type="pct"/>
            <w:tcBorders>
              <w:tl2br w:val="nil"/>
              <w:tr2bl w:val="nil"/>
            </w:tcBorders>
            <w:vAlign w:val="center"/>
          </w:tcPr>
          <w:p w14:paraId="4E723938">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45</w:t>
            </w:r>
          </w:p>
        </w:tc>
        <w:tc>
          <w:tcPr>
            <w:tcW w:w="144" w:type="pct"/>
            <w:tcBorders>
              <w:tl2br w:val="nil"/>
              <w:tr2bl w:val="nil"/>
            </w:tcBorders>
            <w:vAlign w:val="center"/>
          </w:tcPr>
          <w:p w14:paraId="7951B6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430" w:type="dxa"/>
            <w:tcBorders>
              <w:tl2br w:val="nil"/>
              <w:tr2bl w:val="nil"/>
            </w:tcBorders>
            <w:vAlign w:val="center"/>
          </w:tcPr>
          <w:p w14:paraId="589E6396">
            <w:pPr>
              <w:keepNext w:val="0"/>
              <w:keepLines w:val="0"/>
              <w:pageBreakBefore w:val="0"/>
              <w:widowControl/>
              <w:suppressLineNumbers w:val="0"/>
              <w:wordWrap/>
              <w:autoSpaceDE w:val="0"/>
              <w:autoSpaceDN w:val="0"/>
              <w:bidi w:val="0"/>
              <w:adjustRightInd w:val="0"/>
              <w:ind w:firstLine="0" w:firstLineChars="0"/>
              <w:jc w:val="center"/>
              <w:textAlignment w:val="center"/>
              <w:rPr>
                <w:rFonts w:hint="default" w:ascii="Times New Roman" w:hAnsi="Times New Roman" w:eastAsia="宋体" w:cs="Times New Roman"/>
                <w:snapToGrid w:val="0"/>
                <w:color w:val="auto"/>
                <w:spacing w:val="-2"/>
                <w:kern w:val="0"/>
                <w:sz w:val="18"/>
                <w:szCs w:val="18"/>
                <w:highlight w:val="none"/>
                <w:lang w:val="en-US" w:eastAsia="zh-CN" w:bidi="ar-SA"/>
              </w:rPr>
            </w:pPr>
            <w:r>
              <w:rPr>
                <w:rFonts w:hint="eastAsia" w:eastAsia="宋体" w:cs="Times New Roman"/>
                <w:color w:val="auto"/>
                <w:sz w:val="18"/>
                <w:szCs w:val="18"/>
                <w:highlight w:val="none"/>
                <w:lang w:val="en-US" w:eastAsia="zh-CN"/>
              </w:rPr>
              <w:t>14</w:t>
            </w:r>
          </w:p>
        </w:tc>
        <w:tc>
          <w:tcPr>
            <w:tcW w:w="506" w:type="dxa"/>
            <w:tcBorders>
              <w:tl2br w:val="nil"/>
              <w:tr2bl w:val="nil"/>
            </w:tcBorders>
            <w:vAlign w:val="center"/>
          </w:tcPr>
          <w:p w14:paraId="7AA2BB1C">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2"/>
                <w:kern w:val="0"/>
                <w:sz w:val="18"/>
                <w:szCs w:val="18"/>
                <w:highlight w:val="none"/>
                <w:lang w:val="en-US" w:eastAsia="zh-CN" w:bidi="ar-SA"/>
              </w:rPr>
            </w:pPr>
            <w:r>
              <w:rPr>
                <w:rFonts w:hint="eastAsia" w:ascii="Times New Roman" w:hAnsi="Times New Roman" w:eastAsia="宋体" w:cs="Times New Roman"/>
                <w:snapToGrid w:val="0"/>
                <w:color w:val="auto"/>
                <w:spacing w:val="-2"/>
                <w:kern w:val="0"/>
                <w:sz w:val="18"/>
                <w:szCs w:val="18"/>
                <w:highlight w:val="none"/>
                <w:lang w:val="en-US" w:eastAsia="zh-CN" w:bidi="ar-SA"/>
              </w:rPr>
              <w:t>25</w:t>
            </w:r>
          </w:p>
        </w:tc>
        <w:tc>
          <w:tcPr>
            <w:tcW w:w="472" w:type="dxa"/>
            <w:tcBorders>
              <w:tl2br w:val="nil"/>
              <w:tr2bl w:val="nil"/>
            </w:tcBorders>
            <w:vAlign w:val="center"/>
          </w:tcPr>
          <w:p w14:paraId="66AFB252">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2"/>
                <w:kern w:val="0"/>
                <w:sz w:val="18"/>
                <w:szCs w:val="18"/>
                <w:highlight w:val="none"/>
                <w:lang w:val="en-US" w:eastAsia="zh-CN" w:bidi="ar-SA"/>
              </w:rPr>
            </w:pPr>
            <w:r>
              <w:rPr>
                <w:rFonts w:hint="eastAsia" w:eastAsia="宋体" w:cs="Times New Roman"/>
                <w:color w:val="auto"/>
                <w:sz w:val="18"/>
                <w:szCs w:val="18"/>
                <w:highlight w:val="none"/>
                <w:lang w:val="en-US" w:eastAsia="zh-CN"/>
              </w:rPr>
              <w:t>14</w:t>
            </w:r>
          </w:p>
        </w:tc>
        <w:tc>
          <w:tcPr>
            <w:tcW w:w="483" w:type="dxa"/>
            <w:tcBorders>
              <w:tl2br w:val="nil"/>
              <w:tr2bl w:val="nil"/>
            </w:tcBorders>
            <w:vAlign w:val="center"/>
          </w:tcPr>
          <w:p w14:paraId="505D85BE">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1"/>
                <w:kern w:val="0"/>
                <w:sz w:val="18"/>
                <w:szCs w:val="18"/>
                <w:highlight w:val="none"/>
                <w:lang w:val="en-US" w:eastAsia="zh-CN" w:bidi="ar-SA"/>
              </w:rPr>
            </w:pPr>
            <w:r>
              <w:rPr>
                <w:rFonts w:hint="eastAsia" w:ascii="Times New Roman" w:hAnsi="Times New Roman" w:eastAsia="宋体" w:cs="Times New Roman"/>
                <w:color w:val="auto"/>
                <w:spacing w:val="-1"/>
                <w:sz w:val="18"/>
                <w:szCs w:val="18"/>
                <w:highlight w:val="none"/>
                <w:lang w:val="en-US" w:eastAsia="zh-CN"/>
              </w:rPr>
              <w:t>45</w:t>
            </w:r>
          </w:p>
        </w:tc>
        <w:tc>
          <w:tcPr>
            <w:tcW w:w="426" w:type="dxa"/>
            <w:tcBorders>
              <w:tl2br w:val="nil"/>
              <w:tr2bl w:val="nil"/>
            </w:tcBorders>
            <w:vAlign w:val="center"/>
          </w:tcPr>
          <w:p w14:paraId="42824496">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57.1 </w:t>
            </w:r>
          </w:p>
        </w:tc>
        <w:tc>
          <w:tcPr>
            <w:tcW w:w="445" w:type="dxa"/>
            <w:tcBorders>
              <w:tl2br w:val="nil"/>
              <w:tr2bl w:val="nil"/>
            </w:tcBorders>
            <w:vAlign w:val="center"/>
          </w:tcPr>
          <w:p w14:paraId="39737016">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52.0 </w:t>
            </w:r>
          </w:p>
        </w:tc>
        <w:tc>
          <w:tcPr>
            <w:tcW w:w="445" w:type="dxa"/>
            <w:tcBorders>
              <w:tl2br w:val="nil"/>
              <w:tr2bl w:val="nil"/>
            </w:tcBorders>
            <w:vAlign w:val="center"/>
          </w:tcPr>
          <w:p w14:paraId="59CA46A8">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57.1 </w:t>
            </w:r>
          </w:p>
        </w:tc>
        <w:tc>
          <w:tcPr>
            <w:tcW w:w="468" w:type="dxa"/>
            <w:tcBorders>
              <w:tl2br w:val="nil"/>
              <w:tr2bl w:val="nil"/>
            </w:tcBorders>
            <w:vAlign w:val="center"/>
          </w:tcPr>
          <w:p w14:paraId="5929E40C">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46.9 </w:t>
            </w:r>
          </w:p>
        </w:tc>
        <w:tc>
          <w:tcPr>
            <w:tcW w:w="177" w:type="pct"/>
            <w:vMerge w:val="continue"/>
            <w:tcBorders>
              <w:tl2br w:val="nil"/>
              <w:tr2bl w:val="nil"/>
            </w:tcBorders>
            <w:vAlign w:val="center"/>
          </w:tcPr>
          <w:p w14:paraId="28EEBA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3"/>
                <w:sz w:val="18"/>
                <w:szCs w:val="18"/>
              </w:rPr>
            </w:pPr>
          </w:p>
        </w:tc>
        <w:tc>
          <w:tcPr>
            <w:tcW w:w="177" w:type="pct"/>
            <w:tcBorders>
              <w:tl2br w:val="nil"/>
              <w:tr2bl w:val="nil"/>
            </w:tcBorders>
            <w:vAlign w:val="center"/>
          </w:tcPr>
          <w:p w14:paraId="65A3EC34">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0BC493F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7C0CCA49">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20</w:t>
            </w:r>
          </w:p>
        </w:tc>
        <w:tc>
          <w:tcPr>
            <w:tcW w:w="142" w:type="pct"/>
            <w:tcBorders>
              <w:tl2br w:val="nil"/>
              <w:tr2bl w:val="nil"/>
            </w:tcBorders>
            <w:vAlign w:val="center"/>
          </w:tcPr>
          <w:p w14:paraId="17C0EE4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5"/>
                <w:sz w:val="18"/>
                <w:szCs w:val="18"/>
              </w:rPr>
            </w:pPr>
            <w:r>
              <w:rPr>
                <w:rFonts w:hint="default" w:ascii="Times New Roman" w:hAnsi="Times New Roman" w:eastAsia="宋体" w:cs="Times New Roman"/>
                <w:color w:val="auto"/>
                <w:sz w:val="18"/>
                <w:szCs w:val="18"/>
                <w:lang w:val="en-US" w:eastAsia="zh-CN"/>
              </w:rPr>
              <w:t>20</w:t>
            </w:r>
          </w:p>
        </w:tc>
        <w:tc>
          <w:tcPr>
            <w:tcW w:w="524" w:type="dxa"/>
            <w:tcBorders>
              <w:tl2br w:val="nil"/>
              <w:tr2bl w:val="nil"/>
            </w:tcBorders>
            <w:vAlign w:val="center"/>
          </w:tcPr>
          <w:p w14:paraId="25CA31F8">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37.1 </w:t>
            </w:r>
          </w:p>
        </w:tc>
        <w:tc>
          <w:tcPr>
            <w:tcW w:w="446" w:type="dxa"/>
            <w:tcBorders>
              <w:tl2br w:val="nil"/>
              <w:tr2bl w:val="nil"/>
            </w:tcBorders>
            <w:vAlign w:val="center"/>
          </w:tcPr>
          <w:p w14:paraId="2194F1FD">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32.0 </w:t>
            </w:r>
          </w:p>
        </w:tc>
        <w:tc>
          <w:tcPr>
            <w:tcW w:w="550" w:type="dxa"/>
            <w:tcBorders>
              <w:tl2br w:val="nil"/>
              <w:tr2bl w:val="nil"/>
            </w:tcBorders>
            <w:vAlign w:val="center"/>
          </w:tcPr>
          <w:p w14:paraId="5291648D">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37.1 </w:t>
            </w:r>
          </w:p>
        </w:tc>
        <w:tc>
          <w:tcPr>
            <w:tcW w:w="447" w:type="dxa"/>
            <w:tcBorders>
              <w:tl2br w:val="nil"/>
              <w:tr2bl w:val="nil"/>
            </w:tcBorders>
            <w:vAlign w:val="center"/>
          </w:tcPr>
          <w:p w14:paraId="2E4078DF">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26.9 </w:t>
            </w:r>
          </w:p>
        </w:tc>
        <w:tc>
          <w:tcPr>
            <w:tcW w:w="170" w:type="pct"/>
            <w:tcBorders>
              <w:tl2br w:val="nil"/>
              <w:tr2bl w:val="nil"/>
            </w:tcBorders>
            <w:vAlign w:val="center"/>
          </w:tcPr>
          <w:p w14:paraId="5CB65B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431EE6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vAlign w:val="center"/>
          </w:tcPr>
          <w:p w14:paraId="370E56A5">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w:t>
            </w:r>
          </w:p>
        </w:tc>
        <w:tc>
          <w:tcPr>
            <w:tcW w:w="122" w:type="pct"/>
            <w:vMerge w:val="continue"/>
            <w:tcBorders>
              <w:tl2br w:val="nil"/>
              <w:tr2bl w:val="nil"/>
            </w:tcBorders>
            <w:vAlign w:val="center"/>
          </w:tcPr>
          <w:p w14:paraId="7DF09E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573" w:type="pct"/>
            <w:tcBorders>
              <w:tl2br w:val="nil"/>
              <w:tr2bl w:val="nil"/>
            </w:tcBorders>
            <w:vAlign w:val="center"/>
          </w:tcPr>
          <w:p w14:paraId="0F369F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18"/>
                <w:szCs w:val="18"/>
                <w:highlight w:val="none"/>
                <w:vertAlign w:val="baseline"/>
                <w:lang w:val="en-US" w:eastAsia="zh-CN" w:bidi="ar-SA"/>
              </w:rPr>
            </w:pPr>
            <w:r>
              <w:rPr>
                <w:rFonts w:hint="eastAsia"/>
                <w:color w:val="auto"/>
                <w:sz w:val="18"/>
                <w:szCs w:val="18"/>
              </w:rPr>
              <w:t>后巴氏杀菌机菌</w:t>
            </w:r>
          </w:p>
        </w:tc>
        <w:tc>
          <w:tcPr>
            <w:tcW w:w="265" w:type="pct"/>
            <w:tcBorders>
              <w:tl2br w:val="nil"/>
              <w:tr2bl w:val="nil"/>
            </w:tcBorders>
            <w:vAlign w:val="center"/>
          </w:tcPr>
          <w:p w14:paraId="32A995EF">
            <w:pPr>
              <w:keepNext w:val="0"/>
              <w:keepLines w:val="0"/>
              <w:pageBreakBefore w:val="0"/>
              <w:wordWrap/>
              <w:autoSpaceDE w:val="0"/>
              <w:autoSpaceDN w:val="0"/>
              <w:bidi w:val="0"/>
              <w:adjustRightInd w:val="0"/>
              <w:spacing w:line="240" w:lineRule="auto"/>
              <w:ind w:firstLine="0" w:firstLineChars="0"/>
              <w:jc w:val="center"/>
              <w:rPr>
                <w:rFonts w:hint="default" w:ascii="Times New Roman" w:hAnsi="Times New Roman" w:eastAsia="宋体" w:cs="Times New Roman"/>
                <w:color w:val="auto"/>
                <w:spacing w:val="-2"/>
                <w:sz w:val="18"/>
                <w:szCs w:val="18"/>
                <w:lang w:val="en-US" w:eastAsia="zh-CN"/>
              </w:rPr>
            </w:pPr>
            <w:r>
              <w:rPr>
                <w:rFonts w:hint="eastAsia" w:eastAsia="宋体" w:cs="Times New Roman"/>
                <w:color w:val="auto"/>
                <w:spacing w:val="-2"/>
                <w:sz w:val="18"/>
                <w:szCs w:val="18"/>
                <w:lang w:val="en-US" w:eastAsia="zh-CN"/>
              </w:rPr>
              <w:t>75</w:t>
            </w:r>
          </w:p>
        </w:tc>
        <w:tc>
          <w:tcPr>
            <w:tcW w:w="641" w:type="pct"/>
            <w:tcBorders>
              <w:tl2br w:val="nil"/>
              <w:tr2bl w:val="nil"/>
            </w:tcBorders>
            <w:vAlign w:val="center"/>
          </w:tcPr>
          <w:p w14:paraId="14251C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减振+建筑物隔声</w:t>
            </w:r>
          </w:p>
        </w:tc>
        <w:tc>
          <w:tcPr>
            <w:tcW w:w="158" w:type="pct"/>
            <w:tcBorders>
              <w:tl2br w:val="nil"/>
              <w:tr2bl w:val="nil"/>
            </w:tcBorders>
            <w:vAlign w:val="center"/>
          </w:tcPr>
          <w:p w14:paraId="31DED9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eastAsia="宋体" w:cs="Times New Roman"/>
                <w:color w:val="auto"/>
                <w:spacing w:val="-1"/>
                <w:sz w:val="18"/>
                <w:szCs w:val="18"/>
                <w:highlight w:val="none"/>
                <w:lang w:val="en-US" w:eastAsia="zh-CN"/>
              </w:rPr>
              <w:t>-11</w:t>
            </w:r>
          </w:p>
        </w:tc>
        <w:tc>
          <w:tcPr>
            <w:tcW w:w="162" w:type="pct"/>
            <w:tcBorders>
              <w:tl2br w:val="nil"/>
              <w:tr2bl w:val="nil"/>
            </w:tcBorders>
            <w:vAlign w:val="center"/>
          </w:tcPr>
          <w:p w14:paraId="11B9BCA2">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50</w:t>
            </w:r>
          </w:p>
        </w:tc>
        <w:tc>
          <w:tcPr>
            <w:tcW w:w="144" w:type="pct"/>
            <w:tcBorders>
              <w:tl2br w:val="nil"/>
              <w:tr2bl w:val="nil"/>
            </w:tcBorders>
            <w:vAlign w:val="center"/>
          </w:tcPr>
          <w:p w14:paraId="28ED8F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430" w:type="dxa"/>
            <w:tcBorders>
              <w:tl2br w:val="nil"/>
              <w:tr2bl w:val="nil"/>
            </w:tcBorders>
            <w:vAlign w:val="center"/>
          </w:tcPr>
          <w:p w14:paraId="434CEEE0">
            <w:pPr>
              <w:keepNext w:val="0"/>
              <w:keepLines w:val="0"/>
              <w:pageBreakBefore w:val="0"/>
              <w:widowControl/>
              <w:suppressLineNumbers w:val="0"/>
              <w:wordWrap/>
              <w:autoSpaceDE w:val="0"/>
              <w:autoSpaceDN w:val="0"/>
              <w:bidi w:val="0"/>
              <w:adjustRightInd w:val="0"/>
              <w:ind w:firstLine="0" w:firstLineChars="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506" w:type="dxa"/>
            <w:tcBorders>
              <w:tl2br w:val="nil"/>
              <w:tr2bl w:val="nil"/>
            </w:tcBorders>
            <w:vAlign w:val="center"/>
          </w:tcPr>
          <w:p w14:paraId="345BCF1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ascii="Times New Roman" w:hAnsi="Times New Roman" w:eastAsia="宋体" w:cs="Times New Roman"/>
                <w:color w:val="auto"/>
                <w:spacing w:val="-2"/>
                <w:sz w:val="18"/>
                <w:szCs w:val="18"/>
                <w:highlight w:val="none"/>
                <w:lang w:val="en-US" w:eastAsia="zh-CN"/>
              </w:rPr>
              <w:t>20</w:t>
            </w:r>
          </w:p>
        </w:tc>
        <w:tc>
          <w:tcPr>
            <w:tcW w:w="472" w:type="dxa"/>
            <w:tcBorders>
              <w:tl2br w:val="nil"/>
              <w:tr2bl w:val="nil"/>
            </w:tcBorders>
            <w:vAlign w:val="center"/>
          </w:tcPr>
          <w:p w14:paraId="5960139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483" w:type="dxa"/>
            <w:tcBorders>
              <w:tl2br w:val="nil"/>
              <w:tr2bl w:val="nil"/>
            </w:tcBorders>
            <w:vAlign w:val="center"/>
          </w:tcPr>
          <w:p w14:paraId="3FC82BA0">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50</w:t>
            </w:r>
          </w:p>
        </w:tc>
        <w:tc>
          <w:tcPr>
            <w:tcW w:w="426" w:type="dxa"/>
            <w:tcBorders>
              <w:tl2br w:val="nil"/>
              <w:tr2bl w:val="nil"/>
            </w:tcBorders>
            <w:vAlign w:val="center"/>
          </w:tcPr>
          <w:p w14:paraId="7F20AA8E">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52.1 </w:t>
            </w:r>
          </w:p>
        </w:tc>
        <w:tc>
          <w:tcPr>
            <w:tcW w:w="445" w:type="dxa"/>
            <w:tcBorders>
              <w:tl2br w:val="nil"/>
              <w:tr2bl w:val="nil"/>
            </w:tcBorders>
            <w:vAlign w:val="center"/>
          </w:tcPr>
          <w:p w14:paraId="7F514909">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49.0 </w:t>
            </w:r>
          </w:p>
        </w:tc>
        <w:tc>
          <w:tcPr>
            <w:tcW w:w="445" w:type="dxa"/>
            <w:tcBorders>
              <w:tl2br w:val="nil"/>
              <w:tr2bl w:val="nil"/>
            </w:tcBorders>
            <w:vAlign w:val="center"/>
          </w:tcPr>
          <w:p w14:paraId="15AE818D">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52.1 </w:t>
            </w:r>
          </w:p>
        </w:tc>
        <w:tc>
          <w:tcPr>
            <w:tcW w:w="468" w:type="dxa"/>
            <w:tcBorders>
              <w:tl2br w:val="nil"/>
              <w:tr2bl w:val="nil"/>
            </w:tcBorders>
            <w:vAlign w:val="center"/>
          </w:tcPr>
          <w:p w14:paraId="690485C3">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41.0 </w:t>
            </w:r>
          </w:p>
        </w:tc>
        <w:tc>
          <w:tcPr>
            <w:tcW w:w="177" w:type="pct"/>
            <w:vMerge w:val="continue"/>
            <w:tcBorders>
              <w:tl2br w:val="nil"/>
              <w:tr2bl w:val="nil"/>
            </w:tcBorders>
            <w:vAlign w:val="center"/>
          </w:tcPr>
          <w:p w14:paraId="12DF9C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3"/>
                <w:sz w:val="18"/>
                <w:szCs w:val="18"/>
              </w:rPr>
            </w:pPr>
          </w:p>
        </w:tc>
        <w:tc>
          <w:tcPr>
            <w:tcW w:w="177" w:type="pct"/>
            <w:tcBorders>
              <w:tl2br w:val="nil"/>
              <w:tr2bl w:val="nil"/>
            </w:tcBorders>
            <w:vAlign w:val="center"/>
          </w:tcPr>
          <w:p w14:paraId="22DA908E">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3AA85275">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105E0999">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2" w:type="pct"/>
            <w:tcBorders>
              <w:tl2br w:val="nil"/>
              <w:tr2bl w:val="nil"/>
            </w:tcBorders>
            <w:vAlign w:val="center"/>
          </w:tcPr>
          <w:p w14:paraId="2A880655">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524" w:type="dxa"/>
            <w:tcBorders>
              <w:tl2br w:val="nil"/>
              <w:tr2bl w:val="nil"/>
            </w:tcBorders>
            <w:vAlign w:val="center"/>
          </w:tcPr>
          <w:p w14:paraId="46BB8A4D">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32.1 </w:t>
            </w:r>
          </w:p>
        </w:tc>
        <w:tc>
          <w:tcPr>
            <w:tcW w:w="446" w:type="dxa"/>
            <w:tcBorders>
              <w:tl2br w:val="nil"/>
              <w:tr2bl w:val="nil"/>
            </w:tcBorders>
            <w:vAlign w:val="center"/>
          </w:tcPr>
          <w:p w14:paraId="7514503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29.0 </w:t>
            </w:r>
          </w:p>
        </w:tc>
        <w:tc>
          <w:tcPr>
            <w:tcW w:w="550" w:type="dxa"/>
            <w:tcBorders>
              <w:tl2br w:val="nil"/>
              <w:tr2bl w:val="nil"/>
            </w:tcBorders>
            <w:vAlign w:val="center"/>
          </w:tcPr>
          <w:p w14:paraId="5439081A">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32.1 </w:t>
            </w:r>
          </w:p>
        </w:tc>
        <w:tc>
          <w:tcPr>
            <w:tcW w:w="447" w:type="dxa"/>
            <w:tcBorders>
              <w:tl2br w:val="nil"/>
              <w:tr2bl w:val="nil"/>
            </w:tcBorders>
            <w:vAlign w:val="center"/>
          </w:tcPr>
          <w:p w14:paraId="1A5EF3A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170" w:type="pct"/>
            <w:tcBorders>
              <w:tl2br w:val="nil"/>
              <w:tr2bl w:val="nil"/>
            </w:tcBorders>
            <w:vAlign w:val="center"/>
          </w:tcPr>
          <w:p w14:paraId="32E1E9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04986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49" w:type="pct"/>
            <w:tcBorders>
              <w:tl2br w:val="nil"/>
              <w:tr2bl w:val="nil"/>
            </w:tcBorders>
            <w:vAlign w:val="center"/>
          </w:tcPr>
          <w:p w14:paraId="45CB35A7">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w:t>
            </w:r>
          </w:p>
        </w:tc>
        <w:tc>
          <w:tcPr>
            <w:tcW w:w="122" w:type="pct"/>
            <w:vMerge w:val="continue"/>
            <w:tcBorders>
              <w:tl2br w:val="nil"/>
              <w:tr2bl w:val="nil"/>
            </w:tcBorders>
            <w:vAlign w:val="center"/>
          </w:tcPr>
          <w:p w14:paraId="6CFE66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573" w:type="pct"/>
            <w:tcBorders>
              <w:tl2br w:val="nil"/>
              <w:tr2bl w:val="nil"/>
            </w:tcBorders>
            <w:vAlign w:val="center"/>
          </w:tcPr>
          <w:p w14:paraId="6048B9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eastAsia="宋体" w:cs="宋体"/>
                <w:color w:val="auto"/>
                <w:sz w:val="18"/>
                <w:szCs w:val="18"/>
                <w:highlight w:val="none"/>
                <w:lang w:val="en-US" w:eastAsia="zh-CN"/>
              </w:rPr>
            </w:pPr>
            <w:r>
              <w:rPr>
                <w:rFonts w:hint="eastAsia"/>
                <w:color w:val="auto"/>
                <w:sz w:val="18"/>
                <w:szCs w:val="18"/>
              </w:rPr>
              <w:t>双头无菌灌装机</w:t>
            </w:r>
          </w:p>
        </w:tc>
        <w:tc>
          <w:tcPr>
            <w:tcW w:w="265" w:type="pct"/>
            <w:tcBorders>
              <w:tl2br w:val="nil"/>
              <w:tr2bl w:val="nil"/>
            </w:tcBorders>
            <w:vAlign w:val="center"/>
          </w:tcPr>
          <w:p w14:paraId="6AA8CEE3">
            <w:pPr>
              <w:keepNext w:val="0"/>
              <w:keepLines w:val="0"/>
              <w:pageBreakBefore w:val="0"/>
              <w:wordWrap/>
              <w:autoSpaceDE w:val="0"/>
              <w:autoSpaceDN w:val="0"/>
              <w:bidi w:val="0"/>
              <w:adjustRightInd w:val="0"/>
              <w:spacing w:line="240" w:lineRule="auto"/>
              <w:ind w:firstLine="0" w:firstLineChars="0"/>
              <w:jc w:val="center"/>
              <w:rPr>
                <w:rFonts w:hint="default" w:ascii="Times New Roman" w:hAnsi="Times New Roman" w:eastAsia="宋体" w:cs="Times New Roman"/>
                <w:color w:val="auto"/>
                <w:spacing w:val="-2"/>
                <w:sz w:val="18"/>
                <w:szCs w:val="18"/>
                <w:lang w:val="en-US" w:eastAsia="zh-CN"/>
              </w:rPr>
            </w:pPr>
            <w:r>
              <w:rPr>
                <w:rFonts w:hint="eastAsia" w:eastAsia="宋体" w:cs="Times New Roman"/>
                <w:color w:val="auto"/>
                <w:spacing w:val="-2"/>
                <w:sz w:val="18"/>
                <w:szCs w:val="18"/>
                <w:lang w:val="en-US" w:eastAsia="zh-CN"/>
              </w:rPr>
              <w:t>80</w:t>
            </w:r>
          </w:p>
        </w:tc>
        <w:tc>
          <w:tcPr>
            <w:tcW w:w="641" w:type="pct"/>
            <w:tcBorders>
              <w:tl2br w:val="nil"/>
              <w:tr2bl w:val="nil"/>
            </w:tcBorders>
            <w:vAlign w:val="center"/>
          </w:tcPr>
          <w:p w14:paraId="6921DC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减振+建筑物隔声</w:t>
            </w:r>
          </w:p>
        </w:tc>
        <w:tc>
          <w:tcPr>
            <w:tcW w:w="158" w:type="pct"/>
            <w:tcBorders>
              <w:tl2br w:val="nil"/>
              <w:tr2bl w:val="nil"/>
            </w:tcBorders>
            <w:vAlign w:val="center"/>
          </w:tcPr>
          <w:p w14:paraId="115AF11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eastAsia="宋体" w:cs="Times New Roman"/>
                <w:color w:val="auto"/>
                <w:spacing w:val="-1"/>
                <w:sz w:val="18"/>
                <w:szCs w:val="18"/>
                <w:highlight w:val="none"/>
                <w:lang w:val="en-US" w:eastAsia="zh-CN"/>
              </w:rPr>
              <w:t>-</w:t>
            </w:r>
            <w:r>
              <w:rPr>
                <w:rFonts w:hint="eastAsia" w:ascii="Times New Roman" w:hAnsi="Times New Roman" w:eastAsia="宋体" w:cs="Times New Roman"/>
                <w:color w:val="auto"/>
                <w:spacing w:val="-1"/>
                <w:sz w:val="18"/>
                <w:szCs w:val="18"/>
                <w:highlight w:val="none"/>
                <w:lang w:val="en-US" w:eastAsia="zh-CN"/>
              </w:rPr>
              <w:t>15</w:t>
            </w:r>
          </w:p>
        </w:tc>
        <w:tc>
          <w:tcPr>
            <w:tcW w:w="162" w:type="pct"/>
            <w:tcBorders>
              <w:tl2br w:val="nil"/>
              <w:tr2bl w:val="nil"/>
            </w:tcBorders>
            <w:vAlign w:val="center"/>
          </w:tcPr>
          <w:p w14:paraId="7D2604C0">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55</w:t>
            </w:r>
          </w:p>
        </w:tc>
        <w:tc>
          <w:tcPr>
            <w:tcW w:w="144" w:type="pct"/>
            <w:tcBorders>
              <w:tl2br w:val="nil"/>
              <w:tr2bl w:val="nil"/>
            </w:tcBorders>
            <w:vAlign w:val="center"/>
          </w:tcPr>
          <w:p w14:paraId="71965E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430" w:type="dxa"/>
            <w:tcBorders>
              <w:tl2br w:val="nil"/>
              <w:tr2bl w:val="nil"/>
            </w:tcBorders>
            <w:vAlign w:val="center"/>
          </w:tcPr>
          <w:p w14:paraId="59418B1C">
            <w:pPr>
              <w:keepNext w:val="0"/>
              <w:keepLines w:val="0"/>
              <w:pageBreakBefore w:val="0"/>
              <w:widowControl/>
              <w:suppressLineNumbers w:val="0"/>
              <w:wordWrap/>
              <w:autoSpaceDE w:val="0"/>
              <w:autoSpaceDN w:val="0"/>
              <w:bidi w:val="0"/>
              <w:adjustRightInd w:val="0"/>
              <w:ind w:firstLine="0" w:firstLineChars="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506" w:type="dxa"/>
            <w:tcBorders>
              <w:tl2br w:val="nil"/>
              <w:tr2bl w:val="nil"/>
            </w:tcBorders>
            <w:vAlign w:val="center"/>
          </w:tcPr>
          <w:p w14:paraId="57649361">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ascii="Times New Roman" w:hAnsi="Times New Roman" w:eastAsia="宋体" w:cs="Times New Roman"/>
                <w:color w:val="auto"/>
                <w:spacing w:val="-2"/>
                <w:sz w:val="18"/>
                <w:szCs w:val="18"/>
                <w:highlight w:val="none"/>
                <w:lang w:val="en-US" w:eastAsia="zh-CN"/>
              </w:rPr>
              <w:t>15</w:t>
            </w:r>
          </w:p>
        </w:tc>
        <w:tc>
          <w:tcPr>
            <w:tcW w:w="472" w:type="dxa"/>
            <w:tcBorders>
              <w:tl2br w:val="nil"/>
              <w:tr2bl w:val="nil"/>
            </w:tcBorders>
            <w:vAlign w:val="center"/>
          </w:tcPr>
          <w:p w14:paraId="036C499B">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18"/>
                <w:szCs w:val="18"/>
                <w:highlight w:val="none"/>
                <w:lang w:val="en-US" w:eastAsia="zh-CN"/>
              </w:rPr>
            </w:pPr>
            <w:r>
              <w:rPr>
                <w:rFonts w:hint="eastAsia" w:eastAsia="宋体" w:cs="Times New Roman"/>
                <w:color w:val="auto"/>
                <w:sz w:val="18"/>
                <w:szCs w:val="18"/>
                <w:highlight w:val="none"/>
                <w:lang w:val="en-US" w:eastAsia="zh-CN"/>
              </w:rPr>
              <w:t>14</w:t>
            </w:r>
          </w:p>
        </w:tc>
        <w:tc>
          <w:tcPr>
            <w:tcW w:w="483" w:type="dxa"/>
            <w:tcBorders>
              <w:tl2br w:val="nil"/>
              <w:tr2bl w:val="nil"/>
            </w:tcBorders>
            <w:vAlign w:val="center"/>
          </w:tcPr>
          <w:p w14:paraId="20B22768">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55</w:t>
            </w:r>
          </w:p>
        </w:tc>
        <w:tc>
          <w:tcPr>
            <w:tcW w:w="426" w:type="dxa"/>
            <w:tcBorders>
              <w:tl2br w:val="nil"/>
              <w:tr2bl w:val="nil"/>
            </w:tcBorders>
            <w:vAlign w:val="center"/>
          </w:tcPr>
          <w:p w14:paraId="3313328C">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57.1 </w:t>
            </w:r>
          </w:p>
        </w:tc>
        <w:tc>
          <w:tcPr>
            <w:tcW w:w="445" w:type="dxa"/>
            <w:tcBorders>
              <w:tl2br w:val="nil"/>
              <w:tr2bl w:val="nil"/>
            </w:tcBorders>
            <w:vAlign w:val="center"/>
          </w:tcPr>
          <w:p w14:paraId="74276516">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56.5 </w:t>
            </w:r>
          </w:p>
        </w:tc>
        <w:tc>
          <w:tcPr>
            <w:tcW w:w="445" w:type="dxa"/>
            <w:tcBorders>
              <w:tl2br w:val="nil"/>
              <w:tr2bl w:val="nil"/>
            </w:tcBorders>
            <w:vAlign w:val="center"/>
          </w:tcPr>
          <w:p w14:paraId="4B7892D3">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57.1 </w:t>
            </w:r>
          </w:p>
        </w:tc>
        <w:tc>
          <w:tcPr>
            <w:tcW w:w="468" w:type="dxa"/>
            <w:tcBorders>
              <w:tl2br w:val="nil"/>
              <w:tr2bl w:val="nil"/>
            </w:tcBorders>
            <w:vAlign w:val="center"/>
          </w:tcPr>
          <w:p w14:paraId="1C9495B2">
            <w:pPr>
              <w:keepNext w:val="0"/>
              <w:keepLines w:val="0"/>
              <w:widowControl/>
              <w:suppressLineNumbers w:val="0"/>
              <w:jc w:val="center"/>
              <w:textAlignment w:val="center"/>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45.2 </w:t>
            </w:r>
          </w:p>
        </w:tc>
        <w:tc>
          <w:tcPr>
            <w:tcW w:w="177" w:type="pct"/>
            <w:vMerge w:val="continue"/>
            <w:tcBorders>
              <w:tl2br w:val="nil"/>
              <w:tr2bl w:val="nil"/>
            </w:tcBorders>
            <w:vAlign w:val="center"/>
          </w:tcPr>
          <w:p w14:paraId="55328E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3"/>
                <w:sz w:val="18"/>
                <w:szCs w:val="18"/>
              </w:rPr>
            </w:pPr>
          </w:p>
        </w:tc>
        <w:tc>
          <w:tcPr>
            <w:tcW w:w="177" w:type="pct"/>
            <w:tcBorders>
              <w:tl2br w:val="nil"/>
              <w:tr2bl w:val="nil"/>
            </w:tcBorders>
            <w:vAlign w:val="center"/>
          </w:tcPr>
          <w:p w14:paraId="19FD5798">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1CC2A3F2">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3" w:type="pct"/>
            <w:tcBorders>
              <w:tl2br w:val="nil"/>
              <w:tr2bl w:val="nil"/>
            </w:tcBorders>
            <w:vAlign w:val="center"/>
          </w:tcPr>
          <w:p w14:paraId="1FA243A6">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142" w:type="pct"/>
            <w:tcBorders>
              <w:tl2br w:val="nil"/>
              <w:tr2bl w:val="nil"/>
            </w:tcBorders>
            <w:vAlign w:val="center"/>
          </w:tcPr>
          <w:p w14:paraId="5D68E05D">
            <w:pPr>
              <w:pStyle w:val="4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524" w:type="dxa"/>
            <w:tcBorders>
              <w:tl2br w:val="nil"/>
              <w:tr2bl w:val="nil"/>
            </w:tcBorders>
            <w:vAlign w:val="center"/>
          </w:tcPr>
          <w:p w14:paraId="6E83668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37.1 </w:t>
            </w:r>
          </w:p>
        </w:tc>
        <w:tc>
          <w:tcPr>
            <w:tcW w:w="446" w:type="dxa"/>
            <w:tcBorders>
              <w:tl2br w:val="nil"/>
              <w:tr2bl w:val="nil"/>
            </w:tcBorders>
            <w:vAlign w:val="center"/>
          </w:tcPr>
          <w:p w14:paraId="3891A2AE">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36.5 </w:t>
            </w:r>
          </w:p>
        </w:tc>
        <w:tc>
          <w:tcPr>
            <w:tcW w:w="550" w:type="dxa"/>
            <w:tcBorders>
              <w:tl2br w:val="nil"/>
              <w:tr2bl w:val="nil"/>
            </w:tcBorders>
            <w:vAlign w:val="center"/>
          </w:tcPr>
          <w:p w14:paraId="0DB99C8D">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37.1 </w:t>
            </w:r>
          </w:p>
        </w:tc>
        <w:tc>
          <w:tcPr>
            <w:tcW w:w="447" w:type="dxa"/>
            <w:tcBorders>
              <w:tl2br w:val="nil"/>
              <w:tr2bl w:val="nil"/>
            </w:tcBorders>
            <w:vAlign w:val="center"/>
          </w:tcPr>
          <w:p w14:paraId="5D8A7E3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25.2 </w:t>
            </w:r>
          </w:p>
        </w:tc>
        <w:tc>
          <w:tcPr>
            <w:tcW w:w="170" w:type="pct"/>
            <w:tcBorders>
              <w:tl2br w:val="nil"/>
              <w:tr2bl w:val="nil"/>
            </w:tcBorders>
            <w:vAlign w:val="center"/>
          </w:tcPr>
          <w:p w14:paraId="1EED20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bl>
    <w:p w14:paraId="294F5906">
      <w:pPr>
        <w:pStyle w:val="24"/>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9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20"/>
      </w:tblGrid>
      <w:tr w14:paraId="2463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35" w:hRule="atLeast"/>
          <w:jc w:val="center"/>
        </w:trPr>
        <w:tc>
          <w:tcPr>
            <w:tcW w:w="434" w:type="dxa"/>
            <w:vAlign w:val="center"/>
          </w:tcPr>
          <w:p w14:paraId="35F8358B">
            <w:pPr>
              <w:widowControl w:val="0"/>
              <w:overflowPunct w:val="0"/>
              <w:autoSpaceDE w:val="0"/>
              <w:autoSpaceDN w:val="0"/>
              <w:adjustRightInd w:val="0"/>
              <w:snapToGrid w:val="0"/>
              <w:spacing w:before="0" w:after="0" w:line="400" w:lineRule="exact"/>
              <w:ind w:left="0" w:leftChars="0" w:right="0" w:rightChars="0" w:firstLine="0" w:firstLineChars="0"/>
              <w:jc w:val="center"/>
              <w:rPr>
                <w:rFonts w:ascii="Times New Roman" w:hAnsi="Times New Roman" w:eastAsia="宋体" w:cs="宋体"/>
                <w:color w:val="auto"/>
                <w:sz w:val="24"/>
                <w:szCs w:val="24"/>
                <w:vertAlign w:val="baseline"/>
                <w:lang w:val="en-US" w:eastAsia="zh-CN" w:bidi="ar-SA"/>
              </w:rPr>
            </w:pPr>
            <w:bookmarkStart w:id="74" w:name="_Toc21082"/>
            <w:bookmarkStart w:id="75" w:name="_Toc27383"/>
            <w:bookmarkStart w:id="76" w:name="_Toc1901"/>
            <w:r>
              <w:rPr>
                <w:rFonts w:ascii="Times New Roman" w:hAnsi="Times New Roman" w:eastAsia="宋体" w:cs="宋体"/>
                <w:color w:val="auto"/>
                <w:sz w:val="24"/>
                <w:szCs w:val="22"/>
                <w:lang w:val="en-US" w:eastAsia="zh-CN" w:bidi="ar-SA"/>
              </w:rPr>
              <w:t>项目有关的原有环境污染问</w:t>
            </w:r>
            <w:r>
              <w:rPr>
                <w:rFonts w:hint="eastAsia" w:ascii="Times New Roman" w:hAnsi="Times New Roman" w:eastAsia="宋体" w:cs="宋体"/>
                <w:color w:val="auto"/>
                <w:sz w:val="24"/>
                <w:szCs w:val="22"/>
                <w:lang w:val="en-US" w:eastAsia="zh-CN" w:bidi="ar-SA"/>
              </w:rPr>
              <w:t>题</w:t>
            </w:r>
          </w:p>
        </w:tc>
        <w:tc>
          <w:tcPr>
            <w:tcW w:w="8637" w:type="dxa"/>
            <w:vAlign w:val="top"/>
          </w:tcPr>
          <w:p w14:paraId="005E382C">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right="0"/>
              <w:jc w:val="both"/>
              <w:textAlignment w:val="auto"/>
              <w:outlineLvl w:val="1"/>
              <w:rPr>
                <w:rFonts w:hint="eastAsia" w:ascii="Times New Roman" w:hAnsi="Times New Roman" w:eastAsia="宋体" w:cs="黑体"/>
                <w:b/>
                <w:color w:val="auto"/>
                <w:sz w:val="28"/>
                <w:szCs w:val="30"/>
                <w:highlight w:val="none"/>
                <w:lang w:val="en-US" w:eastAsia="zh-CN" w:bidi="ar-SA"/>
              </w:rPr>
            </w:pPr>
            <w:r>
              <w:rPr>
                <w:rFonts w:hint="eastAsia" w:cs="黑体"/>
                <w:b/>
                <w:color w:val="auto"/>
                <w:sz w:val="28"/>
                <w:szCs w:val="30"/>
                <w:highlight w:val="none"/>
                <w:lang w:val="en-US" w:eastAsia="zh-CN" w:bidi="ar-SA"/>
              </w:rPr>
              <w:t>3、</w:t>
            </w:r>
            <w:r>
              <w:rPr>
                <w:rFonts w:hint="eastAsia" w:ascii="Times New Roman" w:hAnsi="Times New Roman" w:eastAsia="宋体" w:cs="黑体"/>
                <w:b/>
                <w:color w:val="auto"/>
                <w:sz w:val="28"/>
                <w:szCs w:val="30"/>
                <w:highlight w:val="none"/>
                <w:lang w:val="en-US" w:eastAsia="zh-CN" w:bidi="ar-SA"/>
              </w:rPr>
              <w:t>噪声</w:t>
            </w:r>
          </w:p>
          <w:p w14:paraId="7138F83B">
            <w:pPr>
              <w:keepNext w:val="0"/>
              <w:keepLines w:val="0"/>
              <w:pageBreakBefore w:val="0"/>
              <w:widowControl w:val="0"/>
              <w:kinsoku/>
              <w:wordWrap/>
              <w:overflowPunct/>
              <w:topLinePunct w:val="0"/>
              <w:autoSpaceDE/>
              <w:autoSpaceDN/>
              <w:bidi w:val="0"/>
              <w:adjustRightInd/>
              <w:snapToGrid/>
              <w:spacing w:before="0" w:after="0" w:line="500" w:lineRule="exact"/>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（1）噪声源强分析</w:t>
            </w:r>
          </w:p>
          <w:p w14:paraId="60A10CC9">
            <w:pPr>
              <w:keepNext w:val="0"/>
              <w:keepLines w:val="0"/>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cs="Times New Roman"/>
                <w:color w:val="auto"/>
              </w:rPr>
            </w:pPr>
            <w:r>
              <w:rPr>
                <w:rFonts w:hint="eastAsia" w:ascii="Times New Roman" w:hAnsi="Times New Roman" w:eastAsia="宋体" w:cs="Times New Roman"/>
                <w:color w:val="auto"/>
                <w:kern w:val="2"/>
                <w:sz w:val="24"/>
                <w:szCs w:val="20"/>
                <w:highlight w:val="none"/>
                <w:lang w:val="en-US" w:eastAsia="zh-CN"/>
              </w:rPr>
              <w:t>本项目设备噪声源主要来自</w:t>
            </w:r>
            <w:r>
              <w:rPr>
                <w:rFonts w:hint="eastAsia" w:cs="Times New Roman"/>
                <w:color w:val="auto"/>
                <w:kern w:val="2"/>
                <w:sz w:val="24"/>
                <w:szCs w:val="20"/>
                <w:highlight w:val="none"/>
                <w:lang w:val="en-US" w:eastAsia="zh-CN"/>
              </w:rPr>
              <w:t>各类生产设备</w:t>
            </w:r>
            <w:r>
              <w:rPr>
                <w:rFonts w:hint="eastAsia" w:ascii="Times New Roman" w:hAnsi="Times New Roman" w:eastAsia="宋体" w:cs="Times New Roman"/>
                <w:color w:val="auto"/>
                <w:kern w:val="2"/>
                <w:sz w:val="24"/>
                <w:szCs w:val="20"/>
                <w:highlight w:val="none"/>
                <w:lang w:val="en-US" w:eastAsia="zh-CN"/>
              </w:rPr>
              <w:t>、污水处理站设备噪声，根据设计单位提供的设备资料，设备噪声源强约在</w:t>
            </w:r>
            <w:r>
              <w:rPr>
                <w:rFonts w:hint="eastAsia" w:cs="Times New Roman"/>
                <w:color w:val="auto"/>
                <w:kern w:val="2"/>
                <w:sz w:val="24"/>
                <w:szCs w:val="20"/>
                <w:highlight w:val="none"/>
                <w:lang w:val="en-US" w:eastAsia="zh-CN"/>
              </w:rPr>
              <w:t>65</w:t>
            </w:r>
            <w:r>
              <w:rPr>
                <w:rFonts w:hint="eastAsia" w:ascii="Times New Roman" w:hAnsi="Times New Roman" w:eastAsia="宋体" w:cs="Times New Roman"/>
                <w:color w:val="auto"/>
                <w:kern w:val="2"/>
                <w:sz w:val="24"/>
                <w:szCs w:val="20"/>
                <w:highlight w:val="none"/>
                <w:lang w:val="en-US" w:eastAsia="zh-CN"/>
              </w:rPr>
              <w:t>-</w:t>
            </w:r>
            <w:r>
              <w:rPr>
                <w:rFonts w:hint="eastAsia" w:cs="Times New Roman"/>
                <w:color w:val="auto"/>
                <w:kern w:val="2"/>
                <w:sz w:val="24"/>
                <w:szCs w:val="20"/>
                <w:highlight w:val="none"/>
                <w:lang w:val="en-US" w:eastAsia="zh-CN"/>
              </w:rPr>
              <w:t>8</w:t>
            </w:r>
            <w:r>
              <w:rPr>
                <w:rFonts w:hint="eastAsia" w:ascii="Times New Roman" w:hAnsi="Times New Roman" w:eastAsia="宋体" w:cs="Times New Roman"/>
                <w:color w:val="auto"/>
                <w:kern w:val="2"/>
                <w:sz w:val="24"/>
                <w:szCs w:val="20"/>
                <w:highlight w:val="none"/>
                <w:lang w:val="en-US" w:eastAsia="zh-CN"/>
              </w:rPr>
              <w:t>5dB(A)。</w:t>
            </w:r>
            <w:r>
              <w:rPr>
                <w:rFonts w:hint="eastAsia"/>
                <w:color w:val="auto"/>
              </w:rPr>
              <w:t>设备均布置在室内，并采取消声减振措施。主要噪声源强见表4.</w:t>
            </w:r>
            <w:r>
              <w:rPr>
                <w:rFonts w:hint="eastAsia"/>
                <w:color w:val="auto"/>
                <w:lang w:val="en-US" w:eastAsia="zh-CN"/>
              </w:rPr>
              <w:t>3</w:t>
            </w:r>
            <w:r>
              <w:rPr>
                <w:rFonts w:hint="eastAsia"/>
                <w:color w:val="auto"/>
              </w:rPr>
              <w:t>-</w:t>
            </w:r>
            <w:r>
              <w:rPr>
                <w:rFonts w:hint="eastAsia"/>
                <w:color w:val="auto"/>
                <w:lang w:val="en-US" w:eastAsia="zh-CN"/>
              </w:rPr>
              <w:t>1</w:t>
            </w:r>
            <w:r>
              <w:rPr>
                <w:rFonts w:hint="default" w:ascii="Times New Roman" w:hAnsi="Times New Roman" w:cs="Times New Roman"/>
                <w:color w:val="auto"/>
              </w:rPr>
              <w:t>。</w:t>
            </w:r>
          </w:p>
          <w:p w14:paraId="1FC6B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（2）达标分析</w:t>
            </w:r>
          </w:p>
          <w:p w14:paraId="4717753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本次评价计算各个机械在经过距离衰减，对各个厂界的贡献，然后叠加进行评价</w:t>
            </w:r>
            <w:r>
              <w:rPr>
                <w:rFonts w:hint="eastAsia" w:cs="Times New Roman"/>
                <w:color w:val="auto"/>
                <w:sz w:val="24"/>
                <w:highlight w:val="none"/>
                <w:lang w:val="en-US" w:eastAsia="zh-CN"/>
              </w:rPr>
              <w:t>。</w:t>
            </w:r>
          </w:p>
          <w:p w14:paraId="3CE6F748">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噪声衰减公式：</w:t>
            </w:r>
          </w:p>
          <w:p w14:paraId="5B57E811">
            <w:pPr>
              <w:keepNext w:val="0"/>
              <w:keepLines w:val="0"/>
              <w:suppressLineNumbers w:val="0"/>
              <w:spacing w:before="0" w:beforeAutospacing="0" w:after="0" w:afterAutospacing="0" w:line="480" w:lineRule="exact"/>
              <w:ind w:left="0" w:right="0" w:firstLine="480" w:firstLineChars="200"/>
              <w:jc w:val="center"/>
              <w:rPr>
                <w:rFonts w:hint="default" w:ascii="Times New Roman" w:hAnsi="Times New Roman" w:cs="Times New Roman"/>
                <w:color w:val="auto"/>
                <w:highlight w:val="none"/>
              </w:rPr>
            </w:pPr>
            <w:r>
              <w:rPr>
                <w:rFonts w:hint="default" w:ascii="Times New Roman" w:hAnsi="Times New Roman" w:cs="Times New Roman"/>
                <w:color w:val="auto"/>
                <w:position w:val="-30"/>
                <w:sz w:val="24"/>
                <w:highlight w:val="none"/>
              </w:rPr>
              <w:drawing>
                <wp:inline distT="0" distB="0" distL="114300" distR="114300">
                  <wp:extent cx="1572260" cy="431800"/>
                  <wp:effectExtent l="0" t="0" r="0" b="508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8"/>
                          <a:srcRect r="15782"/>
                          <a:stretch>
                            <a:fillRect/>
                          </a:stretch>
                        </pic:blipFill>
                        <pic:spPr>
                          <a:xfrm>
                            <a:off x="0" y="0"/>
                            <a:ext cx="1572260" cy="431800"/>
                          </a:xfrm>
                          <a:prstGeom prst="rect">
                            <a:avLst/>
                          </a:prstGeom>
                          <a:noFill/>
                          <a:ln>
                            <a:noFill/>
                          </a:ln>
                        </pic:spPr>
                      </pic:pic>
                    </a:graphicData>
                  </a:graphic>
                </wp:inline>
              </w:drawing>
            </w:r>
          </w:p>
          <w:p w14:paraId="0FD495BE">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A</w:t>
            </w:r>
            <w:r>
              <w:rPr>
                <w:rFonts w:hint="default" w:ascii="Times New Roman" w:hAnsi="Times New Roman" w:cs="Times New Roman"/>
                <w:color w:val="auto"/>
                <w:sz w:val="24"/>
                <w:highlight w:val="none"/>
              </w:rPr>
              <w:t>(r)</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距离声源r处的A声级dB(A);</w:t>
            </w:r>
          </w:p>
          <w:p w14:paraId="15261AFB">
            <w:pPr>
              <w:keepNext w:val="0"/>
              <w:keepLines w:val="0"/>
              <w:suppressLineNumbers w:val="0"/>
              <w:spacing w:before="0" w:beforeAutospacing="0" w:after="0" w:afterAutospacing="0" w:line="480" w:lineRule="exact"/>
              <w:ind w:left="0" w:right="0" w:firstLine="1200" w:firstLineChars="5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A</w:t>
            </w: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距离声源r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处的A声级dB(A);</w:t>
            </w:r>
          </w:p>
          <w:p w14:paraId="662CEB6C">
            <w:pPr>
              <w:keepNext w:val="0"/>
              <w:keepLines w:val="0"/>
              <w:suppressLineNumbers w:val="0"/>
              <w:spacing w:before="0" w:beforeAutospacing="0" w:after="0" w:afterAutospacing="0" w:line="480" w:lineRule="exact"/>
              <w:ind w:left="0" w:right="0" w:firstLine="1200" w:firstLineChars="5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、r</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距声源的距离（m)。</w:t>
            </w:r>
          </w:p>
          <w:p w14:paraId="14EA0182">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噪声叠加公式：</w:t>
            </w:r>
          </w:p>
          <w:p w14:paraId="483DBF3B">
            <w:pPr>
              <w:keepNext w:val="0"/>
              <w:keepLines w:val="0"/>
              <w:suppressLineNumbers w:val="0"/>
              <w:spacing w:before="0" w:beforeAutospacing="0" w:after="0" w:afterAutospacing="0" w:line="480" w:lineRule="exact"/>
              <w:ind w:left="0" w:right="0"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28"/>
                <w:sz w:val="24"/>
                <w:highlight w:val="none"/>
              </w:rPr>
              <w:drawing>
                <wp:inline distT="0" distB="0" distL="114300" distR="114300">
                  <wp:extent cx="1130300" cy="431800"/>
                  <wp:effectExtent l="0" t="0" r="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9"/>
                          <a:stretch>
                            <a:fillRect/>
                          </a:stretch>
                        </pic:blipFill>
                        <pic:spPr>
                          <a:xfrm>
                            <a:off x="0" y="0"/>
                            <a:ext cx="1130300" cy="431800"/>
                          </a:xfrm>
                          <a:prstGeom prst="rect">
                            <a:avLst/>
                          </a:prstGeom>
                          <a:noFill/>
                          <a:ln>
                            <a:noFill/>
                          </a:ln>
                        </pic:spPr>
                      </pic:pic>
                    </a:graphicData>
                  </a:graphic>
                </wp:inline>
              </w:drawing>
            </w:r>
          </w:p>
          <w:p w14:paraId="4C8A97E4">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某点噪声总叠加值dB(A);</w:t>
            </w:r>
          </w:p>
          <w:p w14:paraId="08B593F1">
            <w:pPr>
              <w:keepNext w:val="0"/>
              <w:keepLines w:val="0"/>
              <w:suppressLineNumbers w:val="0"/>
              <w:spacing w:before="0" w:beforeAutospacing="0" w:after="0" w:afterAutospacing="0" w:line="480" w:lineRule="exact"/>
              <w:ind w:left="0" w:right="0" w:firstLine="1200" w:firstLineChars="5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第i个声源的噪声值dB(A);</w:t>
            </w:r>
          </w:p>
          <w:p w14:paraId="5EB71702">
            <w:pPr>
              <w:keepNext w:val="0"/>
              <w:keepLines w:val="0"/>
              <w:suppressLineNumbers w:val="0"/>
              <w:spacing w:before="0" w:beforeAutospacing="0" w:after="0" w:afterAutospacing="0" w:line="480" w:lineRule="exact"/>
              <w:ind w:left="0" w:right="0" w:firstLine="1200" w:firstLineChars="5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声源个数。</w:t>
            </w:r>
          </w:p>
          <w:p w14:paraId="56604E6B">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nl-BE"/>
              </w:rPr>
              <w:t>项目主要设备采取隔声减震后</w:t>
            </w:r>
            <w:r>
              <w:rPr>
                <w:rFonts w:hint="default" w:ascii="Times New Roman" w:hAnsi="Times New Roman" w:cs="Times New Roman"/>
                <w:color w:val="auto"/>
                <w:sz w:val="24"/>
                <w:highlight w:val="none"/>
              </w:rPr>
              <w:t>，其</w:t>
            </w:r>
            <w:r>
              <w:rPr>
                <w:rFonts w:hint="default" w:ascii="Times New Roman" w:hAnsi="Times New Roman" w:cs="Times New Roman"/>
                <w:color w:val="auto"/>
                <w:sz w:val="24"/>
                <w:highlight w:val="none"/>
                <w:lang w:val="nl-BE"/>
              </w:rPr>
              <w:t>测结果如下：</w:t>
            </w:r>
          </w:p>
          <w:p w14:paraId="3376134E">
            <w:pPr>
              <w:keepNext w:val="0"/>
              <w:keepLines w:val="0"/>
              <w:suppressLineNumbers w:val="0"/>
              <w:snapToGrid w:val="0"/>
              <w:spacing w:before="0" w:beforeAutospacing="0" w:after="0" w:afterAutospacing="0" w:line="480" w:lineRule="exact"/>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 xml:space="preserve">7  </w:t>
            </w:r>
            <w:r>
              <w:rPr>
                <w:rFonts w:hint="default" w:ascii="Times New Roman" w:hAnsi="Times New Roman" w:cs="Times New Roman"/>
                <w:b/>
                <w:bCs/>
                <w:color w:val="auto"/>
                <w:sz w:val="21"/>
                <w:szCs w:val="21"/>
                <w:highlight w:val="none"/>
              </w:rPr>
              <w:t>厂界处噪声预测结果单位：dB（A）</w:t>
            </w:r>
          </w:p>
          <w:tbl>
            <w:tblPr>
              <w:tblStyle w:val="21"/>
              <w:tblW w:w="8463"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10"/>
              <w:gridCol w:w="822"/>
              <w:gridCol w:w="2089"/>
              <w:gridCol w:w="2022"/>
              <w:gridCol w:w="889"/>
              <w:gridCol w:w="889"/>
            </w:tblGrid>
            <w:tr w14:paraId="4A853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42" w:type="dxa"/>
                  <w:vMerge w:val="restart"/>
                  <w:noWrap w:val="0"/>
                  <w:vAlign w:val="center"/>
                </w:tcPr>
                <w:p w14:paraId="72E40756">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噪声源</w:t>
                  </w:r>
                </w:p>
              </w:tc>
              <w:tc>
                <w:tcPr>
                  <w:tcW w:w="1010" w:type="dxa"/>
                  <w:vMerge w:val="restart"/>
                  <w:noWrap w:val="0"/>
                  <w:vAlign w:val="center"/>
                </w:tcPr>
                <w:p w14:paraId="7E71B4B5">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预测点</w:t>
                  </w:r>
                </w:p>
              </w:tc>
              <w:tc>
                <w:tcPr>
                  <w:tcW w:w="822" w:type="dxa"/>
                  <w:vMerge w:val="restart"/>
                  <w:noWrap w:val="0"/>
                  <w:vAlign w:val="center"/>
                </w:tcPr>
                <w:p w14:paraId="5214703B">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p w14:paraId="613DEF1E">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2089" w:type="dxa"/>
                  <w:vMerge w:val="restart"/>
                  <w:noWrap w:val="0"/>
                  <w:vAlign w:val="center"/>
                </w:tcPr>
                <w:p w14:paraId="7149CD43">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预测最大</w:t>
                  </w:r>
                  <w:r>
                    <w:rPr>
                      <w:rFonts w:hint="default" w:ascii="Times New Roman" w:hAnsi="Times New Roman" w:eastAsia="宋体" w:cs="Times New Roman"/>
                      <w:color w:val="auto"/>
                      <w:sz w:val="21"/>
                      <w:szCs w:val="21"/>
                      <w:highlight w:val="none"/>
                    </w:rPr>
                    <w:t>值dB(A)</w:t>
                  </w:r>
                </w:p>
              </w:tc>
              <w:tc>
                <w:tcPr>
                  <w:tcW w:w="2022" w:type="dxa"/>
                  <w:vMerge w:val="restart"/>
                  <w:noWrap w:val="0"/>
                  <w:vAlign w:val="center"/>
                </w:tcPr>
                <w:p w14:paraId="3131C2C7">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1778" w:type="dxa"/>
                  <w:gridSpan w:val="2"/>
                  <w:noWrap w:val="0"/>
                  <w:vAlign w:val="center"/>
                </w:tcPr>
                <w:p w14:paraId="4D2A5936">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标准值dB(A)</w:t>
                  </w:r>
                </w:p>
              </w:tc>
            </w:tr>
            <w:tr w14:paraId="14795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42" w:type="dxa"/>
                  <w:vMerge w:val="continue"/>
                  <w:noWrap w:val="0"/>
                  <w:vAlign w:val="center"/>
                </w:tcPr>
                <w:p w14:paraId="436571A1">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010" w:type="dxa"/>
                  <w:vMerge w:val="continue"/>
                  <w:noWrap w:val="0"/>
                  <w:vAlign w:val="center"/>
                </w:tcPr>
                <w:p w14:paraId="4DD4D6B6">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22" w:type="dxa"/>
                  <w:vMerge w:val="continue"/>
                  <w:noWrap w:val="0"/>
                  <w:vAlign w:val="center"/>
                </w:tcPr>
                <w:p w14:paraId="43D39DDA">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089" w:type="dxa"/>
                  <w:vMerge w:val="continue"/>
                  <w:noWrap w:val="0"/>
                  <w:vAlign w:val="center"/>
                </w:tcPr>
                <w:p w14:paraId="33CF2BE2">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2022" w:type="dxa"/>
                  <w:vMerge w:val="continue"/>
                  <w:noWrap w:val="0"/>
                  <w:vAlign w:val="center"/>
                </w:tcPr>
                <w:p w14:paraId="45F57064">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89" w:type="dxa"/>
                  <w:noWrap w:val="0"/>
                  <w:vAlign w:val="center"/>
                </w:tcPr>
                <w:p w14:paraId="404243E4">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昼间</w:t>
                  </w:r>
                </w:p>
              </w:tc>
              <w:tc>
                <w:tcPr>
                  <w:tcW w:w="889" w:type="dxa"/>
                  <w:noWrap w:val="0"/>
                  <w:vAlign w:val="center"/>
                </w:tcPr>
                <w:p w14:paraId="3286BE0D">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夜间</w:t>
                  </w:r>
                </w:p>
              </w:tc>
            </w:tr>
            <w:tr w14:paraId="204D4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42" w:type="dxa"/>
                  <w:vMerge w:val="restart"/>
                  <w:noWrap w:val="0"/>
                  <w:vAlign w:val="center"/>
                </w:tcPr>
                <w:p w14:paraId="51A3DEA3">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车间设备</w:t>
                  </w:r>
                </w:p>
              </w:tc>
              <w:tc>
                <w:tcPr>
                  <w:tcW w:w="1010" w:type="dxa"/>
                  <w:noWrap w:val="0"/>
                  <w:vAlign w:val="center"/>
                </w:tcPr>
                <w:p w14:paraId="11AF6FE2">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东厂界</w:t>
                  </w:r>
                </w:p>
              </w:tc>
              <w:tc>
                <w:tcPr>
                  <w:tcW w:w="822" w:type="dxa"/>
                  <w:noWrap w:val="0"/>
                  <w:vAlign w:val="center"/>
                </w:tcPr>
                <w:p w14:paraId="1DADBACC">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89" w:type="dxa"/>
                  <w:noWrap w:val="0"/>
                  <w:vAlign w:val="center"/>
                </w:tcPr>
                <w:p w14:paraId="40B3A6D4">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46.1</w:t>
                  </w:r>
                </w:p>
              </w:tc>
              <w:tc>
                <w:tcPr>
                  <w:tcW w:w="2022" w:type="dxa"/>
                  <w:vMerge w:val="restart"/>
                  <w:noWrap w:val="0"/>
                  <w:vAlign w:val="center"/>
                </w:tcPr>
                <w:p w14:paraId="780885FE">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厂界噪声执行《工业企业厂界环境噪声排放标准》（GB12348-2008）中的</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类区标准</w:t>
                  </w:r>
                </w:p>
              </w:tc>
              <w:tc>
                <w:tcPr>
                  <w:tcW w:w="889" w:type="dxa"/>
                  <w:noWrap w:val="0"/>
                  <w:vAlign w:val="center"/>
                </w:tcPr>
                <w:p w14:paraId="5C44882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889" w:type="dxa"/>
                  <w:noWrap w:val="0"/>
                  <w:vAlign w:val="center"/>
                </w:tcPr>
                <w:p w14:paraId="575B83F8">
                  <w:pPr>
                    <w:keepNext w:val="0"/>
                    <w:keepLines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r w14:paraId="3AEB8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42" w:type="dxa"/>
                  <w:vMerge w:val="continue"/>
                  <w:noWrap w:val="0"/>
                  <w:vAlign w:val="center"/>
                </w:tcPr>
                <w:p w14:paraId="6D869A3C">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010" w:type="dxa"/>
                  <w:noWrap w:val="0"/>
                  <w:vAlign w:val="center"/>
                </w:tcPr>
                <w:p w14:paraId="41F03BA5">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南厂界</w:t>
                  </w:r>
                </w:p>
              </w:tc>
              <w:tc>
                <w:tcPr>
                  <w:tcW w:w="822" w:type="dxa"/>
                  <w:noWrap w:val="0"/>
                  <w:vAlign w:val="center"/>
                </w:tcPr>
                <w:p w14:paraId="132A4D7E">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89" w:type="dxa"/>
                  <w:noWrap w:val="0"/>
                  <w:vAlign w:val="center"/>
                </w:tcPr>
                <w:p w14:paraId="29BAB173">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46.1</w:t>
                  </w:r>
                </w:p>
              </w:tc>
              <w:tc>
                <w:tcPr>
                  <w:tcW w:w="2022" w:type="dxa"/>
                  <w:vMerge w:val="continue"/>
                  <w:noWrap w:val="0"/>
                  <w:vAlign w:val="center"/>
                </w:tcPr>
                <w:p w14:paraId="77B0CB1E">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89" w:type="dxa"/>
                  <w:noWrap w:val="0"/>
                  <w:vAlign w:val="center"/>
                </w:tcPr>
                <w:p w14:paraId="562FC14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889" w:type="dxa"/>
                  <w:noWrap w:val="0"/>
                  <w:vAlign w:val="center"/>
                </w:tcPr>
                <w:p w14:paraId="096A491C">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r w14:paraId="7A4F5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42" w:type="dxa"/>
                  <w:vMerge w:val="continue"/>
                  <w:noWrap w:val="0"/>
                  <w:vAlign w:val="center"/>
                </w:tcPr>
                <w:p w14:paraId="21847ED8">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010" w:type="dxa"/>
                  <w:noWrap w:val="0"/>
                  <w:vAlign w:val="center"/>
                </w:tcPr>
                <w:p w14:paraId="04A9B50C">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西厂界</w:t>
                  </w:r>
                </w:p>
              </w:tc>
              <w:tc>
                <w:tcPr>
                  <w:tcW w:w="822" w:type="dxa"/>
                  <w:noWrap w:val="0"/>
                  <w:vAlign w:val="center"/>
                </w:tcPr>
                <w:p w14:paraId="44AE3402">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89" w:type="dxa"/>
                  <w:noWrap w:val="0"/>
                  <w:vAlign w:val="center"/>
                </w:tcPr>
                <w:p w14:paraId="1677E7B8">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40.1</w:t>
                  </w:r>
                </w:p>
              </w:tc>
              <w:tc>
                <w:tcPr>
                  <w:tcW w:w="2022" w:type="dxa"/>
                  <w:vMerge w:val="continue"/>
                  <w:noWrap w:val="0"/>
                  <w:vAlign w:val="center"/>
                </w:tcPr>
                <w:p w14:paraId="63236D15">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89" w:type="dxa"/>
                  <w:noWrap w:val="0"/>
                  <w:vAlign w:val="center"/>
                </w:tcPr>
                <w:p w14:paraId="277AC01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889" w:type="dxa"/>
                  <w:noWrap w:val="0"/>
                  <w:vAlign w:val="center"/>
                </w:tcPr>
                <w:p w14:paraId="68BD15CC">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r w14:paraId="41631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2" w:type="dxa"/>
                  <w:vMerge w:val="continue"/>
                  <w:noWrap w:val="0"/>
                  <w:vAlign w:val="center"/>
                </w:tcPr>
                <w:p w14:paraId="799FF07E">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010" w:type="dxa"/>
                  <w:noWrap w:val="0"/>
                  <w:vAlign w:val="center"/>
                </w:tcPr>
                <w:p w14:paraId="5D44CDF2">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北厂界</w:t>
                  </w:r>
                </w:p>
              </w:tc>
              <w:tc>
                <w:tcPr>
                  <w:tcW w:w="822" w:type="dxa"/>
                  <w:noWrap w:val="0"/>
                  <w:vAlign w:val="center"/>
                </w:tcPr>
                <w:p w14:paraId="6B84BBBD">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089" w:type="dxa"/>
                  <w:noWrap w:val="0"/>
                  <w:vAlign w:val="center"/>
                </w:tcPr>
                <w:p w14:paraId="21A733D1">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44.1</w:t>
                  </w:r>
                </w:p>
              </w:tc>
              <w:tc>
                <w:tcPr>
                  <w:tcW w:w="2022" w:type="dxa"/>
                  <w:vMerge w:val="continue"/>
                  <w:noWrap w:val="0"/>
                  <w:vAlign w:val="center"/>
                </w:tcPr>
                <w:p w14:paraId="6545DDD0">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889" w:type="dxa"/>
                  <w:noWrap w:val="0"/>
                  <w:vAlign w:val="center"/>
                </w:tcPr>
                <w:p w14:paraId="7196236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889" w:type="dxa"/>
                  <w:noWrap w:val="0"/>
                  <w:vAlign w:val="center"/>
                </w:tcPr>
                <w:p w14:paraId="6E7F5F8F">
                  <w:pPr>
                    <w:keepNext w:val="0"/>
                    <w:keepLines w:val="0"/>
                    <w:suppressLineNumbers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bl>
          <w:p w14:paraId="1D474A7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由上表可知，厂界噪声预测值均能满足《工业企业厂界环境噪声排放标准》（GB12348-2008）</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类排放限值要求；</w:t>
            </w:r>
            <w:r>
              <w:rPr>
                <w:rFonts w:hint="eastAsia" w:ascii="Times New Roman" w:hAnsi="Times New Roman" w:cs="Times New Roman"/>
                <w:color w:val="auto"/>
                <w:sz w:val="24"/>
                <w:highlight w:val="none"/>
                <w:lang w:val="en-US" w:eastAsia="zh-CN"/>
              </w:rPr>
              <w:t>由于项目区周边无居民区等声环敏感目标，因此</w:t>
            </w:r>
            <w:r>
              <w:rPr>
                <w:rFonts w:hint="default" w:ascii="Times New Roman" w:hAnsi="Times New Roman" w:cs="Times New Roman"/>
                <w:color w:val="auto"/>
                <w:sz w:val="24"/>
                <w:highlight w:val="none"/>
              </w:rPr>
              <w:t>本项目运营后产生的噪声对周围环境的影响不大。</w:t>
            </w:r>
          </w:p>
          <w:p w14:paraId="5B0AE74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建设项目噪声排放对周围的环境影响较小，噪声防治措施可行。企业在生产过程中应注意加强设备噪声治理，在项目新建过程中应重视减震工程的设计及施工质量。确保厂界噪声达标，不影响周边环境。</w:t>
            </w:r>
          </w:p>
          <w:p w14:paraId="69618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（3）噪声监测制度</w:t>
            </w:r>
          </w:p>
          <w:p w14:paraId="0020F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项目生产特点和主要污染物的排放情况，按照《排污单位自行监测技术指南 总则(HJ 819-2017)》制定监测计划，见下表。</w:t>
            </w:r>
          </w:p>
          <w:p w14:paraId="1132B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eastAsia" w:ascii="Times New Roman" w:hAnsi="Times New Roman" w:eastAsia="宋体" w:cs="Times New Roman"/>
                <w:b/>
                <w:bCs/>
                <w:color w:val="auto"/>
                <w:kern w:val="2"/>
                <w:sz w:val="21"/>
                <w:szCs w:val="16"/>
                <w:highlight w:val="none"/>
                <w:vertAlign w:val="baseline"/>
                <w:lang w:val="en-US" w:eastAsia="zh-CN"/>
              </w:rPr>
            </w:pPr>
            <w:r>
              <w:rPr>
                <w:rFonts w:hint="eastAsia" w:ascii="Times New Roman" w:hAnsi="Times New Roman" w:eastAsia="宋体" w:cs="Times New Roman"/>
                <w:b/>
                <w:bCs/>
                <w:color w:val="auto"/>
                <w:kern w:val="2"/>
                <w:sz w:val="21"/>
                <w:szCs w:val="16"/>
                <w:highlight w:val="none"/>
                <w:vertAlign w:val="baseline"/>
                <w:lang w:val="en-US" w:eastAsia="zh-CN"/>
              </w:rPr>
              <w:t>表4</w:t>
            </w:r>
            <w:r>
              <w:rPr>
                <w:rFonts w:hint="eastAsia" w:cs="Times New Roman"/>
                <w:b/>
                <w:bCs/>
                <w:color w:val="auto"/>
                <w:kern w:val="2"/>
                <w:sz w:val="21"/>
                <w:szCs w:val="16"/>
                <w:highlight w:val="none"/>
                <w:vertAlign w:val="baseline"/>
                <w:lang w:val="en-US" w:eastAsia="zh-CN"/>
              </w:rPr>
              <w:t xml:space="preserve">-8   </w:t>
            </w:r>
            <w:r>
              <w:rPr>
                <w:rFonts w:hint="eastAsia" w:ascii="Times New Roman" w:hAnsi="Times New Roman" w:eastAsia="宋体" w:cs="Times New Roman"/>
                <w:b/>
                <w:bCs/>
                <w:color w:val="auto"/>
                <w:kern w:val="2"/>
                <w:sz w:val="21"/>
                <w:szCs w:val="16"/>
                <w:highlight w:val="none"/>
                <w:vertAlign w:val="baseline"/>
                <w:lang w:val="en-US" w:eastAsia="zh-CN"/>
              </w:rPr>
              <w:t>噪声监测制度一览表</w:t>
            </w:r>
          </w:p>
          <w:tbl>
            <w:tblPr>
              <w:tblStyle w:val="2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69"/>
              <w:gridCol w:w="909"/>
              <w:gridCol w:w="7194"/>
            </w:tblGrid>
            <w:tr w14:paraId="2F6D5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4" w:type="pct"/>
                  <w:tcBorders>
                    <w:tl2br w:val="nil"/>
                    <w:tr2bl w:val="nil"/>
                  </w:tcBorders>
                  <w:noWrap w:val="0"/>
                  <w:vAlign w:val="center"/>
                </w:tcPr>
                <w:p w14:paraId="5C57FC76">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项目</w:t>
                  </w:r>
                </w:p>
              </w:tc>
              <w:tc>
                <w:tcPr>
                  <w:tcW w:w="4725" w:type="pct"/>
                  <w:gridSpan w:val="2"/>
                  <w:tcBorders>
                    <w:tl2br w:val="nil"/>
                    <w:tr2bl w:val="nil"/>
                  </w:tcBorders>
                  <w:noWrap w:val="0"/>
                  <w:vAlign w:val="center"/>
                </w:tcPr>
                <w:p w14:paraId="19A35686">
                  <w:pPr>
                    <w:keepNext w:val="0"/>
                    <w:keepLines w:val="0"/>
                    <w:widowControl w:val="0"/>
                    <w:suppressLineNumbers w:val="0"/>
                    <w:overflowPunct/>
                    <w:autoSpaceDE/>
                    <w:autoSpaceDN/>
                    <w:adjustRightInd w:val="0"/>
                    <w:snapToGrid w:val="0"/>
                    <w:spacing w:before="0" w:beforeAutospacing="0" w:after="0" w:afterAutospacing="0" w:line="280" w:lineRule="exact"/>
                    <w:ind w:left="0" w:right="0" w:firstLine="0" w:firstLineChars="0"/>
                    <w:jc w:val="center"/>
                    <w:rPr>
                      <w:rFonts w:hint="default"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kern w:val="2"/>
                      <w:sz w:val="21"/>
                      <w:szCs w:val="21"/>
                      <w:highlight w:val="none"/>
                      <w:lang w:val="en-US" w:eastAsia="zh-CN" w:bidi="ar"/>
                    </w:rPr>
                    <w:t>监测制度</w:t>
                  </w:r>
                </w:p>
              </w:tc>
            </w:tr>
            <w:tr w14:paraId="66BC7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4" w:type="pct"/>
                  <w:vMerge w:val="restart"/>
                  <w:tcBorders>
                    <w:tl2br w:val="nil"/>
                    <w:tr2bl w:val="nil"/>
                  </w:tcBorders>
                  <w:noWrap w:val="0"/>
                  <w:vAlign w:val="center"/>
                </w:tcPr>
                <w:p w14:paraId="6D1E2ACD">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噪声</w:t>
                  </w:r>
                </w:p>
              </w:tc>
              <w:tc>
                <w:tcPr>
                  <w:tcW w:w="530" w:type="pct"/>
                  <w:tcBorders>
                    <w:tl2br w:val="nil"/>
                    <w:tr2bl w:val="nil"/>
                  </w:tcBorders>
                  <w:noWrap w:val="0"/>
                  <w:vAlign w:val="center"/>
                </w:tcPr>
                <w:p w14:paraId="30E5A179">
                  <w:pPr>
                    <w:keepNext w:val="0"/>
                    <w:keepLines w:val="0"/>
                    <w:widowControl/>
                    <w:suppressLineNumbers w:val="0"/>
                    <w:overflowPunct/>
                    <w:autoSpaceDE/>
                    <w:autoSpaceDN/>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监测项目</w:t>
                  </w:r>
                </w:p>
              </w:tc>
              <w:tc>
                <w:tcPr>
                  <w:tcW w:w="4194" w:type="pct"/>
                  <w:tcBorders>
                    <w:tl2br w:val="nil"/>
                    <w:tr2bl w:val="nil"/>
                  </w:tcBorders>
                  <w:noWrap w:val="0"/>
                  <w:vAlign w:val="center"/>
                </w:tcPr>
                <w:p w14:paraId="6104478A">
                  <w:pPr>
                    <w:keepNext w:val="0"/>
                    <w:keepLines w:val="0"/>
                    <w:widowControl/>
                    <w:suppressLineNumbers w:val="0"/>
                    <w:overflowPunct/>
                    <w:autoSpaceDE/>
                    <w:autoSpaceDN/>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Lep（A）</w:t>
                  </w:r>
                </w:p>
              </w:tc>
            </w:tr>
            <w:tr w14:paraId="739EB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4" w:type="pct"/>
                  <w:vMerge w:val="continue"/>
                  <w:tcBorders>
                    <w:tl2br w:val="nil"/>
                    <w:tr2bl w:val="nil"/>
                  </w:tcBorders>
                  <w:noWrap w:val="0"/>
                  <w:vAlign w:val="center"/>
                </w:tcPr>
                <w:p w14:paraId="77AB2BDB">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p>
              </w:tc>
              <w:tc>
                <w:tcPr>
                  <w:tcW w:w="530" w:type="pct"/>
                  <w:tcBorders>
                    <w:tl2br w:val="nil"/>
                    <w:tr2bl w:val="nil"/>
                  </w:tcBorders>
                  <w:noWrap w:val="0"/>
                  <w:vAlign w:val="center"/>
                </w:tcPr>
                <w:p w14:paraId="684F3FCB">
                  <w:pPr>
                    <w:keepNext w:val="0"/>
                    <w:keepLines w:val="0"/>
                    <w:widowControl/>
                    <w:suppressLineNumbers w:val="0"/>
                    <w:overflowPunct/>
                    <w:autoSpaceDE/>
                    <w:autoSpaceDN/>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监测点位</w:t>
                  </w:r>
                </w:p>
              </w:tc>
              <w:tc>
                <w:tcPr>
                  <w:tcW w:w="4194" w:type="pct"/>
                  <w:tcBorders>
                    <w:tl2br w:val="nil"/>
                    <w:tr2bl w:val="nil"/>
                  </w:tcBorders>
                  <w:noWrap w:val="0"/>
                  <w:vAlign w:val="center"/>
                </w:tcPr>
                <w:p w14:paraId="1381A366">
                  <w:pPr>
                    <w:keepNext w:val="0"/>
                    <w:keepLines w:val="0"/>
                    <w:widowControl/>
                    <w:suppressLineNumbers w:val="0"/>
                    <w:overflowPunct/>
                    <w:autoSpaceDE/>
                    <w:autoSpaceDN/>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东、南、西、北厂界外1m</w:t>
                  </w:r>
                </w:p>
              </w:tc>
            </w:tr>
            <w:tr w14:paraId="60898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4" w:type="pct"/>
                  <w:vMerge w:val="continue"/>
                  <w:tcBorders>
                    <w:tl2br w:val="nil"/>
                    <w:tr2bl w:val="nil"/>
                  </w:tcBorders>
                  <w:noWrap w:val="0"/>
                  <w:vAlign w:val="center"/>
                </w:tcPr>
                <w:p w14:paraId="56DA34E2">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p>
              </w:tc>
              <w:tc>
                <w:tcPr>
                  <w:tcW w:w="530" w:type="pct"/>
                  <w:tcBorders>
                    <w:tl2br w:val="nil"/>
                    <w:tr2bl w:val="nil"/>
                  </w:tcBorders>
                  <w:noWrap w:val="0"/>
                  <w:vAlign w:val="center"/>
                </w:tcPr>
                <w:p w14:paraId="2345FC46">
                  <w:pPr>
                    <w:keepNext w:val="0"/>
                    <w:keepLines w:val="0"/>
                    <w:widowControl/>
                    <w:suppressLineNumbers w:val="0"/>
                    <w:overflowPunct/>
                    <w:autoSpaceDE/>
                    <w:autoSpaceDN/>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监测频次</w:t>
                  </w:r>
                </w:p>
              </w:tc>
              <w:tc>
                <w:tcPr>
                  <w:tcW w:w="4194" w:type="pct"/>
                  <w:tcBorders>
                    <w:tl2br w:val="nil"/>
                    <w:tr2bl w:val="nil"/>
                  </w:tcBorders>
                  <w:noWrap w:val="0"/>
                  <w:vAlign w:val="center"/>
                </w:tcPr>
                <w:p w14:paraId="30AB2D3A">
                  <w:pPr>
                    <w:keepNext w:val="0"/>
                    <w:keepLines w:val="0"/>
                    <w:widowControl/>
                    <w:suppressLineNumbers w:val="0"/>
                    <w:overflowPunct/>
                    <w:autoSpaceDE/>
                    <w:autoSpaceDN/>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每季度监测一次</w:t>
                  </w:r>
                </w:p>
              </w:tc>
            </w:tr>
            <w:tr w14:paraId="7F859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4" w:type="pct"/>
                  <w:vMerge w:val="continue"/>
                  <w:tcBorders>
                    <w:tl2br w:val="nil"/>
                    <w:tr2bl w:val="nil"/>
                  </w:tcBorders>
                  <w:noWrap w:val="0"/>
                  <w:vAlign w:val="center"/>
                </w:tcPr>
                <w:p w14:paraId="09421B1D">
                  <w:pPr>
                    <w:keepNext w:val="0"/>
                    <w:keepLines w:val="0"/>
                    <w:widowControl w:val="0"/>
                    <w:suppressLineNumbers w:val="0"/>
                    <w:overflowPunct/>
                    <w:autoSpaceDE/>
                    <w:autoSpaceDN/>
                    <w:adjustRightInd w:val="0"/>
                    <w:snapToGrid w:val="0"/>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rPr>
                  </w:pPr>
                </w:p>
              </w:tc>
              <w:tc>
                <w:tcPr>
                  <w:tcW w:w="530" w:type="pct"/>
                  <w:tcBorders>
                    <w:tl2br w:val="nil"/>
                    <w:tr2bl w:val="nil"/>
                  </w:tcBorders>
                  <w:noWrap w:val="0"/>
                  <w:vAlign w:val="center"/>
                </w:tcPr>
                <w:p w14:paraId="7270FF2D">
                  <w:pPr>
                    <w:keepNext w:val="0"/>
                    <w:keepLines w:val="0"/>
                    <w:widowControl/>
                    <w:suppressLineNumbers w:val="0"/>
                    <w:overflowPunct/>
                    <w:autoSpaceDE/>
                    <w:autoSpaceDN/>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rPr>
                    <w:t>监测方法</w:t>
                  </w:r>
                </w:p>
              </w:tc>
              <w:tc>
                <w:tcPr>
                  <w:tcW w:w="4194" w:type="pct"/>
                  <w:tcBorders>
                    <w:tl2br w:val="nil"/>
                    <w:tr2bl w:val="nil"/>
                  </w:tcBorders>
                  <w:noWrap w:val="0"/>
                  <w:vAlign w:val="center"/>
                </w:tcPr>
                <w:p w14:paraId="049885A7">
                  <w:pPr>
                    <w:keepNext w:val="0"/>
                    <w:keepLines w:val="0"/>
                    <w:widowControl/>
                    <w:suppressLineNumbers w:val="0"/>
                    <w:overflowPunct/>
                    <w:autoSpaceDE/>
                    <w:autoSpaceDN/>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按照《工业企业厂界环境噪声排放标准》(GB12348-2008)的有关规定进行</w:t>
                  </w:r>
                </w:p>
              </w:tc>
            </w:tr>
          </w:tbl>
          <w:p w14:paraId="3F299207">
            <w:pPr>
              <w:pageBreakBefore w:val="0"/>
              <w:widowControl w:val="0"/>
              <w:kinsoku/>
              <w:wordWrap/>
              <w:overflowPunct/>
              <w:topLinePunct w:val="0"/>
              <w:autoSpaceDE/>
              <w:autoSpaceDN/>
              <w:bidi w:val="0"/>
              <w:adjustRightInd/>
              <w:snapToGrid/>
              <w:spacing w:before="0" w:after="0" w:line="480" w:lineRule="exact"/>
              <w:ind w:right="0"/>
              <w:jc w:val="both"/>
              <w:textAlignment w:val="auto"/>
              <w:rPr>
                <w:rFonts w:hint="eastAsia" w:ascii="Times New Roman" w:hAnsi="Times New Roman" w:eastAsia="宋体" w:cs="Times New Roman"/>
                <w:color w:val="auto"/>
                <w:kern w:val="2"/>
                <w:sz w:val="28"/>
                <w:szCs w:val="28"/>
                <w:highlight w:val="none"/>
                <w:lang w:val="en-US" w:eastAsia="zh-CN"/>
              </w:rPr>
            </w:pPr>
            <w:r>
              <w:rPr>
                <w:rFonts w:hint="eastAsia" w:cs="Times New Roman"/>
                <w:b/>
                <w:color w:val="auto"/>
                <w:kern w:val="2"/>
                <w:sz w:val="28"/>
                <w:szCs w:val="28"/>
                <w:highlight w:val="none"/>
                <w:lang w:val="en-US" w:eastAsia="zh-CN" w:bidi="ar-SA"/>
              </w:rPr>
              <w:t>4、</w:t>
            </w:r>
            <w:r>
              <w:rPr>
                <w:rFonts w:hint="eastAsia" w:ascii="Times New Roman" w:hAnsi="Times New Roman" w:eastAsia="宋体" w:cs="Times New Roman"/>
                <w:b/>
                <w:color w:val="auto"/>
                <w:kern w:val="2"/>
                <w:sz w:val="28"/>
                <w:szCs w:val="28"/>
                <w:highlight w:val="none"/>
                <w:lang w:val="en-US" w:eastAsia="zh-CN" w:bidi="ar-SA"/>
              </w:rPr>
              <w:t>固废</w:t>
            </w:r>
          </w:p>
          <w:p w14:paraId="6B230400">
            <w:pPr>
              <w:pageBreakBefore w:val="0"/>
              <w:widowControl w:val="0"/>
              <w:kinsoku/>
              <w:wordWrap/>
              <w:overflowPunct/>
              <w:topLinePunct w:val="0"/>
              <w:autoSpaceDE/>
              <w:autoSpaceDN/>
              <w:bidi w:val="0"/>
              <w:adjustRightInd/>
              <w:snapToGrid/>
              <w:spacing w:before="0" w:after="0" w:line="480" w:lineRule="exact"/>
              <w:ind w:left="0" w:right="0" w:firstLine="482" w:firstLineChars="200"/>
              <w:jc w:val="both"/>
              <w:textAlignment w:val="auto"/>
              <w:rPr>
                <w:rFonts w:hint="eastAsia" w:ascii="Times New Roman" w:hAnsi="Times New Roman" w:eastAsia="宋体" w:cs="Times New Roman"/>
                <w:b/>
                <w:bCs/>
                <w:color w:val="auto"/>
                <w:kern w:val="2"/>
                <w:sz w:val="24"/>
                <w:szCs w:val="20"/>
                <w:highlight w:val="none"/>
                <w:lang w:val="en-US" w:eastAsia="zh-CN"/>
              </w:rPr>
            </w:pPr>
            <w:r>
              <w:rPr>
                <w:rFonts w:hint="eastAsia" w:cs="Times New Roman"/>
                <w:b/>
                <w:bCs/>
                <w:color w:val="auto"/>
                <w:kern w:val="2"/>
                <w:sz w:val="24"/>
                <w:szCs w:val="20"/>
                <w:highlight w:val="none"/>
                <w:lang w:val="en-US" w:eastAsia="zh-CN"/>
              </w:rPr>
              <w:t>4.1</w:t>
            </w:r>
            <w:r>
              <w:rPr>
                <w:rFonts w:hint="eastAsia" w:ascii="Times New Roman" w:hAnsi="Times New Roman" w:eastAsia="宋体" w:cs="Times New Roman"/>
                <w:b/>
                <w:bCs/>
                <w:color w:val="auto"/>
                <w:kern w:val="2"/>
                <w:sz w:val="24"/>
                <w:szCs w:val="20"/>
                <w:highlight w:val="none"/>
                <w:lang w:val="en-US" w:eastAsia="zh-CN"/>
              </w:rPr>
              <w:t>固体废物产生情况</w:t>
            </w:r>
          </w:p>
          <w:p w14:paraId="3E641F7C">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本项目固废主要为废物、一般废包装材料</w:t>
            </w:r>
            <w:r>
              <w:rPr>
                <w:rFonts w:hint="eastAsia" w:cs="Times New Roman"/>
                <w:color w:val="auto"/>
                <w:sz w:val="24"/>
                <w:szCs w:val="24"/>
                <w:highlight w:val="none"/>
                <w:lang w:val="en-US" w:eastAsia="zh-CN" w:bidi="ar-SA"/>
              </w:rPr>
              <w:t>、果渣</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废树脂、废超滤膜</w:t>
            </w:r>
            <w:r>
              <w:rPr>
                <w:rFonts w:hint="eastAsia" w:ascii="Times New Roman" w:hAnsi="Times New Roman" w:eastAsia="宋体" w:cs="Times New Roman"/>
                <w:color w:val="auto"/>
                <w:sz w:val="24"/>
                <w:szCs w:val="24"/>
                <w:highlight w:val="none"/>
                <w:lang w:val="en-US" w:eastAsia="zh-CN" w:bidi="ar-SA"/>
              </w:rPr>
              <w:t>、生活垃圾</w:t>
            </w:r>
            <w:r>
              <w:rPr>
                <w:rFonts w:hint="eastAsia" w:cs="Times New Roman"/>
                <w:color w:val="auto"/>
                <w:sz w:val="24"/>
                <w:szCs w:val="24"/>
                <w:highlight w:val="none"/>
                <w:lang w:val="en-US" w:eastAsia="zh-CN" w:bidi="ar-SA"/>
              </w:rPr>
              <w:t>等垃圾</w:t>
            </w:r>
            <w:r>
              <w:rPr>
                <w:rFonts w:hint="eastAsia" w:ascii="Times New Roman" w:hAnsi="Times New Roman" w:eastAsia="宋体" w:cs="Times New Roman"/>
                <w:color w:val="auto"/>
                <w:sz w:val="24"/>
                <w:szCs w:val="24"/>
                <w:highlight w:val="none"/>
                <w:lang w:val="en-US" w:eastAsia="zh-CN" w:bidi="ar-SA"/>
              </w:rPr>
              <w:t>。</w:t>
            </w:r>
          </w:p>
          <w:p w14:paraId="1E1C9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①根据建设单位提供的资料，本项目运营期年产生</w:t>
            </w:r>
            <w:r>
              <w:rPr>
                <w:rFonts w:hint="default" w:ascii="Times New Roman" w:hAnsi="Times New Roman" w:eastAsia="宋体" w:cs="Times New Roman"/>
                <w:color w:val="auto"/>
                <w:sz w:val="24"/>
                <w:szCs w:val="24"/>
                <w:highlight w:val="none"/>
                <w:lang w:val="en-US" w:eastAsia="zh-CN" w:bidi="ar-SA"/>
              </w:rPr>
              <w:t>霉烂果粒、枝叶、葡萄梗</w:t>
            </w:r>
            <w:r>
              <w:rPr>
                <w:rFonts w:hint="eastAsia" w:cs="Times New Roman"/>
                <w:color w:val="auto"/>
                <w:sz w:val="24"/>
                <w:szCs w:val="24"/>
                <w:highlight w:val="none"/>
                <w:lang w:val="en-US" w:eastAsia="zh-CN" w:bidi="ar-SA"/>
              </w:rPr>
              <w:t>合计110t/a，集中收集后同生活垃圾一同交由园区环卫部门清运至垃圾填埋场处置。</w:t>
            </w:r>
          </w:p>
          <w:p w14:paraId="2FF40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②根据建设单位提供的资料，本项目运营期年产生发果渣（葡萄籽、葡萄皮）3556.7t/a，集中收集后作为饲料综合出售处置。</w:t>
            </w:r>
          </w:p>
          <w:p w14:paraId="780E34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③根据建设单位提供的资料，本项目运营期年产生</w:t>
            </w:r>
            <w:r>
              <w:rPr>
                <w:rFonts w:hint="eastAsia" w:eastAsia="宋体" w:cs="Times New Roman"/>
                <w:color w:val="auto"/>
                <w:sz w:val="24"/>
                <w:szCs w:val="24"/>
                <w:highlight w:val="none"/>
                <w:lang w:val="en-US" w:eastAsia="zh-CN" w:bidi="ar-SA"/>
              </w:rPr>
              <w:t>废包装</w:t>
            </w:r>
            <w:r>
              <w:rPr>
                <w:rFonts w:hint="eastAsia" w:cs="Times New Roman"/>
                <w:color w:val="auto"/>
                <w:sz w:val="24"/>
                <w:szCs w:val="24"/>
                <w:highlight w:val="none"/>
                <w:lang w:val="en-US" w:eastAsia="zh-CN" w:bidi="ar-SA"/>
              </w:rPr>
              <w:t>合计2t/a，收集后外售综合利用（废品回收站）。</w:t>
            </w:r>
          </w:p>
          <w:p w14:paraId="79536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④根据建设单位提供的资料，本项目运营期年产生</w:t>
            </w:r>
            <w:r>
              <w:rPr>
                <w:rFonts w:hint="eastAsia" w:eastAsia="宋体" w:cs="Times New Roman"/>
                <w:color w:val="auto"/>
                <w:sz w:val="24"/>
                <w:szCs w:val="24"/>
                <w:highlight w:val="none"/>
                <w:lang w:val="en-US" w:eastAsia="zh-CN" w:bidi="ar-SA"/>
              </w:rPr>
              <w:t>废离子树脂</w:t>
            </w:r>
            <w:r>
              <w:rPr>
                <w:rFonts w:hint="eastAsia" w:cs="Times New Roman"/>
                <w:color w:val="auto"/>
                <w:sz w:val="24"/>
                <w:szCs w:val="24"/>
                <w:highlight w:val="none"/>
                <w:lang w:val="en-US" w:eastAsia="zh-CN" w:bidi="ar-SA"/>
              </w:rPr>
              <w:t>合计0.5t/a，由厂家定期回收处理。</w:t>
            </w:r>
          </w:p>
          <w:p w14:paraId="6712B1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⑤根据建设单位提供的资料，本项目运营期年产生</w:t>
            </w:r>
            <w:r>
              <w:rPr>
                <w:rFonts w:hint="eastAsia"/>
                <w:color w:val="auto"/>
                <w:lang w:val="en-US" w:eastAsia="zh-CN"/>
              </w:rPr>
              <w:t>废超滤膜</w:t>
            </w:r>
            <w:r>
              <w:rPr>
                <w:rFonts w:hint="eastAsia" w:cs="Times New Roman"/>
                <w:color w:val="auto"/>
                <w:sz w:val="24"/>
                <w:szCs w:val="24"/>
                <w:highlight w:val="none"/>
                <w:lang w:val="en-US" w:eastAsia="zh-CN" w:bidi="ar-SA"/>
              </w:rPr>
              <w:t>合计0.1t/a，由厂家定期回收处理。</w:t>
            </w:r>
          </w:p>
          <w:p w14:paraId="6FF1F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⑥根据建设单位提供的资料，本项目运营期年产生</w:t>
            </w:r>
            <w:r>
              <w:rPr>
                <w:rFonts w:hint="eastAsia"/>
                <w:color w:val="auto"/>
                <w:lang w:val="en-US" w:eastAsia="zh-CN"/>
              </w:rPr>
              <w:t>废反渗透膜</w:t>
            </w:r>
            <w:r>
              <w:rPr>
                <w:rFonts w:hint="eastAsia" w:cs="Times New Roman"/>
                <w:color w:val="auto"/>
                <w:sz w:val="24"/>
                <w:szCs w:val="24"/>
                <w:highlight w:val="none"/>
                <w:lang w:val="en-US" w:eastAsia="zh-CN" w:bidi="ar-SA"/>
              </w:rPr>
              <w:t>合计0.1t/a，由厂家定期回收处理。</w:t>
            </w:r>
          </w:p>
          <w:p w14:paraId="5FFEF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 xml:space="preserve">⑦根据《排污许可证申请与核发技术规范 水处理》 中污泥产生量公式计算，污泥产生量计算公式： </w:t>
            </w:r>
          </w:p>
          <w:p w14:paraId="2D523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center"/>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E=1.7×Q×W×10</w:t>
            </w:r>
            <w:r>
              <w:rPr>
                <w:rFonts w:hint="eastAsia" w:cs="Times New Roman"/>
                <w:color w:val="auto"/>
                <w:sz w:val="24"/>
                <w:szCs w:val="24"/>
                <w:highlight w:val="none"/>
                <w:vertAlign w:val="superscript"/>
                <w:lang w:val="en-US" w:eastAsia="zh-CN" w:bidi="ar-SA"/>
              </w:rPr>
              <w:t>-4</w:t>
            </w:r>
          </w:p>
          <w:p w14:paraId="1434BB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式中：E 产生量—污水处理过程中产生的污泥量， 以干泥计， t；</w:t>
            </w:r>
          </w:p>
          <w:p w14:paraId="14C05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Q——核算时段内排污单位废水排放量，m³ ；具有有效出水口实测值计，无有效出水口实测值按进水口实测计，无有效进水口实测值按计算进水水量计，15034.88t/a</w:t>
            </w:r>
          </w:p>
          <w:p w14:paraId="3DA24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W深—有深度处理工艺（添加化学药剂）时按2计，无深度处理工艺按1计，无纲量。</w:t>
            </w:r>
          </w:p>
          <w:p w14:paraId="457E6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本项目污泥产生量为E产生量=1.7×17594.88×1×10</w:t>
            </w:r>
            <w:r>
              <w:rPr>
                <w:rFonts w:hint="eastAsia" w:cs="Times New Roman"/>
                <w:color w:val="auto"/>
                <w:sz w:val="24"/>
                <w:szCs w:val="24"/>
                <w:highlight w:val="none"/>
                <w:vertAlign w:val="superscript"/>
                <w:lang w:val="en-US" w:eastAsia="zh-CN" w:bidi="ar-SA"/>
              </w:rPr>
              <w:t xml:space="preserve">-4 </w:t>
            </w:r>
            <w:r>
              <w:rPr>
                <w:rFonts w:hint="eastAsia" w:cs="Times New Roman"/>
                <w:color w:val="auto"/>
                <w:sz w:val="24"/>
                <w:szCs w:val="24"/>
                <w:highlight w:val="none"/>
                <w:lang w:val="en-US" w:eastAsia="zh-CN" w:bidi="ar-SA"/>
              </w:rPr>
              <w:t xml:space="preserve">=2.56t/a。 </w:t>
            </w:r>
          </w:p>
          <w:p w14:paraId="5E9A3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直接用专业抽吸车将污泥抽出来，收集后运输至垃圾填埋场填埋处理。</w:t>
            </w:r>
          </w:p>
          <w:p w14:paraId="34E04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cs="Times New Roman"/>
                <w:color w:val="auto"/>
                <w:sz w:val="24"/>
                <w:szCs w:val="24"/>
                <w:highlight w:val="none"/>
                <w:lang w:val="en-US" w:eastAsia="zh-CN" w:bidi="ar-SA"/>
              </w:rPr>
            </w:pPr>
            <w:r>
              <w:rPr>
                <w:rFonts w:hint="eastAsia" w:cs="Times New Roman"/>
                <w:color w:val="auto"/>
                <w:kern w:val="2"/>
                <w:sz w:val="24"/>
                <w:szCs w:val="24"/>
                <w:highlight w:val="none"/>
                <w:lang w:val="en-US" w:eastAsia="zh-CN" w:bidi="ar-SA"/>
              </w:rPr>
              <w:t>⑧项目新增员工为40人，产生的生活垃圾按人均0.5kg/d计算；经计算，生活垃圾产生量约为3.6t/a，经袋装收集后放到指定地点由环卫部门统收集后处置。</w:t>
            </w:r>
          </w:p>
          <w:p w14:paraId="6FC1B2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⑨本项目设备在检修或维护过程中会产生少量的废机油，产生量约为0.1t/a。根据《国家危险废物名录》，属名录中HW08废矿物油与含矿物油废物，行业来源为非特定行业，废物代码分别为900-214-08，属车辆、机械维修和拆解过程中产生的废发动机油、制动器油、自动变速器油、齿轮油等废润滑油，危险特性为T，I。</w:t>
            </w:r>
          </w:p>
          <w:p w14:paraId="69AF3EAB">
            <w:pPr>
              <w:numPr>
                <w:ilvl w:val="0"/>
                <w:numId w:val="0"/>
              </w:numPr>
              <w:ind w:leftChars="200"/>
              <w:jc w:val="both"/>
              <w:rPr>
                <w:rFonts w:hint="eastAsia" w:ascii="Times New Roman" w:hAnsi="Times New Roman" w:eastAsia="宋体" w:cs="宋体"/>
                <w:color w:val="auto"/>
              </w:rPr>
            </w:pPr>
            <w:r>
              <w:rPr>
                <w:rFonts w:hint="eastAsia" w:ascii="Times New Roman" w:hAnsi="Times New Roman" w:eastAsia="宋体" w:cs="宋体"/>
                <w:color w:val="auto"/>
              </w:rPr>
              <w:t>本项目固废排放情况一览表见表4.</w:t>
            </w:r>
            <w:r>
              <w:rPr>
                <w:rFonts w:hint="eastAsia" w:cs="宋体"/>
                <w:color w:val="auto"/>
                <w:lang w:val="en-US" w:eastAsia="zh-CN"/>
              </w:rPr>
              <w:t>4</w:t>
            </w:r>
            <w:r>
              <w:rPr>
                <w:rFonts w:hint="eastAsia" w:ascii="Times New Roman" w:hAnsi="Times New Roman" w:eastAsia="宋体" w:cs="宋体"/>
                <w:color w:val="auto"/>
              </w:rPr>
              <w:t>-</w:t>
            </w:r>
            <w:r>
              <w:rPr>
                <w:rFonts w:hint="eastAsia" w:cs="宋体"/>
                <w:color w:val="auto"/>
                <w:lang w:val="en-US" w:eastAsia="zh-CN"/>
              </w:rPr>
              <w:t>1</w:t>
            </w:r>
            <w:r>
              <w:rPr>
                <w:rFonts w:hint="eastAsia" w:ascii="Times New Roman" w:hAnsi="Times New Roman" w:eastAsia="宋体" w:cs="宋体"/>
                <w:color w:val="auto"/>
              </w:rPr>
              <w:t>。</w:t>
            </w:r>
          </w:p>
          <w:p w14:paraId="6A41F519">
            <w:pPr>
              <w:pStyle w:val="44"/>
              <w:rPr>
                <w:color w:val="0000FF"/>
                <w:sz w:val="21"/>
                <w:szCs w:val="21"/>
              </w:rPr>
            </w:pPr>
            <w:r>
              <w:rPr>
                <w:rFonts w:hint="eastAsia"/>
                <w:color w:val="0000FF"/>
                <w:sz w:val="21"/>
                <w:szCs w:val="21"/>
              </w:rPr>
              <w:t>表4.</w:t>
            </w:r>
            <w:r>
              <w:rPr>
                <w:rFonts w:hint="eastAsia"/>
                <w:color w:val="0000FF"/>
                <w:sz w:val="21"/>
                <w:szCs w:val="21"/>
                <w:lang w:val="en-US" w:eastAsia="zh-CN"/>
              </w:rPr>
              <w:t>4</w:t>
            </w:r>
            <w:r>
              <w:rPr>
                <w:rFonts w:hint="eastAsia"/>
                <w:color w:val="0000FF"/>
                <w:sz w:val="21"/>
                <w:szCs w:val="21"/>
              </w:rPr>
              <w:t>-1 固废排放情况一览表</w:t>
            </w:r>
          </w:p>
          <w:tbl>
            <w:tblPr>
              <w:tblStyle w:val="21"/>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004"/>
              <w:gridCol w:w="3156"/>
              <w:gridCol w:w="1476"/>
              <w:gridCol w:w="1056"/>
              <w:gridCol w:w="636"/>
            </w:tblGrid>
            <w:tr w14:paraId="0899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0F770D57">
                  <w:pPr>
                    <w:pStyle w:val="46"/>
                    <w:jc w:val="center"/>
                    <w:rPr>
                      <w:color w:val="0000FF"/>
                      <w:sz w:val="21"/>
                      <w:szCs w:val="21"/>
                    </w:rPr>
                  </w:pPr>
                  <w:r>
                    <w:rPr>
                      <w:rFonts w:hint="eastAsia"/>
                      <w:color w:val="0000FF"/>
                      <w:sz w:val="21"/>
                      <w:szCs w:val="21"/>
                    </w:rPr>
                    <w:t>名称</w:t>
                  </w:r>
                </w:p>
              </w:tc>
              <w:tc>
                <w:tcPr>
                  <w:tcW w:w="501" w:type="pct"/>
                  <w:tcBorders>
                    <w:tl2br w:val="nil"/>
                    <w:tr2bl w:val="nil"/>
                  </w:tcBorders>
                  <w:noWrap/>
                  <w:vAlign w:val="center"/>
                </w:tcPr>
                <w:p w14:paraId="7FDEA5C8">
                  <w:pPr>
                    <w:pStyle w:val="46"/>
                    <w:jc w:val="center"/>
                    <w:rPr>
                      <w:color w:val="0000FF"/>
                      <w:sz w:val="21"/>
                      <w:szCs w:val="21"/>
                    </w:rPr>
                  </w:pPr>
                  <w:r>
                    <w:rPr>
                      <w:rFonts w:hint="eastAsia"/>
                      <w:color w:val="0000FF"/>
                      <w:sz w:val="21"/>
                      <w:szCs w:val="21"/>
                    </w:rPr>
                    <w:t>排放量</w:t>
                  </w:r>
                </w:p>
              </w:tc>
              <w:tc>
                <w:tcPr>
                  <w:tcW w:w="1870" w:type="pct"/>
                  <w:tcBorders>
                    <w:tl2br w:val="nil"/>
                    <w:tr2bl w:val="nil"/>
                  </w:tcBorders>
                  <w:noWrap/>
                  <w:vAlign w:val="center"/>
                </w:tcPr>
                <w:p w14:paraId="7CE3A87A">
                  <w:pPr>
                    <w:pStyle w:val="46"/>
                    <w:jc w:val="center"/>
                    <w:rPr>
                      <w:color w:val="0000FF"/>
                      <w:sz w:val="21"/>
                      <w:szCs w:val="21"/>
                    </w:rPr>
                  </w:pPr>
                  <w:r>
                    <w:rPr>
                      <w:rFonts w:hint="eastAsia"/>
                      <w:color w:val="0000FF"/>
                      <w:sz w:val="21"/>
                      <w:szCs w:val="21"/>
                    </w:rPr>
                    <w:t>排放方式</w:t>
                  </w:r>
                </w:p>
              </w:tc>
              <w:tc>
                <w:tcPr>
                  <w:tcW w:w="874" w:type="pct"/>
                  <w:tcBorders>
                    <w:tl2br w:val="nil"/>
                    <w:tr2bl w:val="nil"/>
                  </w:tcBorders>
                  <w:noWrap/>
                  <w:vAlign w:val="center"/>
                </w:tcPr>
                <w:p w14:paraId="641DA6A2">
                  <w:pPr>
                    <w:pStyle w:val="46"/>
                    <w:jc w:val="center"/>
                    <w:rPr>
                      <w:rFonts w:hint="eastAsia" w:ascii="Times New Roman" w:hAnsi="Times New Roman" w:eastAsia="宋体" w:cs="宋体"/>
                      <w:color w:val="0000FF"/>
                      <w:sz w:val="21"/>
                      <w:szCs w:val="21"/>
                    </w:rPr>
                  </w:pPr>
                  <w:r>
                    <w:rPr>
                      <w:rFonts w:hint="eastAsia" w:ascii="Times New Roman" w:hAnsi="Times New Roman" w:eastAsia="宋体" w:cs="宋体"/>
                      <w:color w:val="0000FF"/>
                      <w:sz w:val="21"/>
                      <w:szCs w:val="21"/>
                    </w:rPr>
                    <w:t>固废分类代码</w:t>
                  </w:r>
                </w:p>
              </w:tc>
              <w:tc>
                <w:tcPr>
                  <w:tcW w:w="625" w:type="pct"/>
                  <w:tcBorders>
                    <w:tl2br w:val="nil"/>
                    <w:tr2bl w:val="nil"/>
                  </w:tcBorders>
                  <w:noWrap/>
                  <w:vAlign w:val="center"/>
                </w:tcPr>
                <w:p w14:paraId="602DF733">
                  <w:pPr>
                    <w:pStyle w:val="46"/>
                    <w:jc w:val="center"/>
                    <w:rPr>
                      <w:rFonts w:hint="eastAsia" w:ascii="Times New Roman" w:hAnsi="Times New Roman" w:eastAsia="宋体" w:cs="宋体"/>
                      <w:color w:val="0000FF"/>
                      <w:sz w:val="21"/>
                      <w:szCs w:val="21"/>
                      <w:lang w:eastAsia="zh-CN"/>
                    </w:rPr>
                  </w:pPr>
                  <w:r>
                    <w:rPr>
                      <w:rFonts w:hint="eastAsia" w:ascii="Times New Roman" w:hAnsi="Times New Roman" w:eastAsia="宋体" w:cs="宋体"/>
                      <w:color w:val="0000FF"/>
                      <w:sz w:val="21"/>
                      <w:szCs w:val="21"/>
                    </w:rPr>
                    <w:t>固废</w:t>
                  </w:r>
                  <w:r>
                    <w:rPr>
                      <w:rFonts w:hint="eastAsia" w:cs="宋体"/>
                      <w:color w:val="0000FF"/>
                      <w:sz w:val="21"/>
                      <w:szCs w:val="21"/>
                      <w:lang w:val="en-US" w:eastAsia="zh-CN"/>
                    </w:rPr>
                    <w:t>类型</w:t>
                  </w:r>
                </w:p>
              </w:tc>
              <w:tc>
                <w:tcPr>
                  <w:tcW w:w="376" w:type="pct"/>
                  <w:tcBorders>
                    <w:tl2br w:val="nil"/>
                    <w:tr2bl w:val="nil"/>
                  </w:tcBorders>
                  <w:noWrap/>
                  <w:vAlign w:val="center"/>
                </w:tcPr>
                <w:p w14:paraId="3876B6B4">
                  <w:pPr>
                    <w:pStyle w:val="46"/>
                    <w:jc w:val="center"/>
                    <w:rPr>
                      <w:rFonts w:hint="eastAsia" w:ascii="Times New Roman" w:hAnsi="Times New Roman" w:eastAsia="宋体" w:cs="宋体"/>
                      <w:color w:val="0000FF"/>
                      <w:sz w:val="21"/>
                      <w:szCs w:val="21"/>
                    </w:rPr>
                  </w:pPr>
                  <w:r>
                    <w:rPr>
                      <w:rFonts w:hint="eastAsia" w:ascii="Times New Roman" w:hAnsi="Times New Roman" w:eastAsia="宋体" w:cs="宋体"/>
                      <w:color w:val="0000FF"/>
                      <w:sz w:val="21"/>
                      <w:szCs w:val="21"/>
                    </w:rPr>
                    <w:t>备注</w:t>
                  </w:r>
                </w:p>
              </w:tc>
            </w:tr>
            <w:tr w14:paraId="2CF0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6A7B5D7C">
                  <w:pPr>
                    <w:pStyle w:val="46"/>
                    <w:jc w:val="center"/>
                    <w:rPr>
                      <w:rFonts w:hint="default" w:eastAsia="宋体"/>
                      <w:color w:val="0000FF"/>
                      <w:sz w:val="21"/>
                      <w:szCs w:val="21"/>
                      <w:lang w:val="en-US" w:eastAsia="zh-CN"/>
                    </w:rPr>
                  </w:pPr>
                  <w:r>
                    <w:rPr>
                      <w:rFonts w:hint="eastAsia"/>
                      <w:color w:val="0000FF"/>
                      <w:sz w:val="21"/>
                      <w:szCs w:val="21"/>
                      <w:lang w:val="en-US" w:eastAsia="zh-CN"/>
                    </w:rPr>
                    <w:t>果梗、烂果</w:t>
                  </w:r>
                </w:p>
              </w:tc>
              <w:tc>
                <w:tcPr>
                  <w:tcW w:w="501" w:type="pct"/>
                  <w:tcBorders>
                    <w:tl2br w:val="nil"/>
                    <w:tr2bl w:val="nil"/>
                  </w:tcBorders>
                  <w:noWrap/>
                  <w:vAlign w:val="center"/>
                </w:tcPr>
                <w:p w14:paraId="772C3CAB">
                  <w:pPr>
                    <w:jc w:val="center"/>
                    <w:rPr>
                      <w:color w:val="0000FF"/>
                      <w:sz w:val="21"/>
                      <w:szCs w:val="21"/>
                    </w:rPr>
                  </w:pPr>
                  <w:r>
                    <w:rPr>
                      <w:rFonts w:hint="eastAsia"/>
                      <w:color w:val="0000FF"/>
                      <w:sz w:val="21"/>
                      <w:szCs w:val="21"/>
                      <w:lang w:val="en-US" w:eastAsia="zh-CN"/>
                    </w:rPr>
                    <w:t>110</w:t>
                  </w:r>
                  <w:r>
                    <w:rPr>
                      <w:rFonts w:hint="eastAsia"/>
                      <w:color w:val="0000FF"/>
                      <w:sz w:val="21"/>
                      <w:szCs w:val="21"/>
                    </w:rPr>
                    <w:t>t/a</w:t>
                  </w:r>
                </w:p>
              </w:tc>
              <w:tc>
                <w:tcPr>
                  <w:tcW w:w="1870" w:type="pct"/>
                  <w:tcBorders>
                    <w:tl2br w:val="nil"/>
                    <w:tr2bl w:val="nil"/>
                  </w:tcBorders>
                  <w:noWrap/>
                  <w:vAlign w:val="center"/>
                </w:tcPr>
                <w:p w14:paraId="4E108799">
                  <w:pPr>
                    <w:pStyle w:val="46"/>
                    <w:jc w:val="center"/>
                    <w:rPr>
                      <w:color w:val="0000FF"/>
                      <w:sz w:val="21"/>
                      <w:szCs w:val="21"/>
                    </w:rPr>
                  </w:pPr>
                  <w:r>
                    <w:rPr>
                      <w:rFonts w:hint="eastAsia"/>
                      <w:color w:val="0000FF"/>
                      <w:sz w:val="21"/>
                      <w:szCs w:val="21"/>
                      <w:lang w:val="en-US" w:eastAsia="zh-CN"/>
                    </w:rPr>
                    <w:t>外售养殖企业</w:t>
                  </w:r>
                </w:p>
              </w:tc>
              <w:tc>
                <w:tcPr>
                  <w:tcW w:w="874" w:type="pct"/>
                  <w:tcBorders>
                    <w:tl2br w:val="nil"/>
                    <w:tr2bl w:val="nil"/>
                  </w:tcBorders>
                  <w:noWrap/>
                  <w:vAlign w:val="center"/>
                </w:tcPr>
                <w:p w14:paraId="21800D52">
                  <w:pPr>
                    <w:pStyle w:val="46"/>
                    <w:jc w:val="center"/>
                    <w:rPr>
                      <w:rFonts w:hint="default" w:ascii="Times New Roman" w:hAnsi="Times New Roman" w:eastAsia="宋体" w:cs="宋体"/>
                      <w:color w:val="0000FF"/>
                      <w:sz w:val="21"/>
                      <w:szCs w:val="21"/>
                      <w:lang w:val="en-US" w:eastAsia="zh-CN"/>
                    </w:rPr>
                  </w:pPr>
                  <w:r>
                    <w:rPr>
                      <w:rFonts w:hint="eastAsia" w:cs="宋体"/>
                      <w:color w:val="0000FF"/>
                      <w:sz w:val="21"/>
                      <w:szCs w:val="21"/>
                      <w:lang w:val="en-US" w:eastAsia="zh-CN"/>
                    </w:rPr>
                    <w:t>900-099-S13</w:t>
                  </w:r>
                </w:p>
              </w:tc>
              <w:tc>
                <w:tcPr>
                  <w:tcW w:w="625" w:type="pct"/>
                  <w:vMerge w:val="restart"/>
                  <w:tcBorders>
                    <w:tl2br w:val="nil"/>
                    <w:tr2bl w:val="nil"/>
                  </w:tcBorders>
                  <w:noWrap/>
                  <w:vAlign w:val="center"/>
                </w:tcPr>
                <w:p w14:paraId="7E8EAE58">
                  <w:pPr>
                    <w:pStyle w:val="46"/>
                    <w:jc w:val="center"/>
                    <w:rPr>
                      <w:rFonts w:hint="default" w:ascii="Times New Roman" w:hAnsi="Times New Roman" w:eastAsia="宋体" w:cs="宋体"/>
                      <w:color w:val="0000FF"/>
                      <w:sz w:val="21"/>
                      <w:szCs w:val="21"/>
                      <w:lang w:val="en-US" w:eastAsia="zh-CN"/>
                    </w:rPr>
                  </w:pPr>
                  <w:r>
                    <w:rPr>
                      <w:rFonts w:hint="eastAsia" w:cs="宋体"/>
                      <w:color w:val="0000FF"/>
                      <w:sz w:val="21"/>
                      <w:szCs w:val="21"/>
                      <w:lang w:val="en-US" w:eastAsia="zh-CN"/>
                    </w:rPr>
                    <w:t>生产固废</w:t>
                  </w:r>
                </w:p>
              </w:tc>
              <w:tc>
                <w:tcPr>
                  <w:tcW w:w="376" w:type="pct"/>
                  <w:tcBorders>
                    <w:tl2br w:val="nil"/>
                    <w:tr2bl w:val="nil"/>
                  </w:tcBorders>
                  <w:noWrap/>
                  <w:vAlign w:val="center"/>
                </w:tcPr>
                <w:p w14:paraId="4B553E4D">
                  <w:pPr>
                    <w:pStyle w:val="46"/>
                    <w:jc w:val="center"/>
                    <w:rPr>
                      <w:rFonts w:hint="eastAsia" w:ascii="Times New Roman" w:hAnsi="Times New Roman" w:eastAsia="宋体" w:cs="宋体"/>
                      <w:color w:val="0000FF"/>
                      <w:sz w:val="21"/>
                      <w:szCs w:val="21"/>
                    </w:rPr>
                  </w:pPr>
                  <w:r>
                    <w:rPr>
                      <w:rFonts w:hint="eastAsia" w:ascii="Times New Roman" w:hAnsi="Times New Roman" w:eastAsia="宋体" w:cs="宋体"/>
                      <w:color w:val="0000FF"/>
                      <w:sz w:val="21"/>
                      <w:szCs w:val="21"/>
                    </w:rPr>
                    <w:t>/</w:t>
                  </w:r>
                </w:p>
              </w:tc>
            </w:tr>
            <w:tr w14:paraId="4EE1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39D92674">
                  <w:pPr>
                    <w:pStyle w:val="46"/>
                    <w:jc w:val="center"/>
                    <w:rPr>
                      <w:rFonts w:hint="eastAsia" w:eastAsia="宋体"/>
                      <w:color w:val="0000FF"/>
                      <w:sz w:val="21"/>
                      <w:szCs w:val="21"/>
                      <w:lang w:val="en-US" w:eastAsia="zh-CN"/>
                    </w:rPr>
                  </w:pPr>
                  <w:r>
                    <w:rPr>
                      <w:rFonts w:hint="eastAsia"/>
                      <w:color w:val="0000FF"/>
                      <w:sz w:val="21"/>
                      <w:szCs w:val="21"/>
                      <w:lang w:val="en-US" w:eastAsia="zh-CN"/>
                    </w:rPr>
                    <w:t>果渣</w:t>
                  </w:r>
                </w:p>
              </w:tc>
              <w:tc>
                <w:tcPr>
                  <w:tcW w:w="501" w:type="pct"/>
                  <w:tcBorders>
                    <w:tl2br w:val="nil"/>
                    <w:tr2bl w:val="nil"/>
                  </w:tcBorders>
                  <w:noWrap/>
                  <w:vAlign w:val="center"/>
                </w:tcPr>
                <w:p w14:paraId="5E467C02">
                  <w:pPr>
                    <w:jc w:val="center"/>
                    <w:rPr>
                      <w:rFonts w:hint="default"/>
                      <w:color w:val="0000FF"/>
                      <w:sz w:val="21"/>
                      <w:szCs w:val="21"/>
                      <w:lang w:val="en-US" w:eastAsia="zh-CN"/>
                    </w:rPr>
                  </w:pPr>
                  <w:r>
                    <w:rPr>
                      <w:rFonts w:hint="eastAsia"/>
                      <w:color w:val="0000FF"/>
                      <w:sz w:val="21"/>
                      <w:szCs w:val="21"/>
                      <w:lang w:val="en-US" w:eastAsia="zh-CN"/>
                    </w:rPr>
                    <w:t>3556.7</w:t>
                  </w:r>
                  <w:r>
                    <w:rPr>
                      <w:rFonts w:hint="eastAsia"/>
                      <w:color w:val="0000FF"/>
                      <w:sz w:val="21"/>
                      <w:szCs w:val="21"/>
                    </w:rPr>
                    <w:t>t/a</w:t>
                  </w:r>
                </w:p>
              </w:tc>
              <w:tc>
                <w:tcPr>
                  <w:tcW w:w="1870" w:type="pct"/>
                  <w:tcBorders>
                    <w:tl2br w:val="nil"/>
                    <w:tr2bl w:val="nil"/>
                  </w:tcBorders>
                  <w:noWrap/>
                  <w:vAlign w:val="center"/>
                </w:tcPr>
                <w:p w14:paraId="73D2DACF">
                  <w:pPr>
                    <w:pStyle w:val="46"/>
                    <w:jc w:val="center"/>
                    <w:rPr>
                      <w:rFonts w:hint="eastAsia"/>
                      <w:color w:val="0000FF"/>
                      <w:sz w:val="21"/>
                      <w:szCs w:val="21"/>
                    </w:rPr>
                  </w:pPr>
                  <w:r>
                    <w:rPr>
                      <w:rFonts w:hint="eastAsia"/>
                      <w:color w:val="0000FF"/>
                      <w:sz w:val="21"/>
                      <w:szCs w:val="21"/>
                      <w:lang w:val="en-US" w:eastAsia="zh-CN"/>
                    </w:rPr>
                    <w:t>外售养殖企业</w:t>
                  </w:r>
                </w:p>
              </w:tc>
              <w:tc>
                <w:tcPr>
                  <w:tcW w:w="874" w:type="pct"/>
                  <w:tcBorders>
                    <w:tl2br w:val="nil"/>
                    <w:tr2bl w:val="nil"/>
                  </w:tcBorders>
                  <w:noWrap/>
                  <w:vAlign w:val="center"/>
                </w:tcPr>
                <w:p w14:paraId="15BFCE59">
                  <w:pPr>
                    <w:pStyle w:val="46"/>
                    <w:jc w:val="center"/>
                    <w:rPr>
                      <w:rFonts w:hint="default" w:ascii="Times New Roman" w:hAnsi="Times New Roman" w:eastAsia="宋体" w:cs="宋体"/>
                      <w:color w:val="0000FF"/>
                      <w:sz w:val="21"/>
                      <w:szCs w:val="21"/>
                      <w:lang w:val="en-US" w:eastAsia="zh-CN"/>
                    </w:rPr>
                  </w:pPr>
                  <w:r>
                    <w:rPr>
                      <w:rFonts w:hint="eastAsia" w:cs="宋体"/>
                      <w:color w:val="0000FF"/>
                      <w:sz w:val="21"/>
                      <w:szCs w:val="21"/>
                      <w:lang w:val="en-US" w:eastAsia="zh-CN"/>
                    </w:rPr>
                    <w:t>900-099-S13</w:t>
                  </w:r>
                </w:p>
              </w:tc>
              <w:tc>
                <w:tcPr>
                  <w:tcW w:w="625" w:type="pct"/>
                  <w:vMerge w:val="continue"/>
                  <w:tcBorders>
                    <w:tl2br w:val="nil"/>
                    <w:tr2bl w:val="nil"/>
                  </w:tcBorders>
                  <w:noWrap/>
                  <w:vAlign w:val="center"/>
                </w:tcPr>
                <w:p w14:paraId="4D1B4B04">
                  <w:pPr>
                    <w:pStyle w:val="46"/>
                    <w:ind w:firstLine="0" w:firstLineChars="0"/>
                    <w:jc w:val="center"/>
                    <w:rPr>
                      <w:rFonts w:hint="eastAsia" w:ascii="Times New Roman" w:hAnsi="Times New Roman" w:eastAsia="宋体" w:cs="宋体"/>
                      <w:color w:val="0000FF"/>
                      <w:sz w:val="21"/>
                      <w:szCs w:val="21"/>
                      <w:lang w:val="en-US" w:eastAsia="zh-CN" w:bidi="ar-SA"/>
                    </w:rPr>
                  </w:pPr>
                </w:p>
              </w:tc>
              <w:tc>
                <w:tcPr>
                  <w:tcW w:w="376" w:type="pct"/>
                  <w:tcBorders>
                    <w:tl2br w:val="nil"/>
                    <w:tr2bl w:val="nil"/>
                  </w:tcBorders>
                  <w:noWrap/>
                  <w:vAlign w:val="center"/>
                </w:tcPr>
                <w:p w14:paraId="5251B5EF">
                  <w:pPr>
                    <w:pStyle w:val="46"/>
                    <w:ind w:firstLine="0" w:firstLineChars="0"/>
                    <w:jc w:val="center"/>
                    <w:rPr>
                      <w:rFonts w:hint="eastAsia" w:ascii="Times New Roman" w:hAnsi="Times New Roman" w:eastAsia="宋体" w:cs="宋体"/>
                      <w:color w:val="0000FF"/>
                      <w:sz w:val="21"/>
                      <w:szCs w:val="21"/>
                      <w:lang w:val="en-US" w:eastAsia="zh-CN" w:bidi="ar-SA"/>
                    </w:rPr>
                  </w:pPr>
                  <w:r>
                    <w:rPr>
                      <w:rFonts w:hint="eastAsia" w:ascii="Times New Roman" w:hAnsi="Times New Roman" w:eastAsia="宋体" w:cs="宋体"/>
                      <w:color w:val="0000FF"/>
                      <w:sz w:val="21"/>
                      <w:szCs w:val="21"/>
                    </w:rPr>
                    <w:t>/</w:t>
                  </w:r>
                </w:p>
              </w:tc>
            </w:tr>
            <w:tr w14:paraId="709B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10CC43B1">
                  <w:pPr>
                    <w:pStyle w:val="46"/>
                    <w:jc w:val="center"/>
                    <w:rPr>
                      <w:rFonts w:hint="default"/>
                      <w:color w:val="0000FF"/>
                      <w:sz w:val="21"/>
                      <w:szCs w:val="21"/>
                      <w:lang w:val="en-US" w:eastAsia="zh-CN"/>
                    </w:rPr>
                  </w:pPr>
                  <w:r>
                    <w:rPr>
                      <w:rFonts w:hint="eastAsia"/>
                      <w:color w:val="0000FF"/>
                      <w:sz w:val="21"/>
                      <w:szCs w:val="21"/>
                      <w:lang w:val="en-US" w:eastAsia="zh-CN"/>
                    </w:rPr>
                    <w:t>废包装</w:t>
                  </w:r>
                </w:p>
              </w:tc>
              <w:tc>
                <w:tcPr>
                  <w:tcW w:w="501" w:type="pct"/>
                  <w:tcBorders>
                    <w:tl2br w:val="nil"/>
                    <w:tr2bl w:val="nil"/>
                  </w:tcBorders>
                  <w:noWrap/>
                  <w:vAlign w:val="center"/>
                </w:tcPr>
                <w:p w14:paraId="2C3C698A">
                  <w:pPr>
                    <w:jc w:val="center"/>
                    <w:rPr>
                      <w:rFonts w:hint="default"/>
                      <w:color w:val="0000FF"/>
                      <w:sz w:val="21"/>
                      <w:szCs w:val="21"/>
                      <w:lang w:val="en-US" w:eastAsia="zh-CN"/>
                    </w:rPr>
                  </w:pPr>
                  <w:r>
                    <w:rPr>
                      <w:rFonts w:hint="eastAsia"/>
                      <w:color w:val="0000FF"/>
                      <w:sz w:val="21"/>
                      <w:szCs w:val="21"/>
                      <w:lang w:val="en-US" w:eastAsia="zh-CN"/>
                    </w:rPr>
                    <w:t>2</w:t>
                  </w:r>
                  <w:r>
                    <w:rPr>
                      <w:rFonts w:hint="eastAsia"/>
                      <w:color w:val="0000FF"/>
                      <w:sz w:val="21"/>
                      <w:szCs w:val="21"/>
                    </w:rPr>
                    <w:t>t/a</w:t>
                  </w:r>
                </w:p>
              </w:tc>
              <w:tc>
                <w:tcPr>
                  <w:tcW w:w="1870" w:type="pct"/>
                  <w:tcBorders>
                    <w:tl2br w:val="nil"/>
                    <w:tr2bl w:val="nil"/>
                  </w:tcBorders>
                  <w:noWrap/>
                  <w:vAlign w:val="center"/>
                </w:tcPr>
                <w:p w14:paraId="68CA031D">
                  <w:pPr>
                    <w:pStyle w:val="46"/>
                    <w:jc w:val="center"/>
                    <w:rPr>
                      <w:rFonts w:hint="eastAsia"/>
                      <w:color w:val="0000FF"/>
                      <w:sz w:val="21"/>
                      <w:szCs w:val="21"/>
                      <w:lang w:val="en-US" w:eastAsia="zh-CN"/>
                    </w:rPr>
                  </w:pPr>
                  <w:r>
                    <w:rPr>
                      <w:rFonts w:hint="eastAsia"/>
                      <w:color w:val="0000FF"/>
                      <w:sz w:val="21"/>
                      <w:szCs w:val="21"/>
                      <w:lang w:val="en-US" w:eastAsia="zh-CN"/>
                    </w:rPr>
                    <w:t>外售</w:t>
                  </w:r>
                </w:p>
              </w:tc>
              <w:tc>
                <w:tcPr>
                  <w:tcW w:w="874" w:type="pct"/>
                  <w:tcBorders>
                    <w:tl2br w:val="nil"/>
                    <w:tr2bl w:val="nil"/>
                  </w:tcBorders>
                  <w:noWrap/>
                  <w:vAlign w:val="center"/>
                </w:tcPr>
                <w:p w14:paraId="43952BA5">
                  <w:pPr>
                    <w:pStyle w:val="46"/>
                    <w:jc w:val="center"/>
                    <w:rPr>
                      <w:rFonts w:hint="eastAsia" w:cs="宋体"/>
                      <w:color w:val="0000FF"/>
                      <w:sz w:val="21"/>
                      <w:szCs w:val="21"/>
                      <w:lang w:val="en-US" w:eastAsia="zh-CN"/>
                    </w:rPr>
                  </w:pPr>
                  <w:r>
                    <w:rPr>
                      <w:rFonts w:hint="eastAsia" w:cs="宋体"/>
                      <w:color w:val="0000FF"/>
                      <w:sz w:val="21"/>
                      <w:szCs w:val="21"/>
                      <w:lang w:val="en-US" w:eastAsia="zh-CN"/>
                    </w:rPr>
                    <w:t>900-003-S17</w:t>
                  </w:r>
                </w:p>
                <w:p w14:paraId="76C6B61D">
                  <w:pPr>
                    <w:pStyle w:val="46"/>
                    <w:jc w:val="center"/>
                    <w:rPr>
                      <w:rFonts w:hint="eastAsia" w:cs="宋体"/>
                      <w:color w:val="0000FF"/>
                      <w:sz w:val="21"/>
                      <w:szCs w:val="21"/>
                      <w:lang w:val="en-US" w:eastAsia="zh-CN"/>
                    </w:rPr>
                  </w:pPr>
                  <w:r>
                    <w:rPr>
                      <w:rFonts w:hint="eastAsia" w:cs="宋体"/>
                      <w:color w:val="0000FF"/>
                      <w:sz w:val="21"/>
                      <w:szCs w:val="21"/>
                      <w:lang w:val="en-US" w:eastAsia="zh-CN"/>
                    </w:rPr>
                    <w:t>900-005-S17</w:t>
                  </w:r>
                </w:p>
              </w:tc>
              <w:tc>
                <w:tcPr>
                  <w:tcW w:w="625" w:type="pct"/>
                  <w:vMerge w:val="continue"/>
                  <w:tcBorders>
                    <w:tl2br w:val="nil"/>
                    <w:tr2bl w:val="nil"/>
                  </w:tcBorders>
                  <w:noWrap/>
                  <w:vAlign w:val="center"/>
                </w:tcPr>
                <w:p w14:paraId="5D73E658">
                  <w:pPr>
                    <w:pStyle w:val="46"/>
                    <w:ind w:firstLine="0" w:firstLineChars="0"/>
                    <w:jc w:val="center"/>
                    <w:rPr>
                      <w:rFonts w:hint="eastAsia" w:ascii="Times New Roman" w:hAnsi="Times New Roman" w:eastAsia="宋体" w:cs="宋体"/>
                      <w:color w:val="0000FF"/>
                      <w:sz w:val="21"/>
                      <w:szCs w:val="21"/>
                      <w:lang w:val="en-US" w:eastAsia="zh-CN" w:bidi="ar-SA"/>
                    </w:rPr>
                  </w:pPr>
                </w:p>
              </w:tc>
              <w:tc>
                <w:tcPr>
                  <w:tcW w:w="376" w:type="pct"/>
                  <w:tcBorders>
                    <w:tl2br w:val="nil"/>
                    <w:tr2bl w:val="nil"/>
                  </w:tcBorders>
                  <w:noWrap/>
                  <w:vAlign w:val="center"/>
                </w:tcPr>
                <w:p w14:paraId="64E80CA9">
                  <w:pPr>
                    <w:pStyle w:val="46"/>
                    <w:ind w:firstLine="0" w:firstLineChars="0"/>
                    <w:jc w:val="center"/>
                    <w:rPr>
                      <w:rFonts w:hint="eastAsia" w:ascii="Times New Roman" w:hAnsi="Times New Roman" w:eastAsia="宋体" w:cs="宋体"/>
                      <w:color w:val="0000FF"/>
                      <w:sz w:val="21"/>
                      <w:szCs w:val="21"/>
                    </w:rPr>
                  </w:pPr>
                  <w:r>
                    <w:rPr>
                      <w:rFonts w:hint="eastAsia" w:ascii="Times New Roman" w:hAnsi="Times New Roman" w:eastAsia="宋体" w:cs="宋体"/>
                      <w:color w:val="0000FF"/>
                      <w:sz w:val="21"/>
                      <w:szCs w:val="21"/>
                    </w:rPr>
                    <w:t>/</w:t>
                  </w:r>
                </w:p>
              </w:tc>
            </w:tr>
            <w:tr w14:paraId="1EED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30B08952">
                  <w:pPr>
                    <w:pStyle w:val="46"/>
                    <w:jc w:val="center"/>
                    <w:rPr>
                      <w:rFonts w:hint="default"/>
                      <w:color w:val="0000FF"/>
                      <w:sz w:val="21"/>
                      <w:szCs w:val="21"/>
                      <w:lang w:val="en-US" w:eastAsia="zh-CN"/>
                    </w:rPr>
                  </w:pPr>
                  <w:r>
                    <w:rPr>
                      <w:rFonts w:hint="eastAsia"/>
                      <w:color w:val="0000FF"/>
                      <w:sz w:val="21"/>
                      <w:szCs w:val="21"/>
                      <w:lang w:val="en-US" w:eastAsia="zh-CN"/>
                    </w:rPr>
                    <w:t>废离子树脂</w:t>
                  </w:r>
                </w:p>
              </w:tc>
              <w:tc>
                <w:tcPr>
                  <w:tcW w:w="501" w:type="pct"/>
                  <w:tcBorders>
                    <w:tl2br w:val="nil"/>
                    <w:tr2bl w:val="nil"/>
                  </w:tcBorders>
                  <w:noWrap/>
                  <w:vAlign w:val="center"/>
                </w:tcPr>
                <w:p w14:paraId="7CE3EA5A">
                  <w:pPr>
                    <w:jc w:val="center"/>
                    <w:rPr>
                      <w:rFonts w:hint="default" w:eastAsia="宋体"/>
                      <w:color w:val="0000FF"/>
                      <w:sz w:val="21"/>
                      <w:szCs w:val="21"/>
                      <w:lang w:val="en-US" w:eastAsia="zh-CN"/>
                    </w:rPr>
                  </w:pPr>
                  <w:r>
                    <w:rPr>
                      <w:rFonts w:hint="eastAsia"/>
                      <w:color w:val="0000FF"/>
                      <w:sz w:val="21"/>
                      <w:szCs w:val="21"/>
                      <w:lang w:val="en-US" w:eastAsia="zh-CN"/>
                    </w:rPr>
                    <w:t>0.5</w:t>
                  </w:r>
                  <w:r>
                    <w:rPr>
                      <w:rFonts w:hint="eastAsia"/>
                      <w:color w:val="0000FF"/>
                      <w:sz w:val="21"/>
                      <w:szCs w:val="21"/>
                    </w:rPr>
                    <w:t>t/a</w:t>
                  </w:r>
                </w:p>
              </w:tc>
              <w:tc>
                <w:tcPr>
                  <w:tcW w:w="1870" w:type="pct"/>
                  <w:tcBorders>
                    <w:tl2br w:val="nil"/>
                    <w:tr2bl w:val="nil"/>
                  </w:tcBorders>
                  <w:noWrap/>
                  <w:vAlign w:val="center"/>
                </w:tcPr>
                <w:p w14:paraId="6552EB50">
                  <w:pPr>
                    <w:pStyle w:val="46"/>
                    <w:jc w:val="center"/>
                    <w:rPr>
                      <w:rFonts w:hint="eastAsia"/>
                      <w:color w:val="0000FF"/>
                      <w:sz w:val="21"/>
                      <w:szCs w:val="21"/>
                      <w:lang w:val="en-US" w:eastAsia="zh-CN"/>
                    </w:rPr>
                  </w:pPr>
                  <w:r>
                    <w:rPr>
                      <w:rFonts w:hint="eastAsia" w:cs="Times New Roman"/>
                      <w:color w:val="0000FF"/>
                      <w:kern w:val="0"/>
                      <w:sz w:val="21"/>
                      <w:szCs w:val="21"/>
                      <w:highlight w:val="none"/>
                      <w:lang w:val="en-US" w:eastAsia="zh-CN" w:bidi="ar"/>
                    </w:rPr>
                    <w:t>由厂家定期更换</w:t>
                  </w:r>
                </w:p>
              </w:tc>
              <w:tc>
                <w:tcPr>
                  <w:tcW w:w="874" w:type="pct"/>
                  <w:tcBorders>
                    <w:tl2br w:val="nil"/>
                    <w:tr2bl w:val="nil"/>
                  </w:tcBorders>
                  <w:noWrap/>
                  <w:vAlign w:val="center"/>
                </w:tcPr>
                <w:p w14:paraId="0DCFCA6E">
                  <w:pPr>
                    <w:pStyle w:val="46"/>
                    <w:jc w:val="center"/>
                    <w:rPr>
                      <w:rFonts w:hint="eastAsia" w:cs="宋体"/>
                      <w:color w:val="0000FF"/>
                      <w:sz w:val="21"/>
                      <w:szCs w:val="21"/>
                      <w:lang w:val="en-US" w:eastAsia="zh-CN"/>
                    </w:rPr>
                  </w:pPr>
                  <w:r>
                    <w:rPr>
                      <w:rFonts w:hint="eastAsia" w:cs="宋体"/>
                      <w:color w:val="0000FF"/>
                      <w:sz w:val="21"/>
                      <w:szCs w:val="21"/>
                      <w:lang w:val="en-US" w:eastAsia="zh-CN"/>
                    </w:rPr>
                    <w:t>900-008-S59</w:t>
                  </w:r>
                </w:p>
              </w:tc>
              <w:tc>
                <w:tcPr>
                  <w:tcW w:w="625" w:type="pct"/>
                  <w:tcBorders>
                    <w:tl2br w:val="nil"/>
                    <w:tr2bl w:val="nil"/>
                  </w:tcBorders>
                  <w:noWrap/>
                  <w:vAlign w:val="center"/>
                </w:tcPr>
                <w:p w14:paraId="1533702C">
                  <w:pPr>
                    <w:pStyle w:val="46"/>
                    <w:ind w:firstLine="0" w:firstLineChars="0"/>
                    <w:jc w:val="center"/>
                    <w:rPr>
                      <w:rFonts w:hint="eastAsia" w:ascii="Times New Roman" w:hAnsi="Times New Roman" w:eastAsia="宋体" w:cs="宋体"/>
                      <w:color w:val="0000FF"/>
                      <w:sz w:val="21"/>
                      <w:szCs w:val="21"/>
                      <w:lang w:val="en-US" w:eastAsia="zh-CN" w:bidi="ar-SA"/>
                    </w:rPr>
                  </w:pPr>
                  <w:r>
                    <w:rPr>
                      <w:rFonts w:hint="eastAsia"/>
                      <w:color w:val="0000FF"/>
                      <w:sz w:val="21"/>
                      <w:szCs w:val="21"/>
                      <w:lang w:val="en-US" w:eastAsia="zh-CN"/>
                    </w:rPr>
                    <w:t>废吸附剂</w:t>
                  </w:r>
                </w:p>
              </w:tc>
              <w:tc>
                <w:tcPr>
                  <w:tcW w:w="376" w:type="pct"/>
                  <w:tcBorders>
                    <w:tl2br w:val="nil"/>
                    <w:tr2bl w:val="nil"/>
                  </w:tcBorders>
                  <w:noWrap/>
                  <w:vAlign w:val="center"/>
                </w:tcPr>
                <w:p w14:paraId="504A50F0">
                  <w:pPr>
                    <w:pStyle w:val="46"/>
                    <w:ind w:firstLine="0" w:firstLineChars="0"/>
                    <w:jc w:val="center"/>
                    <w:rPr>
                      <w:rFonts w:hint="eastAsia" w:ascii="Times New Roman" w:hAnsi="Times New Roman" w:eastAsia="宋体" w:cs="宋体"/>
                      <w:color w:val="0000FF"/>
                      <w:sz w:val="21"/>
                      <w:szCs w:val="21"/>
                    </w:rPr>
                  </w:pPr>
                </w:p>
              </w:tc>
            </w:tr>
            <w:tr w14:paraId="71D8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6A61E6F5">
                  <w:pPr>
                    <w:pStyle w:val="46"/>
                    <w:jc w:val="center"/>
                    <w:rPr>
                      <w:rFonts w:hint="default"/>
                      <w:color w:val="0000FF"/>
                      <w:sz w:val="21"/>
                      <w:szCs w:val="21"/>
                      <w:lang w:val="en-US" w:eastAsia="zh-CN"/>
                    </w:rPr>
                  </w:pPr>
                  <w:r>
                    <w:rPr>
                      <w:rFonts w:hint="eastAsia"/>
                      <w:color w:val="0000FF"/>
                      <w:sz w:val="21"/>
                      <w:szCs w:val="21"/>
                      <w:lang w:val="en-US" w:eastAsia="zh-CN"/>
                    </w:rPr>
                    <w:t>废超滤膜</w:t>
                  </w:r>
                </w:p>
              </w:tc>
              <w:tc>
                <w:tcPr>
                  <w:tcW w:w="501" w:type="pct"/>
                  <w:tcBorders>
                    <w:tl2br w:val="nil"/>
                    <w:tr2bl w:val="nil"/>
                  </w:tcBorders>
                  <w:noWrap/>
                  <w:vAlign w:val="center"/>
                </w:tcPr>
                <w:p w14:paraId="5F2449ED">
                  <w:pPr>
                    <w:jc w:val="center"/>
                    <w:rPr>
                      <w:rFonts w:hint="default"/>
                      <w:color w:val="0000FF"/>
                      <w:sz w:val="21"/>
                      <w:szCs w:val="21"/>
                      <w:lang w:val="en-US" w:eastAsia="zh-CN"/>
                    </w:rPr>
                  </w:pPr>
                  <w:r>
                    <w:rPr>
                      <w:rFonts w:hint="eastAsia"/>
                      <w:color w:val="0000FF"/>
                      <w:sz w:val="21"/>
                      <w:szCs w:val="21"/>
                      <w:lang w:val="en-US" w:eastAsia="zh-CN"/>
                    </w:rPr>
                    <w:t>0.1</w:t>
                  </w:r>
                  <w:r>
                    <w:rPr>
                      <w:rFonts w:hint="eastAsia"/>
                      <w:color w:val="0000FF"/>
                      <w:sz w:val="21"/>
                      <w:szCs w:val="21"/>
                    </w:rPr>
                    <w:t>t/a</w:t>
                  </w:r>
                </w:p>
              </w:tc>
              <w:tc>
                <w:tcPr>
                  <w:tcW w:w="1870" w:type="pct"/>
                  <w:tcBorders>
                    <w:tl2br w:val="nil"/>
                    <w:tr2bl w:val="nil"/>
                  </w:tcBorders>
                  <w:noWrap/>
                  <w:vAlign w:val="center"/>
                </w:tcPr>
                <w:p w14:paraId="3F1F11E7">
                  <w:pPr>
                    <w:pStyle w:val="46"/>
                    <w:jc w:val="center"/>
                    <w:rPr>
                      <w:rFonts w:hint="eastAsia"/>
                      <w:color w:val="0000FF"/>
                      <w:sz w:val="21"/>
                      <w:szCs w:val="21"/>
                      <w:lang w:val="en-US" w:eastAsia="zh-CN"/>
                    </w:rPr>
                  </w:pPr>
                  <w:r>
                    <w:rPr>
                      <w:rFonts w:hint="eastAsia" w:cs="Times New Roman"/>
                      <w:color w:val="0000FF"/>
                      <w:kern w:val="0"/>
                      <w:sz w:val="21"/>
                      <w:szCs w:val="21"/>
                      <w:highlight w:val="none"/>
                      <w:lang w:val="en-US" w:eastAsia="zh-CN" w:bidi="ar"/>
                    </w:rPr>
                    <w:t>由厂家定期更换</w:t>
                  </w:r>
                </w:p>
              </w:tc>
              <w:tc>
                <w:tcPr>
                  <w:tcW w:w="874" w:type="pct"/>
                  <w:tcBorders>
                    <w:tl2br w:val="nil"/>
                    <w:tr2bl w:val="nil"/>
                  </w:tcBorders>
                  <w:noWrap/>
                  <w:vAlign w:val="center"/>
                </w:tcPr>
                <w:p w14:paraId="56ED02A4">
                  <w:pPr>
                    <w:pStyle w:val="46"/>
                    <w:jc w:val="center"/>
                    <w:rPr>
                      <w:rFonts w:hint="eastAsia" w:cs="宋体"/>
                      <w:color w:val="0000FF"/>
                      <w:sz w:val="21"/>
                      <w:szCs w:val="21"/>
                      <w:lang w:val="en-US" w:eastAsia="zh-CN"/>
                    </w:rPr>
                  </w:pPr>
                  <w:r>
                    <w:rPr>
                      <w:rFonts w:hint="eastAsia" w:cs="宋体"/>
                      <w:color w:val="0000FF"/>
                      <w:sz w:val="21"/>
                      <w:szCs w:val="21"/>
                      <w:lang w:val="en-US" w:eastAsia="zh-CN"/>
                    </w:rPr>
                    <w:t>900-008-S59</w:t>
                  </w:r>
                </w:p>
              </w:tc>
              <w:tc>
                <w:tcPr>
                  <w:tcW w:w="625" w:type="pct"/>
                  <w:tcBorders>
                    <w:tl2br w:val="nil"/>
                    <w:tr2bl w:val="nil"/>
                  </w:tcBorders>
                  <w:noWrap/>
                  <w:vAlign w:val="center"/>
                </w:tcPr>
                <w:p w14:paraId="20810E48">
                  <w:pPr>
                    <w:pStyle w:val="46"/>
                    <w:ind w:firstLine="0" w:firstLineChars="0"/>
                    <w:jc w:val="center"/>
                    <w:rPr>
                      <w:rFonts w:hint="eastAsia" w:ascii="Times New Roman" w:hAnsi="Times New Roman" w:eastAsia="宋体" w:cs="宋体"/>
                      <w:color w:val="0000FF"/>
                      <w:sz w:val="21"/>
                      <w:szCs w:val="21"/>
                      <w:lang w:val="en-US" w:eastAsia="zh-CN" w:bidi="ar-SA"/>
                    </w:rPr>
                  </w:pPr>
                  <w:r>
                    <w:rPr>
                      <w:rFonts w:hint="eastAsia"/>
                      <w:color w:val="0000FF"/>
                      <w:sz w:val="21"/>
                      <w:szCs w:val="21"/>
                      <w:lang w:val="en-US" w:eastAsia="zh-CN"/>
                    </w:rPr>
                    <w:t>废吸附剂</w:t>
                  </w:r>
                </w:p>
              </w:tc>
              <w:tc>
                <w:tcPr>
                  <w:tcW w:w="376" w:type="pct"/>
                  <w:tcBorders>
                    <w:tl2br w:val="nil"/>
                    <w:tr2bl w:val="nil"/>
                  </w:tcBorders>
                  <w:noWrap/>
                  <w:vAlign w:val="center"/>
                </w:tcPr>
                <w:p w14:paraId="38639558">
                  <w:pPr>
                    <w:pStyle w:val="46"/>
                    <w:ind w:firstLine="0" w:firstLineChars="0"/>
                    <w:jc w:val="center"/>
                    <w:rPr>
                      <w:rFonts w:hint="eastAsia" w:ascii="Times New Roman" w:hAnsi="Times New Roman" w:eastAsia="宋体" w:cs="宋体"/>
                      <w:color w:val="0000FF"/>
                      <w:sz w:val="21"/>
                      <w:szCs w:val="21"/>
                    </w:rPr>
                  </w:pPr>
                  <w:r>
                    <w:rPr>
                      <w:rFonts w:hint="eastAsia" w:ascii="Times New Roman" w:hAnsi="Times New Roman" w:eastAsia="宋体" w:cs="宋体"/>
                      <w:color w:val="0000FF"/>
                      <w:sz w:val="21"/>
                      <w:szCs w:val="21"/>
                    </w:rPr>
                    <w:t>/</w:t>
                  </w:r>
                </w:p>
              </w:tc>
            </w:tr>
            <w:tr w14:paraId="7E4E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68D3E03E">
                  <w:pPr>
                    <w:pStyle w:val="46"/>
                    <w:jc w:val="center"/>
                    <w:rPr>
                      <w:rFonts w:hint="default"/>
                      <w:color w:val="0000FF"/>
                      <w:sz w:val="21"/>
                      <w:szCs w:val="21"/>
                      <w:lang w:val="en-US" w:eastAsia="zh-CN"/>
                    </w:rPr>
                  </w:pPr>
                  <w:r>
                    <w:rPr>
                      <w:rFonts w:hint="eastAsia"/>
                      <w:color w:val="0000FF"/>
                      <w:sz w:val="21"/>
                      <w:szCs w:val="21"/>
                      <w:lang w:val="en-US" w:eastAsia="zh-CN"/>
                    </w:rPr>
                    <w:t>废反渗透膜</w:t>
                  </w:r>
                </w:p>
              </w:tc>
              <w:tc>
                <w:tcPr>
                  <w:tcW w:w="501" w:type="pct"/>
                  <w:tcBorders>
                    <w:tl2br w:val="nil"/>
                    <w:tr2bl w:val="nil"/>
                  </w:tcBorders>
                  <w:noWrap/>
                  <w:vAlign w:val="center"/>
                </w:tcPr>
                <w:p w14:paraId="7DC7255E">
                  <w:pPr>
                    <w:jc w:val="center"/>
                    <w:rPr>
                      <w:rFonts w:hint="default"/>
                      <w:color w:val="0000FF"/>
                      <w:sz w:val="21"/>
                      <w:szCs w:val="21"/>
                      <w:lang w:val="en-US" w:eastAsia="zh-CN"/>
                    </w:rPr>
                  </w:pPr>
                  <w:r>
                    <w:rPr>
                      <w:rFonts w:hint="eastAsia"/>
                      <w:color w:val="0000FF"/>
                      <w:sz w:val="21"/>
                      <w:szCs w:val="21"/>
                      <w:lang w:val="en-US" w:eastAsia="zh-CN"/>
                    </w:rPr>
                    <w:t>0.1</w:t>
                  </w:r>
                  <w:r>
                    <w:rPr>
                      <w:rFonts w:hint="eastAsia"/>
                      <w:color w:val="0000FF"/>
                      <w:sz w:val="21"/>
                      <w:szCs w:val="21"/>
                    </w:rPr>
                    <w:t>t/a</w:t>
                  </w:r>
                </w:p>
              </w:tc>
              <w:tc>
                <w:tcPr>
                  <w:tcW w:w="1870" w:type="pct"/>
                  <w:tcBorders>
                    <w:tl2br w:val="nil"/>
                    <w:tr2bl w:val="nil"/>
                  </w:tcBorders>
                  <w:noWrap/>
                  <w:vAlign w:val="center"/>
                </w:tcPr>
                <w:p w14:paraId="013B43C7">
                  <w:pPr>
                    <w:pStyle w:val="46"/>
                    <w:jc w:val="center"/>
                    <w:rPr>
                      <w:rFonts w:hint="eastAsia"/>
                      <w:color w:val="0000FF"/>
                      <w:sz w:val="21"/>
                      <w:szCs w:val="21"/>
                      <w:lang w:val="en-US" w:eastAsia="zh-CN"/>
                    </w:rPr>
                  </w:pPr>
                  <w:r>
                    <w:rPr>
                      <w:rFonts w:hint="eastAsia" w:cs="Times New Roman"/>
                      <w:color w:val="0000FF"/>
                      <w:kern w:val="0"/>
                      <w:sz w:val="21"/>
                      <w:szCs w:val="21"/>
                      <w:highlight w:val="none"/>
                      <w:lang w:val="en-US" w:eastAsia="zh-CN" w:bidi="ar"/>
                    </w:rPr>
                    <w:t>由厂家定期更换</w:t>
                  </w:r>
                </w:p>
              </w:tc>
              <w:tc>
                <w:tcPr>
                  <w:tcW w:w="874" w:type="pct"/>
                  <w:tcBorders>
                    <w:tl2br w:val="nil"/>
                    <w:tr2bl w:val="nil"/>
                  </w:tcBorders>
                  <w:noWrap/>
                  <w:vAlign w:val="center"/>
                </w:tcPr>
                <w:p w14:paraId="04B6373F">
                  <w:pPr>
                    <w:pStyle w:val="46"/>
                    <w:jc w:val="center"/>
                    <w:rPr>
                      <w:rFonts w:hint="eastAsia" w:cs="宋体"/>
                      <w:color w:val="0000FF"/>
                      <w:sz w:val="21"/>
                      <w:szCs w:val="21"/>
                      <w:lang w:val="en-US" w:eastAsia="zh-CN"/>
                    </w:rPr>
                  </w:pPr>
                  <w:r>
                    <w:rPr>
                      <w:rFonts w:hint="eastAsia" w:cs="宋体"/>
                      <w:color w:val="0000FF"/>
                      <w:sz w:val="21"/>
                      <w:szCs w:val="21"/>
                      <w:lang w:val="en-US" w:eastAsia="zh-CN"/>
                    </w:rPr>
                    <w:t>900-008-S59</w:t>
                  </w:r>
                </w:p>
              </w:tc>
              <w:tc>
                <w:tcPr>
                  <w:tcW w:w="625" w:type="pct"/>
                  <w:tcBorders>
                    <w:tl2br w:val="nil"/>
                    <w:tr2bl w:val="nil"/>
                  </w:tcBorders>
                  <w:noWrap/>
                  <w:vAlign w:val="center"/>
                </w:tcPr>
                <w:p w14:paraId="7FEDDB27">
                  <w:pPr>
                    <w:pStyle w:val="46"/>
                    <w:ind w:firstLine="0" w:firstLineChars="0"/>
                    <w:jc w:val="center"/>
                    <w:rPr>
                      <w:rFonts w:hint="eastAsia" w:ascii="Times New Roman" w:hAnsi="Times New Roman" w:eastAsia="宋体" w:cs="宋体"/>
                      <w:color w:val="0000FF"/>
                      <w:sz w:val="21"/>
                      <w:szCs w:val="21"/>
                      <w:lang w:val="en-US" w:eastAsia="zh-CN" w:bidi="ar-SA"/>
                    </w:rPr>
                  </w:pPr>
                  <w:r>
                    <w:rPr>
                      <w:rFonts w:hint="eastAsia"/>
                      <w:color w:val="0000FF"/>
                      <w:sz w:val="21"/>
                      <w:szCs w:val="21"/>
                      <w:lang w:val="en-US" w:eastAsia="zh-CN"/>
                    </w:rPr>
                    <w:t>废吸附剂</w:t>
                  </w:r>
                </w:p>
              </w:tc>
              <w:tc>
                <w:tcPr>
                  <w:tcW w:w="376" w:type="pct"/>
                  <w:tcBorders>
                    <w:tl2br w:val="nil"/>
                    <w:tr2bl w:val="nil"/>
                  </w:tcBorders>
                  <w:noWrap/>
                  <w:vAlign w:val="center"/>
                </w:tcPr>
                <w:p w14:paraId="5FFD842F">
                  <w:pPr>
                    <w:pStyle w:val="46"/>
                    <w:ind w:firstLine="0" w:firstLineChars="0"/>
                    <w:jc w:val="center"/>
                    <w:rPr>
                      <w:rFonts w:hint="eastAsia" w:ascii="Times New Roman" w:hAnsi="Times New Roman" w:eastAsia="宋体" w:cs="宋体"/>
                      <w:color w:val="0000FF"/>
                      <w:sz w:val="21"/>
                      <w:szCs w:val="21"/>
                    </w:rPr>
                  </w:pPr>
                  <w:r>
                    <w:rPr>
                      <w:rFonts w:hint="eastAsia" w:ascii="Times New Roman" w:hAnsi="Times New Roman" w:eastAsia="宋体" w:cs="宋体"/>
                      <w:color w:val="0000FF"/>
                      <w:sz w:val="21"/>
                      <w:szCs w:val="21"/>
                    </w:rPr>
                    <w:t>/</w:t>
                  </w:r>
                </w:p>
              </w:tc>
            </w:tr>
            <w:tr w14:paraId="4E93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7502A0B5">
                  <w:pPr>
                    <w:pStyle w:val="46"/>
                    <w:jc w:val="center"/>
                    <w:rPr>
                      <w:rFonts w:hint="default"/>
                      <w:color w:val="0000FF"/>
                      <w:sz w:val="21"/>
                      <w:szCs w:val="21"/>
                      <w:lang w:val="en-US" w:eastAsia="zh-CN"/>
                    </w:rPr>
                  </w:pPr>
                  <w:r>
                    <w:rPr>
                      <w:rFonts w:hint="eastAsia"/>
                      <w:color w:val="0000FF"/>
                      <w:sz w:val="21"/>
                      <w:szCs w:val="21"/>
                      <w:lang w:val="en-US" w:eastAsia="zh-CN"/>
                    </w:rPr>
                    <w:t>污泥</w:t>
                  </w:r>
                </w:p>
              </w:tc>
              <w:tc>
                <w:tcPr>
                  <w:tcW w:w="501" w:type="pct"/>
                  <w:tcBorders>
                    <w:tl2br w:val="nil"/>
                    <w:tr2bl w:val="nil"/>
                  </w:tcBorders>
                  <w:noWrap/>
                  <w:vAlign w:val="center"/>
                </w:tcPr>
                <w:p w14:paraId="1C58FC80">
                  <w:pPr>
                    <w:jc w:val="center"/>
                    <w:rPr>
                      <w:rFonts w:hint="default"/>
                      <w:color w:val="0000FF"/>
                      <w:sz w:val="21"/>
                      <w:szCs w:val="21"/>
                      <w:lang w:val="en-US" w:eastAsia="zh-CN"/>
                    </w:rPr>
                  </w:pPr>
                  <w:r>
                    <w:rPr>
                      <w:rFonts w:hint="eastAsia"/>
                      <w:color w:val="0000FF"/>
                      <w:sz w:val="21"/>
                      <w:szCs w:val="21"/>
                      <w:lang w:val="en-US" w:eastAsia="zh-CN"/>
                    </w:rPr>
                    <w:t>2.56</w:t>
                  </w:r>
                  <w:r>
                    <w:rPr>
                      <w:rFonts w:hint="eastAsia"/>
                      <w:color w:val="0000FF"/>
                      <w:sz w:val="21"/>
                      <w:szCs w:val="21"/>
                    </w:rPr>
                    <w:t>t/a</w:t>
                  </w:r>
                </w:p>
              </w:tc>
              <w:tc>
                <w:tcPr>
                  <w:tcW w:w="1870" w:type="pct"/>
                  <w:tcBorders>
                    <w:tl2br w:val="nil"/>
                    <w:tr2bl w:val="nil"/>
                  </w:tcBorders>
                  <w:noWrap/>
                  <w:vAlign w:val="center"/>
                </w:tcPr>
                <w:p w14:paraId="24E5256D">
                  <w:pPr>
                    <w:pStyle w:val="46"/>
                    <w:jc w:val="center"/>
                    <w:rPr>
                      <w:rFonts w:hint="eastAsia"/>
                      <w:color w:val="0000FF"/>
                      <w:sz w:val="21"/>
                      <w:szCs w:val="21"/>
                      <w:lang w:val="en-US" w:eastAsia="zh-CN"/>
                    </w:rPr>
                  </w:pPr>
                  <w:r>
                    <w:rPr>
                      <w:rFonts w:hint="eastAsia" w:cs="Times New Roman"/>
                      <w:color w:val="0000FF"/>
                      <w:kern w:val="0"/>
                      <w:sz w:val="21"/>
                      <w:szCs w:val="21"/>
                      <w:highlight w:val="none"/>
                      <w:lang w:val="en-US" w:eastAsia="zh-CN" w:bidi="ar"/>
                    </w:rPr>
                    <w:t>集中收集，定期由环卫部门清运</w:t>
                  </w:r>
                </w:p>
              </w:tc>
              <w:tc>
                <w:tcPr>
                  <w:tcW w:w="874" w:type="pct"/>
                  <w:tcBorders>
                    <w:tl2br w:val="nil"/>
                    <w:tr2bl w:val="nil"/>
                  </w:tcBorders>
                  <w:noWrap/>
                  <w:vAlign w:val="center"/>
                </w:tcPr>
                <w:p w14:paraId="394B5659">
                  <w:pPr>
                    <w:keepNext w:val="0"/>
                    <w:keepLines w:val="0"/>
                    <w:widowControl/>
                    <w:suppressLineNumbers w:val="0"/>
                    <w:jc w:val="center"/>
                    <w:rPr>
                      <w:rFonts w:hint="eastAsia" w:cs="宋体"/>
                      <w:color w:val="0000FF"/>
                      <w:sz w:val="21"/>
                      <w:szCs w:val="21"/>
                      <w:lang w:val="en-US" w:eastAsia="zh-CN"/>
                    </w:rPr>
                  </w:pPr>
                  <w:r>
                    <w:rPr>
                      <w:rFonts w:hint="default" w:ascii="Times New Roman" w:hAnsi="Times New Roman" w:eastAsia="宋体" w:cs="Times New Roman"/>
                      <w:color w:val="0000FF"/>
                      <w:kern w:val="0"/>
                      <w:sz w:val="21"/>
                      <w:szCs w:val="21"/>
                      <w:lang w:val="en-US" w:eastAsia="zh-CN" w:bidi="ar"/>
                    </w:rPr>
                    <w:t>150-001-S07</w:t>
                  </w:r>
                </w:p>
              </w:tc>
              <w:tc>
                <w:tcPr>
                  <w:tcW w:w="625" w:type="pct"/>
                  <w:tcBorders>
                    <w:tl2br w:val="nil"/>
                    <w:tr2bl w:val="nil"/>
                  </w:tcBorders>
                  <w:noWrap/>
                  <w:vAlign w:val="center"/>
                </w:tcPr>
                <w:p w14:paraId="67BEDE07">
                  <w:pPr>
                    <w:pStyle w:val="46"/>
                    <w:ind w:firstLine="0" w:firstLineChars="0"/>
                    <w:jc w:val="center"/>
                    <w:rPr>
                      <w:rFonts w:hint="default"/>
                      <w:color w:val="0000FF"/>
                      <w:sz w:val="21"/>
                      <w:szCs w:val="21"/>
                      <w:lang w:val="en-US" w:eastAsia="zh-CN"/>
                    </w:rPr>
                  </w:pPr>
                  <w:r>
                    <w:rPr>
                      <w:rFonts w:hint="eastAsia" w:cs="宋体"/>
                      <w:color w:val="0000FF"/>
                      <w:sz w:val="21"/>
                      <w:szCs w:val="21"/>
                      <w:lang w:val="en-US" w:eastAsia="zh-CN"/>
                    </w:rPr>
                    <w:t>生产固废</w:t>
                  </w:r>
                </w:p>
              </w:tc>
              <w:tc>
                <w:tcPr>
                  <w:tcW w:w="376" w:type="pct"/>
                  <w:tcBorders>
                    <w:tl2br w:val="nil"/>
                    <w:tr2bl w:val="nil"/>
                  </w:tcBorders>
                  <w:noWrap/>
                  <w:vAlign w:val="center"/>
                </w:tcPr>
                <w:p w14:paraId="5BC93DC1">
                  <w:pPr>
                    <w:pStyle w:val="46"/>
                    <w:ind w:firstLine="0" w:firstLineChars="0"/>
                    <w:jc w:val="center"/>
                    <w:rPr>
                      <w:rFonts w:hint="eastAsia" w:ascii="Times New Roman" w:hAnsi="Times New Roman" w:eastAsia="宋体" w:cs="宋体"/>
                      <w:color w:val="0000FF"/>
                      <w:sz w:val="21"/>
                      <w:szCs w:val="21"/>
                    </w:rPr>
                  </w:pPr>
                  <w:r>
                    <w:rPr>
                      <w:rFonts w:hint="eastAsia" w:ascii="Times New Roman" w:hAnsi="Times New Roman" w:eastAsia="宋体" w:cs="宋体"/>
                      <w:color w:val="0000FF"/>
                      <w:sz w:val="21"/>
                      <w:szCs w:val="21"/>
                    </w:rPr>
                    <w:t>/</w:t>
                  </w:r>
                </w:p>
              </w:tc>
            </w:tr>
            <w:tr w14:paraId="0CD1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660BC0E4">
                  <w:pPr>
                    <w:pStyle w:val="46"/>
                    <w:ind w:firstLine="0" w:firstLineChars="0"/>
                    <w:jc w:val="center"/>
                    <w:rPr>
                      <w:rFonts w:hint="eastAsia"/>
                      <w:color w:val="0000FF"/>
                      <w:sz w:val="21"/>
                      <w:szCs w:val="21"/>
                      <w:lang w:val="en-US" w:eastAsia="zh-CN"/>
                    </w:rPr>
                  </w:pPr>
                  <w:r>
                    <w:rPr>
                      <w:rFonts w:hint="eastAsia" w:cs="Times New Roman"/>
                      <w:color w:val="0000FF"/>
                      <w:kern w:val="0"/>
                      <w:sz w:val="21"/>
                      <w:szCs w:val="21"/>
                      <w:highlight w:val="none"/>
                      <w:lang w:val="en-US" w:eastAsia="zh-CN" w:bidi="ar"/>
                    </w:rPr>
                    <w:t>生活垃圾</w:t>
                  </w:r>
                </w:p>
              </w:tc>
              <w:tc>
                <w:tcPr>
                  <w:tcW w:w="501" w:type="pct"/>
                  <w:tcBorders>
                    <w:tl2br w:val="nil"/>
                    <w:tr2bl w:val="nil"/>
                  </w:tcBorders>
                  <w:noWrap/>
                  <w:vAlign w:val="center"/>
                </w:tcPr>
                <w:p w14:paraId="52316649">
                  <w:pPr>
                    <w:pStyle w:val="46"/>
                    <w:ind w:firstLine="0" w:firstLineChars="0"/>
                    <w:jc w:val="center"/>
                    <w:rPr>
                      <w:rFonts w:hint="eastAsia"/>
                      <w:color w:val="0000FF"/>
                      <w:sz w:val="21"/>
                      <w:szCs w:val="21"/>
                    </w:rPr>
                  </w:pPr>
                  <w:r>
                    <w:rPr>
                      <w:rFonts w:hint="eastAsia"/>
                      <w:color w:val="0000FF"/>
                      <w:sz w:val="21"/>
                      <w:szCs w:val="21"/>
                      <w:lang w:val="en-US" w:eastAsia="zh-CN"/>
                    </w:rPr>
                    <w:t>3.6</w:t>
                  </w:r>
                  <w:r>
                    <w:rPr>
                      <w:rFonts w:hint="eastAsia"/>
                      <w:color w:val="0000FF"/>
                      <w:sz w:val="21"/>
                      <w:szCs w:val="21"/>
                    </w:rPr>
                    <w:t>t/a</w:t>
                  </w:r>
                </w:p>
              </w:tc>
              <w:tc>
                <w:tcPr>
                  <w:tcW w:w="1870" w:type="pct"/>
                  <w:tcBorders>
                    <w:tl2br w:val="nil"/>
                    <w:tr2bl w:val="nil"/>
                  </w:tcBorders>
                  <w:noWrap/>
                  <w:vAlign w:val="center"/>
                </w:tcPr>
                <w:p w14:paraId="4415BE29">
                  <w:pPr>
                    <w:pStyle w:val="46"/>
                    <w:ind w:firstLine="0" w:firstLineChars="0"/>
                    <w:jc w:val="center"/>
                    <w:rPr>
                      <w:rFonts w:hint="eastAsia" w:cs="Times New Roman"/>
                      <w:color w:val="0000FF"/>
                      <w:kern w:val="0"/>
                      <w:sz w:val="21"/>
                      <w:szCs w:val="21"/>
                      <w:highlight w:val="none"/>
                      <w:lang w:val="en-US" w:eastAsia="zh-CN" w:bidi="ar"/>
                    </w:rPr>
                  </w:pPr>
                  <w:r>
                    <w:rPr>
                      <w:rFonts w:hint="eastAsia" w:cs="Times New Roman"/>
                      <w:color w:val="0000FF"/>
                      <w:kern w:val="0"/>
                      <w:sz w:val="21"/>
                      <w:szCs w:val="21"/>
                      <w:highlight w:val="none"/>
                      <w:lang w:val="en-US" w:eastAsia="zh-CN" w:bidi="ar"/>
                    </w:rPr>
                    <w:t>集中收集，定期由环卫部门清运</w:t>
                  </w:r>
                </w:p>
              </w:tc>
              <w:tc>
                <w:tcPr>
                  <w:tcW w:w="874" w:type="pct"/>
                  <w:tcBorders>
                    <w:tl2br w:val="nil"/>
                    <w:tr2bl w:val="nil"/>
                  </w:tcBorders>
                  <w:noWrap/>
                  <w:vAlign w:val="center"/>
                </w:tcPr>
                <w:p w14:paraId="3B481831">
                  <w:pPr>
                    <w:pStyle w:val="46"/>
                    <w:ind w:firstLine="0" w:firstLineChars="0"/>
                    <w:jc w:val="center"/>
                    <w:rPr>
                      <w:rFonts w:hint="eastAsia" w:cs="宋体"/>
                      <w:color w:val="0000FF"/>
                      <w:sz w:val="21"/>
                      <w:szCs w:val="21"/>
                      <w:lang w:val="en-US" w:eastAsia="zh-CN"/>
                    </w:rPr>
                  </w:pPr>
                  <w:r>
                    <w:rPr>
                      <w:rFonts w:hint="eastAsia" w:cs="宋体"/>
                      <w:color w:val="0000FF"/>
                      <w:sz w:val="21"/>
                      <w:szCs w:val="21"/>
                      <w:lang w:val="en-US" w:eastAsia="zh-CN"/>
                    </w:rPr>
                    <w:t>900-001-S61</w:t>
                  </w:r>
                </w:p>
                <w:p w14:paraId="4E8507A7">
                  <w:pPr>
                    <w:pStyle w:val="46"/>
                    <w:ind w:firstLine="0" w:firstLineChars="0"/>
                    <w:jc w:val="center"/>
                    <w:rPr>
                      <w:rFonts w:hint="eastAsia" w:cs="宋体"/>
                      <w:color w:val="0000FF"/>
                      <w:sz w:val="21"/>
                      <w:szCs w:val="21"/>
                      <w:lang w:val="en-US" w:eastAsia="zh-CN"/>
                    </w:rPr>
                  </w:pPr>
                  <w:r>
                    <w:rPr>
                      <w:rFonts w:hint="eastAsia" w:cs="宋体"/>
                      <w:color w:val="0000FF"/>
                      <w:sz w:val="21"/>
                      <w:szCs w:val="21"/>
                      <w:lang w:val="en-US" w:eastAsia="zh-CN"/>
                    </w:rPr>
                    <w:t>900-002-S61</w:t>
                  </w:r>
                </w:p>
                <w:p w14:paraId="510707F7">
                  <w:pPr>
                    <w:pStyle w:val="46"/>
                    <w:ind w:firstLine="0" w:firstLineChars="0"/>
                    <w:jc w:val="center"/>
                    <w:rPr>
                      <w:rFonts w:hint="eastAsia" w:cs="宋体"/>
                      <w:color w:val="0000FF"/>
                      <w:sz w:val="21"/>
                      <w:szCs w:val="21"/>
                      <w:lang w:val="en-US" w:eastAsia="zh-CN"/>
                    </w:rPr>
                  </w:pPr>
                  <w:r>
                    <w:rPr>
                      <w:rFonts w:hint="eastAsia" w:cs="宋体"/>
                      <w:color w:val="0000FF"/>
                      <w:sz w:val="21"/>
                      <w:szCs w:val="21"/>
                      <w:lang w:val="en-US" w:eastAsia="zh-CN"/>
                    </w:rPr>
                    <w:t>900-001-S62</w:t>
                  </w:r>
                </w:p>
                <w:p w14:paraId="4E32B8DC">
                  <w:pPr>
                    <w:pStyle w:val="46"/>
                    <w:ind w:firstLine="0" w:firstLineChars="0"/>
                    <w:jc w:val="center"/>
                    <w:rPr>
                      <w:rFonts w:hint="eastAsia" w:cs="宋体"/>
                      <w:color w:val="0000FF"/>
                      <w:sz w:val="21"/>
                      <w:szCs w:val="21"/>
                      <w:lang w:val="en-US" w:eastAsia="zh-CN"/>
                    </w:rPr>
                  </w:pPr>
                  <w:r>
                    <w:rPr>
                      <w:rFonts w:hint="eastAsia" w:cs="宋体"/>
                      <w:color w:val="0000FF"/>
                      <w:sz w:val="21"/>
                      <w:szCs w:val="21"/>
                      <w:lang w:val="en-US" w:eastAsia="zh-CN"/>
                    </w:rPr>
                    <w:t>900-002-S62</w:t>
                  </w:r>
                </w:p>
              </w:tc>
              <w:tc>
                <w:tcPr>
                  <w:tcW w:w="625" w:type="pct"/>
                  <w:tcBorders>
                    <w:tl2br w:val="nil"/>
                    <w:tr2bl w:val="nil"/>
                  </w:tcBorders>
                  <w:noWrap/>
                  <w:vAlign w:val="center"/>
                </w:tcPr>
                <w:p w14:paraId="51B4C2EA">
                  <w:pPr>
                    <w:pStyle w:val="46"/>
                    <w:ind w:firstLine="0" w:firstLineChars="0"/>
                    <w:jc w:val="center"/>
                    <w:rPr>
                      <w:rFonts w:hint="eastAsia"/>
                      <w:color w:val="0000FF"/>
                      <w:sz w:val="21"/>
                      <w:szCs w:val="21"/>
                      <w:lang w:val="en-US" w:eastAsia="zh-CN"/>
                    </w:rPr>
                  </w:pPr>
                  <w:r>
                    <w:rPr>
                      <w:rFonts w:hint="eastAsia"/>
                      <w:color w:val="0000FF"/>
                      <w:sz w:val="21"/>
                      <w:szCs w:val="21"/>
                      <w:lang w:val="en-US" w:eastAsia="zh-CN"/>
                    </w:rPr>
                    <w:t>生活垃圾</w:t>
                  </w:r>
                </w:p>
              </w:tc>
              <w:tc>
                <w:tcPr>
                  <w:tcW w:w="376" w:type="pct"/>
                  <w:tcBorders>
                    <w:tl2br w:val="nil"/>
                    <w:tr2bl w:val="nil"/>
                  </w:tcBorders>
                  <w:noWrap/>
                  <w:vAlign w:val="center"/>
                </w:tcPr>
                <w:p w14:paraId="2273B16C">
                  <w:pPr>
                    <w:pStyle w:val="46"/>
                    <w:ind w:firstLine="0" w:firstLineChars="0"/>
                    <w:jc w:val="center"/>
                    <w:rPr>
                      <w:rFonts w:hint="eastAsia" w:ascii="Times New Roman" w:hAnsi="Times New Roman" w:eastAsia="宋体" w:cs="宋体"/>
                      <w:color w:val="0000FF"/>
                      <w:sz w:val="21"/>
                      <w:szCs w:val="21"/>
                    </w:rPr>
                  </w:pPr>
                  <w:r>
                    <w:rPr>
                      <w:rFonts w:hint="eastAsia" w:ascii="Times New Roman" w:hAnsi="Times New Roman" w:eastAsia="宋体" w:cs="宋体"/>
                      <w:color w:val="0000FF"/>
                      <w:sz w:val="21"/>
                      <w:szCs w:val="21"/>
                    </w:rPr>
                    <w:t>/</w:t>
                  </w:r>
                </w:p>
              </w:tc>
            </w:tr>
            <w:tr w14:paraId="1DB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50" w:type="pct"/>
                  <w:tcBorders>
                    <w:tl2br w:val="nil"/>
                    <w:tr2bl w:val="nil"/>
                  </w:tcBorders>
                  <w:noWrap/>
                  <w:vAlign w:val="center"/>
                </w:tcPr>
                <w:p w14:paraId="29968061">
                  <w:pPr>
                    <w:pStyle w:val="46"/>
                    <w:ind w:firstLine="0" w:firstLineChars="0"/>
                    <w:jc w:val="center"/>
                    <w:rPr>
                      <w:rFonts w:hint="default" w:cs="Times New Roman"/>
                      <w:color w:val="0000FF"/>
                      <w:kern w:val="0"/>
                      <w:sz w:val="21"/>
                      <w:szCs w:val="21"/>
                      <w:highlight w:val="none"/>
                      <w:lang w:val="en-US" w:eastAsia="zh-CN" w:bidi="ar"/>
                    </w:rPr>
                  </w:pPr>
                  <w:r>
                    <w:rPr>
                      <w:rFonts w:hint="eastAsia" w:cs="Times New Roman"/>
                      <w:color w:val="0000FF"/>
                      <w:kern w:val="0"/>
                      <w:sz w:val="21"/>
                      <w:szCs w:val="21"/>
                      <w:highlight w:val="none"/>
                      <w:lang w:val="en-US" w:eastAsia="zh-CN" w:bidi="ar"/>
                    </w:rPr>
                    <w:t>废机油</w:t>
                  </w:r>
                </w:p>
              </w:tc>
              <w:tc>
                <w:tcPr>
                  <w:tcW w:w="501" w:type="pct"/>
                  <w:tcBorders>
                    <w:tl2br w:val="nil"/>
                    <w:tr2bl w:val="nil"/>
                  </w:tcBorders>
                  <w:noWrap/>
                  <w:vAlign w:val="center"/>
                </w:tcPr>
                <w:p w14:paraId="50F9C98E">
                  <w:pPr>
                    <w:pStyle w:val="46"/>
                    <w:ind w:firstLine="0" w:firstLineChars="0"/>
                    <w:jc w:val="center"/>
                    <w:rPr>
                      <w:rFonts w:hint="eastAsia"/>
                      <w:color w:val="0000FF"/>
                      <w:sz w:val="21"/>
                      <w:szCs w:val="21"/>
                      <w:lang w:val="en-US" w:eastAsia="zh-CN"/>
                    </w:rPr>
                  </w:pPr>
                  <w:r>
                    <w:rPr>
                      <w:rFonts w:hint="eastAsia"/>
                      <w:color w:val="0000FF"/>
                      <w:sz w:val="21"/>
                      <w:szCs w:val="21"/>
                      <w:lang w:val="en-US" w:eastAsia="zh-CN"/>
                    </w:rPr>
                    <w:t>0.1</w:t>
                  </w:r>
                  <w:r>
                    <w:rPr>
                      <w:rFonts w:hint="eastAsia"/>
                      <w:color w:val="0000FF"/>
                      <w:sz w:val="21"/>
                      <w:szCs w:val="21"/>
                    </w:rPr>
                    <w:t>t/a</w:t>
                  </w:r>
                </w:p>
              </w:tc>
              <w:tc>
                <w:tcPr>
                  <w:tcW w:w="1870" w:type="pct"/>
                  <w:tcBorders>
                    <w:tl2br w:val="nil"/>
                    <w:tr2bl w:val="nil"/>
                  </w:tcBorders>
                  <w:noWrap/>
                  <w:vAlign w:val="center"/>
                </w:tcPr>
                <w:p w14:paraId="4CDCD644">
                  <w:pPr>
                    <w:pStyle w:val="46"/>
                    <w:ind w:firstLine="0" w:firstLineChars="0"/>
                    <w:jc w:val="center"/>
                    <w:rPr>
                      <w:rFonts w:hint="default" w:cs="Times New Roman"/>
                      <w:color w:val="0000FF"/>
                      <w:kern w:val="0"/>
                      <w:sz w:val="21"/>
                      <w:szCs w:val="21"/>
                      <w:highlight w:val="none"/>
                      <w:lang w:val="en-US" w:eastAsia="zh-CN" w:bidi="ar"/>
                    </w:rPr>
                  </w:pPr>
                  <w:r>
                    <w:rPr>
                      <w:rFonts w:hint="eastAsia"/>
                      <w:color w:val="0000FF"/>
                      <w:sz w:val="21"/>
                      <w:szCs w:val="21"/>
                      <w:lang w:val="en-US" w:eastAsia="zh-CN"/>
                    </w:rPr>
                    <w:t>暂存后交由资质单位处置</w:t>
                  </w:r>
                </w:p>
              </w:tc>
              <w:tc>
                <w:tcPr>
                  <w:tcW w:w="874" w:type="pct"/>
                  <w:tcBorders>
                    <w:tl2br w:val="nil"/>
                    <w:tr2bl w:val="nil"/>
                  </w:tcBorders>
                  <w:noWrap/>
                  <w:vAlign w:val="center"/>
                </w:tcPr>
                <w:p w14:paraId="419BD8F0">
                  <w:pPr>
                    <w:pStyle w:val="46"/>
                    <w:ind w:firstLine="0" w:firstLineChars="0"/>
                    <w:jc w:val="center"/>
                    <w:rPr>
                      <w:rFonts w:hint="eastAsia" w:cs="宋体"/>
                      <w:color w:val="0000FF"/>
                      <w:sz w:val="21"/>
                      <w:szCs w:val="21"/>
                      <w:lang w:val="en-US" w:eastAsia="zh-CN"/>
                    </w:rPr>
                  </w:pPr>
                  <w:r>
                    <w:rPr>
                      <w:rFonts w:hint="eastAsia" w:ascii="Times New Roman" w:hAnsi="Times New Roman" w:eastAsia="宋体" w:cs="Times New Roman"/>
                      <w:color w:val="0000FF"/>
                      <w:kern w:val="2"/>
                      <w:sz w:val="21"/>
                      <w:szCs w:val="21"/>
                      <w:highlight w:val="none"/>
                      <w:lang w:val="en-US" w:eastAsia="zh-CN" w:bidi="ar-SA"/>
                    </w:rPr>
                    <w:t>900-214-08</w:t>
                  </w:r>
                </w:p>
              </w:tc>
              <w:tc>
                <w:tcPr>
                  <w:tcW w:w="625" w:type="pct"/>
                  <w:tcBorders>
                    <w:tl2br w:val="nil"/>
                    <w:tr2bl w:val="nil"/>
                  </w:tcBorders>
                  <w:noWrap/>
                  <w:vAlign w:val="center"/>
                </w:tcPr>
                <w:p w14:paraId="76174D27">
                  <w:pPr>
                    <w:pStyle w:val="46"/>
                    <w:ind w:firstLine="0" w:firstLineChars="0"/>
                    <w:jc w:val="both"/>
                    <w:rPr>
                      <w:rFonts w:hint="default"/>
                      <w:color w:val="0000FF"/>
                      <w:sz w:val="21"/>
                      <w:szCs w:val="21"/>
                      <w:lang w:val="en-US" w:eastAsia="zh-CN"/>
                    </w:rPr>
                  </w:pPr>
                  <w:r>
                    <w:rPr>
                      <w:rFonts w:hint="eastAsia"/>
                      <w:color w:val="0000FF"/>
                      <w:sz w:val="21"/>
                      <w:szCs w:val="21"/>
                      <w:lang w:val="en-US" w:eastAsia="zh-CN"/>
                    </w:rPr>
                    <w:t>危险废物</w:t>
                  </w:r>
                </w:p>
              </w:tc>
              <w:tc>
                <w:tcPr>
                  <w:tcW w:w="376" w:type="pct"/>
                  <w:tcBorders>
                    <w:tl2br w:val="nil"/>
                    <w:tr2bl w:val="nil"/>
                  </w:tcBorders>
                  <w:noWrap/>
                  <w:vAlign w:val="center"/>
                </w:tcPr>
                <w:p w14:paraId="49C41A87">
                  <w:pPr>
                    <w:pStyle w:val="46"/>
                    <w:ind w:firstLine="0" w:firstLineChars="0"/>
                    <w:jc w:val="center"/>
                    <w:rPr>
                      <w:rFonts w:hint="eastAsia" w:ascii="Times New Roman" w:hAnsi="Times New Roman" w:eastAsia="宋体" w:cs="宋体"/>
                      <w:color w:val="0000FF"/>
                      <w:sz w:val="21"/>
                      <w:szCs w:val="21"/>
                    </w:rPr>
                  </w:pPr>
                  <w:r>
                    <w:rPr>
                      <w:rFonts w:hint="eastAsia" w:ascii="Times New Roman" w:hAnsi="Times New Roman" w:eastAsia="宋体" w:cs="宋体"/>
                      <w:color w:val="0000FF"/>
                      <w:sz w:val="21"/>
                      <w:szCs w:val="21"/>
                    </w:rPr>
                    <w:t>/</w:t>
                  </w:r>
                </w:p>
              </w:tc>
            </w:tr>
          </w:tbl>
          <w:p w14:paraId="4CF36134">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2" w:firstLineChars="200"/>
              <w:jc w:val="both"/>
              <w:textAlignment w:val="auto"/>
              <w:rPr>
                <w:rFonts w:hint="default" w:ascii="Times New Roman" w:hAnsi="Times New Roman" w:eastAsia="宋体" w:cs="Times New Roman"/>
                <w:b/>
                <w:bCs/>
                <w:color w:val="auto"/>
                <w:kern w:val="2"/>
                <w:sz w:val="24"/>
                <w:szCs w:val="20"/>
                <w:highlight w:val="none"/>
                <w:lang w:val="en-US" w:eastAsia="zh-CN"/>
              </w:rPr>
            </w:pPr>
            <w:r>
              <w:rPr>
                <w:rFonts w:hint="eastAsia" w:cs="Times New Roman"/>
                <w:b/>
                <w:bCs/>
                <w:color w:val="auto"/>
                <w:kern w:val="2"/>
                <w:sz w:val="24"/>
                <w:szCs w:val="20"/>
                <w:highlight w:val="none"/>
                <w:lang w:val="en-US" w:eastAsia="zh-CN"/>
              </w:rPr>
              <w:t>4.2</w:t>
            </w:r>
            <w:r>
              <w:rPr>
                <w:rFonts w:hint="eastAsia" w:ascii="Times New Roman" w:hAnsi="Times New Roman" w:eastAsia="宋体" w:cs="Times New Roman"/>
                <w:b/>
                <w:bCs/>
                <w:color w:val="auto"/>
                <w:kern w:val="2"/>
                <w:sz w:val="24"/>
                <w:szCs w:val="20"/>
                <w:highlight w:val="none"/>
                <w:lang w:val="en-US" w:eastAsia="zh-CN"/>
              </w:rPr>
              <w:t>环境管理要求</w:t>
            </w:r>
          </w:p>
          <w:p w14:paraId="3FEA264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w:t>
            </w:r>
            <w:r>
              <w:rPr>
                <w:rFonts w:hint="eastAsia" w:ascii="Times New Roman" w:hAnsi="Times New Roman" w:eastAsia="宋体" w:cs="Times New Roman"/>
                <w:b w:val="0"/>
                <w:bCs w:val="0"/>
                <w:color w:val="auto"/>
                <w:kern w:val="2"/>
                <w:sz w:val="24"/>
                <w:szCs w:val="24"/>
                <w:lang w:val="en-US" w:eastAsia="zh-CN" w:bidi="ar-SA"/>
              </w:rPr>
              <w:t>一般要求</w:t>
            </w:r>
          </w:p>
          <w:p w14:paraId="7BCB14AD">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固体废物污染防治法规定“建设项目的环境影响评价文件确定需要配套建设的固体废物污染环境防治设施，必须与主体工程同时设计、同时施工、同时投入使用。固体废物污染环境防治设施必须经原审批环境影响评价文件的环境保护行政主管部门验收合格后，该建设项目方可投入生产或者使用。对固体废物污染环境防治设施的验收应当与对主体工程的验收同时进行”。根据这些规定，本项目固体废物污染环境防治设施必须做到</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三同时</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w:t>
            </w:r>
          </w:p>
          <w:p w14:paraId="79ACF272">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为了进一步降低固体废物的影响，建议建设单位在实践中逐步确定新的废物管理模式，对所有固体废物进行监控管理。</w:t>
            </w:r>
          </w:p>
          <w:p w14:paraId="27D50B8D">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w:t>
            </w:r>
            <w:r>
              <w:rPr>
                <w:rFonts w:hint="default" w:ascii="Times New Roman" w:hAnsi="Times New Roman" w:eastAsia="宋体" w:cs="Times New Roman"/>
                <w:color w:val="auto"/>
                <w:kern w:val="2"/>
                <w:sz w:val="24"/>
                <w:szCs w:val="24"/>
                <w:lang w:val="en-US" w:eastAsia="zh-CN" w:bidi="ar-SA"/>
              </w:rPr>
              <w:t>全过程管理</w:t>
            </w:r>
          </w:p>
          <w:p w14:paraId="2189C884">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即对废物从“出生”那一时刻起对废物的产生、收集、运输、贮存、再循环、再利用、加工处理直至最终处置实行全过程管理，以实现废物减量化、资源化和无害化。</w:t>
            </w:r>
          </w:p>
          <w:p w14:paraId="1788A760">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w:t>
            </w:r>
            <w:r>
              <w:rPr>
                <w:rFonts w:hint="default" w:ascii="Times New Roman" w:hAnsi="Times New Roman" w:eastAsia="宋体" w:cs="Times New Roman"/>
                <w:color w:val="auto"/>
                <w:kern w:val="2"/>
                <w:sz w:val="24"/>
                <w:szCs w:val="24"/>
                <w:lang w:val="en-US" w:eastAsia="zh-CN" w:bidi="ar-SA"/>
              </w:rPr>
              <w:t>对排放废物进行审计</w:t>
            </w:r>
          </w:p>
          <w:p w14:paraId="498A6E9A">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物审计制度是对废物从产生、处理到处置排放实行全过程监督的有效手段。其主要内容有：废物合理的产生量；废物流向和分配及监测记录；废物处理和转化；废物有效排放和废物总量衡算；废物从产生到处理的全过程评估</w:t>
            </w:r>
            <w:r>
              <w:rPr>
                <w:rFonts w:hint="eastAsia" w:ascii="Times New Roman" w:hAnsi="Times New Roman" w:eastAsia="宋体" w:cs="Times New Roman"/>
                <w:color w:val="auto"/>
                <w:kern w:val="2"/>
                <w:sz w:val="24"/>
                <w:szCs w:val="24"/>
                <w:lang w:val="en-US" w:eastAsia="zh-CN" w:bidi="ar-SA"/>
              </w:rPr>
              <w:t>。</w:t>
            </w:r>
          </w:p>
          <w:p w14:paraId="4EEBF38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（2）收集、贮存、利用以及处置要求</w:t>
            </w:r>
          </w:p>
          <w:p w14:paraId="7D4F89A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 xml:space="preserve">排污单位应按照《中华人民共和国固体废物污染环境防治法》等相关法律法规要求，对工业固体废物采用防扬散、防流失、防渗漏或者其他防止污染环境的措施，收集过程中不得擅自倾倒、堆放、丢弃、遗撒工业固体废物。 </w:t>
            </w:r>
          </w:p>
          <w:p w14:paraId="42D0998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color w:val="auto"/>
                <w:lang w:val="en-US" w:eastAsia="zh-CN"/>
              </w:rPr>
              <w:t>排</w:t>
            </w:r>
            <w:r>
              <w:rPr>
                <w:rFonts w:hint="eastAsia" w:ascii="Times New Roman" w:hAnsi="Times New Roman" w:eastAsia="宋体" w:cs="Times New Roman"/>
                <w:color w:val="auto"/>
                <w:kern w:val="2"/>
                <w:sz w:val="24"/>
                <w:szCs w:val="24"/>
                <w:lang w:val="en-US" w:eastAsia="zh-CN" w:bidi="ar-SA"/>
              </w:rPr>
              <w:t xml:space="preserve">污单位委托他人运输、利用、处置一般工业固体废物的，应落实《中华人民共和国固体废物污染环境防治法》等法律法规要求，对受托方的主体资格和技术能力进行核实，依法签订书面合同，在合同中约定污染防治要求等。 </w:t>
            </w:r>
          </w:p>
          <w:p w14:paraId="4D0C2B8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采用库房、包装工具（罐、桶、包装袋等）贮存一般工业固体废物的，贮存过程应满足相应防渗漏、防雨淋、防扬尘等环境保护要求；不相容的一般工业固体废物应设置不同的分区进行贮存；贮存场应设置清晰、完整的一般工业固体废物标志牌等。</w:t>
            </w:r>
          </w:p>
          <w:p w14:paraId="08BA1674">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排污单位生产运营期间一般工业固体废物自行贮存/利用/处置设施的环境管理和相关设施运行维护要求还应符合GB 15562.2、GB 18599、GB 30485和 HJ 2035等相关标准规范要求。 </w:t>
            </w:r>
          </w:p>
          <w:p w14:paraId="5979CD8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一般工业固体废物台账管理要求</w:t>
            </w:r>
          </w:p>
          <w:p w14:paraId="3E961D4A">
            <w:pPr>
              <w:pStyle w:val="15"/>
              <w:spacing w:line="360" w:lineRule="auto"/>
              <w:ind w:firstLine="450"/>
              <w:jc w:val="both"/>
              <w:rPr>
                <w:rFonts w:hint="default" w:ascii="Times New Roman" w:hAnsi="Times New Roman" w:eastAsia="宋体" w:cs="Times New Roman"/>
                <w:b w:val="0"/>
                <w:bCs w:val="0"/>
                <w:color w:val="auto"/>
                <w:kern w:val="2"/>
                <w:sz w:val="24"/>
                <w:szCs w:val="20"/>
                <w:highlight w:val="none"/>
                <w:lang w:val="en-US" w:eastAsia="zh-CN" w:bidi="ar-SA"/>
              </w:rPr>
            </w:pPr>
            <w:r>
              <w:rPr>
                <w:rFonts w:hint="default" w:ascii="Times New Roman" w:hAnsi="Times New Roman" w:eastAsia="宋体" w:cs="Times New Roman"/>
                <w:b w:val="0"/>
                <w:bCs w:val="0"/>
                <w:color w:val="auto"/>
                <w:kern w:val="2"/>
                <w:sz w:val="24"/>
                <w:szCs w:val="20"/>
                <w:highlight w:val="none"/>
                <w:lang w:val="en-US" w:eastAsia="zh-CN" w:bidi="ar-SA"/>
              </w:rPr>
              <w:t>产生工业固体废物的单位（以下简称产废单位）建立工业固体废物管理台账，如实记录工业固体废物的种类、数量、流向、贮存、利用、处置等信息，可以实现工业固体废物可追溯、可查询的目的，推动企业提升固体废物管理水平。</w:t>
            </w:r>
            <w:r>
              <w:rPr>
                <w:rFonts w:hint="default" w:ascii="Times New Roman" w:hAnsi="Times New Roman" w:cs="Times New Roman"/>
                <w:b w:val="0"/>
                <w:bCs w:val="0"/>
                <w:color w:val="auto"/>
                <w:kern w:val="2"/>
                <w:sz w:val="24"/>
                <w:szCs w:val="20"/>
                <w:highlight w:val="none"/>
                <w:lang w:val="en-US" w:eastAsia="zh-CN" w:bidi="ar-SA"/>
              </w:rPr>
              <w:t>建议建设单位运行后根据《一般工业固体废物管理台账制定指南（试行）》制定台账管理内容，台账管理前期准备工作如下：</w:t>
            </w:r>
          </w:p>
          <w:p w14:paraId="1D387E5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①</w:t>
            </w:r>
            <w:r>
              <w:rPr>
                <w:rFonts w:hint="default" w:ascii="Times New Roman" w:hAnsi="Times New Roman" w:eastAsia="宋体" w:cs="Times New Roman"/>
                <w:color w:val="auto"/>
                <w:kern w:val="2"/>
                <w:sz w:val="24"/>
                <w:szCs w:val="24"/>
                <w:highlight w:val="none"/>
                <w:lang w:val="en-US" w:eastAsia="zh-CN" w:bidi="ar-SA"/>
              </w:rPr>
              <w:t>分析一般工业固体废物的产生情况。从原辅材料与产品、 生产工艺等方面分析固体废物的产生情况，确定固体废物的种类，了解并熟悉所产生固体废物的基本特性。</w:t>
            </w:r>
          </w:p>
          <w:p w14:paraId="32F1A0C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②</w:t>
            </w:r>
            <w:r>
              <w:rPr>
                <w:rFonts w:hint="default" w:ascii="Times New Roman" w:hAnsi="Times New Roman" w:eastAsia="宋体" w:cs="Times New Roman"/>
                <w:color w:val="auto"/>
                <w:kern w:val="2"/>
                <w:sz w:val="24"/>
                <w:szCs w:val="24"/>
                <w:highlight w:val="none"/>
                <w:lang w:val="en-US" w:eastAsia="zh-CN" w:bidi="ar-SA"/>
              </w:rPr>
              <w:t xml:space="preserve">明确负责人及相关设施、场地。明确固体废物产生部门、 贮存部门、自行利用部门和自行处置部门负责人，为固体废物产生设施、贮存设施、自行利用设施和自行处置设施编码。 </w:t>
            </w:r>
          </w:p>
          <w:p w14:paraId="14EDFD39">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③</w:t>
            </w:r>
            <w:r>
              <w:rPr>
                <w:rFonts w:hint="default" w:ascii="Times New Roman" w:hAnsi="Times New Roman" w:eastAsia="宋体" w:cs="Times New Roman"/>
                <w:color w:val="auto"/>
                <w:kern w:val="2"/>
                <w:sz w:val="24"/>
                <w:szCs w:val="24"/>
                <w:highlight w:val="none"/>
                <w:lang w:val="en-US" w:eastAsia="zh-CN" w:bidi="ar-SA"/>
              </w:rPr>
              <w:t>确定接受委托的利用处置单位。委托他人利用、处置的，应当按照《中华人民共和国固体废物污染环境防治法》第三十七条要求，选择有资格、有能力的利用处置单位。</w:t>
            </w:r>
          </w:p>
          <w:p w14:paraId="7E2E0EC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台账管理要求如下：</w:t>
            </w:r>
          </w:p>
          <w:p w14:paraId="638EBCA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kern w:val="2"/>
                <w:sz w:val="24"/>
                <w:szCs w:val="24"/>
                <w:highlight w:val="none"/>
                <w:lang w:val="en-US" w:eastAsia="zh-CN" w:bidi="ar-SA"/>
              </w:rPr>
              <w:t>①一般工业固体废物管理台账实施分级管理。</w:t>
            </w:r>
            <w:r>
              <w:rPr>
                <w:rFonts w:hint="default" w:ascii="Times New Roman" w:hAnsi="Times New Roman" w:eastAsia="宋体" w:cs="Times New Roman"/>
                <w:color w:val="auto"/>
                <w:sz w:val="24"/>
                <w:szCs w:val="24"/>
              </w:rPr>
              <w:t>根据实际生产运营情况记录固体废物产生信息，生产工艺发生重大变动等原因导致固体废物产生种类等发生变 化的，应当及时另行填写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按月记录固体废物的产生、贮存、利用、处置数量和利用、处置方式等信息；每一批次固体废物的出厂以及转移信息均应当如实记录。</w:t>
            </w:r>
          </w:p>
          <w:p w14:paraId="1E445B9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产废单位填写台账记录表时，应当根据自身固体废物产生情况，从</w:t>
            </w:r>
            <w:r>
              <w:rPr>
                <w:rFonts w:hint="default" w:ascii="Times New Roman" w:hAnsi="Times New Roman" w:eastAsia="宋体" w:cs="Times New Roman"/>
                <w:color w:val="auto"/>
                <w:sz w:val="24"/>
                <w:szCs w:val="24"/>
                <w:lang w:val="en-US" w:eastAsia="zh-CN"/>
              </w:rPr>
              <w:t>《一般工业固体废物管理台账制定指南（试行）》</w:t>
            </w:r>
            <w:r>
              <w:rPr>
                <w:rFonts w:hint="default" w:ascii="Times New Roman" w:hAnsi="Times New Roman" w:eastAsia="宋体" w:cs="Times New Roman"/>
                <w:color w:val="auto"/>
                <w:sz w:val="24"/>
                <w:szCs w:val="24"/>
              </w:rPr>
              <w:t>选择对应的固体废物种类和代码，并根据固体废物种类确定固体废物的具体名称。</w:t>
            </w:r>
          </w:p>
          <w:p w14:paraId="222329F5">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 xml:space="preserve">鼓励产废单位采用国家建立的一般工业固体废物管理电子台账，简化数据填写、台账管理等工作。地方和企业自行开发的电子台账要实现与国家系统对接。建立电子台账的产废单位，可不再记录纸质台账。 </w:t>
            </w:r>
          </w:p>
          <w:p w14:paraId="3838037B">
            <w:pPr>
              <w:keepNext w:val="0"/>
              <w:keepLines w:val="0"/>
              <w:pageBreakBefore w:val="0"/>
              <w:widowControl w:val="0"/>
              <w:kinsoku/>
              <w:wordWrap/>
              <w:overflowPunct/>
              <w:topLinePunct w:val="0"/>
              <w:autoSpaceDE/>
              <w:autoSpaceDN/>
              <w:bidi w:val="0"/>
              <w:adjustRightInd/>
              <w:snapToGrid/>
              <w:spacing w:before="0" w:after="0" w:line="360" w:lineRule="auto"/>
              <w:ind w:left="240" w:leftChars="100" w:right="0" w:firstLine="240" w:firstLineChars="1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台账记录表各表单的负责人对记录信息的真实性、完整性和规范性负责。</w:t>
            </w:r>
          </w:p>
          <w:p w14:paraId="53F3B2F4">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产废单位应当设立专人负责台账的管理与归档，一般工业固体废物管理台账保存期限不少于</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 xml:space="preserve">年。 </w:t>
            </w:r>
          </w:p>
          <w:p w14:paraId="10454853">
            <w:pPr>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 xml:space="preserve">鼓励有条件的产废单位在固体废物产生场所、贮存场所 及磅秤位置等关键点位设置视频监控，提高台账记录信息的准确性。 </w:t>
            </w:r>
          </w:p>
          <w:p w14:paraId="6720C6DE">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危废暂存间要求</w:t>
            </w:r>
          </w:p>
          <w:p w14:paraId="61944D16">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本项目新建</w:t>
            </w:r>
            <w:r>
              <w:rPr>
                <w:rFonts w:hint="eastAsia"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危废暂存间一座，主要用于暂存本项目产生的危险废物，贮存设计满足</w:t>
            </w:r>
            <w:r>
              <w:rPr>
                <w:rFonts w:hint="eastAsia" w:cs="Times New Roman"/>
                <w:color w:val="auto"/>
                <w:kern w:val="2"/>
                <w:sz w:val="24"/>
                <w:szCs w:val="24"/>
                <w:highlight w:val="none"/>
                <w:lang w:val="en-US" w:eastAsia="zh-CN" w:bidi="ar-SA"/>
              </w:rPr>
              <w:t>《危险废物贮存污染控制标准》（GB18597-2023）</w:t>
            </w:r>
            <w:r>
              <w:rPr>
                <w:rFonts w:hint="eastAsia" w:ascii="Times New Roman" w:hAnsi="Times New Roman" w:eastAsia="宋体" w:cs="Times New Roman"/>
                <w:color w:val="auto"/>
                <w:kern w:val="2"/>
                <w:sz w:val="24"/>
                <w:szCs w:val="24"/>
                <w:highlight w:val="none"/>
                <w:lang w:val="en-US" w:eastAsia="zh-CN" w:bidi="ar-SA"/>
              </w:rPr>
              <w:t>以及《危险废物收集 贮存 运输技术规范》（HJ2025-2012）要求，委托有资质的单位进行处置。本项目危险废物在收集、转运时需满足以下要求：</w:t>
            </w:r>
          </w:p>
          <w:p w14:paraId="6425A272">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①危险废物的收集 </w:t>
            </w:r>
          </w:p>
          <w:p w14:paraId="59155FD2">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a.危险废物产生单位进行的危险废物收集包括两个方面，一是在危险废物产生节点将危险废物集中到适当的包装容器中或运输车辆上的活动；二是将已包装或装到运输车辆上的危险废物集中到危险废物产生单位内部临时贮存设施的内部转运。 </w:t>
            </w:r>
          </w:p>
          <w:p w14:paraId="575E9A31">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b.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 </w:t>
            </w:r>
          </w:p>
          <w:p w14:paraId="0EC948C5">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c.危险废物的收集应制定详细的操作规程，内容至少应包括适用范围、操作程序和方法、专用设备和工具、转移和交接、安全保障和应急防护等。 </w:t>
            </w:r>
          </w:p>
          <w:p w14:paraId="66989F4F">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d.危险废物收集和转运作业人员应根据工作需要配备必要的个人防护装备，如手套、防护镜、防护服、防毒面具或口罩等。 </w:t>
            </w:r>
          </w:p>
          <w:p w14:paraId="3D009E5D">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e.在危险废物的收集和转运过程中，应采取相应的安全防护和污染防治措施，包括防爆、防火、防中毒、防感染、防泄露、防飞扬、防雨或其它防止污染环境的措施。 </w:t>
            </w:r>
          </w:p>
          <w:p w14:paraId="1A3C5F7A">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f.危险废物收集时应根据危险废物的种类、数量、危险特性、物理形态、运输要求等因素确定包装形式，具体包装应符合如下要求： </w:t>
            </w:r>
          </w:p>
          <w:p w14:paraId="418E2F5B">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1)包装材质要与危险废物相容，可根据废物特性选择钢、铝、塑料等材质。 </w:t>
            </w:r>
          </w:p>
          <w:p w14:paraId="2D6BA992">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2)性质类似的废物可收集到同一容器中，性质不相容的危险废物不应混合包装。 </w:t>
            </w:r>
          </w:p>
          <w:p w14:paraId="144B2967">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3)危险废物包装应能有效隔断危险废物迁移扩散途径，并达到防渗、防漏要求。 </w:t>
            </w:r>
          </w:p>
          <w:p w14:paraId="563ECFBF">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4)包装好的危险废物应设置相应的标签，标签信息应填写完整翔实。 </w:t>
            </w:r>
          </w:p>
          <w:p w14:paraId="0842DE97">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5)盛装过危险废物的包装袋或包装容器破损后应按危险废物进行管理和处置。 </w:t>
            </w:r>
          </w:p>
          <w:p w14:paraId="5AFE7964">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6)危险废物还应根据GB12463的有关要求进行运输包装。 </w:t>
            </w:r>
          </w:p>
          <w:p w14:paraId="2195CB86">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g.危险废物的收集作业应满足如下要求： </w:t>
            </w:r>
          </w:p>
          <w:p w14:paraId="160C697C">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1)应根据收集设备、转运车辆以及现场人员等实际情况确定相应作业区域，同时要设置作业界限标志和警示牌。 </w:t>
            </w:r>
          </w:p>
          <w:p w14:paraId="6C83D6C0">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2)作业区域内应设置危险废物收集专用通道和人员避险通道。 </w:t>
            </w:r>
          </w:p>
          <w:p w14:paraId="6917DC9C">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3)收集时应配备必要的收集工具和包装物，以及必要的应急监测设备及应急装备。 </w:t>
            </w:r>
          </w:p>
          <w:p w14:paraId="73341D0D">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4)危险废物收集应参照本标准附录A填写记录表，并将记录表作为危险废物管理的重要档案妥善保存。 </w:t>
            </w:r>
          </w:p>
          <w:p w14:paraId="217F0B08">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5)收集结束后应清理和恢复收集作业区域，确保作业区域环境整洁安全。 </w:t>
            </w:r>
          </w:p>
          <w:p w14:paraId="0C6D55D6">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6)收集过危险废物的容器、设备、设施、场所及其它物品转作它用时，应消除污染，确保其使用安全。 </w:t>
            </w:r>
          </w:p>
          <w:p w14:paraId="015E89C1">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h.危险废物内部转运作业应满足如下要求：</w:t>
            </w:r>
          </w:p>
          <w:p w14:paraId="7458DAE7">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1)危险废物内部转运应综合考虑厂区的实际情况确定转运路线，尽量避开办公区和生活区。 </w:t>
            </w:r>
          </w:p>
          <w:p w14:paraId="0D2D15E7">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2)危险废物内部转运作业应采用专用的工具，危险废物内部转运应填写《危险废物厂内转运记录表》。 </w:t>
            </w:r>
          </w:p>
          <w:p w14:paraId="467C4091">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3)危险废物内部转运结束后，应对转运路线进行检查和清理，确保无危险废物遗失在转运路线上，并对转运工具进行清洗。 </w:t>
            </w:r>
          </w:p>
          <w:p w14:paraId="111C13A4">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i.收集不具备运输包装条件的危险废物时，且危险特性不会对环境和操作人员造成重大危害，可在临时包装后进行暂时贮存，但正式运输前应按本标准要求进行包装。 </w:t>
            </w:r>
          </w:p>
          <w:p w14:paraId="2EF446C8">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②危险废物的转运</w:t>
            </w:r>
          </w:p>
          <w:p w14:paraId="7C987602">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危险废物应按照国家有关规定向当地环境保护行政主管部门申报登记，接受当地环境保护行政主管部门监督管理。同时，根据国务院令第344号《危险化学品安全管理条例》、《危险废物收集 贮存 运输技术规范》（HJ2025-2012）和</w:t>
            </w:r>
            <w:r>
              <w:rPr>
                <w:rFonts w:hint="eastAsia" w:cs="Times New Roman"/>
                <w:color w:val="auto"/>
                <w:sz w:val="24"/>
                <w:szCs w:val="24"/>
                <w:lang w:val="en-US" w:eastAsia="zh-CN" w:bidi="ar-SA"/>
              </w:rPr>
              <w:t>《危险废物转移管理办法》（生态环境部令第23号）</w:t>
            </w:r>
            <w:r>
              <w:rPr>
                <w:rFonts w:hint="default" w:ascii="Times New Roman" w:hAnsi="Times New Roman" w:eastAsia="宋体" w:cs="Times New Roman"/>
                <w:color w:val="auto"/>
                <w:sz w:val="24"/>
                <w:szCs w:val="24"/>
                <w:lang w:val="en-US" w:eastAsia="zh-CN" w:bidi="ar-SA"/>
              </w:rPr>
              <w:t>的有关规定，在危险废物外运至处置单位时必须严格遵守以下要求：</w:t>
            </w:r>
          </w:p>
          <w:p w14:paraId="2FDC3266">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a.危险废物运输应由持有危险废物经营许可证的单位按照其许可证的经营范围组织实施，承担危险废物运输的单位应获得交通运输部门颁发的危险货物运输资质；危险废物公路运输应按照《道路危险货物运输管理规定》(交通部令</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2005 年</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 xml:space="preserve">第 9 号)、JT617 以及 JT618 执行；废弃危险化学品的运输应执行《危险化学品安全管理条例》有关运输的规定；运输单位承运危险废物时，应在危险废物包装上按照 GB18597 附录A设置标志；危险废物公路运输时，运输车辆应按GB13392设置车辆标志；危险废物运输时的中转、装卸过程应遵守如下技术要求： </w:t>
            </w:r>
          </w:p>
          <w:p w14:paraId="2077E7C1">
            <w:pPr>
              <w:widowControl w:val="0"/>
              <w:wordWrap/>
              <w:overflowPunct w:val="0"/>
              <w:autoSpaceDE w:val="0"/>
              <w:autoSpaceDN w:val="0"/>
              <w:adjustRightInd w:val="0"/>
              <w:snapToGrid w:val="0"/>
              <w:spacing w:line="440" w:lineRule="exact"/>
              <w:ind w:left="0" w:leftChars="0"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 xml:space="preserve">1)卸载区的工作人员应熟悉废物的危险特性，并配备适当的个人防护装备，装卸剧毒废物应配备特殊的防护装备。 </w:t>
            </w:r>
          </w:p>
          <w:p w14:paraId="4A8A41E7">
            <w:pPr>
              <w:widowControl w:val="0"/>
              <w:wordWrap/>
              <w:overflowPunct w:val="0"/>
              <w:autoSpaceDE w:val="0"/>
              <w:autoSpaceDN w:val="0"/>
              <w:adjustRightInd w:val="0"/>
              <w:snapToGrid w:val="0"/>
              <w:spacing w:line="440" w:lineRule="exact"/>
              <w:ind w:left="0" w:leftChars="0"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 xml:space="preserve">2)卸载区应配备必要的消防设备和设施，并设置明显的指示标志。 </w:t>
            </w:r>
          </w:p>
          <w:p w14:paraId="36F205A7">
            <w:pPr>
              <w:widowControl w:val="0"/>
              <w:wordWrap/>
              <w:overflowPunct w:val="0"/>
              <w:autoSpaceDE w:val="0"/>
              <w:autoSpaceDN w:val="0"/>
              <w:adjustRightInd w:val="0"/>
              <w:snapToGrid w:val="0"/>
              <w:spacing w:line="440" w:lineRule="exact"/>
              <w:ind w:left="0" w:leftChars="0"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 xml:space="preserve">3)危险废物装卸区应设置隔离设施，液态废物卸载区应设置收集槽和缓冲罐。 </w:t>
            </w:r>
          </w:p>
          <w:p w14:paraId="7D16DB0C">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b.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收单位，第五联交接收地</w:t>
            </w:r>
            <w:r>
              <w:rPr>
                <w:rFonts w:hint="eastAsia" w:cs="Times New Roman"/>
                <w:color w:val="auto"/>
                <w:sz w:val="24"/>
                <w:szCs w:val="24"/>
                <w:lang w:val="en-US" w:eastAsia="zh-CN" w:bidi="ar-SA"/>
              </w:rPr>
              <w:t>生态环境局</w:t>
            </w:r>
            <w:r>
              <w:rPr>
                <w:rFonts w:hint="default" w:ascii="Times New Roman" w:hAnsi="Times New Roman" w:eastAsia="宋体" w:cs="Times New Roman"/>
                <w:color w:val="auto"/>
                <w:sz w:val="24"/>
                <w:szCs w:val="24"/>
                <w:lang w:val="en-US" w:eastAsia="zh-CN" w:bidi="ar-SA"/>
              </w:rPr>
              <w:t>。</w:t>
            </w:r>
          </w:p>
          <w:p w14:paraId="11E4EE6C">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c.废弃物处置单位的运输人员必须掌握危险化学品运输的安全知识，化学品的性质、危害特性、包装容器的使用特性和发生意外时的应急措施了解所运载的危险。运输车辆必须具有车辆危险货物运输许可证。驾驶人员必须由取得驾驶执照的熟练人员担任。</w:t>
            </w:r>
          </w:p>
          <w:p w14:paraId="20AE3F7D">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d.处置单位在运输危险废物时必须配备押运人员，并随时处于押运人员的监管之下，不得超装、超载，严格按照所在城市规定的行车时间和行车路线行驶，不得进入危险化学品运输车辆禁止通行的区域。</w:t>
            </w:r>
          </w:p>
          <w:p w14:paraId="6F8DE8F6">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e.危险废物在运输途中若发生被盗、丢失、流散、泄漏等情况时，公司及押运人员必须立即向当地公安部门报告，并采取一切可能的警示措施。</w:t>
            </w:r>
          </w:p>
          <w:p w14:paraId="59FFD2A6">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f.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16331EB3">
            <w:pPr>
              <w:widowControl w:val="0"/>
              <w:wordWrap/>
              <w:overflowPunct w:val="0"/>
              <w:autoSpaceDE w:val="0"/>
              <w:autoSpaceDN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③危险废物贮存</w:t>
            </w:r>
          </w:p>
          <w:p w14:paraId="5C03D22A">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a.所有危险废物产生者和危险废物经营者应建造专用的危险废物贮存设施，也可利用原有构筑物改建成危险废物贮存设施。</w:t>
            </w:r>
          </w:p>
          <w:p w14:paraId="2A9A9636">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b.在常温常压下易爆、易燃及排出有毒气体的危险废物必须进行预处理，使之稳定后贮存，否则，按易爆、易燃危险品贮存。</w:t>
            </w:r>
          </w:p>
          <w:p w14:paraId="4F69D228">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c.在常温常压下不水解、不挥发的固体危险废物可在贮存设施内分别堆放。</w:t>
            </w:r>
          </w:p>
          <w:p w14:paraId="7E9A082F">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d.必须将危险废物装入容器内。</w:t>
            </w:r>
          </w:p>
          <w:p w14:paraId="075D8A1D">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e.禁止将不相容（相互反应）的危险废物在同一容器内混装。</w:t>
            </w:r>
          </w:p>
          <w:p w14:paraId="0D814BA4">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f.无法装入常用容器的危险废物可用防漏胶袋等盛装。</w:t>
            </w:r>
          </w:p>
          <w:p w14:paraId="484746E7">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g.装载液体、半固体危险废物的容器内须留足够空间，容器顶部与液体表面之间保留100毫米以上的空间。</w:t>
            </w:r>
          </w:p>
          <w:p w14:paraId="608FEB22">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h.盛装危险废物的容器上必须粘贴符合标准的标签。</w:t>
            </w:r>
          </w:p>
          <w:p w14:paraId="177E7270">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i</w:t>
            </w:r>
            <w:r>
              <w:rPr>
                <w:rFonts w:hint="default" w:ascii="Times New Roman" w:hAnsi="Times New Roman" w:eastAsia="宋体" w:cs="Times New Roman"/>
                <w:color w:val="auto"/>
                <w:kern w:val="0"/>
                <w:sz w:val="24"/>
                <w:szCs w:val="24"/>
                <w:lang w:val="en-US" w:eastAsia="zh-CN" w:bidi="ar-SA"/>
              </w:rPr>
              <w:t>.危险废物贮存设施在施工前应做环境影响评价。</w:t>
            </w:r>
          </w:p>
          <w:p w14:paraId="62B62698">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2)危险废物贮存容器</w:t>
            </w:r>
          </w:p>
          <w:p w14:paraId="3578BDB4">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a. 应当使用符合标准的容器盛装危险废物。</w:t>
            </w:r>
          </w:p>
          <w:p w14:paraId="09DAB510">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b.装载危险废物的容器及材质要满足相应的强度要求。</w:t>
            </w:r>
          </w:p>
          <w:p w14:paraId="1A2409A4">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c.装载危险废物的容器必须完好无损。</w:t>
            </w:r>
          </w:p>
          <w:p w14:paraId="0E5F9307">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d.盛装危险废物的容器材质和衬里要与危险废物相容（不相互反应）。</w:t>
            </w:r>
          </w:p>
          <w:p w14:paraId="336E3D75">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e.液体危险废物可注入开孔直径不超过70毫米并有放气孔的桶中。</w:t>
            </w:r>
          </w:p>
          <w:p w14:paraId="02A0E0AD">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3）选址</w:t>
            </w:r>
            <w:r>
              <w:rPr>
                <w:rFonts w:hint="eastAsia" w:cs="Times New Roman"/>
                <w:color w:val="auto"/>
                <w:kern w:val="0"/>
                <w:sz w:val="24"/>
                <w:szCs w:val="24"/>
                <w:highlight w:val="none"/>
                <w:lang w:val="en-US" w:eastAsia="zh-CN" w:bidi="ar-SA"/>
              </w:rPr>
              <w:t>要求</w:t>
            </w:r>
          </w:p>
          <w:p w14:paraId="6DDBC7FB">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贮存设施选址应满足生态环境保护法律法规、规划和</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三线一单</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 xml:space="preserve">生态环境分区管控的要求，建设项目应依法进行环境影响评价。 </w:t>
            </w:r>
          </w:p>
          <w:p w14:paraId="6F75422B">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 xml:space="preserve">集中贮存设施不应选在生态保护红线区域、永久基本农田和其他需要特别保护的区域内，不应建在溶洞区或易遭受洪水、滑坡、泥石流、潮汐等严重自然灾害影响的地区。 </w:t>
            </w:r>
          </w:p>
          <w:p w14:paraId="1F00EB44">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 xml:space="preserve">贮存设施不应选在江河、湖泊、运河、渠道、水库及其最高水位线以下的滩地和岸坡，以及法律法规规定禁止贮存危险废物的其他地点。 </w:t>
            </w:r>
          </w:p>
          <w:p w14:paraId="7B2CA6F3">
            <w:pPr>
              <w:widowControl/>
              <w:numPr>
                <w:ilvl w:val="0"/>
                <w:numId w:val="0"/>
              </w:numPr>
              <w:spacing w:line="360" w:lineRule="auto"/>
              <w:ind w:firstLine="480" w:firstLineChars="200"/>
              <w:jc w:val="left"/>
              <w:rPr>
                <w:rFonts w:hint="default" w:ascii="Times New Roman" w:hAnsi="Times New Roman" w:eastAsia="宋体" w:cs="Times New Roman"/>
                <w:color w:val="auto"/>
                <w:kern w:val="0"/>
                <w:sz w:val="24"/>
                <w:szCs w:val="24"/>
                <w:highlight w:val="yellow"/>
                <w:lang w:val="en-US" w:eastAsia="zh-CN" w:bidi="ar-SA"/>
              </w:rPr>
            </w:pPr>
            <w:r>
              <w:rPr>
                <w:rFonts w:hint="default" w:ascii="Times New Roman" w:hAnsi="Times New Roman" w:eastAsia="宋体" w:cs="Times New Roman"/>
                <w:color w:val="auto"/>
                <w:kern w:val="0"/>
                <w:sz w:val="24"/>
                <w:szCs w:val="24"/>
                <w:highlight w:val="none"/>
                <w:lang w:val="en-US" w:eastAsia="zh-CN" w:bidi="ar-SA"/>
              </w:rPr>
              <w:t>贮存设施场址的位置以及其与周围环境敏感目标的距离应依据环境影响评价文件确定。</w:t>
            </w:r>
          </w:p>
          <w:p w14:paraId="3C17A6B2">
            <w:pPr>
              <w:widowControl w:val="0"/>
              <w:wordWrap/>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④监督与实施 </w:t>
            </w:r>
          </w:p>
          <w:p w14:paraId="60548D5C">
            <w:pPr>
              <w:widowControl w:val="0"/>
              <w:wordWrap/>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a.地方环境保护行政部门可根据本标准所提出的危险废物收集、贮存、运输要求对管辖区域内的危险废物收集、贮存、运输行为进行监管，确保危险废物收集、贮存、运输过程的环境安全。 </w:t>
            </w:r>
          </w:p>
          <w:p w14:paraId="44C7A9C5">
            <w:pPr>
              <w:widowControl w:val="0"/>
              <w:wordWrap/>
              <w:adjustRightInd/>
              <w:snapToGrid/>
              <w:spacing w:line="360" w:lineRule="auto"/>
              <w:ind w:firstLine="480" w:firstLineChars="200"/>
              <w:jc w:val="both"/>
              <w:textAlignment w:val="auto"/>
              <w:rPr>
                <w:rFonts w:hint="default" w:ascii="宋体" w:hAnsi="宋体" w:eastAsia="宋体" w:cs="Times New Roman"/>
                <w:color w:val="auto"/>
              </w:rPr>
            </w:pPr>
            <w:r>
              <w:rPr>
                <w:rFonts w:hint="default" w:ascii="Times New Roman" w:hAnsi="Times New Roman" w:eastAsia="宋体" w:cs="Times New Roman"/>
                <w:color w:val="auto"/>
                <w:kern w:val="0"/>
                <w:sz w:val="24"/>
                <w:szCs w:val="24"/>
                <w:lang w:val="en-US" w:eastAsia="zh-CN"/>
              </w:rPr>
              <w:t>b.地方环境保护行政主管部门可根据本标准及其它有关管理要求建立地方危险废物收集、贮存、运输管理制度和管理档案。</w:t>
            </w:r>
          </w:p>
          <w:p w14:paraId="08234732">
            <w:pPr>
              <w:widowControl w:val="0"/>
              <w:wordWrap/>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⑤危险废物贮存安全防护</w:t>
            </w:r>
          </w:p>
          <w:p w14:paraId="415FD98C">
            <w:pPr>
              <w:widowControl w:val="0"/>
              <w:spacing w:line="500" w:lineRule="exact"/>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a.危险废物贮存设施都必须按GB15562.2的规定设置警示标志。</w:t>
            </w:r>
          </w:p>
          <w:p w14:paraId="058C0001">
            <w:pPr>
              <w:widowControl w:val="0"/>
              <w:spacing w:line="500" w:lineRule="exact"/>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b.危险废物贮存设施周围应设置围墙或其它防护栅栏。</w:t>
            </w:r>
          </w:p>
          <w:p w14:paraId="7C93C9A5">
            <w:pPr>
              <w:widowControl w:val="0"/>
              <w:spacing w:line="500" w:lineRule="exact"/>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c.危险废物贮存设施应配备通讯设备、照明设施、安全防护服装及工具，并设有应急防护设施。</w:t>
            </w:r>
          </w:p>
          <w:p w14:paraId="14B48652">
            <w:pPr>
              <w:widowControl w:val="0"/>
              <w:spacing w:line="500" w:lineRule="exact"/>
              <w:ind w:firstLine="480" w:firstLineChars="200"/>
              <w:jc w:val="both"/>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d.危险废物贮存设施内清理出来的泄漏物，一律按危险废物处理。</w:t>
            </w:r>
          </w:p>
          <w:p w14:paraId="5868FE00">
            <w:pPr>
              <w:widowControl/>
              <w:spacing w:after="0" w:line="500" w:lineRule="exact"/>
              <w:ind w:firstLine="480" w:firstLineChars="200"/>
              <w:jc w:val="left"/>
              <w:rPr>
                <w:rFonts w:ascii="Times New Roman" w:hAnsi="Times New Roman" w:eastAsia="宋体" w:cs="华文仿宋"/>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落实上述固废处置措施后，固废对环境影响很小，固废处置措施可行。</w:t>
            </w:r>
          </w:p>
          <w:p w14:paraId="42A1E473">
            <w:pPr>
              <w:widowControl w:val="0"/>
              <w:spacing w:line="500" w:lineRule="exact"/>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⑥危废暂存间建设要求</w:t>
            </w:r>
          </w:p>
          <w:p w14:paraId="060294AE">
            <w:pPr>
              <w:widowControl/>
              <w:spacing w:after="0" w:line="500" w:lineRule="exact"/>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a.危险废物贮存可分为产生单位内部贮存、中转贮存及集中性贮存。所对应的贮存设施分别为：产生危险废物的单位用于暂时贮存的设施。 </w:t>
            </w:r>
          </w:p>
          <w:p w14:paraId="1BD07091">
            <w:pPr>
              <w:widowControl/>
              <w:spacing w:after="0" w:line="500" w:lineRule="exact"/>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b.危险废物贮存设施的选址、设计、建设、运行管理应满足GB18597、GBZ1和GBZ2的有关要求。 </w:t>
            </w:r>
          </w:p>
          <w:p w14:paraId="1FAE9F6A">
            <w:pPr>
              <w:widowControl/>
              <w:spacing w:after="0" w:line="500" w:lineRule="exact"/>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c.危险废物贮存设施应配备通讯设备、照明设施和消防设施。 </w:t>
            </w:r>
          </w:p>
          <w:p w14:paraId="57483AD8">
            <w:pPr>
              <w:widowControl/>
              <w:spacing w:after="0" w:line="500" w:lineRule="exact"/>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d.贮存危险废物时应按危险废物的种类和特性进行分区贮存，每个贮存区域之间宜设置挡墙间隔，并应设置防雨、防火、防雷、防扬尘装置。 </w:t>
            </w:r>
          </w:p>
          <w:p w14:paraId="3AF13D72">
            <w:pPr>
              <w:widowControl/>
              <w:spacing w:after="0" w:line="500" w:lineRule="exact"/>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e.贮存易燃易爆危险废物应配置有机气体报警、火灾报警装置和导出静电的接地装置。 </w:t>
            </w:r>
          </w:p>
          <w:p w14:paraId="5BD2DDB8">
            <w:pPr>
              <w:widowControl/>
              <w:spacing w:after="0" w:line="500" w:lineRule="exact"/>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f.废弃危险化学品贮存应满足GB 15603、《危险化学品安全管理条例》、《废弃危险化学品污染环境防治办法》的要求。贮存废弃剧毒化学品还应充分考虑防盗要求，采用双钥匙封闭式管理，且有专人24小时看管。 </w:t>
            </w:r>
          </w:p>
          <w:p w14:paraId="11768AD8">
            <w:pPr>
              <w:widowControl/>
              <w:spacing w:after="0" w:line="500" w:lineRule="exact"/>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g. 危险废物贮存期限应符合《中华人民共和国固体废物污染环境防治法》的有关规定。 </w:t>
            </w:r>
          </w:p>
          <w:p w14:paraId="20AC1551">
            <w:pPr>
              <w:widowControl/>
              <w:spacing w:after="0" w:line="500" w:lineRule="exact"/>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h.危险废物贮存单位应建立危险废物贮存的</w:t>
            </w:r>
            <w:r>
              <w:rPr>
                <w:rFonts w:hint="eastAsia" w:cs="Times New Roman"/>
                <w:color w:val="auto"/>
                <w:kern w:val="2"/>
                <w:sz w:val="24"/>
                <w:szCs w:val="24"/>
                <w:highlight w:val="none"/>
                <w:lang w:val="en-US" w:eastAsia="zh-CN" w:bidi="ar-SA"/>
              </w:rPr>
              <w:t>台账</w:t>
            </w:r>
            <w:r>
              <w:rPr>
                <w:rFonts w:hint="eastAsia" w:ascii="Times New Roman" w:hAnsi="Times New Roman" w:eastAsia="宋体" w:cs="Times New Roman"/>
                <w:color w:val="auto"/>
                <w:kern w:val="2"/>
                <w:sz w:val="24"/>
                <w:szCs w:val="24"/>
                <w:highlight w:val="none"/>
                <w:lang w:val="en-US" w:eastAsia="zh-CN" w:bidi="ar-SA"/>
              </w:rPr>
              <w:t xml:space="preserve">制度，危险废物出入库交接记录内容应参照本标准附录C执行。 </w:t>
            </w:r>
          </w:p>
          <w:p w14:paraId="39E22B49">
            <w:pPr>
              <w:widowControl/>
              <w:spacing w:after="0" w:line="500" w:lineRule="exact"/>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i.危险废物贮存设施应根据贮存的废物种类和特性按照GB18597附录A设置标志。 </w:t>
            </w:r>
          </w:p>
          <w:p w14:paraId="59A1017C">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j.危险废物贮存设施的关闭应按照 GB18597和《危险废物经营许可证管理办法》的有关规定执行。 </w:t>
            </w:r>
          </w:p>
          <w:p w14:paraId="5ED7501C">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⑦危险废物管理要求</w:t>
            </w:r>
          </w:p>
          <w:p w14:paraId="34DF1F4C">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根据《排污许可证申请与核发技术规范 工业固体废物</w:t>
            </w:r>
            <w:r>
              <w:rPr>
                <w:rFonts w:hint="eastAsia" w:cs="Times New Roman"/>
                <w:color w:val="auto"/>
                <w:kern w:val="2"/>
                <w:sz w:val="24"/>
                <w:szCs w:val="24"/>
                <w:lang w:val="en-US" w:eastAsia="zh-CN" w:bidi="ar-SA"/>
              </w:rPr>
              <w:t>（试行）</w:t>
            </w:r>
            <w:r>
              <w:rPr>
                <w:rFonts w:hint="eastAsia" w:ascii="Times New Roman" w:hAnsi="Times New Roman" w:eastAsia="宋体" w:cs="Times New Roman"/>
                <w:color w:val="auto"/>
                <w:kern w:val="2"/>
                <w:sz w:val="24"/>
                <w:szCs w:val="24"/>
                <w:lang w:val="en-US" w:eastAsia="zh-CN" w:bidi="ar-SA"/>
              </w:rPr>
              <w:t>》（HJ1</w:t>
            </w:r>
            <w:r>
              <w:rPr>
                <w:rFonts w:hint="eastAsia" w:cs="Times New Roman"/>
                <w:color w:val="auto"/>
                <w:kern w:val="2"/>
                <w:sz w:val="24"/>
                <w:szCs w:val="24"/>
                <w:lang w:val="en-US" w:eastAsia="zh-CN" w:bidi="ar-SA"/>
              </w:rPr>
              <w:t>200</w:t>
            </w:r>
            <w:r>
              <w:rPr>
                <w:rFonts w:hint="eastAsia" w:ascii="Times New Roman" w:hAnsi="Times New Roman" w:eastAsia="宋体" w:cs="Times New Roman"/>
                <w:color w:val="auto"/>
                <w:kern w:val="2"/>
                <w:sz w:val="24"/>
                <w:szCs w:val="24"/>
                <w:lang w:val="en-US" w:eastAsia="zh-CN" w:bidi="ar-SA"/>
              </w:rPr>
              <w:t>-20</w:t>
            </w:r>
            <w:r>
              <w:rPr>
                <w:rFonts w:hint="eastAsia" w:cs="Times New Roman"/>
                <w:color w:val="auto"/>
                <w:kern w:val="2"/>
                <w:sz w:val="24"/>
                <w:szCs w:val="24"/>
                <w:lang w:val="en-US" w:eastAsia="zh-CN" w:bidi="ar-SA"/>
              </w:rPr>
              <w:t>21</w:t>
            </w:r>
            <w:r>
              <w:rPr>
                <w:rFonts w:hint="eastAsia" w:ascii="Times New Roman" w:hAnsi="Times New Roman" w:eastAsia="宋体" w:cs="Times New Roman"/>
                <w:color w:val="auto"/>
                <w:kern w:val="2"/>
                <w:sz w:val="24"/>
                <w:szCs w:val="24"/>
                <w:lang w:val="en-US" w:eastAsia="zh-CN" w:bidi="ar-SA"/>
              </w:rPr>
              <w:t xml:space="preserve">），排污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 </w:t>
            </w:r>
          </w:p>
          <w:p w14:paraId="1F802E77">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包装容器应达到相应的强度要求并完好无损，禁止混合贮存性质不相容而未经安全性处置的危险废物；危险废物容器和包装物以及危险废物贮存设施、场所应按规定设置危险废物识别标志；仓库式贮存设施应分开存放不相容危险废物，按危险废物的种类和特性进行分区贮存，采用防腐、防渗地面和裙脚，</w:t>
            </w:r>
          </w:p>
          <w:p w14:paraId="309FCB44">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设置防止泄露物质扩散至外环境的拦截、导流、收集设施；贮存堆场要防风、防雨、防晒；从事收集、贮存、利用、处置危险废物经营活动的单位，贮存危险废物不得超过一年（报经颁发危险废物经营许可证的生态环境主管部门批准或法律法规另有规定的除外）等。 </w:t>
            </w:r>
          </w:p>
          <w:p w14:paraId="657108A4">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排污单位生产运营期间危险废物自行贮存设施的环境管理和相关设施运行维护还应符合GB 15562.2、GB 18484、GB 18597、GB 30485、HJ 2025 和HJ 2042 等相关标准规范要求</w:t>
            </w:r>
            <w:r>
              <w:rPr>
                <w:rFonts w:hint="eastAsia" w:ascii="Times New Roman" w:hAnsi="Times New Roman" w:eastAsia="宋体" w:cs="Times New Roman"/>
                <w:color w:val="auto"/>
                <w:kern w:val="2"/>
                <w:sz w:val="24"/>
                <w:szCs w:val="24"/>
                <w:highlight w:val="none"/>
                <w:lang w:val="en-US" w:eastAsia="zh-CN" w:bidi="ar-SA"/>
              </w:rPr>
              <w:t>。</w:t>
            </w:r>
          </w:p>
          <w:p w14:paraId="5D8986CC">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保设施应与其对应的生产工艺设备同步运转，并保证在生产工艺设备运行波动情况下仍能正常运转，实现达标排放。由于事故或设备维修等原因造成污染防治设施停止运行时，应立即报告当地生态环境主管部门。</w:t>
            </w:r>
          </w:p>
          <w:p w14:paraId="14372517">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危险废物管理包括危险废物贮存措施、危险废物转运措施、危险废物安全处置措施等环节。本次环评要求严格按照</w:t>
            </w:r>
            <w:r>
              <w:rPr>
                <w:rFonts w:hint="eastAsia" w:cs="Times New Roman"/>
                <w:color w:val="auto"/>
                <w:kern w:val="2"/>
                <w:sz w:val="24"/>
                <w:szCs w:val="24"/>
                <w:highlight w:val="none"/>
                <w:lang w:val="en-US" w:eastAsia="zh-CN" w:bidi="ar-SA"/>
              </w:rPr>
              <w:t>《危险废物贮存污染控制标准》（GB18597-2023）</w:t>
            </w:r>
            <w:r>
              <w:rPr>
                <w:rFonts w:hint="eastAsia" w:ascii="Times New Roman" w:hAnsi="Times New Roman" w:eastAsia="宋体" w:cs="Times New Roman"/>
                <w:color w:val="auto"/>
                <w:kern w:val="2"/>
                <w:sz w:val="24"/>
                <w:szCs w:val="24"/>
                <w:highlight w:val="none"/>
                <w:lang w:val="en-US" w:eastAsia="zh-CN" w:bidi="ar-SA"/>
              </w:rPr>
              <w:t>、《危险废物收集 贮存 运输技术规范》（HJ2025-2012）和《危险废物转移管理办法》（生态环境部 公安部 交通运输部 部令第23号）相关要求对其进行贮存、转移及制度性管理。根据国家产生危险废物的单位应当以控制危险废物的环境风险为目标，企业应制定危险废物管理计划和应急预案并报所在地县级以上地方环保部门备案。</w:t>
            </w:r>
          </w:p>
          <w:p w14:paraId="2AA43545">
            <w:pPr>
              <w:widowControl w:val="0"/>
              <w:spacing w:line="50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落实上述固废处置措施后，固废对环境影响很小，固废处置措施可行。</w:t>
            </w:r>
            <w:r>
              <w:rPr>
                <w:rFonts w:ascii="Times New Roman" w:hAnsi="Times New Roman" w:eastAsia="宋体" w:cs="Times New Roman"/>
                <w:color w:val="auto"/>
                <w:kern w:val="2"/>
                <w:sz w:val="24"/>
                <w:szCs w:val="24"/>
                <w:highlight w:val="none"/>
                <w:lang w:val="en-US" w:eastAsia="zh-CN" w:bidi="ar-SA"/>
              </w:rPr>
              <w:t>落实上述固废处置措施后，固废对环境影响很小，固废处置措施可行。</w:t>
            </w:r>
          </w:p>
          <w:p w14:paraId="0343D2A8">
            <w:pPr>
              <w:pageBreakBefore w:val="0"/>
              <w:widowControl w:val="0"/>
              <w:kinsoku/>
              <w:wordWrap/>
              <w:overflowPunct/>
              <w:topLinePunct w:val="0"/>
              <w:autoSpaceDE/>
              <w:autoSpaceDN/>
              <w:bidi w:val="0"/>
              <w:adjustRightInd/>
              <w:snapToGrid/>
              <w:spacing w:before="0" w:after="0" w:line="480" w:lineRule="exact"/>
              <w:ind w:right="0"/>
              <w:jc w:val="both"/>
              <w:textAlignment w:val="auto"/>
              <w:rPr>
                <w:rFonts w:hint="default" w:ascii="Times New Roman" w:hAnsi="Times New Roman" w:eastAsia="宋体" w:cs="Times New Roman"/>
                <w:color w:val="auto"/>
                <w:kern w:val="2"/>
                <w:sz w:val="28"/>
                <w:szCs w:val="28"/>
                <w:highlight w:val="none"/>
                <w:lang w:val="en-US" w:eastAsia="zh-CN"/>
              </w:rPr>
            </w:pPr>
            <w:r>
              <w:rPr>
                <w:rFonts w:hint="eastAsia" w:cs="Times New Roman"/>
                <w:b/>
                <w:color w:val="auto"/>
                <w:kern w:val="2"/>
                <w:sz w:val="28"/>
                <w:szCs w:val="28"/>
                <w:highlight w:val="none"/>
                <w:lang w:val="en-US" w:eastAsia="zh-CN" w:bidi="ar-SA"/>
              </w:rPr>
              <w:t>5、</w:t>
            </w:r>
            <w:r>
              <w:rPr>
                <w:rFonts w:hint="eastAsia" w:ascii="Times New Roman" w:hAnsi="Times New Roman" w:eastAsia="宋体" w:cs="Times New Roman"/>
                <w:b/>
                <w:color w:val="auto"/>
                <w:kern w:val="2"/>
                <w:sz w:val="28"/>
                <w:szCs w:val="28"/>
                <w:highlight w:val="none"/>
                <w:lang w:val="en-US" w:eastAsia="zh-CN" w:bidi="ar-SA"/>
              </w:rPr>
              <w:t>地下水、土壤</w:t>
            </w:r>
          </w:p>
          <w:p w14:paraId="355D742D">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本项目位于</w:t>
            </w:r>
            <w:r>
              <w:rPr>
                <w:rFonts w:hint="eastAsia" w:cs="Times New Roman"/>
                <w:color w:val="auto"/>
                <w:sz w:val="24"/>
                <w:szCs w:val="24"/>
                <w:lang w:val="en-US" w:eastAsia="zh-CN" w:bidi="ar-SA"/>
              </w:rPr>
              <w:t>胡杨河市经济技术开发区</w:t>
            </w:r>
            <w:r>
              <w:rPr>
                <w:rFonts w:hint="eastAsia" w:ascii="Times New Roman" w:hAnsi="Times New Roman" w:eastAsia="宋体" w:cs="Times New Roman"/>
                <w:b w:val="0"/>
                <w:bCs w:val="0"/>
                <w:color w:val="auto"/>
                <w:kern w:val="2"/>
                <w:sz w:val="24"/>
                <w:szCs w:val="20"/>
                <w:highlight w:val="none"/>
                <w:lang w:val="en-US" w:eastAsia="zh-CN"/>
              </w:rPr>
              <w:t>，不涉及集中式饮用水水源和热水、矿泉水、温泉等特殊地下水资源保护区。</w:t>
            </w:r>
          </w:p>
          <w:p w14:paraId="62AF7E28">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（1）污染源和污染途径</w:t>
            </w:r>
          </w:p>
          <w:p w14:paraId="76BE78BD">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本项目污染物可能造成地下水和土壤污染的主要污染源和途径包括：在危废贮存、转运过程中操作不当引起物料泄漏，造成污染；污水处理设施破损发生废水泄漏，造成污染。</w:t>
            </w:r>
          </w:p>
          <w:p w14:paraId="502E19F1">
            <w:pPr>
              <w:pageBreakBefore w:val="0"/>
              <w:widowControl w:val="0"/>
              <w:numPr>
                <w:ilvl w:val="0"/>
                <w:numId w:val="4"/>
              </w:numPr>
              <w:kinsoku/>
              <w:wordWrap/>
              <w:overflowPunct/>
              <w:topLinePunct w:val="0"/>
              <w:autoSpaceDE/>
              <w:autoSpaceDN/>
              <w:bidi w:val="0"/>
              <w:adjustRightInd/>
              <w:snapToGrid/>
              <w:spacing w:before="0" w:after="0" w:line="480" w:lineRule="exact"/>
              <w:ind w:left="480" w:leftChars="200" w:right="0" w:firstLine="0" w:firstLineChars="0"/>
              <w:jc w:val="both"/>
              <w:textAlignment w:val="auto"/>
              <w:rPr>
                <w:rFonts w:hint="eastAsia"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分区防渗控制要求</w:t>
            </w:r>
          </w:p>
          <w:p w14:paraId="2C7D32A9">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w:t>
            </w:r>
            <w:r>
              <w:rPr>
                <w:rFonts w:hint="default" w:ascii="Times New Roman" w:hAnsi="Times New Roman" w:eastAsia="宋体" w:cs="Times New Roman"/>
                <w:color w:val="auto"/>
                <w:kern w:val="2"/>
                <w:sz w:val="24"/>
                <w:szCs w:val="20"/>
                <w:highlight w:val="none"/>
                <w:lang w:val="en-US" w:eastAsia="zh-CN"/>
              </w:rPr>
              <w:t>防渗分区</w:t>
            </w:r>
          </w:p>
          <w:p w14:paraId="478F090F">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根据装置、单元的特点和所处的区域及部位，</w:t>
            </w:r>
            <w:r>
              <w:rPr>
                <w:rFonts w:hint="eastAsia" w:ascii="Times New Roman" w:hAnsi="Times New Roman" w:eastAsia="宋体" w:cs="Times New Roman"/>
                <w:color w:val="auto"/>
                <w:kern w:val="2"/>
                <w:sz w:val="24"/>
                <w:szCs w:val="20"/>
                <w:highlight w:val="none"/>
                <w:lang w:val="en-US" w:eastAsia="zh-CN"/>
              </w:rPr>
              <w:t>本</w:t>
            </w:r>
            <w:r>
              <w:rPr>
                <w:rFonts w:hint="default" w:ascii="Times New Roman" w:hAnsi="Times New Roman" w:eastAsia="宋体" w:cs="Times New Roman"/>
                <w:color w:val="auto"/>
                <w:kern w:val="2"/>
                <w:sz w:val="24"/>
                <w:szCs w:val="20"/>
                <w:highlight w:val="none"/>
                <w:lang w:val="en-US" w:eastAsia="zh-CN"/>
              </w:rPr>
              <w:t>项目厂区划分为重点防渗区</w:t>
            </w:r>
            <w:r>
              <w:rPr>
                <w:rFonts w:hint="eastAsia" w:cs="Times New Roman"/>
                <w:color w:val="auto"/>
                <w:kern w:val="2"/>
                <w:sz w:val="24"/>
                <w:szCs w:val="20"/>
                <w:highlight w:val="none"/>
                <w:lang w:val="en-US" w:eastAsia="zh-CN"/>
              </w:rPr>
              <w:t>、一般防渗区</w:t>
            </w:r>
            <w:r>
              <w:rPr>
                <w:rFonts w:hint="eastAsia" w:ascii="Times New Roman" w:hAnsi="Times New Roman" w:eastAsia="宋体" w:cs="Times New Roman"/>
                <w:color w:val="auto"/>
                <w:kern w:val="2"/>
                <w:sz w:val="24"/>
                <w:szCs w:val="20"/>
                <w:highlight w:val="none"/>
                <w:lang w:val="en-US" w:eastAsia="zh-CN"/>
              </w:rPr>
              <w:t>、简单防渗区</w:t>
            </w:r>
            <w:r>
              <w:rPr>
                <w:rFonts w:hint="default" w:ascii="Times New Roman" w:hAnsi="Times New Roman" w:eastAsia="宋体" w:cs="Times New Roman"/>
                <w:color w:val="auto"/>
                <w:kern w:val="2"/>
                <w:sz w:val="24"/>
                <w:szCs w:val="20"/>
                <w:highlight w:val="none"/>
                <w:lang w:val="en-US" w:eastAsia="zh-CN"/>
              </w:rPr>
              <w:t>。</w:t>
            </w:r>
          </w:p>
          <w:p w14:paraId="32E03A01">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重点防渗区：</w:t>
            </w:r>
            <w:r>
              <w:rPr>
                <w:rFonts w:hint="eastAsia" w:ascii="Times New Roman" w:hAnsi="Times New Roman" w:eastAsia="宋体" w:cs="Times New Roman"/>
                <w:color w:val="auto"/>
                <w:kern w:val="2"/>
                <w:sz w:val="24"/>
                <w:szCs w:val="20"/>
                <w:highlight w:val="none"/>
                <w:lang w:val="en-US" w:eastAsia="zh-CN"/>
              </w:rPr>
              <w:t>危废暂存间</w:t>
            </w:r>
            <w:r>
              <w:rPr>
                <w:rFonts w:hint="eastAsia" w:cs="Times New Roman"/>
                <w:color w:val="auto"/>
                <w:kern w:val="2"/>
                <w:sz w:val="24"/>
                <w:szCs w:val="20"/>
                <w:highlight w:val="none"/>
                <w:lang w:val="en-US" w:eastAsia="zh-CN"/>
              </w:rPr>
              <w:t>、污水处理站</w:t>
            </w:r>
            <w:r>
              <w:rPr>
                <w:rFonts w:hint="default" w:ascii="Times New Roman" w:hAnsi="Times New Roman" w:eastAsia="宋体" w:cs="Times New Roman"/>
                <w:color w:val="auto"/>
                <w:kern w:val="2"/>
                <w:sz w:val="24"/>
                <w:szCs w:val="20"/>
                <w:highlight w:val="none"/>
                <w:lang w:val="en-US" w:eastAsia="zh-CN"/>
              </w:rPr>
              <w:t>。</w:t>
            </w:r>
          </w:p>
          <w:p w14:paraId="78503F28">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一般防渗区：</w:t>
            </w:r>
            <w:r>
              <w:rPr>
                <w:rFonts w:hint="eastAsia" w:cs="Times New Roman"/>
                <w:color w:val="auto"/>
                <w:kern w:val="2"/>
                <w:sz w:val="24"/>
                <w:szCs w:val="20"/>
                <w:highlight w:val="none"/>
                <w:lang w:val="en-US" w:eastAsia="zh-CN"/>
              </w:rPr>
              <w:t>生产车间、冷库</w:t>
            </w:r>
            <w:r>
              <w:rPr>
                <w:rFonts w:hint="default" w:ascii="Times New Roman" w:hAnsi="Times New Roman" w:eastAsia="宋体" w:cs="Times New Roman"/>
                <w:color w:val="auto"/>
                <w:kern w:val="2"/>
                <w:sz w:val="24"/>
                <w:szCs w:val="20"/>
                <w:highlight w:val="none"/>
                <w:lang w:val="en-US" w:eastAsia="zh-CN"/>
              </w:rPr>
              <w:t>。</w:t>
            </w:r>
          </w:p>
          <w:p w14:paraId="7261402E">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简单</w:t>
            </w:r>
            <w:r>
              <w:rPr>
                <w:rFonts w:hint="default" w:ascii="Times New Roman" w:hAnsi="Times New Roman" w:eastAsia="宋体" w:cs="Times New Roman"/>
                <w:color w:val="auto"/>
                <w:kern w:val="2"/>
                <w:sz w:val="24"/>
                <w:szCs w:val="20"/>
                <w:highlight w:val="none"/>
                <w:lang w:val="en-US" w:eastAsia="zh-CN"/>
              </w:rPr>
              <w:t>防渗区：</w:t>
            </w:r>
            <w:r>
              <w:rPr>
                <w:rFonts w:hint="eastAsia" w:cs="Times New Roman"/>
                <w:color w:val="auto"/>
                <w:kern w:val="2"/>
                <w:sz w:val="24"/>
                <w:szCs w:val="20"/>
                <w:highlight w:val="none"/>
                <w:lang w:val="en-US" w:eastAsia="zh-CN"/>
              </w:rPr>
              <w:t>生活区及</w:t>
            </w:r>
            <w:r>
              <w:rPr>
                <w:rFonts w:hint="eastAsia" w:ascii="Times New Roman" w:hAnsi="Times New Roman" w:eastAsia="宋体" w:cs="Times New Roman"/>
                <w:color w:val="auto"/>
                <w:kern w:val="2"/>
                <w:sz w:val="24"/>
                <w:szCs w:val="20"/>
                <w:highlight w:val="none"/>
                <w:lang w:val="en-US" w:eastAsia="zh-CN"/>
              </w:rPr>
              <w:t>周边道路。</w:t>
            </w:r>
          </w:p>
          <w:p w14:paraId="63A6B402">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②</w:t>
            </w:r>
            <w:r>
              <w:rPr>
                <w:rFonts w:hint="default" w:ascii="Times New Roman" w:hAnsi="Times New Roman" w:eastAsia="宋体" w:cs="Times New Roman"/>
                <w:color w:val="auto"/>
                <w:kern w:val="2"/>
                <w:sz w:val="24"/>
                <w:szCs w:val="20"/>
                <w:highlight w:val="none"/>
                <w:lang w:val="en-US" w:eastAsia="zh-CN"/>
              </w:rPr>
              <w:t>分区防渗处理</w:t>
            </w:r>
          </w:p>
          <w:p w14:paraId="2C9DA471">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重点防渗区：</w:t>
            </w:r>
            <w:r>
              <w:rPr>
                <w:rFonts w:hint="eastAsia" w:ascii="Times New Roman" w:hAnsi="Times New Roman" w:eastAsia="宋体" w:cs="Times New Roman"/>
                <w:color w:val="auto"/>
                <w:kern w:val="2"/>
                <w:sz w:val="24"/>
                <w:szCs w:val="20"/>
                <w:highlight w:val="none"/>
                <w:lang w:val="en-US" w:eastAsia="zh-CN"/>
              </w:rPr>
              <w:t>本项目危废暂存间</w:t>
            </w:r>
            <w:r>
              <w:rPr>
                <w:rFonts w:hint="eastAsia" w:cs="Times New Roman"/>
                <w:color w:val="auto"/>
                <w:kern w:val="2"/>
                <w:sz w:val="24"/>
                <w:szCs w:val="20"/>
                <w:highlight w:val="none"/>
                <w:lang w:val="en-US" w:eastAsia="zh-CN"/>
              </w:rPr>
              <w:t>、污水处理站</w:t>
            </w:r>
            <w:r>
              <w:rPr>
                <w:rFonts w:hint="default" w:ascii="Times New Roman" w:hAnsi="Times New Roman" w:eastAsia="宋体" w:cs="Times New Roman"/>
                <w:color w:val="auto"/>
                <w:kern w:val="2"/>
                <w:sz w:val="24"/>
                <w:szCs w:val="20"/>
                <w:highlight w:val="none"/>
                <w:lang w:val="en-US" w:eastAsia="zh-CN"/>
              </w:rPr>
              <w:t>，</w:t>
            </w:r>
            <w:r>
              <w:rPr>
                <w:rFonts w:hint="eastAsia" w:ascii="Times New Roman" w:hAnsi="Times New Roman" w:eastAsia="宋体" w:cs="Times New Roman"/>
                <w:color w:val="auto"/>
                <w:kern w:val="2"/>
                <w:sz w:val="24"/>
                <w:szCs w:val="20"/>
                <w:highlight w:val="none"/>
                <w:lang w:val="en-US" w:eastAsia="zh-CN"/>
              </w:rPr>
              <w:t>防渗方案</w:t>
            </w:r>
            <w:r>
              <w:rPr>
                <w:rFonts w:hint="default" w:ascii="Times New Roman" w:hAnsi="Times New Roman" w:eastAsia="宋体" w:cs="Times New Roman"/>
                <w:color w:val="auto"/>
                <w:kern w:val="2"/>
                <w:sz w:val="24"/>
                <w:szCs w:val="20"/>
                <w:highlight w:val="none"/>
                <w:lang w:val="en-US" w:eastAsia="zh-CN"/>
              </w:rPr>
              <w:t>黏土夯实+2mm厚高密度聚乙烯膜（HDPE）+地面</w:t>
            </w:r>
            <w:r>
              <w:rPr>
                <w:rFonts w:hint="eastAsia" w:ascii="Times New Roman" w:hAnsi="Times New Roman" w:eastAsia="宋体" w:cs="Times New Roman"/>
                <w:color w:val="auto"/>
                <w:kern w:val="2"/>
                <w:sz w:val="24"/>
                <w:szCs w:val="20"/>
                <w:highlight w:val="none"/>
                <w:lang w:val="en-US" w:eastAsia="zh-CN"/>
              </w:rPr>
              <w:t>2mm</w:t>
            </w:r>
            <w:r>
              <w:rPr>
                <w:rFonts w:hint="default" w:ascii="Times New Roman" w:hAnsi="Times New Roman" w:eastAsia="宋体" w:cs="Times New Roman"/>
                <w:color w:val="auto"/>
                <w:kern w:val="2"/>
                <w:sz w:val="24"/>
                <w:szCs w:val="20"/>
                <w:highlight w:val="none"/>
                <w:lang w:val="en-US" w:eastAsia="zh-CN"/>
              </w:rPr>
              <w:t>环氧树脂防腐</w:t>
            </w:r>
            <w:r>
              <w:rPr>
                <w:rFonts w:hint="eastAsia" w:ascii="Times New Roman" w:hAnsi="Times New Roman" w:eastAsia="宋体" w:cs="Times New Roman"/>
                <w:color w:val="auto"/>
                <w:kern w:val="2"/>
                <w:sz w:val="24"/>
                <w:szCs w:val="20"/>
                <w:highlight w:val="none"/>
                <w:lang w:val="en-US" w:eastAsia="zh-CN"/>
              </w:rPr>
              <w:t>处理，设计满足《环境影响评价技术导则 地下水环境》（HJ 610-2016）要求</w:t>
            </w:r>
            <w:r>
              <w:rPr>
                <w:rFonts w:hint="default" w:ascii="Times New Roman" w:hAnsi="Times New Roman" w:eastAsia="宋体" w:cs="Times New Roman"/>
                <w:color w:val="auto"/>
                <w:kern w:val="2"/>
                <w:sz w:val="24"/>
                <w:szCs w:val="20"/>
                <w:highlight w:val="none"/>
                <w:lang w:val="en-US" w:eastAsia="zh-CN"/>
              </w:rPr>
              <w:t>：等效黏土防渗层Mb≥6.0m，K≤1×10</w:t>
            </w:r>
            <w:r>
              <w:rPr>
                <w:rFonts w:hint="eastAsia" w:ascii="Times New Roman" w:hAnsi="Times New Roman" w:eastAsia="宋体" w:cs="Times New Roman"/>
                <w:color w:val="auto"/>
                <w:kern w:val="2"/>
                <w:sz w:val="24"/>
                <w:szCs w:val="20"/>
                <w:highlight w:val="none"/>
                <w:vertAlign w:val="superscript"/>
                <w:lang w:val="en-US" w:eastAsia="zh-CN"/>
              </w:rPr>
              <w:t>-7</w:t>
            </w:r>
            <w:r>
              <w:rPr>
                <w:rFonts w:hint="default" w:ascii="Times New Roman" w:hAnsi="Times New Roman" w:eastAsia="宋体" w:cs="Times New Roman"/>
                <w:color w:val="auto"/>
                <w:kern w:val="2"/>
                <w:sz w:val="24"/>
                <w:szCs w:val="20"/>
                <w:highlight w:val="none"/>
                <w:lang w:val="en-US" w:eastAsia="zh-CN"/>
              </w:rPr>
              <w:t>cm/s</w:t>
            </w:r>
            <w:r>
              <w:rPr>
                <w:rFonts w:hint="eastAsia" w:ascii="Times New Roman" w:hAnsi="Times New Roman" w:eastAsia="宋体" w:cs="Times New Roman"/>
                <w:color w:val="auto"/>
                <w:kern w:val="2"/>
                <w:sz w:val="24"/>
                <w:szCs w:val="20"/>
                <w:highlight w:val="none"/>
                <w:lang w:val="en-US" w:eastAsia="zh-CN"/>
              </w:rPr>
              <w:t>。</w:t>
            </w:r>
          </w:p>
          <w:p w14:paraId="3FC864F5">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一般防渗区：采用厚度Mb=1.5m，渗透系数K≤10</w:t>
            </w:r>
            <w:r>
              <w:rPr>
                <w:rFonts w:hint="default" w:ascii="Times New Roman" w:hAnsi="Times New Roman" w:eastAsia="宋体" w:cs="Times New Roman"/>
                <w:color w:val="auto"/>
                <w:kern w:val="2"/>
                <w:sz w:val="24"/>
                <w:szCs w:val="20"/>
                <w:highlight w:val="none"/>
                <w:vertAlign w:val="superscript"/>
                <w:lang w:val="en-US" w:eastAsia="zh-CN"/>
              </w:rPr>
              <w:t>-7</w:t>
            </w:r>
            <w:r>
              <w:rPr>
                <w:rFonts w:hint="default" w:ascii="Times New Roman" w:hAnsi="Times New Roman" w:eastAsia="宋体" w:cs="Times New Roman"/>
                <w:color w:val="auto"/>
                <w:kern w:val="2"/>
                <w:sz w:val="24"/>
                <w:szCs w:val="20"/>
                <w:highlight w:val="none"/>
                <w:lang w:val="en-US" w:eastAsia="zh-CN"/>
              </w:rPr>
              <w:t>cm/s防渗等效的20cm厚P4等级混凝土进行防渗。防渗技术</w:t>
            </w:r>
            <w:r>
              <w:rPr>
                <w:rFonts w:hint="eastAsia" w:ascii="Times New Roman" w:hAnsi="Times New Roman" w:eastAsia="宋体" w:cs="Times New Roman"/>
                <w:color w:val="auto"/>
                <w:kern w:val="2"/>
                <w:sz w:val="24"/>
                <w:szCs w:val="20"/>
                <w:highlight w:val="none"/>
                <w:lang w:val="en-US" w:eastAsia="zh-CN"/>
              </w:rPr>
              <w:t>满足</w:t>
            </w:r>
            <w:r>
              <w:rPr>
                <w:rFonts w:hint="default" w:ascii="Times New Roman" w:hAnsi="Times New Roman" w:eastAsia="宋体" w:cs="Times New Roman"/>
                <w:color w:val="auto"/>
                <w:kern w:val="2"/>
                <w:sz w:val="24"/>
                <w:szCs w:val="20"/>
                <w:highlight w:val="none"/>
                <w:lang w:val="en-US" w:eastAsia="zh-CN"/>
              </w:rPr>
              <w:t>：等效黏土防渗层Mb≥1.5m，K≤1×10</w:t>
            </w:r>
            <w:r>
              <w:rPr>
                <w:rFonts w:hint="default" w:ascii="Times New Roman" w:hAnsi="Times New Roman" w:eastAsia="宋体" w:cs="Times New Roman"/>
                <w:color w:val="auto"/>
                <w:kern w:val="2"/>
                <w:sz w:val="24"/>
                <w:szCs w:val="20"/>
                <w:highlight w:val="none"/>
                <w:vertAlign w:val="superscript"/>
                <w:lang w:val="en-US" w:eastAsia="zh-CN"/>
              </w:rPr>
              <w:t>-7</w:t>
            </w:r>
            <w:r>
              <w:rPr>
                <w:rFonts w:hint="default" w:ascii="Times New Roman" w:hAnsi="Times New Roman" w:eastAsia="宋体" w:cs="Times New Roman"/>
                <w:color w:val="auto"/>
                <w:kern w:val="2"/>
                <w:sz w:val="24"/>
                <w:szCs w:val="20"/>
                <w:highlight w:val="none"/>
                <w:lang w:val="en-US" w:eastAsia="zh-CN"/>
              </w:rPr>
              <w:t>cm/s</w:t>
            </w:r>
            <w:r>
              <w:rPr>
                <w:rFonts w:hint="eastAsia" w:ascii="Times New Roman" w:hAnsi="Times New Roman" w:eastAsia="宋体" w:cs="Times New Roman"/>
                <w:color w:val="auto"/>
                <w:kern w:val="2"/>
                <w:sz w:val="24"/>
                <w:szCs w:val="20"/>
                <w:highlight w:val="none"/>
                <w:lang w:val="en-US" w:eastAsia="zh-CN"/>
              </w:rPr>
              <w:t>。</w:t>
            </w:r>
          </w:p>
          <w:p w14:paraId="23A1F3A9">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简单</w:t>
            </w:r>
            <w:r>
              <w:rPr>
                <w:rFonts w:hint="eastAsia" w:cs="Times New Roman"/>
                <w:color w:val="auto"/>
                <w:kern w:val="2"/>
                <w:sz w:val="24"/>
                <w:szCs w:val="20"/>
                <w:highlight w:val="none"/>
                <w:lang w:val="en-US" w:eastAsia="zh-CN"/>
              </w:rPr>
              <w:t>防渗区</w:t>
            </w:r>
            <w:r>
              <w:rPr>
                <w:rFonts w:hint="default" w:ascii="Times New Roman" w:hAnsi="Times New Roman" w:eastAsia="宋体" w:cs="Times New Roman"/>
                <w:color w:val="auto"/>
                <w:kern w:val="2"/>
                <w:sz w:val="24"/>
                <w:szCs w:val="20"/>
                <w:highlight w:val="none"/>
                <w:lang w:val="en-US" w:eastAsia="zh-CN"/>
              </w:rPr>
              <w:t>：</w:t>
            </w:r>
            <w:r>
              <w:rPr>
                <w:rFonts w:hint="eastAsia" w:ascii="Times New Roman" w:hAnsi="Times New Roman" w:eastAsia="宋体" w:cs="Times New Roman"/>
                <w:color w:val="auto"/>
                <w:kern w:val="2"/>
                <w:sz w:val="24"/>
                <w:szCs w:val="20"/>
                <w:highlight w:val="none"/>
                <w:lang w:val="en-US" w:eastAsia="zh-CN"/>
              </w:rPr>
              <w:t>硬化地面即可，周边道路已由市政建设</w:t>
            </w:r>
            <w:r>
              <w:rPr>
                <w:rFonts w:hint="eastAsia" w:ascii="Times New Roman" w:hAnsi="Times New Roman" w:eastAsia="宋体" w:cs="Times New Roman"/>
                <w:color w:val="auto"/>
                <w:kern w:val="2"/>
                <w:szCs w:val="24"/>
                <w:lang w:val="en-US" w:eastAsia="zh-CN"/>
              </w:rPr>
              <w:t>完成</w:t>
            </w:r>
            <w:r>
              <w:rPr>
                <w:rFonts w:hint="eastAsia" w:ascii="Times New Roman" w:hAnsi="Times New Roman" w:eastAsia="宋体" w:cs="Times New Roman"/>
                <w:color w:val="auto"/>
                <w:kern w:val="2"/>
                <w:sz w:val="24"/>
                <w:szCs w:val="20"/>
                <w:highlight w:val="none"/>
                <w:lang w:val="en-US" w:eastAsia="zh-CN"/>
              </w:rPr>
              <w:t>。分区防渗图见图4.9-1。</w:t>
            </w:r>
          </w:p>
          <w:p w14:paraId="597B109D">
            <w:pPr>
              <w:spacing w:line="360" w:lineRule="auto"/>
              <w:jc w:val="center"/>
              <w:rPr>
                <w:rFonts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rPr>
              <w:t>表</w:t>
            </w:r>
            <w:r>
              <w:rPr>
                <w:rFonts w:hint="eastAsia" w:ascii="Times New Roman" w:hAnsi="Times New Roman" w:eastAsia="宋体" w:cs="Times New Roman"/>
                <w:b/>
                <w:bCs/>
                <w:color w:val="auto"/>
                <w:kern w:val="2"/>
                <w:sz w:val="24"/>
                <w:szCs w:val="24"/>
                <w:highlight w:val="none"/>
                <w:lang w:val="en-US" w:eastAsia="zh-CN"/>
              </w:rPr>
              <w:t>4.</w:t>
            </w:r>
            <w:r>
              <w:rPr>
                <w:rFonts w:hint="eastAsia" w:cs="Times New Roman"/>
                <w:b/>
                <w:bCs/>
                <w:color w:val="auto"/>
                <w:kern w:val="2"/>
                <w:sz w:val="24"/>
                <w:szCs w:val="24"/>
                <w:highlight w:val="none"/>
                <w:lang w:val="en-US" w:eastAsia="zh-CN"/>
              </w:rPr>
              <w:t>5</w:t>
            </w:r>
            <w:r>
              <w:rPr>
                <w:rFonts w:hint="eastAsia" w:ascii="Times New Roman" w:hAnsi="Times New Roman" w:eastAsia="宋体" w:cs="Times New Roman"/>
                <w:b/>
                <w:bCs/>
                <w:color w:val="auto"/>
                <w:kern w:val="2"/>
                <w:sz w:val="24"/>
                <w:szCs w:val="24"/>
                <w:highlight w:val="none"/>
                <w:lang w:val="en-US" w:eastAsia="zh-CN"/>
              </w:rPr>
              <w:t>-1</w:t>
            </w:r>
            <w:r>
              <w:rPr>
                <w:rFonts w:hint="eastAsia" w:ascii="Times New Roman" w:hAnsi="Times New Roman" w:eastAsia="宋体" w:cs="Times New Roman"/>
                <w:b/>
                <w:bCs/>
                <w:color w:val="auto"/>
                <w:kern w:val="2"/>
                <w:sz w:val="24"/>
                <w:szCs w:val="24"/>
                <w:highlight w:val="none"/>
              </w:rPr>
              <w:t>各污染区防渗措施</w:t>
            </w:r>
          </w:p>
          <w:tbl>
            <w:tblPr>
              <w:tblStyle w:val="21"/>
              <w:tblW w:w="506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297"/>
              <w:gridCol w:w="1315"/>
              <w:gridCol w:w="1523"/>
              <w:gridCol w:w="1325"/>
              <w:gridCol w:w="2156"/>
            </w:tblGrid>
            <w:tr w14:paraId="1AACF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14:paraId="190DC57F">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场区内建筑物</w:t>
                  </w:r>
                </w:p>
              </w:tc>
              <w:tc>
                <w:tcPr>
                  <w:tcW w:w="746" w:type="pct"/>
                  <w:tcBorders>
                    <w:tl2br w:val="nil"/>
                    <w:tr2bl w:val="nil"/>
                  </w:tcBorders>
                  <w:vAlign w:val="center"/>
                </w:tcPr>
                <w:p w14:paraId="793F3AC3">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包气带防污性能</w:t>
                  </w:r>
                </w:p>
              </w:tc>
              <w:tc>
                <w:tcPr>
                  <w:tcW w:w="756" w:type="pct"/>
                  <w:tcBorders>
                    <w:tl2br w:val="nil"/>
                    <w:tr2bl w:val="nil"/>
                  </w:tcBorders>
                  <w:vAlign w:val="center"/>
                </w:tcPr>
                <w:p w14:paraId="6281A224">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污染控制难易程度</w:t>
                  </w:r>
                </w:p>
              </w:tc>
              <w:tc>
                <w:tcPr>
                  <w:tcW w:w="876" w:type="pct"/>
                  <w:tcBorders>
                    <w:tl2br w:val="nil"/>
                    <w:tr2bl w:val="nil"/>
                  </w:tcBorders>
                  <w:vAlign w:val="center"/>
                </w:tcPr>
                <w:p w14:paraId="057F90F2">
                  <w:pPr>
                    <w:spacing w:line="240" w:lineRule="auto"/>
                    <w:jc w:val="center"/>
                    <w:rPr>
                      <w:rFonts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zh-TW" w:eastAsia="zh-TW"/>
                    </w:rPr>
                    <w:t>污染物类型</w:t>
                  </w:r>
                </w:p>
              </w:tc>
              <w:tc>
                <w:tcPr>
                  <w:tcW w:w="762" w:type="pct"/>
                  <w:tcBorders>
                    <w:tl2br w:val="nil"/>
                    <w:tr2bl w:val="nil"/>
                  </w:tcBorders>
                  <w:vAlign w:val="center"/>
                </w:tcPr>
                <w:p w14:paraId="3898822F">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防渗分区</w:t>
                  </w:r>
                </w:p>
              </w:tc>
              <w:tc>
                <w:tcPr>
                  <w:tcW w:w="1240" w:type="pct"/>
                  <w:tcBorders>
                    <w:tl2br w:val="nil"/>
                    <w:tr2bl w:val="nil"/>
                  </w:tcBorders>
                  <w:vAlign w:val="center"/>
                </w:tcPr>
                <w:p w14:paraId="4007D7DA">
                  <w:pPr>
                    <w:widowControl/>
                    <w:spacing w:line="240" w:lineRule="auto"/>
                    <w:jc w:val="center"/>
                    <w:rPr>
                      <w:rFonts w:asciiTheme="minorHAnsi" w:hAnsiTheme="minorHAnsi" w:eastAsiaTheme="minorEastAsia" w:cstheme="minorBidi"/>
                      <w:b w:val="0"/>
                      <w:bCs w:val="0"/>
                      <w:color w:val="auto"/>
                      <w:sz w:val="21"/>
                      <w:szCs w:val="24"/>
                      <w:highlight w:val="none"/>
                    </w:rPr>
                  </w:pPr>
                  <w:r>
                    <w:rPr>
                      <w:rFonts w:hint="eastAsia" w:ascii="宋体" w:hAnsi="宋体" w:eastAsia="宋体" w:cs="宋体"/>
                      <w:b w:val="0"/>
                      <w:bCs w:val="0"/>
                      <w:color w:val="auto"/>
                      <w:sz w:val="21"/>
                      <w:szCs w:val="21"/>
                      <w:highlight w:val="none"/>
                      <w:lang w:bidi="ar"/>
                    </w:rPr>
                    <w:t>防渗处理措施</w:t>
                  </w:r>
                </w:p>
              </w:tc>
            </w:tr>
            <w:tr w14:paraId="093B7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14:paraId="3BBB9F45">
                  <w:pPr>
                    <w:spacing w:line="240" w:lineRule="auto"/>
                    <w:jc w:val="center"/>
                    <w:rPr>
                      <w:rFonts w:hint="eastAsia"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lang w:val="en-US" w:eastAsia="zh-CN"/>
                    </w:rPr>
                    <w:t>危废暂存间、</w:t>
                  </w:r>
                  <w:r>
                    <w:rPr>
                      <w:rFonts w:hint="eastAsia" w:cs="Times New Roman"/>
                      <w:color w:val="auto"/>
                      <w:kern w:val="2"/>
                      <w:sz w:val="21"/>
                      <w:szCs w:val="16"/>
                      <w:highlight w:val="none"/>
                      <w:lang w:val="en-US" w:eastAsia="zh-CN"/>
                    </w:rPr>
                    <w:t>污水处理站</w:t>
                  </w:r>
                </w:p>
              </w:tc>
              <w:tc>
                <w:tcPr>
                  <w:tcW w:w="746" w:type="pct"/>
                  <w:tcBorders>
                    <w:tl2br w:val="nil"/>
                    <w:tr2bl w:val="nil"/>
                  </w:tcBorders>
                  <w:vAlign w:val="center"/>
                </w:tcPr>
                <w:p w14:paraId="620C33CD">
                  <w:pPr>
                    <w:spacing w:line="240" w:lineRule="auto"/>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弱</w:t>
                  </w:r>
                </w:p>
              </w:tc>
              <w:tc>
                <w:tcPr>
                  <w:tcW w:w="756" w:type="pct"/>
                  <w:tcBorders>
                    <w:tl2br w:val="nil"/>
                    <w:tr2bl w:val="nil"/>
                  </w:tcBorders>
                  <w:vAlign w:val="center"/>
                </w:tcPr>
                <w:p w14:paraId="0B1EC83F">
                  <w:pPr>
                    <w:spacing w:line="240" w:lineRule="auto"/>
                    <w:jc w:val="center"/>
                    <w:rPr>
                      <w:rFonts w:hint="eastAsia"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zh-TW" w:eastAsia="zh-TW"/>
                    </w:rPr>
                    <w:t>难</w:t>
                  </w:r>
                </w:p>
              </w:tc>
              <w:tc>
                <w:tcPr>
                  <w:tcW w:w="876" w:type="pct"/>
                  <w:tcBorders>
                    <w:tl2br w:val="nil"/>
                    <w:tr2bl w:val="nil"/>
                  </w:tcBorders>
                  <w:vAlign w:val="center"/>
                </w:tcPr>
                <w:p w14:paraId="0F2AB8F7">
                  <w:pPr>
                    <w:spacing w:line="240" w:lineRule="auto"/>
                    <w:jc w:val="center"/>
                    <w:rPr>
                      <w:rFonts w:hint="eastAsia"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en-US" w:eastAsia="zh-CN"/>
                    </w:rPr>
                    <w:t>非</w:t>
                  </w:r>
                  <w:r>
                    <w:rPr>
                      <w:rFonts w:hint="eastAsia" w:ascii="Times New Roman" w:hAnsi="Times New Roman" w:eastAsia="宋体" w:cs="Times New Roman"/>
                      <w:b w:val="0"/>
                      <w:bCs w:val="0"/>
                      <w:color w:val="auto"/>
                      <w:sz w:val="21"/>
                      <w:szCs w:val="21"/>
                      <w:highlight w:val="none"/>
                      <w:lang w:val="zh-TW" w:eastAsia="zh-TW"/>
                    </w:rPr>
                    <w:t>重金属、持久性有机物</w:t>
                  </w:r>
                </w:p>
                <w:p w14:paraId="1D607849">
                  <w:pPr>
                    <w:spacing w:line="240" w:lineRule="auto"/>
                    <w:jc w:val="center"/>
                    <w:rPr>
                      <w:rFonts w:hint="eastAsia"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zh-TW" w:eastAsia="zh-TW"/>
                    </w:rPr>
                    <w:t>污染物</w:t>
                  </w:r>
                  <w:r>
                    <w:rPr>
                      <w:rFonts w:hint="eastAsia" w:ascii="Times New Roman" w:hAnsi="Times New Roman" w:eastAsia="宋体" w:cs="Times New Roman"/>
                      <w:b w:val="0"/>
                      <w:bCs w:val="0"/>
                      <w:color w:val="auto"/>
                      <w:sz w:val="21"/>
                      <w:szCs w:val="21"/>
                      <w:highlight w:val="none"/>
                      <w:lang w:val="en-US" w:eastAsia="zh-CN"/>
                    </w:rPr>
                    <w:t>的</w:t>
                  </w:r>
                  <w:r>
                    <w:rPr>
                      <w:rFonts w:hint="eastAsia" w:ascii="Times New Roman" w:hAnsi="Times New Roman" w:eastAsia="宋体" w:cs="Times New Roman"/>
                      <w:b w:val="0"/>
                      <w:bCs w:val="0"/>
                      <w:color w:val="auto"/>
                      <w:sz w:val="21"/>
                      <w:szCs w:val="21"/>
                      <w:highlight w:val="none"/>
                      <w:lang w:val="zh-TW" w:eastAsia="zh-TW"/>
                    </w:rPr>
                    <w:t>其他类型</w:t>
                  </w:r>
                </w:p>
              </w:tc>
              <w:tc>
                <w:tcPr>
                  <w:tcW w:w="762" w:type="pct"/>
                  <w:tcBorders>
                    <w:tl2br w:val="nil"/>
                    <w:tr2bl w:val="nil"/>
                  </w:tcBorders>
                  <w:vAlign w:val="center"/>
                </w:tcPr>
                <w:p w14:paraId="1FA5D7F4">
                  <w:pPr>
                    <w:spacing w:line="240" w:lineRule="auto"/>
                    <w:jc w:val="center"/>
                    <w:rPr>
                      <w:rFonts w:hint="eastAsia"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重点防渗</w:t>
                  </w:r>
                </w:p>
              </w:tc>
              <w:tc>
                <w:tcPr>
                  <w:tcW w:w="1240" w:type="pct"/>
                  <w:tcBorders>
                    <w:tl2br w:val="nil"/>
                    <w:tr2bl w:val="nil"/>
                  </w:tcBorders>
                  <w:vAlign w:val="center"/>
                </w:tcPr>
                <w:p w14:paraId="7DAA8FD5">
                  <w:pPr>
                    <w:spacing w:line="240" w:lineRule="auto"/>
                    <w:jc w:val="center"/>
                    <w:rPr>
                      <w:rFonts w:ascii="Times New Roman" w:hAnsi="Times New Roman" w:eastAsia="宋体" w:cs="Times New Roman"/>
                      <w:b w:val="0"/>
                      <w:bCs w:val="0"/>
                      <w:color w:val="auto"/>
                      <w:sz w:val="21"/>
                      <w:szCs w:val="24"/>
                      <w:highlight w:val="none"/>
                    </w:rPr>
                  </w:pPr>
                  <w:r>
                    <w:rPr>
                      <w:rFonts w:ascii="Times New Roman" w:hAnsi="Times New Roman" w:eastAsia="宋体" w:cs="Times New Roman"/>
                      <w:b w:val="0"/>
                      <w:bCs w:val="0"/>
                      <w:color w:val="auto"/>
                      <w:sz w:val="21"/>
                      <w:szCs w:val="24"/>
                      <w:highlight w:val="none"/>
                    </w:rPr>
                    <w:t>等效黏土防渗层Mb≥6.0m，K≤1.0×10</w:t>
                  </w:r>
                  <w:r>
                    <w:rPr>
                      <w:rFonts w:hint="eastAsia" w:ascii="Times New Roman" w:hAnsi="Times New Roman" w:eastAsia="宋体" w:cs="Times New Roman"/>
                      <w:b w:val="0"/>
                      <w:bCs w:val="0"/>
                      <w:color w:val="auto"/>
                      <w:sz w:val="21"/>
                      <w:szCs w:val="24"/>
                      <w:highlight w:val="none"/>
                      <w:vertAlign w:val="superscript"/>
                      <w:lang w:val="en-US" w:eastAsia="zh-CN"/>
                    </w:rPr>
                    <w:t>-7</w:t>
                  </w:r>
                  <w:r>
                    <w:rPr>
                      <w:rFonts w:ascii="Times New Roman" w:hAnsi="Times New Roman" w:eastAsia="宋体" w:cs="Times New Roman"/>
                      <w:b w:val="0"/>
                      <w:bCs w:val="0"/>
                      <w:color w:val="auto"/>
                      <w:sz w:val="21"/>
                      <w:szCs w:val="24"/>
                      <w:highlight w:val="none"/>
                    </w:rPr>
                    <w:t>cm/s</w:t>
                  </w:r>
                </w:p>
              </w:tc>
            </w:tr>
            <w:tr w14:paraId="70FE2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14:paraId="68D214BE">
                  <w:pPr>
                    <w:spacing w:line="240" w:lineRule="auto"/>
                    <w:jc w:val="center"/>
                    <w:rPr>
                      <w:rFonts w:hint="default" w:ascii="Times New Roman" w:hAnsi="Times New Roman" w:eastAsia="宋体"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生产车间、冷库</w:t>
                  </w:r>
                </w:p>
              </w:tc>
              <w:tc>
                <w:tcPr>
                  <w:tcW w:w="746" w:type="pct"/>
                  <w:tcBorders>
                    <w:tl2br w:val="nil"/>
                    <w:tr2bl w:val="nil"/>
                  </w:tcBorders>
                  <w:vAlign w:val="center"/>
                </w:tcPr>
                <w:p w14:paraId="0ECC59FD">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en-US" w:eastAsia="zh-CN"/>
                    </w:rPr>
                    <w:t>弱</w:t>
                  </w:r>
                </w:p>
              </w:tc>
              <w:tc>
                <w:tcPr>
                  <w:tcW w:w="756" w:type="pct"/>
                  <w:tcBorders>
                    <w:tl2br w:val="nil"/>
                    <w:tr2bl w:val="nil"/>
                  </w:tcBorders>
                  <w:vAlign w:val="center"/>
                </w:tcPr>
                <w:p w14:paraId="39A9D382">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易</w:t>
                  </w:r>
                  <w:r>
                    <w:rPr>
                      <w:rFonts w:hint="eastAsia" w:ascii="Times New Roman" w:hAnsi="Times New Roman" w:eastAsia="宋体" w:cs="Times New Roman"/>
                      <w:b w:val="0"/>
                      <w:bCs w:val="0"/>
                      <w:color w:val="auto"/>
                      <w:sz w:val="21"/>
                      <w:szCs w:val="24"/>
                      <w:highlight w:val="none"/>
                      <w:lang w:val="en-US" w:eastAsia="zh-CN"/>
                    </w:rPr>
                    <w:t>--</w:t>
                  </w:r>
                  <w:r>
                    <w:rPr>
                      <w:rFonts w:hint="eastAsia" w:ascii="Times New Roman" w:hAnsi="Times New Roman" w:eastAsia="宋体" w:cs="Times New Roman"/>
                      <w:b w:val="0"/>
                      <w:bCs w:val="0"/>
                      <w:color w:val="auto"/>
                      <w:sz w:val="21"/>
                      <w:szCs w:val="21"/>
                      <w:highlight w:val="none"/>
                      <w:lang w:val="zh-TW" w:eastAsia="zh-TW"/>
                    </w:rPr>
                    <w:t>难</w:t>
                  </w:r>
                </w:p>
              </w:tc>
              <w:tc>
                <w:tcPr>
                  <w:tcW w:w="876" w:type="pct"/>
                  <w:tcBorders>
                    <w:tl2br w:val="nil"/>
                    <w:tr2bl w:val="nil"/>
                  </w:tcBorders>
                  <w:vAlign w:val="center"/>
                </w:tcPr>
                <w:p w14:paraId="69D7FCE4">
                  <w:pPr>
                    <w:spacing w:line="240" w:lineRule="auto"/>
                    <w:jc w:val="center"/>
                    <w:rPr>
                      <w:rFonts w:ascii="Times New Roman" w:hAnsi="Times New Roman" w:eastAsia="宋体" w:cs="Times New Roman"/>
                      <w:b w:val="0"/>
                      <w:bCs w:val="0"/>
                      <w:color w:val="auto"/>
                      <w:sz w:val="21"/>
                      <w:szCs w:val="21"/>
                      <w:highlight w:val="none"/>
                      <w:lang w:val="zh-TW" w:eastAsia="zh-TW"/>
                    </w:rPr>
                  </w:pPr>
                  <w:r>
                    <w:rPr>
                      <w:rFonts w:hint="eastAsia" w:ascii="Times New Roman" w:hAnsi="Times New Roman" w:eastAsia="宋体" w:cs="Times New Roman"/>
                      <w:b w:val="0"/>
                      <w:bCs w:val="0"/>
                      <w:color w:val="auto"/>
                      <w:sz w:val="21"/>
                      <w:szCs w:val="21"/>
                      <w:highlight w:val="none"/>
                      <w:lang w:val="en-US" w:eastAsia="zh-CN"/>
                    </w:rPr>
                    <w:t>非</w:t>
                  </w:r>
                  <w:r>
                    <w:rPr>
                      <w:rFonts w:hint="eastAsia" w:ascii="Times New Roman" w:hAnsi="Times New Roman" w:eastAsia="宋体" w:cs="Times New Roman"/>
                      <w:b w:val="0"/>
                      <w:bCs w:val="0"/>
                      <w:color w:val="auto"/>
                      <w:sz w:val="21"/>
                      <w:szCs w:val="21"/>
                      <w:highlight w:val="none"/>
                      <w:lang w:val="zh-TW" w:eastAsia="zh-TW"/>
                    </w:rPr>
                    <w:t>重金属、持久性有机物</w:t>
                  </w:r>
                </w:p>
              </w:tc>
              <w:tc>
                <w:tcPr>
                  <w:tcW w:w="762" w:type="pct"/>
                  <w:tcBorders>
                    <w:tl2br w:val="nil"/>
                    <w:tr2bl w:val="nil"/>
                  </w:tcBorders>
                  <w:vAlign w:val="center"/>
                </w:tcPr>
                <w:p w14:paraId="195B6B89">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一般防渗</w:t>
                  </w:r>
                </w:p>
              </w:tc>
              <w:tc>
                <w:tcPr>
                  <w:tcW w:w="1240" w:type="pct"/>
                  <w:tcBorders>
                    <w:tl2br w:val="nil"/>
                    <w:tr2bl w:val="nil"/>
                  </w:tcBorders>
                  <w:vAlign w:val="center"/>
                </w:tcPr>
                <w:p w14:paraId="49931C17">
                  <w:pPr>
                    <w:spacing w:line="240" w:lineRule="auto"/>
                    <w:jc w:val="center"/>
                    <w:rPr>
                      <w:rFonts w:ascii="Times New Roman" w:hAnsi="Times New Roman" w:eastAsia="宋体" w:cs="Times New Roman"/>
                      <w:b w:val="0"/>
                      <w:bCs w:val="0"/>
                      <w:color w:val="auto"/>
                      <w:sz w:val="21"/>
                      <w:szCs w:val="24"/>
                      <w:highlight w:val="none"/>
                    </w:rPr>
                  </w:pPr>
                  <w:r>
                    <w:rPr>
                      <w:rFonts w:ascii="Times New Roman" w:hAnsi="Times New Roman" w:eastAsia="宋体" w:cs="Times New Roman"/>
                      <w:b w:val="0"/>
                      <w:bCs w:val="0"/>
                      <w:color w:val="auto"/>
                      <w:sz w:val="21"/>
                      <w:szCs w:val="24"/>
                      <w:highlight w:val="none"/>
                    </w:rPr>
                    <w:t>等效黏土防渗层Mb≥1.5m，K≤1.0×10</w:t>
                  </w:r>
                  <w:r>
                    <w:rPr>
                      <w:rFonts w:ascii="Times New Roman" w:hAnsi="Times New Roman" w:eastAsia="宋体" w:cs="Times New Roman"/>
                      <w:b w:val="0"/>
                      <w:bCs w:val="0"/>
                      <w:color w:val="auto"/>
                      <w:sz w:val="21"/>
                      <w:szCs w:val="24"/>
                      <w:highlight w:val="none"/>
                      <w:vertAlign w:val="superscript"/>
                    </w:rPr>
                    <w:t>-7</w:t>
                  </w:r>
                  <w:r>
                    <w:rPr>
                      <w:rFonts w:ascii="Times New Roman" w:hAnsi="Times New Roman" w:eastAsia="宋体" w:cs="Times New Roman"/>
                      <w:b w:val="0"/>
                      <w:bCs w:val="0"/>
                      <w:color w:val="auto"/>
                      <w:sz w:val="21"/>
                      <w:szCs w:val="24"/>
                      <w:highlight w:val="none"/>
                    </w:rPr>
                    <w:t>cm/s</w:t>
                  </w:r>
                </w:p>
              </w:tc>
            </w:tr>
            <w:tr w14:paraId="4BF9D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tcBorders>
                    <w:tl2br w:val="nil"/>
                    <w:tr2bl w:val="nil"/>
                  </w:tcBorders>
                  <w:vAlign w:val="center"/>
                </w:tcPr>
                <w:p w14:paraId="0865DE90">
                  <w:pPr>
                    <w:spacing w:line="240" w:lineRule="auto"/>
                    <w:jc w:val="center"/>
                    <w:rPr>
                      <w:rFonts w:hint="default" w:ascii="Times New Roman" w:hAnsi="Times New Roman" w:eastAsia="宋体"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生活区、</w:t>
                  </w:r>
                  <w:r>
                    <w:rPr>
                      <w:rFonts w:hint="eastAsia" w:ascii="Times New Roman" w:hAnsi="Times New Roman" w:eastAsia="宋体" w:cs="Times New Roman"/>
                      <w:b w:val="0"/>
                      <w:bCs w:val="0"/>
                      <w:color w:val="auto"/>
                      <w:sz w:val="21"/>
                      <w:szCs w:val="24"/>
                      <w:highlight w:val="none"/>
                      <w:lang w:val="en-US" w:eastAsia="zh-CN"/>
                    </w:rPr>
                    <w:t>周边道路</w:t>
                  </w:r>
                </w:p>
              </w:tc>
              <w:tc>
                <w:tcPr>
                  <w:tcW w:w="746" w:type="pct"/>
                  <w:tcBorders>
                    <w:tl2br w:val="nil"/>
                    <w:tr2bl w:val="nil"/>
                  </w:tcBorders>
                  <w:vAlign w:val="center"/>
                </w:tcPr>
                <w:p w14:paraId="6FE32D0A">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en-US" w:eastAsia="zh-CN"/>
                    </w:rPr>
                    <w:t>弱</w:t>
                  </w:r>
                </w:p>
              </w:tc>
              <w:tc>
                <w:tcPr>
                  <w:tcW w:w="756" w:type="pct"/>
                  <w:tcBorders>
                    <w:tl2br w:val="nil"/>
                    <w:tr2bl w:val="nil"/>
                  </w:tcBorders>
                  <w:vAlign w:val="center"/>
                </w:tcPr>
                <w:p w14:paraId="50FF41CA">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易</w:t>
                  </w:r>
                </w:p>
              </w:tc>
              <w:tc>
                <w:tcPr>
                  <w:tcW w:w="876" w:type="pct"/>
                  <w:tcBorders>
                    <w:tl2br w:val="nil"/>
                    <w:tr2bl w:val="nil"/>
                  </w:tcBorders>
                  <w:vAlign w:val="center"/>
                </w:tcPr>
                <w:p w14:paraId="0E80DF9A">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污染物</w:t>
                  </w:r>
                  <w:r>
                    <w:rPr>
                      <w:rFonts w:hint="eastAsia" w:ascii="Times New Roman" w:hAnsi="Times New Roman" w:eastAsia="宋体" w:cs="Times New Roman"/>
                      <w:b w:val="0"/>
                      <w:bCs w:val="0"/>
                      <w:color w:val="auto"/>
                      <w:sz w:val="21"/>
                      <w:szCs w:val="21"/>
                      <w:highlight w:val="none"/>
                      <w:lang w:val="en-US" w:eastAsia="zh-CN"/>
                    </w:rPr>
                    <w:t>的</w:t>
                  </w:r>
                  <w:r>
                    <w:rPr>
                      <w:rFonts w:hint="eastAsia" w:ascii="Times New Roman" w:hAnsi="Times New Roman" w:eastAsia="宋体" w:cs="Times New Roman"/>
                      <w:b w:val="0"/>
                      <w:bCs w:val="0"/>
                      <w:color w:val="auto"/>
                      <w:sz w:val="21"/>
                      <w:szCs w:val="21"/>
                      <w:highlight w:val="none"/>
                      <w:lang w:val="zh-TW" w:eastAsia="zh-TW"/>
                    </w:rPr>
                    <w:t>其他类型</w:t>
                  </w:r>
                </w:p>
              </w:tc>
              <w:tc>
                <w:tcPr>
                  <w:tcW w:w="762" w:type="pct"/>
                  <w:tcBorders>
                    <w:tl2br w:val="nil"/>
                    <w:tr2bl w:val="nil"/>
                  </w:tcBorders>
                  <w:vAlign w:val="center"/>
                </w:tcPr>
                <w:p w14:paraId="1AA7F759">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4"/>
                      <w:highlight w:val="none"/>
                    </w:rPr>
                    <w:t>简单防渗</w:t>
                  </w:r>
                </w:p>
              </w:tc>
              <w:tc>
                <w:tcPr>
                  <w:tcW w:w="1240" w:type="pct"/>
                  <w:tcBorders>
                    <w:tl2br w:val="nil"/>
                    <w:tr2bl w:val="nil"/>
                  </w:tcBorders>
                  <w:vAlign w:val="center"/>
                </w:tcPr>
                <w:p w14:paraId="36F01AA2">
                  <w:pPr>
                    <w:spacing w:line="240" w:lineRule="auto"/>
                    <w:jc w:val="center"/>
                    <w:rPr>
                      <w:rFonts w:ascii="Times New Roman" w:hAnsi="Times New Roman" w:eastAsia="宋体" w:cs="Times New Roman"/>
                      <w:b w:val="0"/>
                      <w:bCs w:val="0"/>
                      <w:color w:val="auto"/>
                      <w:sz w:val="21"/>
                      <w:szCs w:val="24"/>
                      <w:highlight w:val="none"/>
                    </w:rPr>
                  </w:pPr>
                  <w:r>
                    <w:rPr>
                      <w:rFonts w:hint="eastAsia" w:ascii="Times New Roman" w:hAnsi="Times New Roman" w:eastAsia="宋体" w:cs="Times New Roman"/>
                      <w:b w:val="0"/>
                      <w:bCs w:val="0"/>
                      <w:color w:val="auto"/>
                      <w:sz w:val="21"/>
                      <w:szCs w:val="21"/>
                      <w:highlight w:val="none"/>
                      <w:lang w:val="zh-TW" w:eastAsia="zh-TW"/>
                    </w:rPr>
                    <w:t>一般地面硬化</w:t>
                  </w:r>
                </w:p>
              </w:tc>
            </w:tr>
          </w:tbl>
          <w:p w14:paraId="0B1857CF">
            <w:pPr>
              <w:pageBreakBefore w:val="0"/>
              <w:widowControl w:val="0"/>
              <w:kinsoku/>
              <w:wordWrap/>
              <w:overflowPunct/>
              <w:topLinePunct w:val="0"/>
              <w:autoSpaceDE/>
              <w:autoSpaceDN/>
              <w:bidi w:val="0"/>
              <w:adjustRightInd/>
              <w:snapToGrid/>
              <w:spacing w:before="0" w:after="0" w:line="48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（3）环境影响分析</w:t>
            </w:r>
          </w:p>
          <w:p w14:paraId="230AD902">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default" w:ascii="Times New Roman" w:hAnsi="Times New Roman" w:eastAsia="宋体" w:cs="Times New Roman"/>
                <w:color w:val="auto"/>
                <w:kern w:val="2"/>
                <w:sz w:val="24"/>
                <w:szCs w:val="20"/>
                <w:highlight w:val="none"/>
                <w:lang w:val="en-US" w:eastAsia="zh-CN"/>
              </w:rPr>
              <w:t>根据项目特点，厂区进行分区并对不同分区采取相应的防渗措施。项目对可能产生地下水</w:t>
            </w:r>
            <w:r>
              <w:rPr>
                <w:rFonts w:hint="eastAsia" w:ascii="Times New Roman" w:hAnsi="Times New Roman" w:eastAsia="宋体" w:cs="Times New Roman"/>
                <w:color w:val="auto"/>
                <w:kern w:val="2"/>
                <w:sz w:val="24"/>
                <w:szCs w:val="20"/>
                <w:highlight w:val="none"/>
                <w:lang w:val="en-US" w:eastAsia="zh-CN"/>
              </w:rPr>
              <w:t>、土壤</w:t>
            </w:r>
            <w:r>
              <w:rPr>
                <w:rFonts w:hint="default" w:ascii="Times New Roman" w:hAnsi="Times New Roman" w:eastAsia="宋体" w:cs="Times New Roman"/>
                <w:color w:val="auto"/>
                <w:kern w:val="2"/>
                <w:sz w:val="24"/>
                <w:szCs w:val="20"/>
                <w:highlight w:val="none"/>
                <w:lang w:val="en-US" w:eastAsia="zh-CN"/>
              </w:rPr>
              <w:t>影响的各项途径均进行有效预防，各项防渗措施可以有效地防止对区域地下水</w:t>
            </w:r>
            <w:r>
              <w:rPr>
                <w:rFonts w:hint="eastAsia" w:ascii="Times New Roman" w:hAnsi="Times New Roman" w:eastAsia="宋体" w:cs="Times New Roman"/>
                <w:color w:val="auto"/>
                <w:kern w:val="2"/>
                <w:sz w:val="24"/>
                <w:szCs w:val="20"/>
                <w:highlight w:val="none"/>
                <w:lang w:val="en-US" w:eastAsia="zh-CN"/>
              </w:rPr>
              <w:t>、土壤</w:t>
            </w:r>
            <w:r>
              <w:rPr>
                <w:rFonts w:hint="default" w:ascii="Times New Roman" w:hAnsi="Times New Roman" w:eastAsia="宋体" w:cs="Times New Roman"/>
                <w:color w:val="auto"/>
                <w:kern w:val="2"/>
                <w:sz w:val="24"/>
                <w:szCs w:val="20"/>
                <w:highlight w:val="none"/>
                <w:lang w:val="en-US" w:eastAsia="zh-CN"/>
              </w:rPr>
              <w:t>造成污染。综上所述，项目不会对</w:t>
            </w:r>
            <w:r>
              <w:rPr>
                <w:rFonts w:hint="eastAsia" w:ascii="Times New Roman" w:hAnsi="Times New Roman" w:eastAsia="宋体" w:cs="Times New Roman"/>
                <w:color w:val="auto"/>
                <w:kern w:val="2"/>
                <w:sz w:val="24"/>
                <w:szCs w:val="20"/>
                <w:highlight w:val="none"/>
                <w:lang w:val="en-US" w:eastAsia="zh-CN"/>
              </w:rPr>
              <w:t>项目区</w:t>
            </w:r>
            <w:r>
              <w:rPr>
                <w:rFonts w:hint="default" w:ascii="Times New Roman" w:hAnsi="Times New Roman" w:eastAsia="宋体" w:cs="Times New Roman"/>
                <w:color w:val="auto"/>
                <w:kern w:val="2"/>
                <w:sz w:val="24"/>
                <w:szCs w:val="20"/>
                <w:highlight w:val="none"/>
                <w:lang w:val="en-US" w:eastAsia="zh-CN"/>
              </w:rPr>
              <w:t>地下水</w:t>
            </w:r>
            <w:r>
              <w:rPr>
                <w:rFonts w:hint="eastAsia" w:ascii="Times New Roman" w:hAnsi="Times New Roman" w:eastAsia="宋体" w:cs="Times New Roman"/>
                <w:color w:val="auto"/>
                <w:kern w:val="2"/>
                <w:sz w:val="24"/>
                <w:szCs w:val="20"/>
                <w:highlight w:val="none"/>
                <w:lang w:val="en-US" w:eastAsia="zh-CN"/>
              </w:rPr>
              <w:t>、土壤</w:t>
            </w:r>
            <w:r>
              <w:rPr>
                <w:rFonts w:hint="default" w:ascii="Times New Roman" w:hAnsi="Times New Roman" w:eastAsia="宋体" w:cs="Times New Roman"/>
                <w:color w:val="auto"/>
                <w:kern w:val="2"/>
                <w:sz w:val="24"/>
                <w:szCs w:val="20"/>
                <w:highlight w:val="none"/>
                <w:lang w:val="en-US" w:eastAsia="zh-CN"/>
              </w:rPr>
              <w:t>环境造成污染影响</w:t>
            </w:r>
            <w:r>
              <w:rPr>
                <w:rFonts w:hint="eastAsia" w:ascii="Times New Roman" w:hAnsi="Times New Roman" w:eastAsia="宋体" w:cs="Times New Roman"/>
                <w:color w:val="auto"/>
                <w:kern w:val="2"/>
                <w:sz w:val="24"/>
                <w:szCs w:val="20"/>
                <w:highlight w:val="none"/>
                <w:lang w:val="en-US" w:eastAsia="zh-CN"/>
              </w:rPr>
              <w:t>。</w:t>
            </w:r>
          </w:p>
          <w:p w14:paraId="36259CF9">
            <w:pPr>
              <w:pageBreakBefore w:val="0"/>
              <w:widowControl w:val="0"/>
              <w:kinsoku/>
              <w:wordWrap/>
              <w:overflowPunct/>
              <w:topLinePunct w:val="0"/>
              <w:autoSpaceDE/>
              <w:autoSpaceDN/>
              <w:bidi w:val="0"/>
              <w:adjustRightInd/>
              <w:snapToGrid/>
              <w:spacing w:before="0" w:after="0" w:line="480" w:lineRule="exact"/>
              <w:ind w:right="0"/>
              <w:jc w:val="both"/>
              <w:textAlignment w:val="auto"/>
              <w:rPr>
                <w:rFonts w:hint="eastAsia" w:ascii="Times New Roman" w:hAnsi="Times New Roman" w:eastAsia="宋体" w:cs="Times New Roman"/>
                <w:b/>
                <w:color w:val="auto"/>
                <w:kern w:val="2"/>
                <w:sz w:val="28"/>
                <w:szCs w:val="28"/>
                <w:highlight w:val="none"/>
                <w:lang w:val="en-US" w:eastAsia="zh-CN" w:bidi="ar-SA"/>
              </w:rPr>
            </w:pPr>
            <w:r>
              <w:rPr>
                <w:rFonts w:hint="eastAsia" w:cs="Times New Roman"/>
                <w:b/>
                <w:color w:val="auto"/>
                <w:kern w:val="2"/>
                <w:sz w:val="28"/>
                <w:szCs w:val="28"/>
                <w:highlight w:val="none"/>
                <w:lang w:val="en-US" w:eastAsia="zh-CN" w:bidi="ar-SA"/>
              </w:rPr>
              <w:t>6、</w:t>
            </w:r>
            <w:r>
              <w:rPr>
                <w:rFonts w:hint="eastAsia" w:ascii="Times New Roman" w:hAnsi="Times New Roman" w:eastAsia="宋体" w:cs="Times New Roman"/>
                <w:b/>
                <w:color w:val="auto"/>
                <w:kern w:val="2"/>
                <w:sz w:val="28"/>
                <w:szCs w:val="28"/>
                <w:highlight w:val="none"/>
                <w:lang w:val="en-US" w:eastAsia="zh-CN" w:bidi="ar-SA"/>
              </w:rPr>
              <w:t>生态环境影响分析</w:t>
            </w:r>
          </w:p>
          <w:p w14:paraId="6DD0970A">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b w:val="0"/>
                <w:bCs w:val="0"/>
                <w:color w:val="auto"/>
                <w:kern w:val="2"/>
                <w:sz w:val="24"/>
                <w:szCs w:val="20"/>
                <w:highlight w:val="none"/>
                <w:lang w:val="en-US" w:eastAsia="zh-CN"/>
              </w:rPr>
              <w:t>本项目位于</w:t>
            </w:r>
            <w:r>
              <w:rPr>
                <w:rFonts w:hint="eastAsia" w:cs="Times New Roman"/>
                <w:b w:val="0"/>
                <w:bCs w:val="0"/>
                <w:color w:val="auto"/>
                <w:kern w:val="2"/>
                <w:sz w:val="24"/>
                <w:szCs w:val="20"/>
                <w:highlight w:val="none"/>
                <w:lang w:val="en-US" w:eastAsia="zh-CN"/>
              </w:rPr>
              <w:t>胡杨河市经济技术开发区</w:t>
            </w:r>
            <w:r>
              <w:rPr>
                <w:rFonts w:hint="eastAsia" w:ascii="Times New Roman" w:hAnsi="Times New Roman" w:eastAsia="宋体" w:cs="Times New Roman"/>
                <w:b w:val="0"/>
                <w:bCs w:val="0"/>
                <w:color w:val="auto"/>
                <w:kern w:val="2"/>
                <w:sz w:val="24"/>
                <w:szCs w:val="20"/>
                <w:highlight w:val="none"/>
                <w:lang w:val="en-US" w:eastAsia="zh-CN"/>
              </w:rPr>
              <w:t>内</w:t>
            </w:r>
            <w:r>
              <w:rPr>
                <w:rFonts w:hint="eastAsia" w:ascii="Times New Roman" w:hAnsi="Times New Roman" w:eastAsia="宋体" w:cs="Times New Roman"/>
                <w:color w:val="auto"/>
                <w:kern w:val="2"/>
                <w:sz w:val="24"/>
                <w:szCs w:val="20"/>
                <w:highlight w:val="none"/>
                <w:lang w:val="en-US" w:eastAsia="zh-CN"/>
              </w:rPr>
              <w:t>，故本项目建设不会导致生态环境质量的降低。项目投入运营后，项目在生产过程中不存在破化植被的活动，运营期不会对植物资源产生不利影响，通过加强施工人员的宣传教育和管理，可减少在建设初期对野生动物的影响，对生态环境的影响有限。</w:t>
            </w:r>
          </w:p>
          <w:p w14:paraId="354BA162">
            <w:pPr>
              <w:pageBreakBefore w:val="0"/>
              <w:widowControl w:val="0"/>
              <w:kinsoku/>
              <w:wordWrap/>
              <w:overflowPunct/>
              <w:topLinePunct w:val="0"/>
              <w:autoSpaceDE/>
              <w:autoSpaceDN/>
              <w:bidi w:val="0"/>
              <w:adjustRightInd/>
              <w:snapToGrid/>
              <w:spacing w:before="0" w:after="0" w:line="480" w:lineRule="exact"/>
              <w:ind w:right="0"/>
              <w:jc w:val="both"/>
              <w:textAlignment w:val="auto"/>
              <w:rPr>
                <w:rFonts w:hint="default" w:ascii="Times New Roman" w:hAnsi="Times New Roman" w:eastAsia="宋体" w:cs="Times New Roman"/>
                <w:color w:val="auto"/>
                <w:kern w:val="2"/>
                <w:sz w:val="28"/>
                <w:szCs w:val="28"/>
                <w:highlight w:val="none"/>
                <w:lang w:val="en-US" w:eastAsia="zh-CN"/>
              </w:rPr>
            </w:pPr>
            <w:r>
              <w:rPr>
                <w:rFonts w:hint="eastAsia" w:cs="Times New Roman"/>
                <w:b/>
                <w:color w:val="auto"/>
                <w:kern w:val="2"/>
                <w:sz w:val="28"/>
                <w:szCs w:val="28"/>
                <w:highlight w:val="none"/>
                <w:lang w:val="en-US" w:eastAsia="zh-CN" w:bidi="ar-SA"/>
              </w:rPr>
              <w:t>7、</w:t>
            </w:r>
            <w:r>
              <w:rPr>
                <w:rFonts w:hint="eastAsia" w:ascii="Times New Roman" w:hAnsi="Times New Roman" w:eastAsia="宋体" w:cs="Times New Roman"/>
                <w:b/>
                <w:color w:val="auto"/>
                <w:kern w:val="2"/>
                <w:sz w:val="28"/>
                <w:szCs w:val="28"/>
                <w:highlight w:val="none"/>
                <w:lang w:val="en-US" w:eastAsia="zh-CN" w:bidi="ar-SA"/>
              </w:rPr>
              <w:t>环境风险分析</w:t>
            </w:r>
          </w:p>
          <w:p w14:paraId="26D34C1B">
            <w:pPr>
              <w:pageBreakBefore w:val="0"/>
              <w:widowControl w:val="0"/>
              <w:kinsoku/>
              <w:wordWrap/>
              <w:overflowPunct/>
              <w:topLinePunct w:val="0"/>
              <w:autoSpaceDE/>
              <w:autoSpaceDN/>
              <w:bidi w:val="0"/>
              <w:adjustRightInd/>
              <w:snapToGrid/>
              <w:spacing w:before="0" w:after="0" w:line="480" w:lineRule="exact"/>
              <w:ind w:left="0" w:right="0" w:firstLine="482" w:firstLineChars="200"/>
              <w:jc w:val="both"/>
              <w:textAlignment w:val="auto"/>
              <w:rPr>
                <w:rFonts w:hint="default" w:ascii="Times New Roman" w:hAnsi="Times New Roman" w:eastAsia="宋体" w:cs="Times New Roman"/>
                <w:b/>
                <w:bCs/>
                <w:color w:val="auto"/>
                <w:kern w:val="2"/>
                <w:sz w:val="24"/>
                <w:szCs w:val="20"/>
                <w:highlight w:val="none"/>
                <w:lang w:val="en-US" w:eastAsia="zh-CN"/>
              </w:rPr>
            </w:pPr>
            <w:r>
              <w:rPr>
                <w:rFonts w:hint="eastAsia" w:cs="Times New Roman"/>
                <w:b/>
                <w:bCs/>
                <w:color w:val="auto"/>
                <w:kern w:val="2"/>
                <w:sz w:val="24"/>
                <w:szCs w:val="20"/>
                <w:highlight w:val="none"/>
                <w:lang w:val="en-US" w:eastAsia="zh-CN"/>
              </w:rPr>
              <w:t>7.1</w:t>
            </w:r>
            <w:r>
              <w:rPr>
                <w:rFonts w:hint="eastAsia" w:ascii="Times New Roman" w:hAnsi="Times New Roman" w:eastAsia="宋体" w:cs="Times New Roman"/>
                <w:b/>
                <w:bCs/>
                <w:color w:val="auto"/>
                <w:kern w:val="2"/>
                <w:sz w:val="24"/>
                <w:szCs w:val="20"/>
                <w:highlight w:val="none"/>
                <w:lang w:val="en-US" w:eastAsia="zh-CN"/>
              </w:rPr>
              <w:t>评价依据</w:t>
            </w:r>
          </w:p>
          <w:p w14:paraId="24A5252D">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default"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①风险调查</w:t>
            </w:r>
          </w:p>
          <w:p w14:paraId="034F26DE">
            <w:pPr>
              <w:widowControl w:val="0"/>
              <w:overflowPunct w:val="0"/>
              <w:autoSpaceDE w:val="0"/>
              <w:autoSpaceDN w:val="0"/>
              <w:adjustRightInd w:val="0"/>
              <w:snapToGrid w:val="0"/>
              <w:spacing w:before="0" w:after="0" w:line="500" w:lineRule="exact"/>
              <w:ind w:left="0" w:right="0" w:firstLine="480" w:firstLineChars="200"/>
              <w:jc w:val="both"/>
              <w:rPr>
                <w:rFonts w:hint="eastAsia" w:ascii="Times New Roman" w:hAnsi="Times New Roman" w:eastAsia="宋体" w:cs="Times New Roman"/>
                <w:color w:val="auto"/>
                <w:kern w:val="2"/>
                <w:sz w:val="24"/>
                <w:szCs w:val="20"/>
                <w:highlight w:val="none"/>
                <w:lang w:val="en-US" w:eastAsia="zh-CN"/>
              </w:rPr>
            </w:pPr>
            <w:r>
              <w:rPr>
                <w:rFonts w:hint="eastAsia" w:ascii="Times New Roman" w:hAnsi="Times New Roman" w:eastAsia="宋体" w:cs="Times New Roman"/>
                <w:color w:val="auto"/>
                <w:kern w:val="2"/>
                <w:sz w:val="24"/>
                <w:szCs w:val="20"/>
                <w:highlight w:val="none"/>
                <w:lang w:val="en-US" w:eastAsia="zh-CN"/>
              </w:rPr>
              <w:t>根据《建设项目环境影响报告表编制技术指南污染影响类（试行）》，明确有毒有害和易燃易爆等危险物质和风险源分布情况及可能影响途径，并提出相应环境风险防范措施。</w:t>
            </w:r>
          </w:p>
          <w:p w14:paraId="135683CA">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②风险潜势初判</w:t>
            </w:r>
          </w:p>
          <w:p w14:paraId="11CBCA2D">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建设项目环境风险评价技术导则》(HJ169-2018)，项目所涉及的每种危险物质在厂界内的最大存在总量与其对应临界量的比值Q来表征危险性。当只涉及一种危险物质时，计算该物质的总量与其临界值比值，即为Q；当存在多种危险物质时，则按下式计算物质总量与其临界量比值（Q）。</w:t>
            </w:r>
          </w:p>
          <w:p w14:paraId="0AF7F350">
            <w:pPr>
              <w:widowControl w:val="0"/>
              <w:overflowPunct w:val="0"/>
              <w:autoSpaceDE w:val="0"/>
              <w:autoSpaceDN w:val="0"/>
              <w:adjustRightInd w:val="0"/>
              <w:snapToGrid w:val="0"/>
              <w:spacing w:before="0" w:after="0" w:line="240" w:lineRule="auto"/>
              <w:ind w:left="0" w:right="0"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drawing>
                <wp:inline distT="0" distB="0" distL="114300" distR="114300">
                  <wp:extent cx="1630680" cy="552450"/>
                  <wp:effectExtent l="0" t="0" r="7620"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30"/>
                          <a:srcRect r="57249"/>
                          <a:stretch>
                            <a:fillRect/>
                          </a:stretch>
                        </pic:blipFill>
                        <pic:spPr>
                          <a:xfrm>
                            <a:off x="0" y="0"/>
                            <a:ext cx="1630680" cy="552450"/>
                          </a:xfrm>
                          <a:prstGeom prst="rect">
                            <a:avLst/>
                          </a:prstGeom>
                          <a:noFill/>
                          <a:ln>
                            <a:noFill/>
                          </a:ln>
                        </pic:spPr>
                      </pic:pic>
                    </a:graphicData>
                  </a:graphic>
                </wp:inline>
              </w:drawing>
            </w:r>
          </w:p>
          <w:p w14:paraId="725893B2">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式中：q</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n</w:t>
            </w:r>
            <w:r>
              <w:rPr>
                <w:rFonts w:hint="default" w:ascii="Times New Roman" w:hAnsi="Times New Roman" w:eastAsia="宋体" w:cs="Times New Roman"/>
                <w:color w:val="auto"/>
                <w:kern w:val="2"/>
                <w:sz w:val="24"/>
                <w:szCs w:val="24"/>
                <w:highlight w:val="none"/>
                <w:lang w:val="en-US" w:eastAsia="zh-CN" w:bidi="ar-SA"/>
              </w:rPr>
              <w:t>——每种危险物质实际存在量，t。</w:t>
            </w:r>
          </w:p>
          <w:p w14:paraId="7AEC0B8A">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vertAlign w:val="subscript"/>
                <w:lang w:val="en-US" w:eastAsia="zh-CN" w:bidi="ar-SA"/>
              </w:rPr>
              <w:t>n</w:t>
            </w:r>
            <w:r>
              <w:rPr>
                <w:rFonts w:hint="default" w:ascii="Times New Roman" w:hAnsi="Times New Roman" w:eastAsia="宋体" w:cs="Times New Roman"/>
                <w:color w:val="auto"/>
                <w:kern w:val="2"/>
                <w:sz w:val="24"/>
                <w:szCs w:val="24"/>
                <w:highlight w:val="none"/>
                <w:lang w:val="en-US" w:eastAsia="zh-CN" w:bidi="ar-SA"/>
              </w:rPr>
              <w:t>——与各危险物质相对应的生产场所或贮存区的临界量，t。</w:t>
            </w:r>
          </w:p>
          <w:p w14:paraId="592426BC">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当Q＜1时，该项目环境风险潜势为Ⅰ。</w:t>
            </w:r>
          </w:p>
          <w:p w14:paraId="68811307">
            <w:pPr>
              <w:widowControl w:val="0"/>
              <w:overflowPunct w:val="0"/>
              <w:autoSpaceDE w:val="0"/>
              <w:autoSpaceDN w:val="0"/>
              <w:adjustRightInd w:val="0"/>
              <w:snapToGrid w:val="0"/>
              <w:spacing w:before="0" w:after="0" w:line="500" w:lineRule="exact"/>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当Q≥1时，将Q值划分为：（a）1≤Q＜10；（b）10≤Q＜100；（c）Q≥100。</w:t>
            </w:r>
          </w:p>
          <w:p w14:paraId="2AFA6484">
            <w:pPr>
              <w:bidi w:val="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具体见下表：</w:t>
            </w:r>
          </w:p>
          <w:p w14:paraId="010BAD1E">
            <w:pPr>
              <w:widowControl w:val="0"/>
              <w:bidi w:val="0"/>
              <w:spacing w:line="400" w:lineRule="exact"/>
              <w:ind w:firstLine="0" w:firstLineChars="0"/>
              <w:jc w:val="center"/>
              <w:rPr>
                <w:rFonts w:hint="default" w:ascii="Times New Roman" w:hAnsi="Times New Roman" w:eastAsia="宋体" w:cs="宋体"/>
                <w:b/>
                <w:color w:val="auto"/>
                <w:sz w:val="24"/>
                <w:szCs w:val="24"/>
                <w:lang w:val="en-US" w:eastAsia="zh-CN" w:bidi="ar-SA"/>
              </w:rPr>
            </w:pPr>
            <w:r>
              <w:rPr>
                <w:rFonts w:hint="default" w:ascii="Times New Roman" w:hAnsi="Times New Roman" w:eastAsia="宋体" w:cs="宋体"/>
                <w:b/>
                <w:color w:val="auto"/>
                <w:sz w:val="24"/>
                <w:szCs w:val="24"/>
                <w:lang w:val="en-US" w:eastAsia="zh-CN" w:bidi="ar-SA"/>
              </w:rPr>
              <w:t>表</w:t>
            </w:r>
            <w:r>
              <w:rPr>
                <w:rFonts w:hint="eastAsia" w:ascii="Times New Roman" w:hAnsi="Times New Roman" w:eastAsia="宋体" w:cs="宋体"/>
                <w:b/>
                <w:color w:val="auto"/>
                <w:sz w:val="24"/>
                <w:szCs w:val="24"/>
                <w:lang w:val="en-US" w:eastAsia="zh-CN" w:bidi="ar-SA"/>
              </w:rPr>
              <w:t>4.</w:t>
            </w:r>
            <w:r>
              <w:rPr>
                <w:rFonts w:hint="eastAsia" w:cs="宋体"/>
                <w:b/>
                <w:color w:val="auto"/>
                <w:sz w:val="24"/>
                <w:szCs w:val="24"/>
                <w:lang w:val="en-US" w:eastAsia="zh-CN" w:bidi="ar-SA"/>
              </w:rPr>
              <w:t>7</w:t>
            </w:r>
            <w:r>
              <w:rPr>
                <w:rFonts w:hint="eastAsia" w:ascii="Times New Roman" w:hAnsi="Times New Roman" w:eastAsia="宋体" w:cs="宋体"/>
                <w:b/>
                <w:color w:val="auto"/>
                <w:sz w:val="24"/>
                <w:szCs w:val="24"/>
                <w:lang w:val="en-US" w:eastAsia="zh-CN" w:bidi="ar-SA"/>
              </w:rPr>
              <w:t>-</w:t>
            </w:r>
            <w:r>
              <w:rPr>
                <w:rFonts w:hint="eastAsia" w:cs="宋体"/>
                <w:b/>
                <w:color w:val="auto"/>
                <w:sz w:val="24"/>
                <w:szCs w:val="24"/>
                <w:lang w:val="en-US" w:eastAsia="zh-CN" w:bidi="ar-SA"/>
              </w:rPr>
              <w:t>1</w:t>
            </w:r>
            <w:r>
              <w:rPr>
                <w:rFonts w:hint="eastAsia" w:ascii="Times New Roman" w:hAnsi="Times New Roman" w:eastAsia="宋体" w:cs="宋体"/>
                <w:b/>
                <w:color w:val="auto"/>
                <w:sz w:val="24"/>
                <w:szCs w:val="24"/>
                <w:lang w:val="en-US" w:eastAsia="zh-CN" w:bidi="ar-SA"/>
              </w:rPr>
              <w:t xml:space="preserve"> 风险物质数量与临界量比值Q核算表</w:t>
            </w:r>
          </w:p>
          <w:tbl>
            <w:tblPr>
              <w:tblStyle w:val="20"/>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1823"/>
              <w:gridCol w:w="2819"/>
              <w:gridCol w:w="1840"/>
            </w:tblGrid>
            <w:tr w14:paraId="3F807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9" w:type="pct"/>
                  <w:tcBorders>
                    <w:tl2br w:val="nil"/>
                    <w:tr2bl w:val="nil"/>
                  </w:tcBorders>
                  <w:vAlign w:val="center"/>
                </w:tcPr>
                <w:p w14:paraId="2C6F6B45">
                  <w:pPr>
                    <w:widowControl w:val="0"/>
                    <w:autoSpaceDE w:val="0"/>
                    <w:autoSpaceDN w:val="0"/>
                    <w:adjustRightInd w:val="0"/>
                    <w:snapToGrid w:val="0"/>
                    <w:spacing w:line="240" w:lineRule="auto"/>
                    <w:ind w:firstLine="0" w:firstLineChars="0"/>
                    <w:jc w:val="center"/>
                    <w:rPr>
                      <w:rFonts w:ascii="Times New Roman" w:hAnsi="Times New Roman" w:eastAsia="宋体" w:cs="宋体"/>
                      <w:color w:val="auto"/>
                      <w:kern w:val="0"/>
                      <w:sz w:val="21"/>
                      <w:szCs w:val="21"/>
                      <w:highlight w:val="none"/>
                      <w:lang w:val="zh-CN" w:eastAsia="zh-CN" w:bidi="ar-SA"/>
                    </w:rPr>
                  </w:pPr>
                  <w:r>
                    <w:rPr>
                      <w:rFonts w:ascii="Times New Roman" w:hAnsi="Times New Roman" w:eastAsia="宋体" w:cs="宋体"/>
                      <w:color w:val="auto"/>
                      <w:kern w:val="0"/>
                      <w:sz w:val="21"/>
                      <w:szCs w:val="21"/>
                      <w:highlight w:val="none"/>
                      <w:lang w:val="zh-CN" w:eastAsia="zh-CN" w:bidi="ar-SA"/>
                    </w:rPr>
                    <w:t>化学品名称</w:t>
                  </w:r>
                </w:p>
              </w:tc>
              <w:tc>
                <w:tcPr>
                  <w:tcW w:w="1063" w:type="pct"/>
                  <w:tcBorders>
                    <w:tl2br w:val="nil"/>
                    <w:tr2bl w:val="nil"/>
                  </w:tcBorders>
                  <w:vAlign w:val="center"/>
                </w:tcPr>
                <w:p w14:paraId="3D96A95F">
                  <w:pPr>
                    <w:widowControl w:val="0"/>
                    <w:autoSpaceDE w:val="0"/>
                    <w:autoSpaceDN w:val="0"/>
                    <w:adjustRightInd w:val="0"/>
                    <w:snapToGrid w:val="0"/>
                    <w:spacing w:line="240" w:lineRule="auto"/>
                    <w:ind w:firstLine="0" w:firstLineChars="0"/>
                    <w:jc w:val="center"/>
                    <w:rPr>
                      <w:rFonts w:ascii="Times New Roman" w:hAnsi="Times New Roman" w:eastAsia="宋体" w:cs="宋体"/>
                      <w:color w:val="auto"/>
                      <w:kern w:val="0"/>
                      <w:sz w:val="21"/>
                      <w:szCs w:val="21"/>
                      <w:highlight w:val="none"/>
                      <w:lang w:val="zh-CN" w:eastAsia="zh-CN" w:bidi="ar-SA"/>
                    </w:rPr>
                  </w:pPr>
                  <w:r>
                    <w:rPr>
                      <w:rFonts w:ascii="Times New Roman" w:hAnsi="Times New Roman" w:eastAsia="宋体" w:cs="宋体"/>
                      <w:color w:val="auto"/>
                      <w:kern w:val="0"/>
                      <w:sz w:val="21"/>
                      <w:szCs w:val="21"/>
                      <w:highlight w:val="none"/>
                      <w:lang w:val="zh-CN" w:eastAsia="zh-CN" w:bidi="ar-SA"/>
                    </w:rPr>
                    <w:t>临界量（</w:t>
                  </w:r>
                  <w:r>
                    <w:rPr>
                      <w:rFonts w:hint="eastAsia" w:ascii="Times New Roman" w:hAnsi="Times New Roman" w:eastAsia="宋体" w:cs="宋体"/>
                      <w:color w:val="auto"/>
                      <w:kern w:val="0"/>
                      <w:sz w:val="21"/>
                      <w:szCs w:val="21"/>
                      <w:highlight w:val="none"/>
                      <w:lang w:val="en-US" w:eastAsia="zh-CN" w:bidi="ar-SA"/>
                    </w:rPr>
                    <w:t>t</w:t>
                  </w:r>
                  <w:r>
                    <w:rPr>
                      <w:rFonts w:ascii="Times New Roman" w:hAnsi="Times New Roman" w:eastAsia="宋体" w:cs="宋体"/>
                      <w:color w:val="auto"/>
                      <w:kern w:val="0"/>
                      <w:sz w:val="21"/>
                      <w:szCs w:val="21"/>
                      <w:highlight w:val="none"/>
                      <w:lang w:val="zh-CN" w:eastAsia="zh-CN" w:bidi="ar-SA"/>
                    </w:rPr>
                    <w:t>）</w:t>
                  </w:r>
                </w:p>
              </w:tc>
              <w:tc>
                <w:tcPr>
                  <w:tcW w:w="1643" w:type="pct"/>
                  <w:tcBorders>
                    <w:tl2br w:val="nil"/>
                    <w:tr2bl w:val="nil"/>
                  </w:tcBorders>
                  <w:vAlign w:val="center"/>
                </w:tcPr>
                <w:p w14:paraId="160C426A">
                  <w:pPr>
                    <w:widowControl w:val="0"/>
                    <w:autoSpaceDE w:val="0"/>
                    <w:autoSpaceDN w:val="0"/>
                    <w:adjustRightInd w:val="0"/>
                    <w:snapToGrid w:val="0"/>
                    <w:spacing w:line="240" w:lineRule="auto"/>
                    <w:ind w:firstLine="0" w:firstLineChars="0"/>
                    <w:jc w:val="center"/>
                    <w:rPr>
                      <w:rFonts w:ascii="Times New Roman" w:hAnsi="Times New Roman" w:eastAsia="宋体" w:cs="宋体"/>
                      <w:color w:val="auto"/>
                      <w:kern w:val="0"/>
                      <w:sz w:val="21"/>
                      <w:szCs w:val="21"/>
                      <w:highlight w:val="none"/>
                      <w:lang w:val="zh-CN" w:eastAsia="zh-CN" w:bidi="ar-SA"/>
                    </w:rPr>
                  </w:pPr>
                  <w:r>
                    <w:rPr>
                      <w:rFonts w:ascii="Times New Roman" w:hAnsi="Times New Roman" w:eastAsia="宋体" w:cs="宋体"/>
                      <w:color w:val="auto"/>
                      <w:kern w:val="0"/>
                      <w:sz w:val="21"/>
                      <w:szCs w:val="21"/>
                      <w:highlight w:val="none"/>
                      <w:lang w:val="zh-CN" w:eastAsia="zh-CN" w:bidi="ar-SA"/>
                    </w:rPr>
                    <w:t>本</w:t>
                  </w:r>
                  <w:r>
                    <w:rPr>
                      <w:rFonts w:hint="eastAsia" w:ascii="Times New Roman" w:hAnsi="Times New Roman" w:eastAsia="宋体" w:cs="宋体"/>
                      <w:color w:val="auto"/>
                      <w:kern w:val="0"/>
                      <w:sz w:val="21"/>
                      <w:szCs w:val="21"/>
                      <w:highlight w:val="none"/>
                      <w:lang w:val="en-US" w:eastAsia="zh-CN" w:bidi="ar-SA"/>
                    </w:rPr>
                    <w:t>项目最大存储</w:t>
                  </w:r>
                  <w:r>
                    <w:rPr>
                      <w:rFonts w:ascii="Times New Roman" w:hAnsi="Times New Roman" w:eastAsia="宋体" w:cs="宋体"/>
                      <w:color w:val="auto"/>
                      <w:kern w:val="0"/>
                      <w:sz w:val="21"/>
                      <w:szCs w:val="21"/>
                      <w:highlight w:val="none"/>
                      <w:lang w:val="zh-CN" w:eastAsia="zh-CN" w:bidi="ar-SA"/>
                    </w:rPr>
                    <w:t>量（</w:t>
                  </w:r>
                  <w:r>
                    <w:rPr>
                      <w:rFonts w:hint="eastAsia" w:ascii="Times New Roman" w:hAnsi="Times New Roman" w:eastAsia="宋体" w:cs="宋体"/>
                      <w:color w:val="auto"/>
                      <w:kern w:val="0"/>
                      <w:sz w:val="21"/>
                      <w:szCs w:val="21"/>
                      <w:highlight w:val="none"/>
                      <w:lang w:val="en-US" w:eastAsia="zh-CN" w:bidi="ar-SA"/>
                    </w:rPr>
                    <w:t>kg</w:t>
                  </w:r>
                  <w:r>
                    <w:rPr>
                      <w:rFonts w:ascii="Times New Roman" w:hAnsi="Times New Roman" w:eastAsia="宋体" w:cs="宋体"/>
                      <w:color w:val="auto"/>
                      <w:kern w:val="0"/>
                      <w:sz w:val="21"/>
                      <w:szCs w:val="21"/>
                      <w:highlight w:val="none"/>
                      <w:lang w:val="zh-CN" w:eastAsia="zh-CN" w:bidi="ar-SA"/>
                    </w:rPr>
                    <w:t>）</w:t>
                  </w:r>
                </w:p>
              </w:tc>
              <w:tc>
                <w:tcPr>
                  <w:tcW w:w="1073" w:type="pct"/>
                  <w:tcBorders>
                    <w:tl2br w:val="nil"/>
                    <w:tr2bl w:val="nil"/>
                  </w:tcBorders>
                  <w:vAlign w:val="center"/>
                </w:tcPr>
                <w:p w14:paraId="6153A704">
                  <w:pPr>
                    <w:widowControl w:val="0"/>
                    <w:autoSpaceDE w:val="0"/>
                    <w:autoSpaceDN w:val="0"/>
                    <w:adjustRightInd w:val="0"/>
                    <w:snapToGrid w:val="0"/>
                    <w:spacing w:line="240" w:lineRule="auto"/>
                    <w:ind w:firstLine="0" w:firstLineChars="0"/>
                    <w:jc w:val="center"/>
                    <w:rPr>
                      <w:rFonts w:ascii="Times New Roman" w:hAnsi="Times New Roman" w:eastAsia="宋体" w:cs="宋体"/>
                      <w:color w:val="auto"/>
                      <w:kern w:val="0"/>
                      <w:sz w:val="21"/>
                      <w:szCs w:val="21"/>
                      <w:highlight w:val="none"/>
                      <w:lang w:val="zh-CN" w:eastAsia="zh-CN" w:bidi="ar-SA"/>
                    </w:rPr>
                  </w:pPr>
                  <w:r>
                    <w:rPr>
                      <w:rFonts w:ascii="Times New Roman" w:hAnsi="Times New Roman" w:eastAsia="宋体" w:cs="宋体"/>
                      <w:color w:val="auto"/>
                      <w:kern w:val="0"/>
                      <w:sz w:val="21"/>
                      <w:szCs w:val="21"/>
                      <w:highlight w:val="none"/>
                      <w:lang w:val="zh-CN" w:eastAsia="zh-CN" w:bidi="ar-SA"/>
                    </w:rPr>
                    <w:t>q/Q</w:t>
                  </w:r>
                </w:p>
              </w:tc>
            </w:tr>
            <w:tr w14:paraId="627A4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9" w:type="pct"/>
                  <w:tcBorders>
                    <w:tl2br w:val="nil"/>
                    <w:tr2bl w:val="nil"/>
                  </w:tcBorders>
                  <w:vAlign w:val="center"/>
                </w:tcPr>
                <w:p w14:paraId="78DF1FB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color w:val="auto"/>
                      <w:sz w:val="21"/>
                      <w:szCs w:val="21"/>
                      <w:highlight w:val="none"/>
                    </w:rPr>
                  </w:pPr>
                  <w:r>
                    <w:rPr>
                      <w:rFonts w:hint="eastAsia" w:cs="Times New Roman"/>
                      <w:i w:val="0"/>
                      <w:iCs w:val="0"/>
                      <w:color w:val="auto"/>
                      <w:kern w:val="0"/>
                      <w:sz w:val="21"/>
                      <w:szCs w:val="21"/>
                      <w:u w:val="none"/>
                      <w:lang w:val="en-US" w:eastAsia="zh-CN" w:bidi="ar"/>
                    </w:rPr>
                    <w:t>废机油</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063" w:type="pct"/>
                  <w:tcBorders>
                    <w:tl2br w:val="nil"/>
                    <w:tr2bl w:val="nil"/>
                  </w:tcBorders>
                  <w:vAlign w:val="center"/>
                </w:tcPr>
                <w:p w14:paraId="25EB4C81">
                  <w:pPr>
                    <w:keepNext w:val="0"/>
                    <w:keepLines w:val="0"/>
                    <w:widowControl/>
                    <w:suppressLineNumbers w:val="0"/>
                    <w:jc w:val="center"/>
                    <w:textAlignment w:val="center"/>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2</w:t>
                  </w:r>
                  <w:r>
                    <w:rPr>
                      <w:rFonts w:hint="eastAsia" w:ascii="Times New Roman" w:hAnsi="Times New Roman" w:eastAsia="宋体" w:cs="宋体"/>
                      <w:color w:val="auto"/>
                      <w:sz w:val="21"/>
                      <w:szCs w:val="21"/>
                      <w:highlight w:val="none"/>
                      <w:lang w:val="en-US" w:eastAsia="zh-CN"/>
                    </w:rPr>
                    <w:t>500</w:t>
                  </w:r>
                </w:p>
              </w:tc>
              <w:tc>
                <w:tcPr>
                  <w:tcW w:w="1643" w:type="pct"/>
                  <w:tcBorders>
                    <w:tl2br w:val="nil"/>
                    <w:tr2bl w:val="nil"/>
                  </w:tcBorders>
                  <w:vAlign w:val="center"/>
                </w:tcPr>
                <w:p w14:paraId="33B939AC">
                  <w:pPr>
                    <w:keepNext w:val="0"/>
                    <w:keepLines w:val="0"/>
                    <w:widowControl/>
                    <w:suppressLineNumbers w:val="0"/>
                    <w:jc w:val="center"/>
                    <w:textAlignment w:val="center"/>
                    <w:rPr>
                      <w:rFonts w:hint="default" w:ascii="Times New Roman" w:hAnsi="Times New Roman" w:eastAsia="宋体" w:cs="宋体"/>
                      <w:color w:val="auto"/>
                      <w:sz w:val="21"/>
                      <w:szCs w:val="21"/>
                      <w:highlight w:val="none"/>
                      <w:lang w:val="en-US"/>
                    </w:rPr>
                  </w:pPr>
                  <w:r>
                    <w:rPr>
                      <w:rFonts w:hint="eastAsia" w:cs="Times New Roman"/>
                      <w:i w:val="0"/>
                      <w:iCs w:val="0"/>
                      <w:color w:val="auto"/>
                      <w:kern w:val="0"/>
                      <w:sz w:val="21"/>
                      <w:szCs w:val="21"/>
                      <w:u w:val="none"/>
                      <w:lang w:val="en-US" w:eastAsia="zh-CN" w:bidi="ar"/>
                    </w:rPr>
                    <w:t>0.1</w:t>
                  </w:r>
                </w:p>
              </w:tc>
              <w:tc>
                <w:tcPr>
                  <w:tcW w:w="1073" w:type="pct"/>
                  <w:tcBorders>
                    <w:tl2br w:val="nil"/>
                    <w:tr2bl w:val="nil"/>
                  </w:tcBorders>
                  <w:vAlign w:val="center"/>
                </w:tcPr>
                <w:p w14:paraId="2D7266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r>
            <w:tr w14:paraId="1F952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6" w:type="pct"/>
                  <w:gridSpan w:val="3"/>
                  <w:tcBorders>
                    <w:tl2br w:val="nil"/>
                    <w:tr2bl w:val="nil"/>
                  </w:tcBorders>
                  <w:vAlign w:val="center"/>
                </w:tcPr>
                <w:p w14:paraId="11B081F9">
                  <w:pPr>
                    <w:widowControl w:val="0"/>
                    <w:autoSpaceDE w:val="0"/>
                    <w:autoSpaceDN w:val="0"/>
                    <w:adjustRightInd w:val="0"/>
                    <w:snapToGrid w:val="0"/>
                    <w:spacing w:line="240" w:lineRule="auto"/>
                    <w:ind w:firstLine="0" w:firstLineChars="0"/>
                    <w:jc w:val="center"/>
                    <w:rPr>
                      <w:rFonts w:ascii="Times New Roman" w:hAnsi="Times New Roman" w:eastAsia="宋体" w:cs="宋体"/>
                      <w:color w:val="auto"/>
                      <w:kern w:val="0"/>
                      <w:sz w:val="21"/>
                      <w:szCs w:val="21"/>
                      <w:highlight w:val="none"/>
                      <w:lang w:val="zh-CN" w:eastAsia="zh-CN" w:bidi="ar-SA"/>
                    </w:rPr>
                  </w:pPr>
                  <w:r>
                    <w:rPr>
                      <w:rFonts w:ascii="Times New Roman" w:hAnsi="Times New Roman" w:eastAsia="宋体" w:cs="宋体"/>
                      <w:color w:val="auto"/>
                      <w:kern w:val="0"/>
                      <w:sz w:val="21"/>
                      <w:szCs w:val="21"/>
                      <w:highlight w:val="none"/>
                      <w:lang w:val="en-US" w:eastAsia="zh-CN" w:bidi="ar-SA"/>
                    </w:rPr>
                    <w:t>Q=∑（qi/Qi）</w:t>
                  </w:r>
                </w:p>
              </w:tc>
              <w:tc>
                <w:tcPr>
                  <w:tcW w:w="1073" w:type="pct"/>
                  <w:tcBorders>
                    <w:tl2br w:val="nil"/>
                    <w:tr2bl w:val="nil"/>
                  </w:tcBorders>
                  <w:vAlign w:val="center"/>
                </w:tcPr>
                <w:p w14:paraId="2D34EABA">
                  <w:pPr>
                    <w:widowControl w:val="0"/>
                    <w:autoSpaceDE w:val="0"/>
                    <w:autoSpaceDN w:val="0"/>
                    <w:adjustRightInd w:val="0"/>
                    <w:snapToGrid w:val="0"/>
                    <w:spacing w:line="240" w:lineRule="auto"/>
                    <w:ind w:firstLine="0" w:firstLineChars="0"/>
                    <w:jc w:val="center"/>
                    <w:rPr>
                      <w:rFonts w:ascii="Times New Roman" w:hAnsi="Times New Roman" w:eastAsia="宋体" w:cs="宋体"/>
                      <w:color w:val="auto"/>
                      <w:kern w:val="0"/>
                      <w:sz w:val="21"/>
                      <w:szCs w:val="21"/>
                      <w:highlight w:val="none"/>
                      <w:lang w:val="en-US" w:eastAsia="zh-CN" w:bidi="ar-SA"/>
                    </w:rPr>
                  </w:pPr>
                  <w:r>
                    <w:rPr>
                      <w:rFonts w:hint="eastAsia" w:cs="Times New Roman"/>
                      <w:i w:val="0"/>
                      <w:iCs w:val="0"/>
                      <w:color w:val="auto"/>
                      <w:kern w:val="0"/>
                      <w:sz w:val="21"/>
                      <w:szCs w:val="21"/>
                      <w:u w:val="none"/>
                      <w:lang w:val="en-US" w:eastAsia="zh-CN" w:bidi="ar"/>
                    </w:rPr>
                    <w:t>0.00004</w:t>
                  </w:r>
                  <w:r>
                    <w:rPr>
                      <w:rFonts w:hint="eastAsia" w:ascii="Times New Roman" w:hAnsi="Times New Roman" w:eastAsia="宋体" w:cs="Times New Roman"/>
                      <w:i w:val="0"/>
                      <w:iCs w:val="0"/>
                      <w:color w:val="auto"/>
                      <w:kern w:val="0"/>
                      <w:sz w:val="21"/>
                      <w:szCs w:val="21"/>
                      <w:u w:val="none"/>
                      <w:lang w:val="en-US" w:eastAsia="zh-CN" w:bidi="ar"/>
                    </w:rPr>
                    <w:t xml:space="preserve"> </w:t>
                  </w:r>
                  <w:r>
                    <w:rPr>
                      <w:rFonts w:ascii="Times New Roman" w:hAnsi="Times New Roman" w:eastAsia="宋体" w:cs="宋体"/>
                      <w:color w:val="auto"/>
                      <w:kern w:val="0"/>
                      <w:sz w:val="21"/>
                      <w:szCs w:val="21"/>
                      <w:highlight w:val="none"/>
                      <w:lang w:val="en-US" w:eastAsia="zh-CN" w:bidi="ar-SA"/>
                    </w:rPr>
                    <w:t>＜1</w:t>
                  </w:r>
                </w:p>
              </w:tc>
            </w:tr>
          </w:tbl>
          <w:p w14:paraId="7D43BAE1">
            <w:pPr>
              <w:keepNext w:val="0"/>
              <w:keepLines w:val="0"/>
              <w:pageBreakBefore w:val="0"/>
              <w:widowControl w:val="0"/>
              <w:kinsoku/>
              <w:wordWrap/>
              <w:overflowPunct/>
              <w:topLinePunct w:val="0"/>
              <w:autoSpaceDE/>
              <w:autoSpaceDN/>
              <w:bidi w:val="0"/>
              <w:adjustRightInd/>
              <w:snapToGrid/>
              <w:spacing w:before="0" w:after="0" w:line="480" w:lineRule="atLeast"/>
              <w:ind w:left="0" w:right="0" w:firstLine="480" w:firstLineChars="200"/>
              <w:jc w:val="both"/>
              <w:textAlignment w:val="auto"/>
              <w:rPr>
                <w:rFonts w:hint="eastAsia" w:ascii="Times New Roman" w:hAnsi="Times New Roman" w:eastAsia="宋体" w:cs="Times New Roman"/>
                <w:color w:val="auto"/>
                <w:kern w:val="2"/>
                <w:sz w:val="24"/>
                <w:szCs w:val="24"/>
                <w:highlight w:val="none"/>
                <w:lang w:eastAsia="zh-CN"/>
              </w:rPr>
            </w:pPr>
            <w:r>
              <w:rPr>
                <w:rFonts w:hint="default" w:ascii="Times New Roman" w:hAnsi="Times New Roman" w:eastAsia="宋体" w:cs="宋体"/>
                <w:color w:val="auto"/>
              </w:rPr>
              <w:t>本项目涉及的危险化学</w:t>
            </w:r>
            <w:r>
              <w:rPr>
                <w:rFonts w:hint="default" w:ascii="Times New Roman" w:hAnsi="Times New Roman" w:eastAsia="宋体" w:cs="宋体"/>
                <w:color w:val="auto"/>
                <w:sz w:val="24"/>
                <w:szCs w:val="24"/>
              </w:rPr>
              <w:t>品Q=</w:t>
            </w:r>
            <w:r>
              <w:rPr>
                <w:rFonts w:hint="eastAsia" w:cs="Times New Roman"/>
                <w:i w:val="0"/>
                <w:iCs w:val="0"/>
                <w:color w:val="auto"/>
                <w:kern w:val="0"/>
                <w:sz w:val="24"/>
                <w:szCs w:val="24"/>
                <w:u w:val="none"/>
                <w:lang w:val="en-US" w:eastAsia="zh-CN" w:bidi="ar"/>
              </w:rPr>
              <w:t>0.00004</w:t>
            </w:r>
            <w:r>
              <w:rPr>
                <w:rFonts w:hint="default" w:ascii="Times New Roman" w:hAnsi="Times New Roman" w:eastAsia="宋体" w:cs="宋体"/>
                <w:color w:val="auto"/>
                <w:sz w:val="24"/>
                <w:szCs w:val="24"/>
              </w:rPr>
              <w:t>＜1。</w:t>
            </w:r>
            <w:r>
              <w:rPr>
                <w:rFonts w:hint="default" w:ascii="Times New Roman" w:hAnsi="Times New Roman" w:eastAsia="宋体" w:cs="宋体"/>
                <w:color w:val="auto"/>
                <w:lang w:val="en-US" w:eastAsia="zh-CN"/>
              </w:rPr>
              <w:t>本项目</w:t>
            </w:r>
            <w:r>
              <w:rPr>
                <w:rFonts w:hint="default" w:ascii="Times New Roman" w:hAnsi="Times New Roman" w:eastAsia="宋体" w:cs="宋体"/>
                <w:color w:val="auto"/>
              </w:rPr>
              <w:t>环境风险潜势为Ⅰ</w:t>
            </w:r>
            <w:r>
              <w:rPr>
                <w:rFonts w:hint="eastAsia" w:ascii="Times New Roman" w:hAnsi="Times New Roman" w:eastAsia="宋体" w:cs="宋体"/>
                <w:color w:val="auto"/>
                <w:lang w:eastAsia="zh-CN"/>
              </w:rPr>
              <w:t>，</w:t>
            </w:r>
            <w:r>
              <w:rPr>
                <w:rFonts w:hint="eastAsia" w:ascii="Times New Roman" w:hAnsi="Times New Roman" w:eastAsia="宋体" w:cs="宋体"/>
                <w:color w:val="auto"/>
                <w:lang w:val="en-US" w:eastAsia="zh-CN"/>
              </w:rPr>
              <w:t>危险物质存储量未超过临界量，不开展环境风险专题评价</w:t>
            </w:r>
            <w:r>
              <w:rPr>
                <w:rFonts w:hint="eastAsia" w:ascii="Times New Roman" w:hAnsi="Times New Roman" w:eastAsia="宋体" w:cs="宋体"/>
                <w:color w:val="auto"/>
                <w:lang w:eastAsia="zh-CN"/>
              </w:rPr>
              <w:t>。</w:t>
            </w:r>
          </w:p>
          <w:p w14:paraId="4052EC0C">
            <w:pPr>
              <w:overflowPunct w:val="0"/>
              <w:autoSpaceDE w:val="0"/>
              <w:autoSpaceDN w:val="0"/>
              <w:bidi w:val="0"/>
              <w:adjustRightInd w:val="0"/>
              <w:snapToGrid w:val="0"/>
              <w:spacing w:line="500" w:lineRule="exact"/>
              <w:ind w:firstLine="480" w:firstLineChars="200"/>
              <w:jc w:val="both"/>
              <w:rPr>
                <w:rFonts w:hint="default" w:ascii="Times New Roman" w:hAnsi="Times New Roman" w:eastAsia="宋体" w:cs="宋体"/>
                <w:color w:val="auto"/>
              </w:rPr>
            </w:pPr>
            <w:r>
              <w:rPr>
                <w:rFonts w:hint="default" w:ascii="Times New Roman" w:hAnsi="Times New Roman" w:eastAsia="宋体" w:cs="宋体"/>
                <w:color w:val="auto"/>
              </w:rPr>
              <w:t>根据《建设项目环境风险评价技术导则》（HJ169-2018），环境风险评价工作等级为简单分析，评价深度以定性说明为主，划分依据见表</w:t>
            </w:r>
            <w:r>
              <w:rPr>
                <w:rFonts w:hint="eastAsia" w:ascii="Times New Roman" w:hAnsi="Times New Roman" w:eastAsia="宋体" w:cs="宋体"/>
                <w:color w:val="auto"/>
                <w:lang w:val="en-US" w:eastAsia="zh-CN"/>
              </w:rPr>
              <w:t>4.</w:t>
            </w:r>
            <w:r>
              <w:rPr>
                <w:rFonts w:hint="default" w:ascii="Times New Roman" w:hAnsi="Times New Roman" w:eastAsia="宋体" w:cs="宋体"/>
                <w:color w:val="auto"/>
                <w:lang w:eastAsia="zh-CN"/>
              </w:rPr>
              <w:t>7-</w:t>
            </w:r>
            <w:r>
              <w:rPr>
                <w:rFonts w:hint="eastAsia" w:ascii="Times New Roman" w:hAnsi="Times New Roman" w:eastAsia="宋体" w:cs="宋体"/>
                <w:color w:val="auto"/>
                <w:lang w:val="en-US" w:eastAsia="zh-CN"/>
              </w:rPr>
              <w:t>2</w:t>
            </w:r>
            <w:r>
              <w:rPr>
                <w:rFonts w:hint="default" w:ascii="Times New Roman" w:hAnsi="Times New Roman" w:eastAsia="宋体" w:cs="宋体"/>
                <w:color w:val="auto"/>
              </w:rPr>
              <w:t>。</w:t>
            </w:r>
          </w:p>
          <w:p w14:paraId="26AF0C63">
            <w:pPr>
              <w:widowControl w:val="0"/>
              <w:overflowPunct w:val="0"/>
              <w:autoSpaceDE w:val="0"/>
              <w:autoSpaceDN w:val="0"/>
              <w:bidi w:val="0"/>
              <w:adjustRightInd w:val="0"/>
              <w:snapToGrid w:val="0"/>
              <w:spacing w:line="400" w:lineRule="exact"/>
              <w:ind w:firstLine="0" w:firstLineChars="0"/>
              <w:jc w:val="center"/>
              <w:rPr>
                <w:rFonts w:hint="default" w:ascii="Times New Roman" w:hAnsi="Times New Roman" w:eastAsia="宋体" w:cs="宋体"/>
                <w:b/>
                <w:color w:val="auto"/>
                <w:sz w:val="24"/>
                <w:szCs w:val="24"/>
                <w:lang w:val="zh-CN" w:eastAsia="zh-CN" w:bidi="ar-SA"/>
              </w:rPr>
            </w:pPr>
            <w:r>
              <w:rPr>
                <w:rFonts w:hint="default" w:ascii="Times New Roman" w:hAnsi="Times New Roman" w:eastAsia="宋体" w:cs="宋体"/>
                <w:b/>
                <w:color w:val="auto"/>
                <w:sz w:val="24"/>
                <w:szCs w:val="24"/>
                <w:lang w:val="zh-CN" w:eastAsia="zh-CN" w:bidi="ar-SA"/>
              </w:rPr>
              <w:t>表</w:t>
            </w:r>
            <w:r>
              <w:rPr>
                <w:rFonts w:hint="eastAsia" w:ascii="Times New Roman" w:hAnsi="Times New Roman" w:eastAsia="宋体" w:cs="宋体"/>
                <w:b/>
                <w:color w:val="auto"/>
                <w:sz w:val="24"/>
                <w:szCs w:val="24"/>
                <w:lang w:val="en-US" w:eastAsia="zh-CN" w:bidi="ar-SA"/>
              </w:rPr>
              <w:t>4.</w:t>
            </w:r>
            <w:r>
              <w:rPr>
                <w:rFonts w:hint="eastAsia" w:cs="宋体"/>
                <w:b/>
                <w:color w:val="auto"/>
                <w:sz w:val="24"/>
                <w:szCs w:val="24"/>
                <w:lang w:val="en-US" w:eastAsia="zh-CN" w:bidi="ar-SA"/>
              </w:rPr>
              <w:t>7</w:t>
            </w:r>
            <w:r>
              <w:rPr>
                <w:rFonts w:hint="default" w:ascii="Times New Roman" w:hAnsi="Times New Roman" w:eastAsia="宋体" w:cs="宋体"/>
                <w:b/>
                <w:color w:val="auto"/>
                <w:sz w:val="24"/>
                <w:szCs w:val="24"/>
                <w:lang w:val="en-US" w:eastAsia="zh-CN" w:bidi="ar-SA"/>
              </w:rPr>
              <w:t>-</w:t>
            </w:r>
            <w:r>
              <w:rPr>
                <w:rFonts w:hint="eastAsia" w:cs="宋体"/>
                <w:b/>
                <w:color w:val="auto"/>
                <w:sz w:val="24"/>
                <w:szCs w:val="24"/>
                <w:lang w:val="en-US" w:eastAsia="zh-CN" w:bidi="ar-SA"/>
              </w:rPr>
              <w:t>2</w:t>
            </w:r>
            <w:r>
              <w:rPr>
                <w:rFonts w:hint="eastAsia" w:ascii="Times New Roman" w:hAnsi="Times New Roman" w:eastAsia="宋体" w:cs="宋体"/>
                <w:b/>
                <w:color w:val="auto"/>
                <w:sz w:val="24"/>
                <w:szCs w:val="24"/>
                <w:lang w:val="en-US" w:eastAsia="zh-CN" w:bidi="ar-SA"/>
              </w:rPr>
              <w:t xml:space="preserve"> </w:t>
            </w:r>
            <w:r>
              <w:rPr>
                <w:rFonts w:hint="default" w:ascii="Times New Roman" w:hAnsi="Times New Roman" w:eastAsia="宋体" w:cs="宋体"/>
                <w:b/>
                <w:color w:val="auto"/>
                <w:sz w:val="24"/>
                <w:szCs w:val="24"/>
                <w:lang w:val="en-US" w:eastAsia="zh-CN" w:bidi="ar-SA"/>
              </w:rPr>
              <w:t xml:space="preserve"> </w:t>
            </w:r>
            <w:r>
              <w:rPr>
                <w:rFonts w:hint="default" w:ascii="Times New Roman" w:hAnsi="Times New Roman" w:eastAsia="宋体" w:cs="宋体"/>
                <w:b/>
                <w:color w:val="auto"/>
                <w:sz w:val="24"/>
                <w:szCs w:val="24"/>
                <w:lang w:val="zh-CN" w:eastAsia="zh-CN" w:bidi="ar-SA"/>
              </w:rPr>
              <w:t>环境风险评价工作等级划分表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1714"/>
              <w:gridCol w:w="1714"/>
              <w:gridCol w:w="1714"/>
              <w:gridCol w:w="1717"/>
            </w:tblGrid>
            <w:tr w14:paraId="45EFD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99" w:type="pct"/>
                  <w:tcBorders>
                    <w:tl2br w:val="nil"/>
                    <w:tr2bl w:val="nil"/>
                  </w:tcBorders>
                  <w:noWrap w:val="0"/>
                  <w:vAlign w:val="center"/>
                </w:tcPr>
                <w:p w14:paraId="33E1F39D">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环境风险潜势</w:t>
                  </w:r>
                </w:p>
              </w:tc>
              <w:tc>
                <w:tcPr>
                  <w:tcW w:w="1000" w:type="pct"/>
                  <w:tcBorders>
                    <w:tl2br w:val="nil"/>
                    <w:tr2bl w:val="nil"/>
                  </w:tcBorders>
                  <w:noWrap w:val="0"/>
                  <w:vAlign w:val="center"/>
                </w:tcPr>
                <w:p w14:paraId="60E928C4">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zh-CN" w:eastAsia="zh-CN" w:bidi="ar-SA"/>
                    </w:rPr>
                    <w:t>Ⅳ、Ⅳ</w:t>
                  </w:r>
                  <w:r>
                    <w:rPr>
                      <w:rFonts w:hint="default" w:ascii="Times New Roman" w:hAnsi="Times New Roman" w:eastAsia="宋体" w:cs="Times New Roman"/>
                      <w:b w:val="0"/>
                      <w:bCs w:val="0"/>
                      <w:color w:val="auto"/>
                      <w:kern w:val="0"/>
                      <w:sz w:val="21"/>
                      <w:szCs w:val="21"/>
                      <w:lang w:val="en-US" w:eastAsia="zh-CN" w:bidi="ar-SA"/>
                    </w:rPr>
                    <w:t>+</w:t>
                  </w:r>
                </w:p>
              </w:tc>
              <w:tc>
                <w:tcPr>
                  <w:tcW w:w="1000" w:type="pct"/>
                  <w:tcBorders>
                    <w:tl2br w:val="nil"/>
                    <w:tr2bl w:val="nil"/>
                  </w:tcBorders>
                  <w:noWrap w:val="0"/>
                  <w:vAlign w:val="center"/>
                </w:tcPr>
                <w:p w14:paraId="3CE434DB">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lang w:val="zh-CN" w:eastAsia="zh-CN" w:bidi="ar-SA"/>
                    </w:rPr>
                  </w:pPr>
                  <w:r>
                    <w:rPr>
                      <w:rFonts w:hint="default" w:ascii="Times New Roman" w:hAnsi="Times New Roman" w:eastAsia="宋体" w:cs="Times New Roman"/>
                      <w:b w:val="0"/>
                      <w:bCs w:val="0"/>
                      <w:color w:val="auto"/>
                      <w:kern w:val="0"/>
                      <w:sz w:val="21"/>
                      <w:szCs w:val="21"/>
                      <w:lang w:val="zh-CN" w:eastAsia="zh-CN" w:bidi="ar-SA"/>
                    </w:rPr>
                    <w:t>Ⅲ</w:t>
                  </w:r>
                </w:p>
              </w:tc>
              <w:tc>
                <w:tcPr>
                  <w:tcW w:w="1000" w:type="pct"/>
                  <w:tcBorders>
                    <w:tl2br w:val="nil"/>
                    <w:tr2bl w:val="nil"/>
                  </w:tcBorders>
                  <w:noWrap w:val="0"/>
                  <w:vAlign w:val="center"/>
                </w:tcPr>
                <w:p w14:paraId="1B564150">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lang w:val="zh-CN" w:eastAsia="zh-CN" w:bidi="ar-SA"/>
                    </w:rPr>
                  </w:pPr>
                  <w:r>
                    <w:rPr>
                      <w:rFonts w:hint="default" w:ascii="Times New Roman" w:hAnsi="Times New Roman" w:eastAsia="宋体" w:cs="Times New Roman"/>
                      <w:b w:val="0"/>
                      <w:bCs w:val="0"/>
                      <w:color w:val="auto"/>
                      <w:kern w:val="0"/>
                      <w:sz w:val="21"/>
                      <w:szCs w:val="21"/>
                      <w:lang w:val="zh-CN" w:eastAsia="zh-CN" w:bidi="ar-SA"/>
                    </w:rPr>
                    <w:t>Ⅱ</w:t>
                  </w:r>
                </w:p>
              </w:tc>
              <w:tc>
                <w:tcPr>
                  <w:tcW w:w="1000" w:type="pct"/>
                  <w:tcBorders>
                    <w:tl2br w:val="nil"/>
                    <w:tr2bl w:val="nil"/>
                  </w:tcBorders>
                  <w:noWrap w:val="0"/>
                  <w:vAlign w:val="center"/>
                </w:tcPr>
                <w:p w14:paraId="05691210">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lang w:val="zh-CN" w:eastAsia="zh-CN" w:bidi="ar-SA"/>
                    </w:rPr>
                  </w:pPr>
                  <w:r>
                    <w:rPr>
                      <w:rFonts w:hint="default" w:ascii="Times New Roman" w:hAnsi="Times New Roman" w:eastAsia="宋体" w:cs="Times New Roman"/>
                      <w:b w:val="0"/>
                      <w:bCs w:val="0"/>
                      <w:color w:val="auto"/>
                      <w:kern w:val="0"/>
                      <w:sz w:val="21"/>
                      <w:szCs w:val="21"/>
                      <w:lang w:val="zh-CN" w:eastAsia="zh-CN" w:bidi="ar-SA"/>
                    </w:rPr>
                    <w:t>Ⅰ</w:t>
                  </w:r>
                </w:p>
              </w:tc>
            </w:tr>
            <w:tr w14:paraId="13F47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pct"/>
                  <w:tcBorders>
                    <w:tl2br w:val="nil"/>
                    <w:tr2bl w:val="nil"/>
                  </w:tcBorders>
                  <w:noWrap w:val="0"/>
                  <w:vAlign w:val="center"/>
                </w:tcPr>
                <w:p w14:paraId="5A9B3250">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评价工作等级</w:t>
                  </w:r>
                </w:p>
              </w:tc>
              <w:tc>
                <w:tcPr>
                  <w:tcW w:w="1000" w:type="pct"/>
                  <w:tcBorders>
                    <w:tl2br w:val="nil"/>
                    <w:tr2bl w:val="nil"/>
                  </w:tcBorders>
                  <w:noWrap w:val="0"/>
                  <w:vAlign w:val="center"/>
                </w:tcPr>
                <w:p w14:paraId="451A7377">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一</w:t>
                  </w:r>
                </w:p>
              </w:tc>
              <w:tc>
                <w:tcPr>
                  <w:tcW w:w="1000" w:type="pct"/>
                  <w:tcBorders>
                    <w:tl2br w:val="nil"/>
                    <w:tr2bl w:val="nil"/>
                  </w:tcBorders>
                  <w:noWrap w:val="0"/>
                  <w:vAlign w:val="center"/>
                </w:tcPr>
                <w:p w14:paraId="4580AEDC">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二</w:t>
                  </w:r>
                </w:p>
              </w:tc>
              <w:tc>
                <w:tcPr>
                  <w:tcW w:w="1000" w:type="pct"/>
                  <w:tcBorders>
                    <w:tl2br w:val="nil"/>
                    <w:tr2bl w:val="nil"/>
                  </w:tcBorders>
                  <w:noWrap w:val="0"/>
                  <w:vAlign w:val="center"/>
                </w:tcPr>
                <w:p w14:paraId="64F7B569">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三</w:t>
                  </w:r>
                </w:p>
              </w:tc>
              <w:tc>
                <w:tcPr>
                  <w:tcW w:w="1000" w:type="pct"/>
                  <w:tcBorders>
                    <w:tl2br w:val="nil"/>
                    <w:tr2bl w:val="nil"/>
                  </w:tcBorders>
                  <w:noWrap w:val="0"/>
                  <w:vAlign w:val="center"/>
                </w:tcPr>
                <w:p w14:paraId="0B4F6ECF">
                  <w:pPr>
                    <w:widowControl w:val="0"/>
                    <w:overflowPunct w:val="0"/>
                    <w:autoSpaceDE w:val="0"/>
                    <w:autoSpaceDN w:val="0"/>
                    <w:adjustRightInd w:val="0"/>
                    <w:snapToGrid w:val="0"/>
                    <w:spacing w:line="40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简单分析a</w:t>
                  </w:r>
                </w:p>
              </w:tc>
            </w:tr>
            <w:tr w14:paraId="786E6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noWrap w:val="0"/>
                  <w:vAlign w:val="center"/>
                </w:tcPr>
                <w:p w14:paraId="226652DC">
                  <w:pPr>
                    <w:widowControl w:val="0"/>
                    <w:overflowPunct w:val="0"/>
                    <w:autoSpaceDE w:val="0"/>
                    <w:autoSpaceDN w:val="0"/>
                    <w:adjustRightInd w:val="0"/>
                    <w:snapToGrid w:val="0"/>
                    <w:spacing w:line="400" w:lineRule="exact"/>
                    <w:ind w:firstLine="0" w:firstLineChars="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a是相对于详细评价工作内容而言，在描述危险物质、环境影响途径、环境危害后果、风险防范措施等方面给出定性的说明。</w:t>
                  </w:r>
                </w:p>
              </w:tc>
            </w:tr>
          </w:tbl>
          <w:p w14:paraId="4CA8D224">
            <w:pPr>
              <w:overflowPunct w:val="0"/>
              <w:autoSpaceDE w:val="0"/>
              <w:autoSpaceDN w:val="0"/>
              <w:bidi w:val="0"/>
              <w:adjustRightInd w:val="0"/>
              <w:snapToGrid w:val="0"/>
              <w:spacing w:line="500" w:lineRule="exact"/>
              <w:ind w:firstLine="480" w:firstLineChars="200"/>
              <w:jc w:val="both"/>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由上表可知，本项目风险潜势为</w:t>
            </w:r>
            <w:r>
              <w:rPr>
                <w:rFonts w:hint="default" w:ascii="Times New Roman" w:hAnsi="Times New Roman" w:eastAsia="宋体" w:cs="宋体"/>
                <w:color w:val="auto"/>
              </w:rPr>
              <w:t>Ⅰ</w:t>
            </w:r>
            <w:r>
              <w:rPr>
                <w:rFonts w:hint="eastAsia" w:ascii="Times New Roman" w:hAnsi="Times New Roman" w:eastAsia="宋体" w:cs="宋体"/>
                <w:color w:val="auto"/>
                <w:lang w:eastAsia="zh-CN"/>
              </w:rPr>
              <w:t>，</w:t>
            </w:r>
            <w:r>
              <w:rPr>
                <w:rFonts w:hint="eastAsia" w:ascii="Times New Roman" w:hAnsi="Times New Roman" w:eastAsia="宋体" w:cs="宋体"/>
                <w:color w:val="auto"/>
                <w:lang w:val="en-US" w:eastAsia="zh-CN"/>
              </w:rPr>
              <w:t>为简单分析。</w:t>
            </w:r>
          </w:p>
          <w:p w14:paraId="0CA0AE3B">
            <w:pPr>
              <w:pageBreakBefore w:val="0"/>
              <w:widowControl w:val="0"/>
              <w:kinsoku/>
              <w:wordWrap/>
              <w:overflowPunct/>
              <w:topLinePunct w:val="0"/>
              <w:autoSpaceDE/>
              <w:autoSpaceDN/>
              <w:bidi w:val="0"/>
              <w:adjustRightInd/>
              <w:snapToGrid/>
              <w:spacing w:before="0" w:after="0" w:line="480" w:lineRule="exact"/>
              <w:ind w:left="0" w:right="0" w:firstLine="482" w:firstLineChars="200"/>
              <w:jc w:val="both"/>
              <w:textAlignment w:val="auto"/>
              <w:rPr>
                <w:rFonts w:hint="eastAsia" w:ascii="Times New Roman" w:hAnsi="Times New Roman" w:eastAsia="宋体" w:cs="Times New Roman"/>
                <w:b/>
                <w:bCs/>
                <w:color w:val="auto"/>
                <w:kern w:val="2"/>
                <w:sz w:val="24"/>
                <w:szCs w:val="20"/>
                <w:highlight w:val="none"/>
                <w:lang w:val="en-US" w:eastAsia="zh-CN"/>
              </w:rPr>
            </w:pPr>
            <w:r>
              <w:rPr>
                <w:rFonts w:hint="eastAsia" w:cs="Times New Roman"/>
                <w:b/>
                <w:bCs/>
                <w:color w:val="auto"/>
                <w:kern w:val="2"/>
                <w:sz w:val="24"/>
                <w:szCs w:val="20"/>
                <w:highlight w:val="none"/>
                <w:lang w:val="en-US" w:eastAsia="zh-CN"/>
              </w:rPr>
              <w:t>7.2</w:t>
            </w:r>
            <w:r>
              <w:rPr>
                <w:rFonts w:hint="eastAsia" w:ascii="Times New Roman" w:hAnsi="Times New Roman" w:eastAsia="宋体" w:cs="Times New Roman"/>
                <w:b/>
                <w:bCs/>
                <w:color w:val="auto"/>
                <w:kern w:val="2"/>
                <w:sz w:val="24"/>
                <w:szCs w:val="20"/>
                <w:highlight w:val="none"/>
                <w:lang w:val="en-US" w:eastAsia="zh-CN"/>
              </w:rPr>
              <w:t>环境风险识别</w:t>
            </w:r>
          </w:p>
          <w:p w14:paraId="40DCBF4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（3）环境风险识别</w:t>
            </w:r>
          </w:p>
          <w:p w14:paraId="217442B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①火灾</w:t>
            </w:r>
          </w:p>
          <w:p w14:paraId="009264A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因外力影响、腐蚀、材料各环节存在的缺陷和失误，导致废机油泄露遇明火会发生火灾。火灾事故发生时，在应急救援中，都会在事故现场喷射大量的消防废水，若无应急措施，势必会有部分危险废物跟随消防废水进入土壤和地下水，造成严重污染。</w:t>
            </w:r>
          </w:p>
          <w:p w14:paraId="3DE7F43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②伴生/次伴生影响分析</w:t>
            </w:r>
          </w:p>
          <w:p w14:paraId="3E39D21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在事故应急救援中产生的消防废水伴有一定的物料，若沿着管网外排，将会对污水处置造成冲击，灭火过程中可能产生大量的废灭火剂等固体废物，若事故后随意排放、丢弃，将对环境产生二次污染，同时危险废物燃烧时产生有毒有害气体等伴生/次伴生影响。</w:t>
            </w:r>
          </w:p>
          <w:p w14:paraId="394E287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（4）环境风险分析 </w:t>
            </w:r>
          </w:p>
          <w:p w14:paraId="4AF4608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①大气环境</w:t>
            </w:r>
          </w:p>
          <w:p w14:paraId="41FE728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环境影响当废机油发生泄漏时，部分废机油会蒸发到空气中，产生刺激性气味，对周围的大气环境会造成一定的影响。储罐爆炸或者发生火灾事故伴生/次生CO、SO</w:t>
            </w:r>
            <w:r>
              <w:rPr>
                <w:rFonts w:hint="default" w:ascii="Times New Roman" w:hAnsi="Times New Roman" w:eastAsia="宋体" w:cs="Times New Roman"/>
                <w:b w:val="0"/>
                <w:bCs/>
                <w:color w:val="auto"/>
                <w:vertAlign w:val="subscript"/>
                <w:lang w:val="en-US" w:eastAsia="zh-CN"/>
              </w:rPr>
              <w:t>2</w:t>
            </w:r>
            <w:r>
              <w:rPr>
                <w:rFonts w:hint="default" w:ascii="Times New Roman" w:hAnsi="Times New Roman" w:eastAsia="宋体" w:cs="Times New Roman"/>
                <w:b w:val="0"/>
                <w:bCs/>
                <w:color w:val="auto"/>
                <w:lang w:val="en-US" w:eastAsia="zh-CN"/>
              </w:rPr>
              <w:t>，对周围的大气环境会造成一定的影响。</w:t>
            </w:r>
          </w:p>
          <w:p w14:paraId="3961BE5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②水环境</w:t>
            </w:r>
          </w:p>
          <w:p w14:paraId="7DF88B7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本项目与地表水体不发生水力联系</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事故情况下，</w:t>
            </w:r>
            <w:r>
              <w:rPr>
                <w:rFonts w:hint="default" w:ascii="Times New Roman" w:hAnsi="Times New Roman" w:eastAsia="宋体" w:cs="Times New Roman"/>
                <w:color w:val="auto"/>
                <w:lang w:val="en-US" w:eastAsia="zh-CN"/>
              </w:rPr>
              <w:t>事故应急救援中产生的消防废水伴有一定的物料，将会对地下水环境产生影响。</w:t>
            </w:r>
            <w:r>
              <w:rPr>
                <w:rFonts w:hint="default" w:ascii="Times New Roman" w:hAnsi="Times New Roman" w:eastAsia="宋体" w:cs="Times New Roman"/>
                <w:color w:val="auto"/>
              </w:rPr>
              <w:t>泄露的物料均泄露于</w:t>
            </w:r>
            <w:r>
              <w:rPr>
                <w:rFonts w:hint="default" w:ascii="Times New Roman" w:hAnsi="Times New Roman" w:eastAsia="宋体" w:cs="Times New Roman"/>
                <w:color w:val="auto"/>
                <w:lang w:val="en-US" w:eastAsia="zh-CN"/>
              </w:rPr>
              <w:t>硬化地面，厂区采取硬化措施，对地下水环境影响较小</w:t>
            </w:r>
            <w:r>
              <w:rPr>
                <w:rFonts w:hint="default" w:ascii="Times New Roman" w:hAnsi="Times New Roman" w:eastAsia="宋体" w:cs="Times New Roman"/>
                <w:color w:val="auto"/>
              </w:rPr>
              <w:t>。</w:t>
            </w:r>
          </w:p>
          <w:p w14:paraId="1476D79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③土壤环境</w:t>
            </w:r>
          </w:p>
          <w:p w14:paraId="5DC91AF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营运期内废机油若发生泄漏，事故应急救援中产生的消防废水伴有一定的废机油，将会对厂区地面产生影响。厂区采取硬化措施，在发生泄漏后，厂内工作人员将及时清理，因此，若发生泄漏等事故不会对土壤环境造成影响。</w:t>
            </w:r>
          </w:p>
          <w:p w14:paraId="5093CAF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（5）环境风险防范措施</w:t>
            </w:r>
          </w:p>
          <w:p w14:paraId="2B4A507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企业需组建安全环保管理机构，配备管理人员，通过技能培训，承担该公司运行中的环保安全工作。</w:t>
            </w:r>
          </w:p>
          <w:p w14:paraId="2BFC331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安全环保机构将根据相关的环境管理要求，结合具体情况，制定企业的各项安全生产管理制度、严格的生产操作规则和完善的事故应急计划及相应的应急处理手段和设施，同时加强安全教育，以提高职工的安全意识和安全防范能力。</w:t>
            </w:r>
          </w:p>
          <w:p w14:paraId="77C9E02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1）总图布置和建筑安全防范措施</w:t>
            </w:r>
          </w:p>
          <w:p w14:paraId="5D900F3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①总图布置</w:t>
            </w:r>
          </w:p>
          <w:p w14:paraId="5469851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在厂区总平面布置方面，已严格执行相关规范要求，严格按工艺处理物料特性，对厂区进行危险区划分。</w:t>
            </w:r>
          </w:p>
          <w:p w14:paraId="4BE4BEE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区道路实行人、货流分开（划分人行区域和车辆行驶区域、不重叠），划出专用车辆行驶路线、严禁烟火标志等并严格执行；在厂区总平面布置中配套建设应急救援设施、救援通道、应急疏散避难所等防护设施。按《安全标志》规定在装置区设置有关的安全标志。厂区内道路形成环状，建筑间距符合要求，设置大门，将厂前区和人流、物流分开。</w:t>
            </w:r>
          </w:p>
          <w:p w14:paraId="5ED6486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②建筑安全防范</w:t>
            </w:r>
          </w:p>
          <w:p w14:paraId="3526AA0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火灾危险性等级和防火要求，建筑物的防火等级均采用国家现行规范要求的耐火等级设计，满足建筑防火要求。凡禁火区均设置明显标志牌。各种易燃物料均储存在阴凉、通风处，远离火源。安全出口及安全疏散距离应符合《建筑设计防火规范》（GB50016-2006）的要求。</w:t>
            </w:r>
          </w:p>
          <w:p w14:paraId="3589FC9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生产工序的特点，在生产设施按物料性质和人身可能意外接触到的有害物质而引起烧伤、刺激或伤害皮肤的区域内，均设置紧急淋浴和洗眼器，并加以明显标记。并在生产区设置救护箱。工作人员配备必要的个人防护用品。</w:t>
            </w:r>
          </w:p>
          <w:p w14:paraId="5669CC3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1）污染治理系统事故预防措施</w:t>
            </w:r>
          </w:p>
          <w:p w14:paraId="2A9D458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的废气治理设施在设计、施工时，应严格按照工程设计规范要求进行，选用标准管材，并做必要的防腐防渗处理。车间设置相应的灭火器，项目金属设备、设施均采用保护接地措施，如发生火灾时火灾面积亦能得到一定程度控制，对火灾向更大范围扩大起到抑制作用。</w:t>
            </w:r>
          </w:p>
          <w:p w14:paraId="2E38E72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2）加强运输管理</w:t>
            </w:r>
          </w:p>
          <w:p w14:paraId="2382916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输过程要及时上报交通管理部门，含对运输路线、运输车辆、运输量、运输时间等，经交通管理部门认可后方可运输。不得使用“带病”车辆。加强驾驶人员的安全教育。对路过居民区、危险路段应限制车速，防止交通事故。</w:t>
            </w:r>
          </w:p>
          <w:p w14:paraId="736BCE9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3）环境风险事故应急处置措施</w:t>
            </w:r>
          </w:p>
          <w:p w14:paraId="534C066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A.散落的应急处理</w:t>
            </w:r>
          </w:p>
          <w:p w14:paraId="5D0AABF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本项目泄露或散落时，应根据应急预案分级响应条件，启动响应的分级措施。</w:t>
            </w:r>
          </w:p>
          <w:p w14:paraId="763D85E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①立即向调度室和应急指挥办公室报告。</w:t>
            </w:r>
          </w:p>
          <w:p w14:paraId="56785389">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②事故现场，严禁火种，切断电源，迅速撤离泄漏区人员至上风向安全处，并设置隔离区，禁止无关人员进入。加强通风。</w:t>
            </w:r>
          </w:p>
          <w:p w14:paraId="1E466F3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③应急处理人员必须配备必要的个人防护器具（自给式呼吸器、穿防静电防护服等）；严禁单独行动，要有监护人，必须时作水枪、水炮掩护。</w:t>
            </w:r>
          </w:p>
          <w:p w14:paraId="29F0E43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④用预先确定的堵漏方式尽快堵漏，切断或控制泄漏源</w:t>
            </w:r>
          </w:p>
          <w:p w14:paraId="2FFCAE6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⑤对暂存桶发生的散落，可采取驳卸、转移至备用空桶等方法，尽量将发生散落的暂存桶内的危险废物转移，在此基础上堵漏。</w:t>
            </w:r>
          </w:p>
          <w:p w14:paraId="2369FDF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⑥暂存桶散落时，要及时关闭围堰的雨水阀、厂区废水排水口，防止危险废物外流污染水体。</w:t>
            </w:r>
          </w:p>
          <w:p w14:paraId="44B5DC9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⑦中毒人员及时转移到空气新鲜的安全地带，脱去受污染外衣，清洗受污皮肤和口腔，按污染物质和伤员症状采取相应急救措施或立即送医院。</w:t>
            </w:r>
          </w:p>
          <w:p w14:paraId="030C9A2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⑧散落容器要妥善处理，修复、检验后再用。</w:t>
            </w:r>
          </w:p>
          <w:p w14:paraId="7F0CEE0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B.火灾事故的应急处理</w:t>
            </w:r>
          </w:p>
          <w:p w14:paraId="53D150D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①切断火势蔓延的途径，冷却和疏散受火势威胁的密闭容器和可燃物，控制燃烧范围，并积极抢救受伤和被困人员。</w:t>
            </w:r>
          </w:p>
          <w:p w14:paraId="218CB9D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②通知环保、安全等相关部门人员，启动应急救护程序。</w:t>
            </w:r>
          </w:p>
          <w:p w14:paraId="2E771117">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③组织救援小组，封锁现场，疏散人员。</w:t>
            </w:r>
          </w:p>
          <w:p w14:paraId="0C2E6E6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④灭火工作结束后，对现场进行恢复清理，对环境可能受到污染范围内的空气、水样、土壤进行取样监测，判定污染影响程度和采取必要的处理。</w:t>
            </w:r>
          </w:p>
          <w:p w14:paraId="23C9792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⑤调查和鉴定事故原因，提出事故评估报告，补充和修改事故防范措施和应急方案。</w:t>
            </w:r>
          </w:p>
          <w:p w14:paraId="1816081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4）风险应急监测</w:t>
            </w:r>
          </w:p>
          <w:p w14:paraId="6F0548D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①监测项目</w:t>
            </w:r>
          </w:p>
          <w:p w14:paraId="61E9758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环境空气：SO</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、NOx、颗粒物、臭气浓度；</w:t>
            </w:r>
          </w:p>
          <w:p w14:paraId="1BF5237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地下水：COD、BOD、SS；</w:t>
            </w:r>
          </w:p>
          <w:p w14:paraId="152A9CF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②监测区域</w:t>
            </w:r>
          </w:p>
          <w:p w14:paraId="5E73659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大气环境：本项目周边区域（根据事故排放量定监测范围）；</w:t>
            </w:r>
          </w:p>
          <w:p w14:paraId="4A7263E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水环境：本项目周边地下水环境</w:t>
            </w:r>
          </w:p>
          <w:p w14:paraId="23D3AFC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5）按照要求，制定本项目环境风险事故应急预案。</w:t>
            </w:r>
          </w:p>
          <w:p w14:paraId="1044581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（4）风险小结</w:t>
            </w:r>
          </w:p>
          <w:p w14:paraId="0348C5F0">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项目运行过程中存在火灾、泄露风险，必须严格执行国家的技术规范和操作规程要求，落实各项安全规章制度，避免事故的发生。</w:t>
            </w:r>
          </w:p>
          <w:p w14:paraId="46FD40F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在认真落实项目拟采取的安全措施及评价所提出的安全措施及安全对策后，项目的事故对周围的影响是可以接受的。</w:t>
            </w:r>
          </w:p>
          <w:p w14:paraId="2B6C7828">
            <w:pPr>
              <w:widowControl w:val="0"/>
              <w:overflowPunct w:val="0"/>
              <w:autoSpaceDE w:val="0"/>
              <w:autoSpaceDN w:val="0"/>
              <w:bidi w:val="0"/>
              <w:adjustRightInd w:val="0"/>
              <w:snapToGrid w:val="0"/>
              <w:spacing w:line="400" w:lineRule="exact"/>
              <w:ind w:firstLine="0" w:firstLineChars="0"/>
              <w:jc w:val="center"/>
              <w:rPr>
                <w:rFonts w:hint="default" w:ascii="Times New Roman" w:hAnsi="Times New Roman" w:eastAsia="宋体" w:cs="宋体"/>
                <w:b/>
                <w:color w:val="auto"/>
                <w:sz w:val="24"/>
                <w:szCs w:val="24"/>
                <w:lang w:val="en-US" w:eastAsia="zh-CN" w:bidi="ar-SA"/>
              </w:rPr>
            </w:pPr>
            <w:r>
              <w:rPr>
                <w:rFonts w:hint="default" w:ascii="Times New Roman" w:hAnsi="Times New Roman" w:eastAsia="宋体" w:cs="宋体"/>
                <w:b/>
                <w:color w:val="auto"/>
                <w:sz w:val="24"/>
                <w:szCs w:val="24"/>
                <w:lang w:val="en-US" w:eastAsia="zh-CN" w:bidi="ar-SA"/>
              </w:rPr>
              <w:t>表</w:t>
            </w:r>
            <w:r>
              <w:rPr>
                <w:rFonts w:hint="eastAsia" w:ascii="Times New Roman" w:hAnsi="Times New Roman" w:eastAsia="宋体" w:cs="宋体"/>
                <w:b/>
                <w:color w:val="auto"/>
                <w:sz w:val="24"/>
                <w:szCs w:val="24"/>
                <w:lang w:val="en-US" w:eastAsia="zh-CN" w:bidi="ar-SA"/>
              </w:rPr>
              <w:t>4.</w:t>
            </w:r>
            <w:r>
              <w:rPr>
                <w:rFonts w:hint="default" w:ascii="Times New Roman" w:hAnsi="Times New Roman" w:eastAsia="宋体" w:cs="宋体"/>
                <w:b/>
                <w:color w:val="auto"/>
                <w:sz w:val="24"/>
                <w:szCs w:val="24"/>
                <w:lang w:val="en-US" w:eastAsia="zh-CN" w:bidi="ar-SA"/>
              </w:rPr>
              <w:t>7-</w:t>
            </w:r>
            <w:r>
              <w:rPr>
                <w:rFonts w:hint="eastAsia" w:ascii="Times New Roman" w:hAnsi="Times New Roman" w:eastAsia="宋体" w:cs="宋体"/>
                <w:b/>
                <w:color w:val="auto"/>
                <w:sz w:val="24"/>
                <w:szCs w:val="24"/>
                <w:lang w:val="en-US" w:eastAsia="zh-CN" w:bidi="ar-SA"/>
              </w:rPr>
              <w:t xml:space="preserve">4  </w:t>
            </w:r>
            <w:r>
              <w:rPr>
                <w:rFonts w:hint="default" w:ascii="Times New Roman" w:hAnsi="Times New Roman" w:eastAsia="宋体" w:cs="宋体"/>
                <w:b/>
                <w:color w:val="auto"/>
                <w:sz w:val="24"/>
                <w:szCs w:val="24"/>
                <w:lang w:val="en-US" w:eastAsia="zh-CN" w:bidi="ar-SA"/>
              </w:rPr>
              <w:t>建设项目环境风险简单分析内容表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920"/>
              <w:gridCol w:w="1243"/>
              <w:gridCol w:w="1980"/>
              <w:gridCol w:w="1644"/>
              <w:gridCol w:w="1784"/>
            </w:tblGrid>
            <w:tr w14:paraId="59DFF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0" w:type="pct"/>
                  <w:tcBorders>
                    <w:tl2br w:val="nil"/>
                    <w:tr2bl w:val="nil"/>
                  </w:tcBorders>
                  <w:noWrap w:val="0"/>
                  <w:vAlign w:val="center"/>
                </w:tcPr>
                <w:p w14:paraId="5559C843">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建设项目名称</w:t>
                  </w:r>
                </w:p>
              </w:tc>
              <w:tc>
                <w:tcPr>
                  <w:tcW w:w="3879" w:type="pct"/>
                  <w:gridSpan w:val="4"/>
                  <w:tcBorders>
                    <w:tl2br w:val="nil"/>
                    <w:tr2bl w:val="nil"/>
                  </w:tcBorders>
                  <w:noWrap w:val="0"/>
                  <w:vAlign w:val="center"/>
                </w:tcPr>
                <w:p w14:paraId="4A95EC4F">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胡杨河东智果业有限公司年产7000吨浓缩葡萄计、葡萄果糖厂建设项目</w:t>
                  </w:r>
                </w:p>
              </w:tc>
            </w:tr>
            <w:tr w14:paraId="4803A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0" w:type="pct"/>
                  <w:tcBorders>
                    <w:tl2br w:val="nil"/>
                    <w:tr2bl w:val="nil"/>
                  </w:tcBorders>
                  <w:noWrap w:val="0"/>
                  <w:vAlign w:val="center"/>
                </w:tcPr>
                <w:p w14:paraId="5D1C7169">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建设地点</w:t>
                  </w:r>
                </w:p>
              </w:tc>
              <w:tc>
                <w:tcPr>
                  <w:tcW w:w="3879" w:type="pct"/>
                  <w:gridSpan w:val="4"/>
                  <w:tcBorders>
                    <w:tl2br w:val="nil"/>
                    <w:tr2bl w:val="nil"/>
                  </w:tcBorders>
                  <w:noWrap w:val="0"/>
                  <w:vAlign w:val="center"/>
                </w:tcPr>
                <w:p w14:paraId="3E085153">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胡杨河市经济技术开发区</w:t>
                  </w:r>
                </w:p>
              </w:tc>
            </w:tr>
            <w:tr w14:paraId="1EB03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0" w:type="pct"/>
                  <w:tcBorders>
                    <w:tl2br w:val="nil"/>
                    <w:tr2bl w:val="nil"/>
                  </w:tcBorders>
                  <w:noWrap w:val="0"/>
                  <w:vAlign w:val="center"/>
                </w:tcPr>
                <w:p w14:paraId="6A1FB49F">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地理坐标</w:t>
                  </w:r>
                </w:p>
              </w:tc>
              <w:tc>
                <w:tcPr>
                  <w:tcW w:w="725" w:type="pct"/>
                  <w:tcBorders>
                    <w:tl2br w:val="nil"/>
                    <w:tr2bl w:val="nil"/>
                  </w:tcBorders>
                  <w:noWrap w:val="0"/>
                  <w:vAlign w:val="center"/>
                </w:tcPr>
                <w:p w14:paraId="46CDDCA1">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highlight w:val="none"/>
                      <w:lang w:val="en-US" w:eastAsia="zh-CN" w:bidi="ar-SA"/>
                    </w:rPr>
                  </w:pPr>
                  <w:r>
                    <w:rPr>
                      <w:rFonts w:hint="default" w:ascii="Times New Roman" w:hAnsi="Times New Roman" w:eastAsia="宋体" w:cs="宋体"/>
                      <w:color w:val="auto"/>
                      <w:sz w:val="21"/>
                      <w:szCs w:val="21"/>
                      <w:highlight w:val="none"/>
                      <w:lang w:val="en-US" w:eastAsia="zh-CN" w:bidi="ar-SA"/>
                    </w:rPr>
                    <w:t>经度</w:t>
                  </w:r>
                </w:p>
              </w:tc>
              <w:tc>
                <w:tcPr>
                  <w:tcW w:w="1155" w:type="pct"/>
                  <w:tcBorders>
                    <w:tl2br w:val="nil"/>
                    <w:tr2bl w:val="nil"/>
                  </w:tcBorders>
                  <w:noWrap w:val="0"/>
                  <w:vAlign w:val="center"/>
                </w:tcPr>
                <w:p w14:paraId="7F0FA890">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87°30′44.218″</w:t>
                  </w:r>
                </w:p>
              </w:tc>
              <w:tc>
                <w:tcPr>
                  <w:tcW w:w="959" w:type="pct"/>
                  <w:tcBorders>
                    <w:tl2br w:val="nil"/>
                    <w:tr2bl w:val="nil"/>
                  </w:tcBorders>
                  <w:noWrap w:val="0"/>
                  <w:vAlign w:val="center"/>
                </w:tcPr>
                <w:p w14:paraId="60D723FE">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宋体"/>
                      <w:color w:val="auto"/>
                      <w:sz w:val="21"/>
                      <w:szCs w:val="22"/>
                      <w:highlight w:val="none"/>
                      <w:lang w:val="en-US" w:eastAsia="zh-CN" w:bidi="ar-SA"/>
                    </w:rPr>
                    <w:t>纬度</w:t>
                  </w:r>
                </w:p>
              </w:tc>
              <w:tc>
                <w:tcPr>
                  <w:tcW w:w="1038" w:type="pct"/>
                  <w:tcBorders>
                    <w:tl2br w:val="nil"/>
                    <w:tr2bl w:val="nil"/>
                  </w:tcBorders>
                  <w:noWrap w:val="0"/>
                  <w:vAlign w:val="center"/>
                </w:tcPr>
                <w:p w14:paraId="294E68C0">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43°53′02.163″</w:t>
                  </w:r>
                </w:p>
              </w:tc>
            </w:tr>
            <w:tr w14:paraId="7B0D7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0" w:type="pct"/>
                  <w:tcBorders>
                    <w:tl2br w:val="nil"/>
                    <w:tr2bl w:val="nil"/>
                  </w:tcBorders>
                  <w:noWrap w:val="0"/>
                  <w:vAlign w:val="center"/>
                </w:tcPr>
                <w:p w14:paraId="7364D7C2">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主要危险物质及分布</w:t>
                  </w:r>
                </w:p>
              </w:tc>
              <w:tc>
                <w:tcPr>
                  <w:tcW w:w="3879" w:type="pct"/>
                  <w:gridSpan w:val="4"/>
                  <w:tcBorders>
                    <w:tl2br w:val="nil"/>
                    <w:tr2bl w:val="nil"/>
                  </w:tcBorders>
                  <w:noWrap w:val="0"/>
                  <w:vAlign w:val="center"/>
                </w:tcPr>
                <w:p w14:paraId="5B76AD1C">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废机油</w:t>
                  </w:r>
                  <w:r>
                    <w:rPr>
                      <w:rFonts w:hint="eastAsia" w:ascii="Times New Roman" w:hAnsi="Times New Roman" w:eastAsia="宋体" w:cs="宋体"/>
                      <w:color w:val="auto"/>
                      <w:sz w:val="21"/>
                      <w:szCs w:val="22"/>
                      <w:lang w:val="en-US" w:eastAsia="zh-CN" w:bidi="ar-SA"/>
                    </w:rPr>
                    <w:t>，位于</w:t>
                  </w:r>
                  <w:r>
                    <w:rPr>
                      <w:rFonts w:hint="eastAsia" w:eastAsia="宋体" w:cs="宋体"/>
                      <w:color w:val="auto"/>
                      <w:sz w:val="21"/>
                      <w:szCs w:val="22"/>
                      <w:lang w:val="en-US" w:eastAsia="zh-CN" w:bidi="ar-SA"/>
                    </w:rPr>
                    <w:t>危废间</w:t>
                  </w:r>
                  <w:r>
                    <w:rPr>
                      <w:rFonts w:hint="eastAsia" w:ascii="Times New Roman" w:hAnsi="Times New Roman" w:eastAsia="宋体" w:cs="宋体"/>
                      <w:color w:val="auto"/>
                      <w:sz w:val="21"/>
                      <w:szCs w:val="22"/>
                      <w:lang w:val="en-US" w:eastAsia="zh-CN" w:bidi="ar-SA"/>
                    </w:rPr>
                    <w:t>。</w:t>
                  </w:r>
                </w:p>
              </w:tc>
            </w:tr>
            <w:tr w14:paraId="4ADAE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0" w:type="pct"/>
                  <w:tcBorders>
                    <w:tl2br w:val="nil"/>
                    <w:tr2bl w:val="nil"/>
                  </w:tcBorders>
                  <w:noWrap w:val="0"/>
                  <w:vAlign w:val="center"/>
                </w:tcPr>
                <w:p w14:paraId="3AB57978">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环境影响途径及危害后果（大气、地表水和地下水等）</w:t>
                  </w:r>
                </w:p>
              </w:tc>
              <w:tc>
                <w:tcPr>
                  <w:tcW w:w="3879" w:type="pct"/>
                  <w:gridSpan w:val="4"/>
                  <w:tcBorders>
                    <w:tl2br w:val="nil"/>
                    <w:tr2bl w:val="nil"/>
                  </w:tcBorders>
                  <w:noWrap w:val="0"/>
                  <w:vAlign w:val="center"/>
                </w:tcPr>
                <w:p w14:paraId="51675D9A">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本项目可能的风险事故为</w:t>
                  </w:r>
                  <w:r>
                    <w:rPr>
                      <w:rFonts w:hint="eastAsia" w:ascii="Times New Roman" w:hAnsi="Times New Roman" w:eastAsia="宋体" w:cs="宋体"/>
                      <w:color w:val="auto"/>
                      <w:sz w:val="21"/>
                      <w:szCs w:val="22"/>
                      <w:lang w:val="en-US" w:eastAsia="zh-CN" w:bidi="ar-SA"/>
                    </w:rPr>
                    <w:t>若</w:t>
                  </w:r>
                  <w:r>
                    <w:rPr>
                      <w:rFonts w:hint="eastAsia" w:cs="宋体"/>
                      <w:color w:val="auto"/>
                      <w:sz w:val="21"/>
                      <w:szCs w:val="22"/>
                      <w:lang w:val="en-US" w:eastAsia="zh-CN" w:bidi="ar-SA"/>
                    </w:rPr>
                    <w:t>泄漏</w:t>
                  </w:r>
                  <w:r>
                    <w:rPr>
                      <w:rFonts w:hint="eastAsia" w:ascii="Times New Roman" w:hAnsi="Times New Roman" w:eastAsia="宋体" w:cs="宋体"/>
                      <w:color w:val="auto"/>
                      <w:sz w:val="21"/>
                      <w:szCs w:val="22"/>
                      <w:lang w:val="en-US" w:eastAsia="zh-CN" w:bidi="ar-SA"/>
                    </w:rPr>
                    <w:t>的化学品和</w:t>
                  </w:r>
                  <w:r>
                    <w:rPr>
                      <w:rFonts w:hint="eastAsia" w:cs="宋体"/>
                      <w:color w:val="auto"/>
                      <w:sz w:val="21"/>
                      <w:szCs w:val="22"/>
                      <w:lang w:val="en-US" w:eastAsia="zh-CN" w:bidi="ar-SA"/>
                    </w:rPr>
                    <w:t>实验楼</w:t>
                  </w:r>
                  <w:r>
                    <w:rPr>
                      <w:rFonts w:hint="eastAsia" w:ascii="Times New Roman" w:hAnsi="Times New Roman" w:eastAsia="宋体" w:cs="宋体"/>
                      <w:color w:val="auto"/>
                      <w:sz w:val="21"/>
                      <w:szCs w:val="22"/>
                      <w:lang w:val="en-US" w:eastAsia="zh-CN" w:bidi="ar-SA"/>
                    </w:rPr>
                    <w:t>废水逐步渗入土壤，污染地下水，将造成局部不良影响。</w:t>
                  </w:r>
                </w:p>
              </w:tc>
            </w:tr>
            <w:tr w14:paraId="3715A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0" w:type="pct"/>
                  <w:tcBorders>
                    <w:tl2br w:val="nil"/>
                    <w:tr2bl w:val="nil"/>
                  </w:tcBorders>
                  <w:noWrap w:val="0"/>
                  <w:vAlign w:val="center"/>
                </w:tcPr>
                <w:p w14:paraId="7A8911BC">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风险防范措施要求</w:t>
                  </w:r>
                </w:p>
              </w:tc>
              <w:tc>
                <w:tcPr>
                  <w:tcW w:w="3879" w:type="pct"/>
                  <w:gridSpan w:val="4"/>
                  <w:tcBorders>
                    <w:tl2br w:val="nil"/>
                    <w:tr2bl w:val="nil"/>
                  </w:tcBorders>
                  <w:noWrap w:val="0"/>
                  <w:vAlign w:val="center"/>
                </w:tcPr>
                <w:p w14:paraId="689DA8ED">
                  <w:pPr>
                    <w:widowControl w:val="0"/>
                    <w:overflowPunct w:val="0"/>
                    <w:autoSpaceDE w:val="0"/>
                    <w:autoSpaceDN w:val="0"/>
                    <w:bidi w:val="0"/>
                    <w:adjustRightInd w:val="0"/>
                    <w:snapToGrid w:val="0"/>
                    <w:spacing w:line="30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①建议建设单位在雨水管网、污水管网的场区出口设置一个闸门，发生事故时及时关闭闸门，防止</w:t>
                  </w:r>
                  <w:r>
                    <w:rPr>
                      <w:rFonts w:hint="eastAsia" w:cs="宋体"/>
                      <w:color w:val="auto"/>
                      <w:sz w:val="21"/>
                      <w:szCs w:val="22"/>
                      <w:lang w:val="en-US" w:eastAsia="zh-CN" w:bidi="ar-SA"/>
                    </w:rPr>
                    <w:t>泄漏</w:t>
                  </w:r>
                  <w:r>
                    <w:rPr>
                      <w:rFonts w:hint="eastAsia" w:ascii="Times New Roman" w:hAnsi="Times New Roman" w:eastAsia="宋体" w:cs="宋体"/>
                      <w:color w:val="auto"/>
                      <w:sz w:val="21"/>
                      <w:szCs w:val="22"/>
                      <w:lang w:val="en-US" w:eastAsia="zh-CN" w:bidi="ar-SA"/>
                    </w:rPr>
                    <w:t>废液或废水流出场区，将其可能产生的环境影响控制在场区之内；</w:t>
                  </w:r>
                </w:p>
                <w:p w14:paraId="512B301E">
                  <w:pPr>
                    <w:widowControl w:val="0"/>
                    <w:overflowPunct w:val="0"/>
                    <w:autoSpaceDE w:val="0"/>
                    <w:autoSpaceDN w:val="0"/>
                    <w:bidi w:val="0"/>
                    <w:adjustRightInd w:val="0"/>
                    <w:snapToGrid w:val="0"/>
                    <w:spacing w:line="30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②项目化学原料需使用密闭的容器储存，各容器应放置在化学品瓶装专柜内，一旦发生，</w:t>
                  </w:r>
                  <w:r>
                    <w:rPr>
                      <w:rFonts w:hint="eastAsia" w:cs="宋体"/>
                      <w:color w:val="auto"/>
                      <w:sz w:val="21"/>
                      <w:szCs w:val="22"/>
                      <w:lang w:val="en-US" w:eastAsia="zh-CN" w:bidi="ar-SA"/>
                    </w:rPr>
                    <w:t>泄漏</w:t>
                  </w:r>
                  <w:r>
                    <w:rPr>
                      <w:rFonts w:hint="eastAsia" w:ascii="Times New Roman" w:hAnsi="Times New Roman" w:eastAsia="宋体" w:cs="宋体"/>
                      <w:color w:val="auto"/>
                      <w:sz w:val="21"/>
                      <w:szCs w:val="22"/>
                      <w:lang w:val="en-US" w:eastAsia="zh-CN" w:bidi="ar-SA"/>
                    </w:rPr>
                    <w:t>事故，可将外泄的液体控制在专柜内；</w:t>
                  </w:r>
                </w:p>
                <w:p w14:paraId="2BD173B9">
                  <w:pPr>
                    <w:widowControl w:val="0"/>
                    <w:overflowPunct w:val="0"/>
                    <w:autoSpaceDE w:val="0"/>
                    <w:autoSpaceDN w:val="0"/>
                    <w:bidi w:val="0"/>
                    <w:adjustRightInd w:val="0"/>
                    <w:snapToGrid w:val="0"/>
                    <w:spacing w:line="300" w:lineRule="exact"/>
                    <w:ind w:firstLine="0" w:firstLineChars="0"/>
                    <w:jc w:val="center"/>
                    <w:rPr>
                      <w:rFonts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③</w:t>
                  </w:r>
                  <w:r>
                    <w:rPr>
                      <w:rFonts w:hint="eastAsia" w:cs="宋体"/>
                      <w:color w:val="auto"/>
                      <w:sz w:val="21"/>
                      <w:szCs w:val="22"/>
                      <w:lang w:val="en-US" w:eastAsia="zh-CN" w:bidi="ar-SA"/>
                    </w:rPr>
                    <w:t>实验楼</w:t>
                  </w:r>
                  <w:r>
                    <w:rPr>
                      <w:rFonts w:hint="eastAsia" w:ascii="Times New Roman" w:hAnsi="Times New Roman" w:eastAsia="宋体" w:cs="宋体"/>
                      <w:color w:val="auto"/>
                      <w:sz w:val="21"/>
                      <w:szCs w:val="22"/>
                      <w:lang w:val="en-US" w:eastAsia="zh-CN" w:bidi="ar-SA"/>
                    </w:rPr>
                    <w:t>地面作水泥硬底化防渗处理，发生泄漏时，</w:t>
                  </w:r>
                  <w:r>
                    <w:rPr>
                      <w:rFonts w:hint="eastAsia" w:cs="宋体"/>
                      <w:color w:val="auto"/>
                      <w:sz w:val="21"/>
                      <w:szCs w:val="22"/>
                      <w:lang w:val="en-US" w:eastAsia="zh-CN" w:bidi="ar-SA"/>
                    </w:rPr>
                    <w:t>泄漏</w:t>
                  </w:r>
                  <w:r>
                    <w:rPr>
                      <w:rFonts w:hint="eastAsia" w:ascii="Times New Roman" w:hAnsi="Times New Roman" w:eastAsia="宋体" w:cs="宋体"/>
                      <w:color w:val="auto"/>
                      <w:sz w:val="21"/>
                      <w:szCs w:val="22"/>
                      <w:lang w:val="en-US" w:eastAsia="zh-CN" w:bidi="ar-SA"/>
                    </w:rPr>
                    <w:t>液体不会通过地面渗入地；</w:t>
                  </w:r>
                </w:p>
                <w:p w14:paraId="5FE5F112">
                  <w:pPr>
                    <w:widowControl w:val="0"/>
                    <w:overflowPunct w:val="0"/>
                    <w:autoSpaceDE w:val="0"/>
                    <w:autoSpaceDN w:val="0"/>
                    <w:bidi w:val="0"/>
                    <w:adjustRightInd w:val="0"/>
                    <w:snapToGrid w:val="0"/>
                    <w:spacing w:line="300" w:lineRule="exact"/>
                    <w:ind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④选用优质设备，选择质量优良，事故率低、便于维修的产品。易损部件留有备用件，在出现事故时能及时更换。</w:t>
                  </w:r>
                </w:p>
              </w:tc>
            </w:tr>
            <w:tr w14:paraId="42B47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0" w:type="pct"/>
                  <w:tcBorders>
                    <w:tl2br w:val="nil"/>
                    <w:tr2bl w:val="nil"/>
                  </w:tcBorders>
                  <w:noWrap w:val="0"/>
                  <w:vAlign w:val="center"/>
                </w:tcPr>
                <w:p w14:paraId="4442504C">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填表说明（列出项目相关信息及评价说明）</w:t>
                  </w:r>
                </w:p>
              </w:tc>
              <w:tc>
                <w:tcPr>
                  <w:tcW w:w="3879" w:type="pct"/>
                  <w:gridSpan w:val="4"/>
                  <w:tcBorders>
                    <w:tl2br w:val="nil"/>
                    <w:tr2bl w:val="nil"/>
                  </w:tcBorders>
                  <w:noWrap w:val="0"/>
                  <w:vAlign w:val="center"/>
                </w:tcPr>
                <w:p w14:paraId="3AFC1C40">
                  <w:pPr>
                    <w:widowControl w:val="0"/>
                    <w:overflowPunct w:val="0"/>
                    <w:autoSpaceDE w:val="0"/>
                    <w:autoSpaceDN w:val="0"/>
                    <w:bidi w:val="0"/>
                    <w:adjustRightInd w:val="0"/>
                    <w:snapToGrid w:val="0"/>
                    <w:spacing w:line="300" w:lineRule="exact"/>
                    <w:ind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本项目风险潜势为Ⅰ，仅进行简单分析，在采取有效的防范措施、制定相应的应急预案的前提下，建设单位可将事故风险的影响减至最小。本项目在落实上述提出的存储过程中的风险防范及应急措施、</w:t>
                  </w:r>
                  <w:r>
                    <w:rPr>
                      <w:rFonts w:hint="eastAsia" w:ascii="Times New Roman" w:hAnsi="Times New Roman" w:eastAsia="宋体" w:cs="宋体"/>
                      <w:color w:val="auto"/>
                      <w:sz w:val="21"/>
                      <w:szCs w:val="22"/>
                      <w:lang w:val="en-US" w:eastAsia="zh-CN" w:bidi="ar-SA"/>
                    </w:rPr>
                    <w:t>实验</w:t>
                  </w:r>
                  <w:r>
                    <w:rPr>
                      <w:rFonts w:ascii="Times New Roman" w:hAnsi="Times New Roman" w:eastAsia="宋体" w:cs="宋体"/>
                      <w:color w:val="auto"/>
                      <w:sz w:val="21"/>
                      <w:szCs w:val="22"/>
                      <w:lang w:val="en-US" w:eastAsia="zh-CN" w:bidi="ar-SA"/>
                    </w:rPr>
                    <w:t>过程中的风险防范及应急措施、环境影响途径的风险防范及应急措施后，可做到环境风险可防控要求，本项目环境风险防范措施有效可行，环境风险可防控。</w:t>
                  </w:r>
                </w:p>
              </w:tc>
            </w:tr>
          </w:tbl>
          <w:p w14:paraId="6FBF4B24">
            <w:pPr>
              <w:keepNext w:val="0"/>
              <w:keepLines w:val="0"/>
              <w:pageBreakBefore w:val="0"/>
              <w:widowControl w:val="0"/>
              <w:kinsoku/>
              <w:wordWrap/>
              <w:overflowPunct w:val="0"/>
              <w:topLinePunct w:val="0"/>
              <w:autoSpaceDE w:val="0"/>
              <w:autoSpaceDN w:val="0"/>
              <w:bidi w:val="0"/>
              <w:adjustRightInd w:val="0"/>
              <w:snapToGrid w:val="0"/>
              <w:spacing w:line="500" w:lineRule="exact"/>
              <w:textAlignment w:val="auto"/>
              <w:rPr>
                <w:rFonts w:hint="default" w:ascii="Times New Roman" w:hAnsi="Times New Roman" w:eastAsia="宋体" w:cs="宋体"/>
                <w:color w:val="auto"/>
                <w:sz w:val="24"/>
                <w:szCs w:val="24"/>
                <w:vertAlign w:val="baseline"/>
                <w:lang w:val="en-US" w:eastAsia="zh-CN" w:bidi="ar-SA"/>
              </w:rPr>
            </w:pPr>
          </w:p>
        </w:tc>
      </w:tr>
    </w:tbl>
    <w:p w14:paraId="43F912CC">
      <w:pPr>
        <w:widowControl w:val="0"/>
        <w:overflowPunct w:val="0"/>
        <w:autoSpaceDE w:val="0"/>
        <w:autoSpaceDN w:val="0"/>
        <w:bidi w:val="0"/>
        <w:adjustRightInd w:val="0"/>
        <w:snapToGrid w:val="0"/>
        <w:spacing w:before="0" w:after="0" w:line="560" w:lineRule="exact"/>
        <w:ind w:left="0" w:right="0" w:firstLine="0" w:firstLineChars="0"/>
        <w:jc w:val="center"/>
        <w:outlineLvl w:val="0"/>
        <w:rPr>
          <w:rFonts w:ascii="Times New Roman" w:hAnsi="Times New Roman" w:eastAsia="宋体" w:cs="宋体"/>
          <w:b/>
          <w:color w:val="auto"/>
          <w:kern w:val="44"/>
          <w:sz w:val="28"/>
          <w:szCs w:val="22"/>
          <w:lang w:val="en-US" w:eastAsia="zh-CN" w:bidi="ar-SA"/>
        </w:rPr>
      </w:pPr>
      <w:r>
        <w:rPr>
          <w:rFonts w:ascii="Times New Roman" w:hAnsi="Times New Roman" w:eastAsia="宋体" w:cs="宋体"/>
          <w:b/>
          <w:color w:val="auto"/>
          <w:kern w:val="44"/>
          <w:sz w:val="28"/>
          <w:szCs w:val="22"/>
          <w:lang w:val="en-US" w:eastAsia="zh-CN" w:bidi="ar-SA"/>
        </w:rPr>
        <w:t>五、环境保护措施监督检查清单</w:t>
      </w:r>
      <w:bookmarkEnd w:id="74"/>
      <w:bookmarkEnd w:id="75"/>
      <w:bookmarkEnd w:id="76"/>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667"/>
        <w:gridCol w:w="1487"/>
        <w:gridCol w:w="1335"/>
        <w:gridCol w:w="1830"/>
        <w:gridCol w:w="3140"/>
      </w:tblGrid>
      <w:tr w14:paraId="2DCA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698E4B92">
            <w:pPr>
              <w:widowControl w:val="0"/>
              <w:overflowPunct w:val="0"/>
              <w:autoSpaceDE w:val="0"/>
              <w:autoSpaceDN w:val="0"/>
              <w:bidi w:val="0"/>
              <w:adjustRightInd w:val="0"/>
              <w:snapToGrid w:val="0"/>
              <w:spacing w:before="0" w:after="0" w:line="400" w:lineRule="exact"/>
              <w:ind w:left="0" w:right="0" w:firstLine="0" w:firstLineChars="0"/>
              <w:jc w:val="right"/>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mc:AlternateContent>
                <mc:Choice Requires="wps">
                  <w:drawing>
                    <wp:anchor distT="0" distB="0" distL="114300" distR="114300" simplePos="0" relativeHeight="251661312" behindDoc="1" locked="0" layoutInCell="1" allowOverlap="1">
                      <wp:simplePos x="0" y="0"/>
                      <wp:positionH relativeFrom="page">
                        <wp:posOffset>-13970</wp:posOffset>
                      </wp:positionH>
                      <wp:positionV relativeFrom="paragraph">
                        <wp:posOffset>-12065</wp:posOffset>
                      </wp:positionV>
                      <wp:extent cx="827405" cy="523240"/>
                      <wp:effectExtent l="2540" t="3810" r="8255" b="6350"/>
                      <wp:wrapNone/>
                      <wp:docPr id="185" name="直线 93"/>
                      <wp:cNvGraphicFramePr/>
                      <a:graphic xmlns:a="http://schemas.openxmlformats.org/drawingml/2006/main">
                        <a:graphicData uri="http://schemas.microsoft.com/office/word/2010/wordprocessingShape">
                          <wps:wsp>
                            <wps:cNvCnPr/>
                            <wps:spPr>
                              <a:xfrm>
                                <a:off x="0" y="0"/>
                                <a:ext cx="827405" cy="52324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1.1pt;margin-top:-0.95pt;height:41.2pt;width:65.15pt;mso-position-horizontal-relative:page;z-index:-251655168;mso-width-relative:page;mso-height-relative:page;" filled="f" stroked="t" coordsize="21600,21600" o:gfxdata="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mY6arVAAAACAEAAA8AAAAAAAAAAQAgAAAAIgAAAGRycy9kb3ducmV2LnhtbFBLAQIUABQAAAAI&#10;AIdO4kD6Lwtx8AEAAOIDAAAOAAAAAAAAAAEAIAAAACQBAABkcnMvZTJvRG9jLnhtbFBLBQYAAAAA&#10;BgAGAFkBAACGBQAAAAA=&#10;">
                      <v:fill on="f" focussize="0,0"/>
                      <v:stroke weight="0.5pt" color="#000000" joinstyle="round"/>
                      <v:imagedata o:title=""/>
                      <o:lock v:ext="edit" aspectratio="f"/>
                    </v:line>
                  </w:pict>
                </mc:Fallback>
              </mc:AlternateContent>
            </w:r>
            <w:r>
              <w:rPr>
                <w:rFonts w:hint="eastAsia" w:ascii="Times New Roman" w:hAnsi="Times New Roman" w:eastAsia="宋体" w:cs="宋体"/>
                <w:color w:val="auto"/>
                <w:sz w:val="21"/>
                <w:szCs w:val="22"/>
                <w:lang w:val="en-US" w:eastAsia="zh-CN" w:bidi="ar-SA"/>
              </w:rPr>
              <w:t>内容</w:t>
            </w:r>
          </w:p>
          <w:p w14:paraId="41DDB9E1">
            <w:pPr>
              <w:widowControl w:val="0"/>
              <w:overflowPunct w:val="0"/>
              <w:autoSpaceDE w:val="0"/>
              <w:autoSpaceDN w:val="0"/>
              <w:bidi w:val="0"/>
              <w:adjustRightInd w:val="0"/>
              <w:snapToGrid w:val="0"/>
              <w:spacing w:before="0" w:after="0" w:line="400" w:lineRule="exact"/>
              <w:ind w:left="0" w:right="0" w:firstLine="0" w:firstLineChars="0"/>
              <w:jc w:val="left"/>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要素</w:t>
            </w:r>
          </w:p>
        </w:tc>
        <w:tc>
          <w:tcPr>
            <w:tcW w:w="1487" w:type="dxa"/>
            <w:vAlign w:val="center"/>
          </w:tcPr>
          <w:p w14:paraId="7FA39120">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排放口(编号、名称)/污染源</w:t>
            </w:r>
          </w:p>
        </w:tc>
        <w:tc>
          <w:tcPr>
            <w:tcW w:w="1335" w:type="dxa"/>
            <w:vAlign w:val="center"/>
          </w:tcPr>
          <w:p w14:paraId="4097B2A5">
            <w:pPr>
              <w:widowControl w:val="0"/>
              <w:overflowPunct w:val="0"/>
              <w:autoSpaceDE w:val="0"/>
              <w:autoSpaceDN w:val="0"/>
              <w:bidi w:val="0"/>
              <w:adjustRightInd w:val="0"/>
              <w:snapToGrid w:val="0"/>
              <w:spacing w:before="0" w:after="0" w:line="400" w:lineRule="exact"/>
              <w:ind w:left="0" w:right="0" w:firstLine="0" w:firstLineChars="0"/>
              <w:jc w:val="center"/>
              <w:rPr>
                <w:rFonts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污染物</w:t>
            </w:r>
          </w:p>
          <w:p w14:paraId="1D24E29B">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项目</w:t>
            </w:r>
          </w:p>
        </w:tc>
        <w:tc>
          <w:tcPr>
            <w:tcW w:w="1830" w:type="dxa"/>
            <w:vAlign w:val="center"/>
          </w:tcPr>
          <w:p w14:paraId="46A97138">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环境保护措施</w:t>
            </w:r>
          </w:p>
        </w:tc>
        <w:tc>
          <w:tcPr>
            <w:tcW w:w="3140" w:type="dxa"/>
            <w:vAlign w:val="center"/>
          </w:tcPr>
          <w:p w14:paraId="60BCA09E">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执行标准</w:t>
            </w:r>
          </w:p>
        </w:tc>
      </w:tr>
      <w:tr w14:paraId="1455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12" w:type="dxa"/>
            <w:vMerge w:val="restart"/>
            <w:vAlign w:val="center"/>
          </w:tcPr>
          <w:p w14:paraId="6DD9743F">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大气环境</w:t>
            </w:r>
          </w:p>
        </w:tc>
        <w:tc>
          <w:tcPr>
            <w:tcW w:w="667" w:type="dxa"/>
            <w:vMerge w:val="restart"/>
            <w:vAlign w:val="center"/>
          </w:tcPr>
          <w:p w14:paraId="440C0B07">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无组织</w:t>
            </w:r>
          </w:p>
        </w:tc>
        <w:tc>
          <w:tcPr>
            <w:tcW w:w="1487" w:type="dxa"/>
            <w:vMerge w:val="restart"/>
            <w:vAlign w:val="center"/>
          </w:tcPr>
          <w:p w14:paraId="7C4D08A8">
            <w:pPr>
              <w:widowControl w:val="0"/>
              <w:autoSpaceDE w:val="0"/>
              <w:autoSpaceDN w:val="0"/>
              <w:spacing w:line="240" w:lineRule="auto"/>
              <w:ind w:left="0" w:leftChars="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厂界</w:t>
            </w:r>
          </w:p>
        </w:tc>
        <w:tc>
          <w:tcPr>
            <w:tcW w:w="1335" w:type="dxa"/>
            <w:vAlign w:val="center"/>
          </w:tcPr>
          <w:p w14:paraId="3D478028">
            <w:pPr>
              <w:widowControl w:val="0"/>
              <w:overflowPunct w:val="0"/>
              <w:autoSpaceDE w:val="0"/>
              <w:autoSpaceDN w:val="0"/>
              <w:bidi w:val="0"/>
              <w:adjustRightInd w:val="0"/>
              <w:snapToGrid w:val="0"/>
              <w:spacing w:line="320" w:lineRule="exact"/>
              <w:ind w:firstLine="0" w:firstLineChars="0"/>
              <w:jc w:val="center"/>
              <w:rPr>
                <w:rFonts w:hint="default" w:cs="宋体"/>
                <w:color w:val="auto"/>
                <w:sz w:val="21"/>
                <w:szCs w:val="22"/>
                <w:highlight w:val="none"/>
                <w:lang w:val="en-US" w:eastAsia="zh-CN" w:bidi="ar-SA"/>
              </w:rPr>
            </w:pPr>
            <w:r>
              <w:rPr>
                <w:rFonts w:hint="eastAsia" w:cs="Times New Roman"/>
                <w:color w:val="auto"/>
                <w:kern w:val="2"/>
                <w:sz w:val="21"/>
                <w:szCs w:val="21"/>
                <w:highlight w:val="none"/>
                <w:lang w:val="en-US" w:eastAsia="zh-CN" w:bidi="ar-SA"/>
              </w:rPr>
              <w:t>NH</w:t>
            </w:r>
            <w:r>
              <w:rPr>
                <w:rFonts w:hint="eastAsia" w:cs="Times New Roman"/>
                <w:color w:val="auto"/>
                <w:kern w:val="2"/>
                <w:sz w:val="21"/>
                <w:szCs w:val="21"/>
                <w:highlight w:val="none"/>
                <w:vertAlign w:val="subscript"/>
                <w:lang w:val="en-US" w:eastAsia="zh-CN" w:bidi="ar-SA"/>
              </w:rPr>
              <w:t>3</w:t>
            </w:r>
          </w:p>
        </w:tc>
        <w:tc>
          <w:tcPr>
            <w:tcW w:w="1830" w:type="dxa"/>
            <w:vMerge w:val="restart"/>
            <w:vAlign w:val="center"/>
          </w:tcPr>
          <w:p w14:paraId="0FA93AF6">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封闭加盖+喷洒除臭剂</w:t>
            </w:r>
          </w:p>
        </w:tc>
        <w:tc>
          <w:tcPr>
            <w:tcW w:w="3140" w:type="dxa"/>
            <w:vMerge w:val="restart"/>
            <w:vAlign w:val="center"/>
          </w:tcPr>
          <w:p w14:paraId="6A004CE8">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leftChars="0" w:right="0" w:firstLine="0" w:firstLineChars="0"/>
              <w:jc w:val="center"/>
              <w:textAlignment w:val="auto"/>
              <w:rPr>
                <w:rFonts w:hint="eastAsia" w:ascii="Times New Roman" w:hAnsi="Times New Roman" w:eastAsia="宋体" w:cs="宋体"/>
                <w:color w:val="auto"/>
                <w:sz w:val="21"/>
                <w:szCs w:val="21"/>
                <w:lang w:val="zh-CN" w:eastAsia="zh-CN"/>
              </w:rPr>
            </w:pPr>
            <w:r>
              <w:rPr>
                <w:color w:val="auto"/>
                <w:sz w:val="21"/>
                <w:szCs w:val="21"/>
              </w:rPr>
              <w:t>《恶臭污染物排放标准》（GB14554-93）中限值要求</w:t>
            </w:r>
          </w:p>
        </w:tc>
      </w:tr>
      <w:tr w14:paraId="12E0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12" w:type="dxa"/>
            <w:vMerge w:val="continue"/>
            <w:vAlign w:val="center"/>
          </w:tcPr>
          <w:p w14:paraId="5E8BADF8">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667" w:type="dxa"/>
            <w:vMerge w:val="continue"/>
            <w:vAlign w:val="center"/>
          </w:tcPr>
          <w:p w14:paraId="473F32B1">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Merge w:val="continue"/>
            <w:vAlign w:val="center"/>
          </w:tcPr>
          <w:p w14:paraId="7E6E4B82">
            <w:pPr>
              <w:widowControl w:val="0"/>
              <w:autoSpaceDE w:val="0"/>
              <w:autoSpaceDN w:val="0"/>
              <w:spacing w:line="240" w:lineRule="auto"/>
              <w:ind w:left="0" w:leftChars="0" w:firstLine="0" w:firstLineChars="0"/>
              <w:jc w:val="center"/>
              <w:rPr>
                <w:rFonts w:hint="eastAsia" w:ascii="Times New Roman" w:hAnsi="Times New Roman" w:eastAsia="宋体" w:cs="宋体"/>
                <w:color w:val="auto"/>
                <w:sz w:val="21"/>
                <w:szCs w:val="22"/>
                <w:lang w:val="en-US" w:eastAsia="zh-CN" w:bidi="ar-SA"/>
              </w:rPr>
            </w:pPr>
          </w:p>
        </w:tc>
        <w:tc>
          <w:tcPr>
            <w:tcW w:w="1335" w:type="dxa"/>
            <w:vAlign w:val="center"/>
          </w:tcPr>
          <w:p w14:paraId="3F3C5287">
            <w:pPr>
              <w:widowControl w:val="0"/>
              <w:overflowPunct w:val="0"/>
              <w:autoSpaceDE w:val="0"/>
              <w:autoSpaceDN w:val="0"/>
              <w:bidi w:val="0"/>
              <w:adjustRightInd w:val="0"/>
              <w:snapToGrid w:val="0"/>
              <w:spacing w:line="320" w:lineRule="exact"/>
              <w:ind w:firstLine="0" w:firstLineChars="0"/>
              <w:jc w:val="center"/>
              <w:rPr>
                <w:rFonts w:hint="default" w:cs="宋体"/>
                <w:color w:val="auto"/>
                <w:sz w:val="21"/>
                <w:szCs w:val="22"/>
                <w:highlight w:val="none"/>
                <w:lang w:val="en-US" w:eastAsia="zh-CN" w:bidi="ar-SA"/>
              </w:rPr>
            </w:pPr>
            <w:r>
              <w:rPr>
                <w:rFonts w:hint="eastAsia" w:cs="宋体"/>
                <w:color w:val="auto"/>
                <w:sz w:val="21"/>
                <w:szCs w:val="22"/>
                <w:highlight w:val="none"/>
                <w:lang w:val="en-US" w:eastAsia="zh-CN" w:bidi="ar-SA"/>
              </w:rPr>
              <w:t>H</w:t>
            </w:r>
            <w:r>
              <w:rPr>
                <w:rFonts w:hint="eastAsia" w:cs="宋体"/>
                <w:color w:val="auto"/>
                <w:sz w:val="21"/>
                <w:szCs w:val="22"/>
                <w:highlight w:val="none"/>
                <w:vertAlign w:val="subscript"/>
                <w:lang w:val="en-US" w:eastAsia="zh-CN" w:bidi="ar-SA"/>
              </w:rPr>
              <w:t>2</w:t>
            </w:r>
            <w:r>
              <w:rPr>
                <w:rFonts w:hint="eastAsia" w:cs="宋体"/>
                <w:color w:val="auto"/>
                <w:sz w:val="21"/>
                <w:szCs w:val="22"/>
                <w:highlight w:val="none"/>
                <w:lang w:val="en-US" w:eastAsia="zh-CN" w:bidi="ar-SA"/>
              </w:rPr>
              <w:t>S</w:t>
            </w:r>
          </w:p>
        </w:tc>
        <w:tc>
          <w:tcPr>
            <w:tcW w:w="1830" w:type="dxa"/>
            <w:vMerge w:val="continue"/>
            <w:vAlign w:val="center"/>
          </w:tcPr>
          <w:p w14:paraId="76E6D1CE">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3140" w:type="dxa"/>
            <w:vMerge w:val="continue"/>
            <w:vAlign w:val="center"/>
          </w:tcPr>
          <w:p w14:paraId="50470B61">
            <w:pPr>
              <w:overflowPunct w:val="0"/>
              <w:autoSpaceDE w:val="0"/>
              <w:autoSpaceDN w:val="0"/>
              <w:bidi w:val="0"/>
              <w:adjustRightInd w:val="0"/>
              <w:snapToGrid w:val="0"/>
              <w:spacing w:before="0" w:after="0" w:line="500" w:lineRule="exact"/>
              <w:ind w:left="0" w:leftChars="0" w:right="0" w:firstLine="0" w:firstLineChars="0"/>
              <w:jc w:val="center"/>
              <w:rPr>
                <w:rFonts w:hint="eastAsia" w:ascii="Times New Roman" w:hAnsi="Times New Roman" w:eastAsia="宋体" w:cs="宋体"/>
                <w:color w:val="auto"/>
                <w:sz w:val="21"/>
                <w:szCs w:val="21"/>
                <w:lang w:val="zh-CN" w:eastAsia="zh-CN"/>
              </w:rPr>
            </w:pPr>
          </w:p>
        </w:tc>
      </w:tr>
      <w:tr w14:paraId="2280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12" w:type="dxa"/>
            <w:vMerge w:val="continue"/>
            <w:vAlign w:val="center"/>
          </w:tcPr>
          <w:p w14:paraId="62DEC670">
            <w:pPr>
              <w:widowControl w:val="0"/>
              <w:overflowPunct w:val="0"/>
              <w:autoSpaceDE w:val="0"/>
              <w:autoSpaceDN w:val="0"/>
              <w:bidi w:val="0"/>
              <w:adjustRightInd w:val="0"/>
              <w:snapToGrid w:val="0"/>
              <w:spacing w:line="320" w:lineRule="exact"/>
              <w:ind w:firstLine="0" w:firstLineChars="0"/>
              <w:jc w:val="center"/>
              <w:rPr>
                <w:color w:val="auto"/>
              </w:rPr>
            </w:pPr>
          </w:p>
        </w:tc>
        <w:tc>
          <w:tcPr>
            <w:tcW w:w="667" w:type="dxa"/>
            <w:vMerge w:val="continue"/>
            <w:vAlign w:val="center"/>
          </w:tcPr>
          <w:p w14:paraId="76CCEB60">
            <w:pPr>
              <w:widowControl w:val="0"/>
              <w:overflowPunct w:val="0"/>
              <w:autoSpaceDE w:val="0"/>
              <w:autoSpaceDN w:val="0"/>
              <w:bidi w:val="0"/>
              <w:adjustRightInd w:val="0"/>
              <w:snapToGrid w:val="0"/>
              <w:spacing w:line="320" w:lineRule="exact"/>
              <w:ind w:firstLine="0" w:firstLineChars="0"/>
              <w:jc w:val="center"/>
              <w:rPr>
                <w:color w:val="auto"/>
              </w:rPr>
            </w:pPr>
          </w:p>
        </w:tc>
        <w:tc>
          <w:tcPr>
            <w:tcW w:w="1487" w:type="dxa"/>
            <w:vMerge w:val="continue"/>
            <w:vAlign w:val="center"/>
          </w:tcPr>
          <w:p w14:paraId="43445423">
            <w:pPr>
              <w:widowControl w:val="0"/>
              <w:overflowPunct w:val="0"/>
              <w:autoSpaceDE w:val="0"/>
              <w:autoSpaceDN w:val="0"/>
              <w:bidi w:val="0"/>
              <w:adjustRightInd w:val="0"/>
              <w:snapToGrid w:val="0"/>
              <w:spacing w:line="320" w:lineRule="exact"/>
              <w:ind w:firstLine="0" w:firstLineChars="0"/>
              <w:jc w:val="center"/>
              <w:rPr>
                <w:color w:val="auto"/>
              </w:rPr>
            </w:pPr>
          </w:p>
        </w:tc>
        <w:tc>
          <w:tcPr>
            <w:tcW w:w="1335" w:type="dxa"/>
            <w:vAlign w:val="center"/>
          </w:tcPr>
          <w:p w14:paraId="78820327">
            <w:pPr>
              <w:widowControl w:val="0"/>
              <w:overflowPunct w:val="0"/>
              <w:autoSpaceDE w:val="0"/>
              <w:autoSpaceDN w:val="0"/>
              <w:bidi w:val="0"/>
              <w:adjustRightInd w:val="0"/>
              <w:snapToGrid w:val="0"/>
              <w:spacing w:line="320" w:lineRule="exact"/>
              <w:ind w:firstLine="0" w:firstLineChars="0"/>
              <w:jc w:val="center"/>
              <w:rPr>
                <w:rFonts w:hint="default" w:cs="宋体"/>
                <w:color w:val="auto"/>
                <w:sz w:val="21"/>
                <w:szCs w:val="22"/>
                <w:highlight w:val="none"/>
                <w:lang w:val="en-US" w:eastAsia="zh-CN" w:bidi="ar-SA"/>
              </w:rPr>
            </w:pPr>
            <w:r>
              <w:rPr>
                <w:rFonts w:hint="eastAsia" w:cs="宋体"/>
                <w:color w:val="auto"/>
                <w:sz w:val="21"/>
                <w:szCs w:val="22"/>
                <w:highlight w:val="none"/>
                <w:lang w:val="en-US" w:eastAsia="zh-CN" w:bidi="ar-SA"/>
              </w:rPr>
              <w:t>臭气浓度</w:t>
            </w:r>
          </w:p>
        </w:tc>
        <w:tc>
          <w:tcPr>
            <w:tcW w:w="1830" w:type="dxa"/>
            <w:vMerge w:val="continue"/>
            <w:vAlign w:val="center"/>
          </w:tcPr>
          <w:p w14:paraId="7868222A">
            <w:pPr>
              <w:widowControl w:val="0"/>
              <w:overflowPunct w:val="0"/>
              <w:autoSpaceDE w:val="0"/>
              <w:autoSpaceDN w:val="0"/>
              <w:bidi w:val="0"/>
              <w:adjustRightInd w:val="0"/>
              <w:snapToGrid w:val="0"/>
              <w:spacing w:line="320" w:lineRule="exact"/>
              <w:ind w:firstLine="0" w:firstLineChars="0"/>
              <w:jc w:val="center"/>
              <w:rPr>
                <w:rFonts w:hint="eastAsia" w:cs="宋体"/>
                <w:color w:val="auto"/>
                <w:sz w:val="21"/>
                <w:szCs w:val="22"/>
                <w:highlight w:val="none"/>
                <w:lang w:val="en-US" w:eastAsia="zh-CN" w:bidi="ar-SA"/>
              </w:rPr>
            </w:pPr>
          </w:p>
        </w:tc>
        <w:tc>
          <w:tcPr>
            <w:tcW w:w="3140" w:type="dxa"/>
            <w:vMerge w:val="continue"/>
            <w:vAlign w:val="center"/>
          </w:tcPr>
          <w:p w14:paraId="0335A51D">
            <w:pPr>
              <w:widowControl w:val="0"/>
              <w:overflowPunct w:val="0"/>
              <w:autoSpaceDE w:val="0"/>
              <w:autoSpaceDN w:val="0"/>
              <w:bidi w:val="0"/>
              <w:adjustRightInd w:val="0"/>
              <w:snapToGrid w:val="0"/>
              <w:spacing w:line="320" w:lineRule="exact"/>
              <w:ind w:firstLine="0" w:firstLineChars="0"/>
              <w:jc w:val="center"/>
              <w:rPr>
                <w:rFonts w:hint="eastAsia" w:cs="宋体"/>
                <w:color w:val="auto"/>
                <w:sz w:val="21"/>
                <w:szCs w:val="21"/>
                <w:highlight w:val="none"/>
                <w:lang w:val="en-US" w:eastAsia="zh-CN" w:bidi="ar-SA"/>
              </w:rPr>
            </w:pPr>
          </w:p>
        </w:tc>
      </w:tr>
      <w:tr w14:paraId="2B52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79" w:type="dxa"/>
            <w:gridSpan w:val="2"/>
            <w:vMerge w:val="restart"/>
            <w:vAlign w:val="center"/>
          </w:tcPr>
          <w:p w14:paraId="06D2D0DC">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1"/>
                <w:lang w:val="en-US" w:eastAsia="zh-CN" w:bidi="ar-SA"/>
              </w:rPr>
            </w:pPr>
            <w:r>
              <w:rPr>
                <w:rFonts w:hint="eastAsia" w:ascii="Times New Roman" w:hAnsi="Times New Roman" w:eastAsia="宋体" w:cs="宋体"/>
                <w:color w:val="auto"/>
                <w:sz w:val="21"/>
                <w:szCs w:val="21"/>
                <w:lang w:val="en-US" w:eastAsia="zh-CN" w:bidi="ar-SA"/>
              </w:rPr>
              <w:t>水环境</w:t>
            </w:r>
          </w:p>
        </w:tc>
        <w:tc>
          <w:tcPr>
            <w:tcW w:w="1487" w:type="dxa"/>
            <w:vAlign w:val="center"/>
          </w:tcPr>
          <w:p w14:paraId="307AC0FE">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1"/>
                <w:lang w:val="en-US" w:eastAsia="zh-CN" w:bidi="ar-SA"/>
              </w:rPr>
            </w:pPr>
            <w:r>
              <w:rPr>
                <w:rFonts w:hint="eastAsia" w:ascii="Times New Roman" w:hAnsi="Times New Roman" w:eastAsia="宋体" w:cs="宋体"/>
                <w:color w:val="auto"/>
                <w:sz w:val="21"/>
                <w:szCs w:val="21"/>
                <w:lang w:val="en-US" w:eastAsia="zh-CN" w:bidi="ar-SA"/>
              </w:rPr>
              <w:t>生活污水</w:t>
            </w:r>
          </w:p>
        </w:tc>
        <w:tc>
          <w:tcPr>
            <w:tcW w:w="1335" w:type="dxa"/>
            <w:vAlign w:val="center"/>
          </w:tcPr>
          <w:p w14:paraId="1BDA0E96">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1"/>
                <w:lang w:val="en-US" w:eastAsia="zh-CN" w:bidi="ar-SA"/>
              </w:rPr>
            </w:pPr>
            <w:r>
              <w:rPr>
                <w:rFonts w:hint="eastAsia"/>
                <w:color w:val="auto"/>
                <w:sz w:val="21"/>
                <w:szCs w:val="21"/>
              </w:rPr>
              <w:t>pH、COD</w:t>
            </w:r>
            <w:r>
              <w:rPr>
                <w:rFonts w:hint="eastAsia"/>
                <w:color w:val="auto"/>
                <w:sz w:val="21"/>
                <w:szCs w:val="21"/>
                <w:vertAlign w:val="subscript"/>
              </w:rPr>
              <w:t>Cr</w:t>
            </w:r>
            <w:r>
              <w:rPr>
                <w:rFonts w:hint="eastAsia"/>
                <w:color w:val="auto"/>
                <w:sz w:val="21"/>
                <w:szCs w:val="21"/>
              </w:rPr>
              <w:t>、BOD</w:t>
            </w:r>
            <w:r>
              <w:rPr>
                <w:rFonts w:hint="eastAsia"/>
                <w:color w:val="auto"/>
                <w:sz w:val="21"/>
                <w:szCs w:val="21"/>
                <w:vertAlign w:val="subscript"/>
              </w:rPr>
              <w:t>5</w:t>
            </w:r>
            <w:r>
              <w:rPr>
                <w:rFonts w:hint="eastAsia"/>
                <w:color w:val="auto"/>
                <w:sz w:val="21"/>
                <w:szCs w:val="21"/>
              </w:rPr>
              <w:t>、SS、NH</w:t>
            </w:r>
            <w:r>
              <w:rPr>
                <w:rFonts w:hint="eastAsia"/>
                <w:color w:val="auto"/>
                <w:sz w:val="21"/>
                <w:szCs w:val="21"/>
                <w:vertAlign w:val="subscript"/>
              </w:rPr>
              <w:t>3</w:t>
            </w:r>
            <w:r>
              <w:rPr>
                <w:rFonts w:hint="eastAsia"/>
                <w:color w:val="auto"/>
                <w:sz w:val="21"/>
                <w:szCs w:val="21"/>
              </w:rPr>
              <w:t>-N</w:t>
            </w:r>
          </w:p>
        </w:tc>
        <w:tc>
          <w:tcPr>
            <w:tcW w:w="1830" w:type="dxa"/>
            <w:vAlign w:val="center"/>
          </w:tcPr>
          <w:p w14:paraId="2EC784B5">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1"/>
                <w:lang w:val="en-US" w:eastAsia="zh-CN" w:bidi="ar-SA"/>
              </w:rPr>
            </w:pPr>
            <w:r>
              <w:rPr>
                <w:rFonts w:hint="eastAsia" w:ascii="Times New Roman" w:hAnsi="Times New Roman" w:eastAsia="宋体" w:cs="宋体"/>
                <w:color w:val="auto"/>
                <w:sz w:val="21"/>
                <w:szCs w:val="21"/>
                <w:highlight w:val="none"/>
                <w:lang w:val="en-US" w:eastAsia="zh-CN" w:bidi="ar-SA"/>
              </w:rPr>
              <w:t>排入</w:t>
            </w:r>
            <w:r>
              <w:rPr>
                <w:rFonts w:hint="eastAsia" w:cs="宋体"/>
                <w:color w:val="auto"/>
                <w:sz w:val="21"/>
                <w:szCs w:val="21"/>
                <w:highlight w:val="none"/>
                <w:lang w:val="en-US" w:eastAsia="zh-CN" w:bidi="ar-SA"/>
              </w:rPr>
              <w:t>园区</w:t>
            </w:r>
            <w:r>
              <w:rPr>
                <w:rFonts w:hint="eastAsia" w:ascii="Times New Roman" w:hAnsi="Times New Roman" w:eastAsia="宋体" w:cs="宋体"/>
                <w:color w:val="auto"/>
                <w:sz w:val="21"/>
                <w:szCs w:val="21"/>
                <w:highlight w:val="none"/>
                <w:lang w:val="en-US" w:eastAsia="zh-CN" w:bidi="ar-SA"/>
              </w:rPr>
              <w:t>管网</w:t>
            </w:r>
          </w:p>
        </w:tc>
        <w:tc>
          <w:tcPr>
            <w:tcW w:w="3140" w:type="dxa"/>
            <w:vMerge w:val="restart"/>
            <w:vAlign w:val="center"/>
          </w:tcPr>
          <w:p w14:paraId="071E7AC0">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1"/>
                <w:lang w:val="en-US" w:eastAsia="zh-CN" w:bidi="ar-SA"/>
              </w:rPr>
            </w:pPr>
            <w:r>
              <w:rPr>
                <w:rFonts w:hint="default" w:ascii="Times New Roman" w:hAnsi="Times New Roman" w:eastAsia="宋体" w:cs="Times New Roman"/>
                <w:color w:val="auto"/>
                <w:sz w:val="21"/>
                <w:szCs w:val="21"/>
              </w:rPr>
              <w:t>《污水综合排放标准》(GB8978-1996)三级标准</w:t>
            </w:r>
          </w:p>
        </w:tc>
      </w:tr>
      <w:tr w14:paraId="09AF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1279" w:type="dxa"/>
            <w:gridSpan w:val="2"/>
            <w:vMerge w:val="continue"/>
            <w:vAlign w:val="center"/>
          </w:tcPr>
          <w:p w14:paraId="3C3B368F">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1"/>
                <w:lang w:val="en-US" w:eastAsia="zh-CN" w:bidi="ar-SA"/>
              </w:rPr>
            </w:pPr>
          </w:p>
        </w:tc>
        <w:tc>
          <w:tcPr>
            <w:tcW w:w="1487" w:type="dxa"/>
            <w:vAlign w:val="center"/>
          </w:tcPr>
          <w:p w14:paraId="1ACCD269">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1"/>
                <w:lang w:val="en-US" w:eastAsia="zh-CN" w:bidi="ar-SA"/>
              </w:rPr>
            </w:pPr>
            <w:r>
              <w:rPr>
                <w:rFonts w:hint="eastAsia" w:cs="宋体"/>
                <w:color w:val="auto"/>
                <w:sz w:val="21"/>
                <w:szCs w:val="21"/>
                <w:lang w:val="en-US" w:eastAsia="zh-CN" w:bidi="ar-SA"/>
              </w:rPr>
              <w:t>生产</w:t>
            </w:r>
            <w:r>
              <w:rPr>
                <w:rFonts w:hint="eastAsia" w:ascii="Times New Roman" w:hAnsi="Times New Roman" w:cs="宋体"/>
                <w:color w:val="auto"/>
                <w:sz w:val="21"/>
                <w:szCs w:val="21"/>
                <w:lang w:val="en-US" w:eastAsia="zh-CN" w:bidi="ar-SA"/>
              </w:rPr>
              <w:t>废水</w:t>
            </w:r>
          </w:p>
        </w:tc>
        <w:tc>
          <w:tcPr>
            <w:tcW w:w="1335" w:type="dxa"/>
            <w:vAlign w:val="center"/>
          </w:tcPr>
          <w:p w14:paraId="08D52E98">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ar-SA"/>
              </w:rPr>
            </w:pPr>
            <w:r>
              <w:rPr>
                <w:rFonts w:hint="eastAsia"/>
                <w:color w:val="auto"/>
                <w:sz w:val="21"/>
                <w:szCs w:val="21"/>
              </w:rPr>
              <w:t>pH、COD</w:t>
            </w:r>
            <w:r>
              <w:rPr>
                <w:rFonts w:hint="eastAsia"/>
                <w:color w:val="auto"/>
                <w:sz w:val="21"/>
                <w:szCs w:val="21"/>
                <w:vertAlign w:val="subscript"/>
              </w:rPr>
              <w:t>Cr</w:t>
            </w:r>
            <w:r>
              <w:rPr>
                <w:rFonts w:hint="eastAsia"/>
                <w:color w:val="auto"/>
                <w:sz w:val="21"/>
                <w:szCs w:val="21"/>
              </w:rPr>
              <w:t>、BOD</w:t>
            </w:r>
            <w:r>
              <w:rPr>
                <w:rFonts w:hint="eastAsia"/>
                <w:color w:val="auto"/>
                <w:sz w:val="21"/>
                <w:szCs w:val="21"/>
                <w:vertAlign w:val="subscript"/>
              </w:rPr>
              <w:t>5</w:t>
            </w:r>
            <w:r>
              <w:rPr>
                <w:rFonts w:hint="eastAsia"/>
                <w:color w:val="auto"/>
                <w:sz w:val="21"/>
                <w:szCs w:val="21"/>
              </w:rPr>
              <w:t>、SS、NH</w:t>
            </w:r>
            <w:r>
              <w:rPr>
                <w:rFonts w:hint="eastAsia"/>
                <w:color w:val="auto"/>
                <w:sz w:val="21"/>
                <w:szCs w:val="21"/>
                <w:vertAlign w:val="subscript"/>
              </w:rPr>
              <w:t>3</w:t>
            </w:r>
            <w:r>
              <w:rPr>
                <w:rFonts w:hint="eastAsia"/>
                <w:color w:val="auto"/>
                <w:sz w:val="21"/>
                <w:szCs w:val="21"/>
              </w:rPr>
              <w:t>-N</w:t>
            </w:r>
          </w:p>
        </w:tc>
        <w:tc>
          <w:tcPr>
            <w:tcW w:w="1830" w:type="dxa"/>
            <w:vAlign w:val="center"/>
          </w:tcPr>
          <w:p w14:paraId="5BD7CF91">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1"/>
                <w:lang w:val="en-US" w:eastAsia="zh-CN" w:bidi="ar-SA"/>
              </w:rPr>
            </w:pPr>
            <w:r>
              <w:rPr>
                <w:rFonts w:hint="eastAsia" w:ascii="Times New Roman" w:hAnsi="Times New Roman" w:cs="宋体"/>
                <w:color w:val="auto"/>
                <w:sz w:val="21"/>
                <w:szCs w:val="21"/>
                <w:lang w:val="en-US" w:eastAsia="zh-CN" w:bidi="ar-SA"/>
              </w:rPr>
              <w:t>经</w:t>
            </w:r>
            <w:r>
              <w:rPr>
                <w:rFonts w:hint="eastAsia" w:cs="宋体"/>
                <w:color w:val="auto"/>
                <w:sz w:val="21"/>
                <w:szCs w:val="21"/>
                <w:lang w:val="en-US" w:eastAsia="zh-CN" w:bidi="ar-SA"/>
              </w:rPr>
              <w:t>自建污水处理站处理+</w:t>
            </w:r>
            <w:r>
              <w:rPr>
                <w:rFonts w:hint="eastAsia" w:ascii="Times New Roman" w:hAnsi="Times New Roman" w:cs="宋体"/>
                <w:color w:val="auto"/>
                <w:sz w:val="21"/>
                <w:szCs w:val="21"/>
                <w:lang w:val="en-US" w:eastAsia="zh-CN" w:bidi="ar-SA"/>
              </w:rPr>
              <w:t>排入</w:t>
            </w:r>
            <w:r>
              <w:rPr>
                <w:rFonts w:hint="eastAsia" w:cs="宋体"/>
                <w:color w:val="auto"/>
                <w:sz w:val="21"/>
                <w:szCs w:val="21"/>
                <w:highlight w:val="none"/>
                <w:lang w:val="en-US" w:eastAsia="zh-CN" w:bidi="ar-SA"/>
              </w:rPr>
              <w:t>园区</w:t>
            </w:r>
            <w:r>
              <w:rPr>
                <w:rFonts w:hint="eastAsia" w:ascii="Times New Roman" w:hAnsi="Times New Roman" w:eastAsia="宋体" w:cs="宋体"/>
                <w:color w:val="auto"/>
                <w:sz w:val="21"/>
                <w:szCs w:val="21"/>
                <w:highlight w:val="none"/>
                <w:lang w:val="en-US" w:eastAsia="zh-CN" w:bidi="ar-SA"/>
              </w:rPr>
              <w:t>管网</w:t>
            </w:r>
          </w:p>
        </w:tc>
        <w:tc>
          <w:tcPr>
            <w:tcW w:w="3140" w:type="dxa"/>
            <w:vMerge w:val="continue"/>
            <w:vAlign w:val="center"/>
          </w:tcPr>
          <w:p w14:paraId="58350354">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r>
      <w:tr w14:paraId="2B9B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279" w:type="dxa"/>
            <w:gridSpan w:val="2"/>
            <w:vMerge w:val="continue"/>
            <w:vAlign w:val="center"/>
          </w:tcPr>
          <w:p w14:paraId="18428F88">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1"/>
                <w:lang w:val="en-US" w:eastAsia="zh-CN" w:bidi="ar-SA"/>
              </w:rPr>
            </w:pPr>
          </w:p>
        </w:tc>
        <w:tc>
          <w:tcPr>
            <w:tcW w:w="1487" w:type="dxa"/>
            <w:vAlign w:val="center"/>
          </w:tcPr>
          <w:p w14:paraId="52A13C09">
            <w:pPr>
              <w:widowControl w:val="0"/>
              <w:overflowPunct w:val="0"/>
              <w:autoSpaceDE w:val="0"/>
              <w:autoSpaceDN w:val="0"/>
              <w:bidi w:val="0"/>
              <w:adjustRightInd w:val="0"/>
              <w:snapToGrid w:val="0"/>
              <w:spacing w:before="0" w:after="0" w:line="400" w:lineRule="exact"/>
              <w:ind w:left="0" w:right="0" w:firstLine="0" w:firstLineChars="0"/>
              <w:jc w:val="center"/>
              <w:rPr>
                <w:rFonts w:hint="default" w:cs="宋体"/>
                <w:color w:val="auto"/>
                <w:sz w:val="21"/>
                <w:szCs w:val="21"/>
                <w:lang w:val="en-US" w:eastAsia="zh-CN" w:bidi="ar-SA"/>
              </w:rPr>
            </w:pPr>
            <w:r>
              <w:rPr>
                <w:rFonts w:hint="eastAsia" w:cs="宋体"/>
                <w:color w:val="auto"/>
                <w:sz w:val="21"/>
                <w:szCs w:val="21"/>
                <w:lang w:val="en-US" w:eastAsia="zh-CN" w:bidi="ar-SA"/>
              </w:rPr>
              <w:t>软化废水</w:t>
            </w:r>
          </w:p>
        </w:tc>
        <w:tc>
          <w:tcPr>
            <w:tcW w:w="1335" w:type="dxa"/>
            <w:vAlign w:val="center"/>
          </w:tcPr>
          <w:p w14:paraId="3D4790C9">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清洁下水</w:t>
            </w:r>
          </w:p>
        </w:tc>
        <w:tc>
          <w:tcPr>
            <w:tcW w:w="1830" w:type="dxa"/>
            <w:vAlign w:val="center"/>
          </w:tcPr>
          <w:p w14:paraId="1EC6F434">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cs="宋体"/>
                <w:color w:val="auto"/>
                <w:sz w:val="21"/>
                <w:szCs w:val="21"/>
                <w:lang w:val="en-US" w:eastAsia="zh-CN" w:bidi="ar-SA"/>
              </w:rPr>
            </w:pPr>
            <w:r>
              <w:rPr>
                <w:rFonts w:hint="eastAsia" w:ascii="Times New Roman" w:hAnsi="Times New Roman" w:eastAsia="宋体" w:cs="宋体"/>
                <w:color w:val="auto"/>
                <w:sz w:val="21"/>
                <w:szCs w:val="21"/>
                <w:highlight w:val="none"/>
                <w:lang w:val="en-US" w:eastAsia="zh-CN" w:bidi="ar-SA"/>
              </w:rPr>
              <w:t>排入</w:t>
            </w:r>
            <w:r>
              <w:rPr>
                <w:rFonts w:hint="eastAsia" w:cs="宋体"/>
                <w:color w:val="auto"/>
                <w:sz w:val="21"/>
                <w:szCs w:val="21"/>
                <w:highlight w:val="none"/>
                <w:lang w:val="en-US" w:eastAsia="zh-CN" w:bidi="ar-SA"/>
              </w:rPr>
              <w:t>园区</w:t>
            </w:r>
            <w:r>
              <w:rPr>
                <w:rFonts w:hint="eastAsia" w:ascii="Times New Roman" w:hAnsi="Times New Roman" w:eastAsia="宋体" w:cs="宋体"/>
                <w:color w:val="auto"/>
                <w:sz w:val="21"/>
                <w:szCs w:val="21"/>
                <w:highlight w:val="none"/>
                <w:lang w:val="en-US" w:eastAsia="zh-CN" w:bidi="ar-SA"/>
              </w:rPr>
              <w:t>管网</w:t>
            </w:r>
          </w:p>
        </w:tc>
        <w:tc>
          <w:tcPr>
            <w:tcW w:w="3140" w:type="dxa"/>
            <w:vMerge w:val="continue"/>
            <w:vAlign w:val="center"/>
          </w:tcPr>
          <w:p w14:paraId="5E5D9982">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p>
        </w:tc>
      </w:tr>
      <w:tr w14:paraId="6D67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gridSpan w:val="2"/>
            <w:vMerge w:val="restart"/>
            <w:vAlign w:val="center"/>
          </w:tcPr>
          <w:p w14:paraId="103D55A2">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1"/>
                <w:lang w:val="en-US" w:eastAsia="zh-CN" w:bidi="ar-SA"/>
              </w:rPr>
              <w:t>固废</w:t>
            </w:r>
          </w:p>
        </w:tc>
        <w:tc>
          <w:tcPr>
            <w:tcW w:w="1487" w:type="dxa"/>
            <w:vAlign w:val="center"/>
          </w:tcPr>
          <w:p w14:paraId="7454AB1C">
            <w:pPr>
              <w:pStyle w:val="46"/>
              <w:bidi w:val="0"/>
              <w:ind w:firstLine="0" w:firstLineChars="0"/>
              <w:jc w:val="center"/>
              <w:rPr>
                <w:rFonts w:hint="eastAsia" w:cs="宋体"/>
                <w:color w:val="auto"/>
                <w:sz w:val="21"/>
                <w:szCs w:val="22"/>
                <w:lang w:val="en-US" w:eastAsia="zh-CN" w:bidi="ar-SA"/>
              </w:rPr>
            </w:pPr>
            <w:r>
              <w:rPr>
                <w:rFonts w:hint="eastAsia"/>
                <w:color w:val="auto"/>
                <w:lang w:val="en-US" w:eastAsia="zh-CN"/>
              </w:rPr>
              <w:t>烂果</w:t>
            </w:r>
          </w:p>
        </w:tc>
        <w:tc>
          <w:tcPr>
            <w:tcW w:w="1335" w:type="dxa"/>
            <w:vMerge w:val="restart"/>
            <w:vAlign w:val="center"/>
          </w:tcPr>
          <w:p w14:paraId="71A771B5">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一般固废</w:t>
            </w:r>
          </w:p>
        </w:tc>
        <w:tc>
          <w:tcPr>
            <w:tcW w:w="1830" w:type="dxa"/>
            <w:vMerge w:val="restart"/>
            <w:vAlign w:val="center"/>
          </w:tcPr>
          <w:p w14:paraId="113C3BDF">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1"/>
                <w:lang w:val="en-US" w:eastAsia="zh-CN" w:bidi="ar-SA"/>
              </w:rPr>
              <w:t>集中收集，委托环卫部门清运</w:t>
            </w:r>
          </w:p>
        </w:tc>
        <w:tc>
          <w:tcPr>
            <w:tcW w:w="3140" w:type="dxa"/>
            <w:vMerge w:val="restart"/>
            <w:vAlign w:val="center"/>
          </w:tcPr>
          <w:p w14:paraId="74EB0B56">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《一般工业固体废物贮存和填埋场污染控制标准》（GB18599-2020）</w:t>
            </w:r>
          </w:p>
        </w:tc>
      </w:tr>
      <w:tr w14:paraId="0EC3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gridSpan w:val="2"/>
            <w:vMerge w:val="continue"/>
            <w:vAlign w:val="center"/>
          </w:tcPr>
          <w:p w14:paraId="583E8FC7">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681F257F">
            <w:pPr>
              <w:pStyle w:val="46"/>
              <w:bidi w:val="0"/>
              <w:ind w:firstLine="0" w:firstLineChars="0"/>
              <w:jc w:val="center"/>
              <w:rPr>
                <w:rFonts w:hint="eastAsia" w:cs="宋体"/>
                <w:color w:val="auto"/>
                <w:sz w:val="21"/>
                <w:szCs w:val="22"/>
                <w:lang w:val="en-US" w:eastAsia="zh-CN" w:bidi="ar-SA"/>
              </w:rPr>
            </w:pPr>
            <w:r>
              <w:rPr>
                <w:rFonts w:hint="eastAsia"/>
                <w:color w:val="auto"/>
                <w:lang w:val="en-US" w:eastAsia="zh-CN"/>
              </w:rPr>
              <w:t>果梗</w:t>
            </w:r>
          </w:p>
        </w:tc>
        <w:tc>
          <w:tcPr>
            <w:tcW w:w="1335" w:type="dxa"/>
            <w:vMerge w:val="continue"/>
            <w:vAlign w:val="center"/>
          </w:tcPr>
          <w:p w14:paraId="439B00C3">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p>
        </w:tc>
        <w:tc>
          <w:tcPr>
            <w:tcW w:w="1830" w:type="dxa"/>
            <w:vMerge w:val="continue"/>
            <w:vAlign w:val="center"/>
          </w:tcPr>
          <w:p w14:paraId="2DAA805A">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cs="宋体"/>
                <w:color w:val="auto"/>
                <w:sz w:val="21"/>
                <w:szCs w:val="22"/>
                <w:lang w:val="en-US" w:eastAsia="zh-CN" w:bidi="ar-SA"/>
              </w:rPr>
            </w:pPr>
          </w:p>
        </w:tc>
        <w:tc>
          <w:tcPr>
            <w:tcW w:w="3140" w:type="dxa"/>
            <w:vMerge w:val="continue"/>
            <w:vAlign w:val="center"/>
          </w:tcPr>
          <w:p w14:paraId="17FC53D3">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r>
      <w:tr w14:paraId="4FE0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gridSpan w:val="2"/>
            <w:vMerge w:val="continue"/>
            <w:vAlign w:val="center"/>
          </w:tcPr>
          <w:p w14:paraId="7BDCD3C5">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5C4EFC83">
            <w:pPr>
              <w:pStyle w:val="46"/>
              <w:bidi w:val="0"/>
              <w:ind w:firstLine="0" w:firstLineChars="0"/>
              <w:jc w:val="center"/>
              <w:rPr>
                <w:rFonts w:hint="eastAsia" w:cs="宋体"/>
                <w:color w:val="auto"/>
                <w:sz w:val="21"/>
                <w:szCs w:val="22"/>
                <w:lang w:val="en-US" w:eastAsia="zh-CN" w:bidi="ar-SA"/>
              </w:rPr>
            </w:pPr>
            <w:r>
              <w:rPr>
                <w:rFonts w:hint="eastAsia"/>
                <w:color w:val="auto"/>
                <w:lang w:val="en-US" w:eastAsia="zh-CN"/>
              </w:rPr>
              <w:t>果渣</w:t>
            </w:r>
          </w:p>
        </w:tc>
        <w:tc>
          <w:tcPr>
            <w:tcW w:w="1335" w:type="dxa"/>
            <w:vMerge w:val="continue"/>
            <w:vAlign w:val="center"/>
          </w:tcPr>
          <w:p w14:paraId="37DC5EF6">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p>
        </w:tc>
        <w:tc>
          <w:tcPr>
            <w:tcW w:w="1830" w:type="dxa"/>
            <w:vAlign w:val="center"/>
          </w:tcPr>
          <w:p w14:paraId="378B13F6">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作为饲料综合外售</w:t>
            </w:r>
          </w:p>
        </w:tc>
        <w:tc>
          <w:tcPr>
            <w:tcW w:w="3140" w:type="dxa"/>
            <w:vMerge w:val="continue"/>
            <w:vAlign w:val="center"/>
          </w:tcPr>
          <w:p w14:paraId="15D36754">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r>
      <w:tr w14:paraId="6EC3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gridSpan w:val="2"/>
            <w:vMerge w:val="continue"/>
            <w:vAlign w:val="center"/>
          </w:tcPr>
          <w:p w14:paraId="2C14EFF6">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26DD142A">
            <w:pPr>
              <w:pStyle w:val="46"/>
              <w:bidi w:val="0"/>
              <w:ind w:firstLine="0" w:firstLineChars="0"/>
              <w:jc w:val="center"/>
              <w:rPr>
                <w:rFonts w:hint="default"/>
                <w:color w:val="auto"/>
                <w:lang w:val="en-US" w:eastAsia="zh-CN"/>
              </w:rPr>
            </w:pPr>
            <w:r>
              <w:rPr>
                <w:rFonts w:hint="eastAsia"/>
                <w:color w:val="auto"/>
                <w:lang w:val="en-US" w:eastAsia="zh-CN"/>
              </w:rPr>
              <w:t>生活垃圾</w:t>
            </w:r>
          </w:p>
        </w:tc>
        <w:tc>
          <w:tcPr>
            <w:tcW w:w="1335" w:type="dxa"/>
            <w:vMerge w:val="continue"/>
            <w:vAlign w:val="center"/>
          </w:tcPr>
          <w:p w14:paraId="54AC2DD8">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p>
        </w:tc>
        <w:tc>
          <w:tcPr>
            <w:tcW w:w="1830" w:type="dxa"/>
            <w:vAlign w:val="center"/>
          </w:tcPr>
          <w:p w14:paraId="44A63AB0">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1"/>
                <w:lang w:val="en-US" w:eastAsia="zh-CN" w:bidi="ar-SA"/>
              </w:rPr>
              <w:t>集中收集，委托环卫部门清运</w:t>
            </w:r>
          </w:p>
        </w:tc>
        <w:tc>
          <w:tcPr>
            <w:tcW w:w="3140" w:type="dxa"/>
            <w:vMerge w:val="continue"/>
            <w:vAlign w:val="center"/>
          </w:tcPr>
          <w:p w14:paraId="3CAA7C49">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r>
      <w:tr w14:paraId="14E5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gridSpan w:val="2"/>
            <w:vMerge w:val="continue"/>
            <w:vAlign w:val="center"/>
          </w:tcPr>
          <w:p w14:paraId="6C5673A1">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379AD01F">
            <w:pPr>
              <w:pStyle w:val="46"/>
              <w:bidi w:val="0"/>
              <w:ind w:firstLine="0" w:firstLineChars="0"/>
              <w:jc w:val="center"/>
              <w:rPr>
                <w:rFonts w:hint="eastAsia" w:cs="宋体"/>
                <w:color w:val="auto"/>
                <w:sz w:val="21"/>
                <w:szCs w:val="22"/>
                <w:lang w:val="en-US" w:eastAsia="zh-CN" w:bidi="ar-SA"/>
              </w:rPr>
            </w:pPr>
            <w:r>
              <w:rPr>
                <w:rFonts w:hint="eastAsia"/>
                <w:color w:val="auto"/>
                <w:lang w:val="en-US" w:eastAsia="zh-CN"/>
              </w:rPr>
              <w:t>废包装</w:t>
            </w:r>
          </w:p>
        </w:tc>
        <w:tc>
          <w:tcPr>
            <w:tcW w:w="1335" w:type="dxa"/>
            <w:vAlign w:val="center"/>
          </w:tcPr>
          <w:p w14:paraId="18E9A04A">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一般废包装材料</w:t>
            </w:r>
          </w:p>
        </w:tc>
        <w:tc>
          <w:tcPr>
            <w:tcW w:w="1830" w:type="dxa"/>
            <w:vAlign w:val="center"/>
          </w:tcPr>
          <w:p w14:paraId="73C0DFFA">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default" w:cs="宋体"/>
                <w:color w:val="auto"/>
                <w:sz w:val="21"/>
                <w:szCs w:val="22"/>
                <w:lang w:val="en-US" w:eastAsia="zh-CN" w:bidi="ar-SA"/>
              </w:rPr>
            </w:pPr>
            <w:r>
              <w:rPr>
                <w:rFonts w:hint="eastAsia" w:cs="宋体"/>
                <w:color w:val="auto"/>
                <w:sz w:val="21"/>
                <w:szCs w:val="22"/>
                <w:lang w:val="en-US" w:eastAsia="zh-CN" w:bidi="ar-SA"/>
              </w:rPr>
              <w:t>综合外售</w:t>
            </w:r>
          </w:p>
        </w:tc>
        <w:tc>
          <w:tcPr>
            <w:tcW w:w="3140" w:type="dxa"/>
            <w:vMerge w:val="continue"/>
            <w:vAlign w:val="center"/>
          </w:tcPr>
          <w:p w14:paraId="3C475D4C">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r>
      <w:tr w14:paraId="6AF1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gridSpan w:val="2"/>
            <w:vMerge w:val="continue"/>
            <w:vAlign w:val="center"/>
          </w:tcPr>
          <w:p w14:paraId="009E2A14">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4A16D991">
            <w:pPr>
              <w:pStyle w:val="46"/>
              <w:bidi w:val="0"/>
              <w:ind w:firstLine="0" w:firstLineChars="0"/>
              <w:jc w:val="center"/>
              <w:rPr>
                <w:rFonts w:hint="eastAsia" w:cs="宋体"/>
                <w:color w:val="auto"/>
                <w:sz w:val="21"/>
                <w:szCs w:val="22"/>
                <w:lang w:val="en-US" w:eastAsia="zh-CN" w:bidi="ar-SA"/>
              </w:rPr>
            </w:pPr>
            <w:r>
              <w:rPr>
                <w:rFonts w:hint="eastAsia"/>
                <w:color w:val="auto"/>
                <w:lang w:val="en-US" w:eastAsia="zh-CN"/>
              </w:rPr>
              <w:t>废离子树脂</w:t>
            </w:r>
          </w:p>
        </w:tc>
        <w:tc>
          <w:tcPr>
            <w:tcW w:w="1335" w:type="dxa"/>
            <w:vMerge w:val="restart"/>
            <w:vAlign w:val="center"/>
          </w:tcPr>
          <w:p w14:paraId="79D75887">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一般固废</w:t>
            </w:r>
          </w:p>
        </w:tc>
        <w:tc>
          <w:tcPr>
            <w:tcW w:w="1830" w:type="dxa"/>
            <w:vAlign w:val="center"/>
          </w:tcPr>
          <w:p w14:paraId="53A4858C">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厂家定期更换</w:t>
            </w:r>
          </w:p>
        </w:tc>
        <w:tc>
          <w:tcPr>
            <w:tcW w:w="3140" w:type="dxa"/>
            <w:vMerge w:val="continue"/>
            <w:vAlign w:val="center"/>
          </w:tcPr>
          <w:p w14:paraId="17A3B865">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r>
      <w:tr w14:paraId="2513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gridSpan w:val="2"/>
            <w:vMerge w:val="continue"/>
            <w:vAlign w:val="center"/>
          </w:tcPr>
          <w:p w14:paraId="0C0B94AA">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527B7E5A">
            <w:pPr>
              <w:pStyle w:val="46"/>
              <w:bidi w:val="0"/>
              <w:ind w:firstLine="0" w:firstLineChars="0"/>
              <w:jc w:val="center"/>
              <w:rPr>
                <w:rFonts w:hint="eastAsia" w:cs="宋体"/>
                <w:color w:val="auto"/>
                <w:sz w:val="21"/>
                <w:szCs w:val="22"/>
                <w:lang w:val="en-US" w:eastAsia="zh-CN" w:bidi="ar-SA"/>
              </w:rPr>
            </w:pPr>
            <w:r>
              <w:rPr>
                <w:rFonts w:hint="eastAsia"/>
                <w:color w:val="auto"/>
                <w:lang w:val="en-US" w:eastAsia="zh-CN"/>
              </w:rPr>
              <w:t>废超滤膜</w:t>
            </w:r>
          </w:p>
        </w:tc>
        <w:tc>
          <w:tcPr>
            <w:tcW w:w="1335" w:type="dxa"/>
            <w:vMerge w:val="continue"/>
            <w:vAlign w:val="center"/>
          </w:tcPr>
          <w:p w14:paraId="32BE3EFD">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p>
        </w:tc>
        <w:tc>
          <w:tcPr>
            <w:tcW w:w="1830" w:type="dxa"/>
            <w:vAlign w:val="center"/>
          </w:tcPr>
          <w:p w14:paraId="6EA766CF">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厂家定期更换</w:t>
            </w:r>
          </w:p>
        </w:tc>
        <w:tc>
          <w:tcPr>
            <w:tcW w:w="3140" w:type="dxa"/>
            <w:vMerge w:val="continue"/>
            <w:vAlign w:val="center"/>
          </w:tcPr>
          <w:p w14:paraId="43E67DA6">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r>
      <w:tr w14:paraId="322E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gridSpan w:val="2"/>
            <w:vMerge w:val="continue"/>
            <w:vAlign w:val="center"/>
          </w:tcPr>
          <w:p w14:paraId="706527EA">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4007BDF7">
            <w:pPr>
              <w:pStyle w:val="46"/>
              <w:bidi w:val="0"/>
              <w:ind w:firstLine="0" w:firstLineChars="0"/>
              <w:jc w:val="center"/>
              <w:rPr>
                <w:rFonts w:hint="eastAsia" w:cs="宋体"/>
                <w:color w:val="auto"/>
                <w:sz w:val="21"/>
                <w:szCs w:val="22"/>
                <w:lang w:val="en-US" w:eastAsia="zh-CN" w:bidi="ar-SA"/>
              </w:rPr>
            </w:pPr>
            <w:r>
              <w:rPr>
                <w:rFonts w:hint="eastAsia"/>
                <w:color w:val="auto"/>
                <w:lang w:val="en-US" w:eastAsia="zh-CN"/>
              </w:rPr>
              <w:t>废反渗透膜</w:t>
            </w:r>
          </w:p>
        </w:tc>
        <w:tc>
          <w:tcPr>
            <w:tcW w:w="1335" w:type="dxa"/>
            <w:vMerge w:val="continue"/>
            <w:vAlign w:val="center"/>
          </w:tcPr>
          <w:p w14:paraId="1680E697">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p>
        </w:tc>
        <w:tc>
          <w:tcPr>
            <w:tcW w:w="1830" w:type="dxa"/>
            <w:vAlign w:val="center"/>
          </w:tcPr>
          <w:p w14:paraId="5A70E7B3">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cs="宋体"/>
                <w:color w:val="auto"/>
                <w:sz w:val="21"/>
                <w:szCs w:val="22"/>
                <w:lang w:val="en-US" w:eastAsia="zh-CN" w:bidi="ar-SA"/>
              </w:rPr>
            </w:pPr>
            <w:r>
              <w:rPr>
                <w:rFonts w:hint="eastAsia" w:cs="宋体"/>
                <w:color w:val="auto"/>
                <w:sz w:val="21"/>
                <w:szCs w:val="22"/>
                <w:lang w:val="en-US" w:eastAsia="zh-CN" w:bidi="ar-SA"/>
              </w:rPr>
              <w:t>厂家定期更换</w:t>
            </w:r>
          </w:p>
        </w:tc>
        <w:tc>
          <w:tcPr>
            <w:tcW w:w="3140" w:type="dxa"/>
            <w:vMerge w:val="continue"/>
            <w:vAlign w:val="center"/>
          </w:tcPr>
          <w:p w14:paraId="6A8171F8">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r>
      <w:tr w14:paraId="71C0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9" w:type="dxa"/>
            <w:gridSpan w:val="2"/>
            <w:vMerge w:val="continue"/>
            <w:vAlign w:val="center"/>
          </w:tcPr>
          <w:p w14:paraId="7139D97B">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p>
        </w:tc>
        <w:tc>
          <w:tcPr>
            <w:tcW w:w="1487" w:type="dxa"/>
            <w:vAlign w:val="center"/>
          </w:tcPr>
          <w:p w14:paraId="78345289">
            <w:pPr>
              <w:pStyle w:val="46"/>
              <w:bidi w:val="0"/>
              <w:ind w:firstLine="0" w:firstLineChars="0"/>
              <w:jc w:val="center"/>
              <w:rPr>
                <w:rFonts w:hint="default"/>
                <w:color w:val="auto"/>
                <w:lang w:val="en-US" w:eastAsia="zh-CN"/>
              </w:rPr>
            </w:pPr>
            <w:r>
              <w:rPr>
                <w:rFonts w:hint="eastAsia"/>
                <w:color w:val="auto"/>
                <w:lang w:val="en-US" w:eastAsia="zh-CN"/>
              </w:rPr>
              <w:t>废机油</w:t>
            </w:r>
          </w:p>
        </w:tc>
        <w:tc>
          <w:tcPr>
            <w:tcW w:w="1335" w:type="dxa"/>
            <w:vAlign w:val="center"/>
          </w:tcPr>
          <w:p w14:paraId="22E8CDEB">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危险废物</w:t>
            </w:r>
          </w:p>
        </w:tc>
        <w:tc>
          <w:tcPr>
            <w:tcW w:w="1830" w:type="dxa"/>
            <w:vAlign w:val="center"/>
          </w:tcPr>
          <w:p w14:paraId="321BD303">
            <w:pPr>
              <w:widowControl w:val="0"/>
              <w:overflowPunct w:val="0"/>
              <w:autoSpaceDE w:val="0"/>
              <w:autoSpaceDN w:val="0"/>
              <w:bidi w:val="0"/>
              <w:adjustRightInd w:val="0"/>
              <w:snapToGrid w:val="0"/>
              <w:spacing w:before="0" w:after="0" w:line="400" w:lineRule="exact"/>
              <w:ind w:left="0" w:leftChars="0" w:right="0" w:rightChars="0" w:firstLine="0" w:firstLineChars="0"/>
              <w:jc w:val="center"/>
              <w:rPr>
                <w:rFonts w:hint="eastAsia"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暂存危险废物暂存间，委托有资质单位定期处置</w:t>
            </w:r>
          </w:p>
        </w:tc>
        <w:tc>
          <w:tcPr>
            <w:tcW w:w="3140" w:type="dxa"/>
            <w:vAlign w:val="center"/>
          </w:tcPr>
          <w:p w14:paraId="6B396B05">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hint="default" w:ascii="Times New Roman" w:hAnsi="Times New Roman" w:eastAsia="宋体" w:cs="宋体"/>
                <w:color w:val="auto"/>
                <w:sz w:val="21"/>
                <w:szCs w:val="22"/>
                <w:lang w:val="en-US" w:eastAsia="zh-CN" w:bidi="ar-SA"/>
              </w:rPr>
              <w:t>《危险废物贮存污染控制标准》（GB18597-2023）</w:t>
            </w:r>
          </w:p>
        </w:tc>
      </w:tr>
      <w:tr w14:paraId="1126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62BEA746">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噪声</w:t>
            </w:r>
          </w:p>
        </w:tc>
        <w:tc>
          <w:tcPr>
            <w:tcW w:w="1487" w:type="dxa"/>
            <w:vAlign w:val="center"/>
          </w:tcPr>
          <w:p w14:paraId="1D54F64F">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cs="宋体"/>
                <w:color w:val="auto"/>
                <w:sz w:val="21"/>
                <w:szCs w:val="22"/>
                <w:lang w:val="en-US" w:eastAsia="zh-CN" w:bidi="ar-SA"/>
              </w:rPr>
              <w:t>厂界</w:t>
            </w:r>
          </w:p>
        </w:tc>
        <w:tc>
          <w:tcPr>
            <w:tcW w:w="1335" w:type="dxa"/>
            <w:vAlign w:val="center"/>
          </w:tcPr>
          <w:p w14:paraId="6773A504">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设备运营噪声</w:t>
            </w:r>
          </w:p>
        </w:tc>
        <w:tc>
          <w:tcPr>
            <w:tcW w:w="1830" w:type="dxa"/>
            <w:vAlign w:val="center"/>
          </w:tcPr>
          <w:p w14:paraId="014B0920">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选用具有减震、降噪、隔声、消声设计的设备</w:t>
            </w:r>
          </w:p>
        </w:tc>
        <w:tc>
          <w:tcPr>
            <w:tcW w:w="3140" w:type="dxa"/>
            <w:vAlign w:val="center"/>
          </w:tcPr>
          <w:p w14:paraId="61BAB85B">
            <w:pPr>
              <w:widowControl w:val="0"/>
              <w:overflowPunct w:val="0"/>
              <w:autoSpaceDE w:val="0"/>
              <w:autoSpaceDN w:val="0"/>
              <w:bidi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1"/>
                <w:szCs w:val="22"/>
                <w:lang w:val="en-US" w:eastAsia="zh-CN" w:bidi="ar-SA"/>
              </w:rPr>
            </w:pPr>
            <w:r>
              <w:rPr>
                <w:rFonts w:hint="eastAsia" w:ascii="Times New Roman" w:hAnsi="Times New Roman" w:eastAsia="宋体" w:cs="宋体"/>
                <w:color w:val="auto"/>
                <w:sz w:val="21"/>
                <w:szCs w:val="22"/>
                <w:lang w:val="en-US" w:eastAsia="zh-CN" w:bidi="ar-SA"/>
              </w:rPr>
              <w:t>《工业企业厂界环境噪声排放标准》（GB12348-2008）中的</w:t>
            </w:r>
            <w:r>
              <w:rPr>
                <w:rFonts w:hint="eastAsia" w:cs="宋体"/>
                <w:color w:val="auto"/>
                <w:sz w:val="21"/>
                <w:szCs w:val="22"/>
                <w:lang w:val="en-US" w:eastAsia="zh-CN" w:bidi="ar-SA"/>
              </w:rPr>
              <w:t>3</w:t>
            </w:r>
            <w:r>
              <w:rPr>
                <w:rFonts w:hint="eastAsia" w:ascii="Times New Roman" w:hAnsi="Times New Roman" w:eastAsia="宋体" w:cs="宋体"/>
                <w:color w:val="auto"/>
                <w:sz w:val="21"/>
                <w:szCs w:val="22"/>
                <w:lang w:val="en-US" w:eastAsia="zh-CN" w:bidi="ar-SA"/>
              </w:rPr>
              <w:t>类标准</w:t>
            </w:r>
          </w:p>
        </w:tc>
      </w:tr>
      <w:tr w14:paraId="2F53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2BF1CBBE">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电磁辐射</w:t>
            </w:r>
          </w:p>
        </w:tc>
        <w:tc>
          <w:tcPr>
            <w:tcW w:w="7792" w:type="dxa"/>
            <w:gridSpan w:val="4"/>
            <w:vAlign w:val="center"/>
          </w:tcPr>
          <w:p w14:paraId="25D6E295">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left"/>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highlight w:val="none"/>
                <w:lang w:val="en-US" w:eastAsia="zh-CN"/>
              </w:rPr>
              <w:t>-</w:t>
            </w:r>
          </w:p>
        </w:tc>
      </w:tr>
      <w:tr w14:paraId="1AC4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2F5DEBC8">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土壤及地下水污染防治措施</w:t>
            </w:r>
          </w:p>
        </w:tc>
        <w:tc>
          <w:tcPr>
            <w:tcW w:w="7792" w:type="dxa"/>
            <w:gridSpan w:val="4"/>
            <w:vAlign w:val="center"/>
          </w:tcPr>
          <w:p w14:paraId="4CBF5FED">
            <w:pPr>
              <w:keepNext w:val="0"/>
              <w:keepLines w:val="0"/>
              <w:pageBreakBefore w:val="0"/>
              <w:widowControl w:val="0"/>
              <w:kinsoku/>
              <w:wordWrap/>
              <w:overflowPunct/>
              <w:topLinePunct w:val="0"/>
              <w:autoSpaceDE/>
              <w:autoSpaceDN/>
              <w:bidi w:val="0"/>
              <w:adjustRightInd w:val="0"/>
              <w:snapToGrid w:val="0"/>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default" w:ascii="Times New Roman" w:hAnsi="Times New Roman" w:eastAsia="宋体" w:cs="宋体"/>
                <w:color w:val="auto"/>
                <w:sz w:val="21"/>
                <w:szCs w:val="21"/>
                <w:highlight w:val="none"/>
                <w:lang w:val="en-US" w:eastAsia="zh-CN"/>
              </w:rPr>
              <w:t>（1）防渗措施：</w:t>
            </w:r>
            <w:r>
              <w:rPr>
                <w:rFonts w:hint="eastAsia" w:ascii="Times New Roman" w:hAnsi="Times New Roman" w:eastAsia="宋体" w:cs="宋体"/>
                <w:color w:val="auto"/>
                <w:sz w:val="21"/>
                <w:szCs w:val="21"/>
                <w:highlight w:val="none"/>
                <w:lang w:val="en-US" w:eastAsia="zh-CN"/>
              </w:rPr>
              <w:t>采取分区防渗，其中危废暂存间</w:t>
            </w:r>
            <w:r>
              <w:rPr>
                <w:rFonts w:hint="eastAsia" w:cs="宋体"/>
                <w:color w:val="auto"/>
                <w:sz w:val="21"/>
                <w:szCs w:val="21"/>
                <w:highlight w:val="none"/>
                <w:lang w:val="en-US" w:eastAsia="zh-CN"/>
              </w:rPr>
              <w:t>、污水处理站</w:t>
            </w:r>
            <w:r>
              <w:rPr>
                <w:rFonts w:hint="default" w:ascii="Times New Roman" w:hAnsi="Times New Roman" w:eastAsia="宋体" w:cs="宋体"/>
                <w:color w:val="auto"/>
                <w:sz w:val="21"/>
                <w:szCs w:val="21"/>
                <w:highlight w:val="none"/>
                <w:lang w:val="en-US" w:eastAsia="zh-CN"/>
              </w:rPr>
              <w:t>设置重点防渗</w:t>
            </w:r>
            <w:r>
              <w:rPr>
                <w:rFonts w:hint="eastAsia" w:ascii="Times New Roman" w:hAnsi="Times New Roman" w:eastAsia="宋体" w:cs="宋体"/>
                <w:color w:val="auto"/>
                <w:sz w:val="21"/>
                <w:szCs w:val="21"/>
                <w:highlight w:val="none"/>
                <w:lang w:val="en-US" w:eastAsia="zh-CN"/>
              </w:rPr>
              <w:t>。</w:t>
            </w:r>
          </w:p>
          <w:p w14:paraId="6388BA85">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0" w:firstLineChars="0"/>
              <w:jc w:val="left"/>
              <w:textAlignment w:val="auto"/>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highlight w:val="none"/>
                <w:lang w:val="en-US" w:eastAsia="zh-CN"/>
              </w:rPr>
              <w:t>（</w:t>
            </w:r>
            <w:r>
              <w:rPr>
                <w:rFonts w:hint="eastAsia" w:ascii="Times New Roman" w:hAnsi="Times New Roman" w:eastAsia="宋体" w:cs="宋体"/>
                <w:color w:val="auto"/>
                <w:sz w:val="21"/>
                <w:szCs w:val="21"/>
                <w:highlight w:val="none"/>
                <w:lang w:val="en-US" w:eastAsia="zh-CN"/>
              </w:rPr>
              <w:t>2</w:t>
            </w:r>
            <w:r>
              <w:rPr>
                <w:rFonts w:hint="default" w:ascii="Times New Roman" w:hAnsi="Times New Roman" w:eastAsia="宋体" w:cs="宋体"/>
                <w:color w:val="auto"/>
                <w:sz w:val="21"/>
                <w:szCs w:val="21"/>
                <w:highlight w:val="none"/>
                <w:lang w:val="en-US" w:eastAsia="zh-CN"/>
              </w:rPr>
              <w:t>）加强日常巡检，及时发现隐患。</w:t>
            </w:r>
          </w:p>
        </w:tc>
      </w:tr>
      <w:tr w14:paraId="1357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3E661492">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生态保护措施</w:t>
            </w:r>
          </w:p>
        </w:tc>
        <w:tc>
          <w:tcPr>
            <w:tcW w:w="7792" w:type="dxa"/>
            <w:gridSpan w:val="4"/>
            <w:vAlign w:val="center"/>
          </w:tcPr>
          <w:p w14:paraId="43072B71">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0" w:firstLineChars="0"/>
              <w:jc w:val="left"/>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highlight w:val="none"/>
                <w:lang w:val="en-US" w:eastAsia="zh-CN"/>
              </w:rPr>
              <w:t>本项目建设完成后会进行相应的绿化措施。</w:t>
            </w:r>
          </w:p>
        </w:tc>
      </w:tr>
      <w:tr w14:paraId="6BD5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3E89393F">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环境风险防范措施</w:t>
            </w:r>
          </w:p>
        </w:tc>
        <w:tc>
          <w:tcPr>
            <w:tcW w:w="7792" w:type="dxa"/>
            <w:gridSpan w:val="4"/>
            <w:vAlign w:val="center"/>
          </w:tcPr>
          <w:p w14:paraId="2DE28594">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（1）</w:t>
            </w:r>
            <w:r>
              <w:rPr>
                <w:rFonts w:hint="default" w:ascii="Times New Roman" w:hAnsi="Times New Roman" w:eastAsia="宋体" w:cs="宋体"/>
                <w:color w:val="auto"/>
                <w:sz w:val="21"/>
                <w:szCs w:val="21"/>
                <w:highlight w:val="none"/>
                <w:lang w:val="en-US" w:eastAsia="zh-CN"/>
              </w:rPr>
              <w:t>严格按照规章制度标准设计建设。</w:t>
            </w:r>
          </w:p>
          <w:p w14:paraId="6D7DD156">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（2）厂区采取分区防渗措施，</w:t>
            </w:r>
            <w:r>
              <w:rPr>
                <w:rFonts w:hint="default" w:ascii="Times New Roman" w:hAnsi="Times New Roman" w:eastAsia="宋体" w:cs="宋体"/>
                <w:color w:val="auto"/>
                <w:sz w:val="21"/>
                <w:szCs w:val="21"/>
                <w:highlight w:val="none"/>
                <w:lang w:val="en-US" w:eastAsia="zh-CN"/>
              </w:rPr>
              <w:t>地面全部采用耐腐蚀防渗硬化地面。</w:t>
            </w:r>
          </w:p>
          <w:p w14:paraId="54F108BF">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w:t>
            </w:r>
            <w:r>
              <w:rPr>
                <w:rFonts w:hint="default" w:ascii="Times New Roman" w:hAnsi="Times New Roman" w:eastAsia="宋体" w:cs="宋体"/>
                <w:color w:val="auto"/>
                <w:sz w:val="21"/>
                <w:szCs w:val="21"/>
                <w:highlight w:val="none"/>
                <w:lang w:val="en-US" w:eastAsia="zh-CN"/>
              </w:rPr>
              <w:t>设置防爆、防雷、防静电接地装置；设有通风换气设施。</w:t>
            </w:r>
          </w:p>
          <w:p w14:paraId="5F31E69D">
            <w:pPr>
              <w:keepNext w:val="0"/>
              <w:keepLines w:val="0"/>
              <w:pageBreakBefore w:val="0"/>
              <w:widowControl w:val="0"/>
              <w:kinsoku/>
              <w:wordWrap/>
              <w:overflowPunct/>
              <w:topLinePunct w:val="0"/>
              <w:autoSpaceDE/>
              <w:autoSpaceDN/>
              <w:bidi w:val="0"/>
              <w:adjustRightInd w:val="0"/>
              <w:snapToGrid/>
              <w:spacing w:before="0" w:after="0" w:line="400" w:lineRule="exact"/>
              <w:ind w:left="0" w:right="0" w:firstLine="0" w:firstLineChars="0"/>
              <w:jc w:val="left"/>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（4）</w:t>
            </w:r>
            <w:r>
              <w:rPr>
                <w:rFonts w:hint="default" w:ascii="Times New Roman" w:hAnsi="Times New Roman" w:eastAsia="宋体" w:cs="宋体"/>
                <w:color w:val="auto"/>
                <w:sz w:val="21"/>
                <w:szCs w:val="21"/>
                <w:highlight w:val="none"/>
                <w:lang w:val="en-US" w:eastAsia="zh-CN"/>
              </w:rPr>
              <w:t>建立严格的</w:t>
            </w:r>
            <w:r>
              <w:rPr>
                <w:rFonts w:hint="eastAsia" w:ascii="Times New Roman" w:hAnsi="Times New Roman" w:eastAsia="宋体" w:cs="宋体"/>
                <w:color w:val="auto"/>
                <w:sz w:val="21"/>
                <w:szCs w:val="21"/>
                <w:highlight w:val="none"/>
                <w:lang w:val="en-US" w:eastAsia="zh-CN"/>
              </w:rPr>
              <w:t>管理</w:t>
            </w:r>
            <w:r>
              <w:rPr>
                <w:rFonts w:hint="default" w:ascii="Times New Roman" w:hAnsi="Times New Roman" w:eastAsia="宋体" w:cs="宋体"/>
                <w:color w:val="auto"/>
                <w:sz w:val="21"/>
                <w:szCs w:val="21"/>
                <w:highlight w:val="none"/>
                <w:lang w:val="en-US" w:eastAsia="zh-CN"/>
              </w:rPr>
              <w:t>制度</w:t>
            </w:r>
            <w:r>
              <w:rPr>
                <w:rFonts w:hint="eastAsia" w:ascii="Times New Roman" w:hAnsi="Times New Roman" w:eastAsia="宋体" w:cs="宋体"/>
                <w:color w:val="auto"/>
                <w:sz w:val="21"/>
                <w:szCs w:val="21"/>
                <w:highlight w:val="none"/>
                <w:lang w:val="en-US" w:eastAsia="zh-CN"/>
              </w:rPr>
              <w:t>和修编应急预案，并开展应急演练</w:t>
            </w:r>
            <w:r>
              <w:rPr>
                <w:rFonts w:hint="default" w:ascii="Times New Roman" w:hAnsi="Times New Roman" w:eastAsia="宋体" w:cs="宋体"/>
                <w:color w:val="auto"/>
                <w:sz w:val="21"/>
                <w:szCs w:val="21"/>
                <w:highlight w:val="none"/>
                <w:lang w:val="en-US" w:eastAsia="zh-CN"/>
              </w:rPr>
              <w:t>。</w:t>
            </w:r>
          </w:p>
          <w:p w14:paraId="0D05315A">
            <w:pPr>
              <w:keepNext w:val="0"/>
              <w:keepLines w:val="0"/>
              <w:pageBreakBefore w:val="0"/>
              <w:widowControl w:val="0"/>
              <w:kinsoku/>
              <w:wordWrap/>
              <w:overflowPunct/>
              <w:topLinePunct w:val="0"/>
              <w:autoSpaceDE/>
              <w:autoSpaceDN/>
              <w:bidi w:val="0"/>
              <w:adjustRightInd w:val="0"/>
              <w:snapToGrid/>
              <w:spacing w:before="0" w:after="0" w:line="400" w:lineRule="exact"/>
              <w:ind w:left="0" w:leftChars="0" w:right="0" w:rightChars="0" w:firstLine="0" w:firstLineChars="0"/>
              <w:jc w:val="left"/>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highlight w:val="none"/>
                <w:lang w:val="en-US" w:eastAsia="zh-CN"/>
              </w:rPr>
              <w:t>（5）</w:t>
            </w:r>
            <w:r>
              <w:rPr>
                <w:rFonts w:hint="default" w:ascii="Times New Roman" w:hAnsi="Times New Roman" w:eastAsia="宋体" w:cs="宋体"/>
                <w:color w:val="auto"/>
                <w:sz w:val="21"/>
                <w:szCs w:val="21"/>
                <w:highlight w:val="none"/>
                <w:lang w:val="en-US" w:eastAsia="zh-CN"/>
              </w:rPr>
              <w:t>应配备足量泄漏、火灾、爆炸事故的应急物资和医药应急药品等</w:t>
            </w:r>
            <w:r>
              <w:rPr>
                <w:rFonts w:hint="eastAsia" w:ascii="Times New Roman" w:hAnsi="Times New Roman" w:eastAsia="宋体" w:cs="宋体"/>
                <w:color w:val="auto"/>
                <w:sz w:val="21"/>
                <w:szCs w:val="21"/>
                <w:highlight w:val="none"/>
                <w:lang w:val="en-US" w:eastAsia="zh-CN"/>
              </w:rPr>
              <w:t>。</w:t>
            </w:r>
          </w:p>
        </w:tc>
      </w:tr>
      <w:tr w14:paraId="6950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gridSpan w:val="2"/>
            <w:vAlign w:val="center"/>
          </w:tcPr>
          <w:p w14:paraId="30E61E96">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color w:val="auto"/>
                <w:sz w:val="21"/>
                <w:szCs w:val="22"/>
                <w:lang w:val="en-US" w:eastAsia="zh-CN" w:bidi="ar-SA"/>
              </w:rPr>
            </w:pPr>
            <w:r>
              <w:rPr>
                <w:rFonts w:ascii="Times New Roman" w:hAnsi="Times New Roman" w:eastAsia="宋体" w:cs="宋体"/>
                <w:color w:val="auto"/>
                <w:sz w:val="21"/>
                <w:szCs w:val="22"/>
                <w:lang w:val="en-US" w:eastAsia="zh-CN" w:bidi="ar-SA"/>
              </w:rPr>
              <w:t>其他环境管理要求</w:t>
            </w:r>
          </w:p>
        </w:tc>
        <w:tc>
          <w:tcPr>
            <w:tcW w:w="7792" w:type="dxa"/>
            <w:gridSpan w:val="4"/>
            <w:vAlign w:val="center"/>
          </w:tcPr>
          <w:p w14:paraId="73FDD9F1">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一、</w:t>
            </w:r>
            <w:r>
              <w:rPr>
                <w:rFonts w:hint="eastAsia" w:ascii="Times New Roman" w:hAnsi="Times New Roman" w:eastAsia="宋体" w:cs="宋体"/>
                <w:color w:val="auto"/>
                <w:sz w:val="21"/>
                <w:szCs w:val="21"/>
              </w:rPr>
              <w:t>工程环保投资概算</w:t>
            </w:r>
          </w:p>
          <w:p w14:paraId="79248859">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本项目总投资</w:t>
            </w:r>
            <w:r>
              <w:rPr>
                <w:rFonts w:hint="eastAsia" w:cs="宋体"/>
                <w:color w:val="auto"/>
                <w:sz w:val="21"/>
                <w:szCs w:val="21"/>
                <w:highlight w:val="none"/>
                <w:lang w:val="en-US" w:eastAsia="zh-CN"/>
              </w:rPr>
              <w:t>5000</w:t>
            </w:r>
            <w:r>
              <w:rPr>
                <w:rFonts w:hint="eastAsia" w:ascii="Times New Roman" w:hAnsi="Times New Roman" w:eastAsia="宋体" w:cs="宋体"/>
                <w:color w:val="auto"/>
                <w:sz w:val="21"/>
                <w:szCs w:val="21"/>
                <w:highlight w:val="none"/>
              </w:rPr>
              <w:t>万，其中环</w:t>
            </w:r>
            <w:r>
              <w:rPr>
                <w:rFonts w:hint="eastAsia" w:ascii="Times New Roman" w:hAnsi="Times New Roman" w:eastAsia="宋体" w:cs="宋体"/>
                <w:color w:val="auto"/>
                <w:sz w:val="21"/>
                <w:szCs w:val="21"/>
              </w:rPr>
              <w:t>保投</w:t>
            </w:r>
            <w:r>
              <w:rPr>
                <w:rFonts w:hint="eastAsia" w:ascii="Times New Roman" w:hAnsi="Times New Roman" w:eastAsia="宋体" w:cs="宋体"/>
                <w:color w:val="auto"/>
                <w:sz w:val="21"/>
                <w:szCs w:val="21"/>
                <w:highlight w:val="none"/>
              </w:rPr>
              <w:t>资</w:t>
            </w:r>
            <w:r>
              <w:rPr>
                <w:rFonts w:hint="eastAsia" w:cs="宋体"/>
                <w:color w:val="auto"/>
                <w:sz w:val="21"/>
                <w:szCs w:val="21"/>
                <w:highlight w:val="none"/>
                <w:lang w:val="en-US" w:eastAsia="zh-CN"/>
              </w:rPr>
              <w:t>191.5万</w:t>
            </w:r>
            <w:r>
              <w:rPr>
                <w:rFonts w:hint="eastAsia" w:ascii="Times New Roman" w:hAnsi="Times New Roman" w:eastAsia="宋体" w:cs="宋体"/>
                <w:color w:val="auto"/>
                <w:sz w:val="21"/>
                <w:szCs w:val="21"/>
                <w:highlight w:val="none"/>
              </w:rPr>
              <w:t>元，占总投资额的</w:t>
            </w:r>
            <w:r>
              <w:rPr>
                <w:rFonts w:hint="eastAsia" w:cs="宋体"/>
                <w:color w:val="auto"/>
                <w:sz w:val="21"/>
                <w:szCs w:val="21"/>
                <w:highlight w:val="none"/>
                <w:lang w:val="en-US" w:eastAsia="zh-CN"/>
              </w:rPr>
              <w:t>3.83</w:t>
            </w:r>
            <w:r>
              <w:rPr>
                <w:rFonts w:hint="eastAsia" w:ascii="Times New Roman" w:hAnsi="Times New Roman" w:eastAsia="宋体" w:cs="宋体"/>
                <w:color w:val="auto"/>
                <w:sz w:val="21"/>
                <w:szCs w:val="21"/>
                <w:highlight w:val="none"/>
              </w:rPr>
              <w:t>%。详见表</w:t>
            </w:r>
            <w:r>
              <w:rPr>
                <w:rFonts w:hint="eastAsia" w:ascii="Times New Roman" w:hAnsi="Times New Roman" w:eastAsia="宋体" w:cs="宋体"/>
                <w:color w:val="auto"/>
                <w:sz w:val="21"/>
                <w:szCs w:val="21"/>
                <w:highlight w:val="none"/>
                <w:lang w:val="en-US" w:eastAsia="zh-CN"/>
              </w:rPr>
              <w:t>5.1-1</w:t>
            </w:r>
            <w:r>
              <w:rPr>
                <w:rFonts w:hint="eastAsia" w:ascii="Times New Roman" w:hAnsi="Times New Roman" w:eastAsia="宋体" w:cs="宋体"/>
                <w:color w:val="auto"/>
                <w:sz w:val="21"/>
                <w:szCs w:val="21"/>
                <w:highlight w:val="none"/>
              </w:rPr>
              <w:t>。</w:t>
            </w:r>
          </w:p>
          <w:p w14:paraId="6167594D">
            <w:pPr>
              <w:widowControl w:val="0"/>
              <w:overflowPunct w:val="0"/>
              <w:autoSpaceDE w:val="0"/>
              <w:autoSpaceDN w:val="0"/>
              <w:bidi w:val="0"/>
              <w:adjustRightInd w:val="0"/>
              <w:snapToGrid w:val="0"/>
              <w:spacing w:before="0" w:after="0" w:line="400" w:lineRule="exact"/>
              <w:ind w:left="0" w:right="0" w:firstLine="0" w:firstLineChars="0"/>
              <w:jc w:val="center"/>
              <w:rPr>
                <w:rFonts w:hint="eastAsia" w:ascii="Times New Roman" w:hAnsi="Times New Roman" w:eastAsia="宋体" w:cs="宋体"/>
                <w:b/>
                <w:color w:val="auto"/>
                <w:sz w:val="24"/>
                <w:szCs w:val="24"/>
                <w:highlight w:val="none"/>
                <w:lang w:val="en-US" w:eastAsia="zh-CN" w:bidi="ar-SA"/>
              </w:rPr>
            </w:pPr>
            <w:r>
              <w:rPr>
                <w:rFonts w:hint="eastAsia" w:ascii="Times New Roman" w:hAnsi="Times New Roman" w:eastAsia="宋体" w:cs="宋体"/>
                <w:b/>
                <w:color w:val="auto"/>
                <w:sz w:val="21"/>
                <w:szCs w:val="21"/>
                <w:highlight w:val="none"/>
                <w:lang w:val="en-US" w:eastAsia="zh-CN" w:bidi="ar-SA"/>
              </w:rPr>
              <w:t>表5.1-1环保投资概算一览表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677"/>
              <w:gridCol w:w="5301"/>
              <w:gridCol w:w="1087"/>
            </w:tblGrid>
            <w:tr w14:paraId="2561E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op w:val="single" w:color="auto" w:sz="4" w:space="0"/>
                    <w:left w:val="nil"/>
                    <w:bottom w:val="single" w:color="auto" w:sz="4" w:space="0"/>
                    <w:right w:val="single" w:color="auto" w:sz="4" w:space="0"/>
                  </w:tcBorders>
                  <w:noWrap w:val="0"/>
                  <w:vAlign w:val="center"/>
                </w:tcPr>
                <w:p w14:paraId="696EBDF6">
                  <w:pPr>
                    <w:jc w:val="center"/>
                    <w:rPr>
                      <w:b/>
                      <w:bCs/>
                      <w:color w:val="auto"/>
                      <w:sz w:val="21"/>
                      <w:szCs w:val="21"/>
                    </w:rPr>
                  </w:pPr>
                  <w:r>
                    <w:rPr>
                      <w:b/>
                      <w:bCs/>
                      <w:color w:val="auto"/>
                      <w:sz w:val="21"/>
                      <w:szCs w:val="21"/>
                    </w:rPr>
                    <w:t>序号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06FFFD5">
                  <w:pPr>
                    <w:jc w:val="center"/>
                    <w:rPr>
                      <w:b/>
                      <w:bCs/>
                      <w:color w:val="auto"/>
                      <w:sz w:val="21"/>
                      <w:szCs w:val="21"/>
                    </w:rPr>
                  </w:pPr>
                  <w:r>
                    <w:rPr>
                      <w:b/>
                      <w:bCs/>
                      <w:color w:val="auto"/>
                      <w:sz w:val="21"/>
                      <w:szCs w:val="21"/>
                    </w:rPr>
                    <w:t>项目</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979B8FD">
                  <w:pPr>
                    <w:jc w:val="center"/>
                    <w:rPr>
                      <w:b/>
                      <w:bCs/>
                      <w:color w:val="auto"/>
                      <w:sz w:val="21"/>
                      <w:szCs w:val="21"/>
                    </w:rPr>
                  </w:pPr>
                  <w:r>
                    <w:rPr>
                      <w:b/>
                      <w:bCs/>
                      <w:color w:val="auto"/>
                      <w:sz w:val="21"/>
                      <w:szCs w:val="21"/>
                    </w:rPr>
                    <w:t>环保设施</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723CFFE">
                  <w:pPr>
                    <w:jc w:val="center"/>
                    <w:rPr>
                      <w:b/>
                      <w:bCs/>
                      <w:color w:val="auto"/>
                      <w:sz w:val="21"/>
                      <w:szCs w:val="21"/>
                    </w:rPr>
                  </w:pPr>
                  <w:r>
                    <w:rPr>
                      <w:b/>
                      <w:bCs/>
                      <w:color w:val="auto"/>
                      <w:sz w:val="21"/>
                      <w:szCs w:val="21"/>
                    </w:rPr>
                    <w:t>投资额（万元）</w:t>
                  </w:r>
                </w:p>
              </w:tc>
            </w:tr>
            <w:tr w14:paraId="185A1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E7DA885">
                  <w:pPr>
                    <w:jc w:val="center"/>
                    <w:rPr>
                      <w:rFonts w:hint="eastAsia"/>
                      <w:color w:val="auto"/>
                      <w:sz w:val="21"/>
                      <w:szCs w:val="21"/>
                    </w:rPr>
                  </w:pPr>
                  <w:r>
                    <w:rPr>
                      <w:rFonts w:hint="eastAsia"/>
                      <w:color w:val="auto"/>
                      <w:sz w:val="21"/>
                      <w:szCs w:val="21"/>
                    </w:rPr>
                    <w:t>1</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37230C4F">
                  <w:pPr>
                    <w:jc w:val="center"/>
                    <w:rPr>
                      <w:color w:val="auto"/>
                      <w:sz w:val="21"/>
                      <w:szCs w:val="21"/>
                    </w:rPr>
                  </w:pPr>
                  <w:r>
                    <w:rPr>
                      <w:color w:val="auto"/>
                      <w:sz w:val="21"/>
                      <w:szCs w:val="21"/>
                    </w:rPr>
                    <w:t>废气</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10A3FCC">
                  <w:pPr>
                    <w:spacing w:line="400" w:lineRule="exact"/>
                    <w:jc w:val="center"/>
                    <w:rPr>
                      <w:rFonts w:hint="default" w:eastAsia="宋体"/>
                      <w:color w:val="auto"/>
                      <w:sz w:val="21"/>
                      <w:szCs w:val="21"/>
                      <w:lang w:val="en-US" w:eastAsia="zh-CN"/>
                    </w:rPr>
                  </w:pPr>
                  <w:r>
                    <w:rPr>
                      <w:rFonts w:hint="eastAsia"/>
                      <w:color w:val="auto"/>
                      <w:sz w:val="21"/>
                      <w:szCs w:val="21"/>
                      <w:lang w:val="en-US" w:eastAsia="zh-CN"/>
                    </w:rPr>
                    <w:t>车间设置排气扇</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F3F1FBE">
                  <w:pPr>
                    <w:jc w:val="center"/>
                    <w:rPr>
                      <w:rFonts w:hint="default" w:eastAsia="宋体"/>
                      <w:color w:val="auto"/>
                      <w:sz w:val="21"/>
                      <w:szCs w:val="21"/>
                      <w:lang w:val="en-US" w:eastAsia="zh-CN"/>
                    </w:rPr>
                  </w:pPr>
                  <w:r>
                    <w:rPr>
                      <w:rFonts w:hint="eastAsia"/>
                      <w:color w:val="auto"/>
                      <w:sz w:val="21"/>
                      <w:szCs w:val="21"/>
                      <w:lang w:val="en-US" w:eastAsia="zh-CN"/>
                    </w:rPr>
                    <w:t>0.5</w:t>
                  </w:r>
                </w:p>
              </w:tc>
            </w:tr>
            <w:tr w14:paraId="69E9D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40B502A">
                  <w:pPr>
                    <w:jc w:val="center"/>
                    <w:rPr>
                      <w:rFonts w:hint="eastAsia" w:eastAsia="宋体"/>
                      <w:color w:val="auto"/>
                      <w:sz w:val="21"/>
                      <w:szCs w:val="21"/>
                      <w:lang w:val="en-US" w:eastAsia="zh-CN"/>
                    </w:rPr>
                  </w:pPr>
                  <w:r>
                    <w:rPr>
                      <w:rFonts w:hint="eastAsia"/>
                      <w:color w:val="auto"/>
                      <w:sz w:val="21"/>
                      <w:szCs w:val="21"/>
                      <w:lang w:val="en-US" w:eastAsia="zh-CN"/>
                    </w:rPr>
                    <w:t>2</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A06DA8D">
                  <w:pPr>
                    <w:jc w:val="center"/>
                    <w:rPr>
                      <w:color w:val="auto"/>
                      <w:sz w:val="21"/>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6E804555">
                  <w:pPr>
                    <w:jc w:val="center"/>
                    <w:rPr>
                      <w:rFonts w:hint="default" w:eastAsia="宋体"/>
                      <w:color w:val="auto"/>
                      <w:sz w:val="21"/>
                      <w:szCs w:val="21"/>
                      <w:lang w:val="en-US" w:eastAsia="zh-CN"/>
                    </w:rPr>
                  </w:pPr>
                  <w:r>
                    <w:rPr>
                      <w:rFonts w:hint="eastAsia"/>
                      <w:color w:val="auto"/>
                      <w:sz w:val="21"/>
                      <w:szCs w:val="21"/>
                      <w:lang w:val="en-US" w:eastAsia="zh-CN"/>
                    </w:rPr>
                    <w:t>污水处理站加盖封闭+喷洒除臭剂</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2F76B92">
                  <w:pPr>
                    <w:jc w:val="center"/>
                    <w:rPr>
                      <w:rFonts w:hint="default" w:eastAsia="宋体"/>
                      <w:color w:val="auto"/>
                      <w:sz w:val="21"/>
                      <w:szCs w:val="21"/>
                      <w:lang w:val="en-US" w:eastAsia="zh-CN"/>
                    </w:rPr>
                  </w:pPr>
                  <w:r>
                    <w:rPr>
                      <w:rFonts w:hint="eastAsia"/>
                      <w:color w:val="auto"/>
                      <w:sz w:val="21"/>
                      <w:szCs w:val="21"/>
                      <w:lang w:val="en-US" w:eastAsia="zh-CN"/>
                    </w:rPr>
                    <w:t>10</w:t>
                  </w:r>
                </w:p>
              </w:tc>
            </w:tr>
            <w:tr w14:paraId="15827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F41D143">
                  <w:pPr>
                    <w:jc w:val="center"/>
                    <w:rPr>
                      <w:rFonts w:hint="eastAsia" w:eastAsia="宋体"/>
                      <w:color w:val="auto"/>
                      <w:sz w:val="21"/>
                      <w:szCs w:val="21"/>
                      <w:lang w:val="en-US" w:eastAsia="zh-CN"/>
                    </w:rPr>
                  </w:pPr>
                  <w:r>
                    <w:rPr>
                      <w:rFonts w:hint="eastAsia"/>
                      <w:color w:val="auto"/>
                      <w:sz w:val="21"/>
                      <w:szCs w:val="21"/>
                      <w:lang w:val="en-US" w:eastAsia="zh-CN"/>
                    </w:rPr>
                    <w:t>3</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5A5B548">
                  <w:pPr>
                    <w:jc w:val="center"/>
                    <w:rPr>
                      <w:color w:val="auto"/>
                      <w:sz w:val="21"/>
                      <w:szCs w:val="21"/>
                    </w:rPr>
                  </w:pPr>
                  <w:r>
                    <w:rPr>
                      <w:color w:val="auto"/>
                      <w:sz w:val="21"/>
                      <w:szCs w:val="21"/>
                    </w:rPr>
                    <w:t>废水</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3158C23">
                  <w:pPr>
                    <w:jc w:val="center"/>
                    <w:rPr>
                      <w:rFonts w:hint="default" w:eastAsia="宋体"/>
                      <w:color w:val="auto"/>
                      <w:sz w:val="21"/>
                      <w:szCs w:val="21"/>
                      <w:lang w:val="en-US" w:eastAsia="zh-CN"/>
                    </w:rPr>
                  </w:pPr>
                  <w:r>
                    <w:rPr>
                      <w:color w:val="auto"/>
                      <w:sz w:val="21"/>
                      <w:szCs w:val="21"/>
                    </w:rPr>
                    <w:t>新建一座占地面积</w:t>
                  </w:r>
                  <w:r>
                    <w:rPr>
                      <w:rFonts w:hint="eastAsia"/>
                      <w:color w:val="auto"/>
                      <w:sz w:val="21"/>
                      <w:szCs w:val="21"/>
                      <w:lang w:val="en-US" w:eastAsia="zh-CN"/>
                    </w:rPr>
                    <w:t>135</w:t>
                  </w:r>
                  <w:r>
                    <w:rPr>
                      <w:color w:val="auto"/>
                      <w:sz w:val="21"/>
                      <w:szCs w:val="21"/>
                    </w:rPr>
                    <w:t>0m</w:t>
                  </w:r>
                  <w:r>
                    <w:rPr>
                      <w:color w:val="auto"/>
                      <w:sz w:val="21"/>
                      <w:szCs w:val="21"/>
                      <w:vertAlign w:val="superscript"/>
                    </w:rPr>
                    <w:t>2</w:t>
                  </w:r>
                  <w:r>
                    <w:rPr>
                      <w:color w:val="auto"/>
                      <w:sz w:val="21"/>
                      <w:szCs w:val="21"/>
                    </w:rPr>
                    <w:t>，日处理量</w:t>
                  </w:r>
                  <w:r>
                    <w:rPr>
                      <w:rFonts w:hint="eastAsia"/>
                      <w:color w:val="auto"/>
                      <w:sz w:val="21"/>
                      <w:szCs w:val="21"/>
                      <w:lang w:val="en-US" w:eastAsia="zh-CN"/>
                    </w:rPr>
                    <w:t>120</w:t>
                  </w:r>
                  <w:r>
                    <w:rPr>
                      <w:color w:val="auto"/>
                      <w:sz w:val="21"/>
                      <w:szCs w:val="21"/>
                    </w:rPr>
                    <w:t>m</w:t>
                  </w:r>
                  <w:r>
                    <w:rPr>
                      <w:color w:val="auto"/>
                      <w:sz w:val="21"/>
                      <w:szCs w:val="21"/>
                      <w:vertAlign w:val="superscript"/>
                    </w:rPr>
                    <w:t>3</w:t>
                  </w:r>
                  <w:r>
                    <w:rPr>
                      <w:color w:val="auto"/>
                      <w:sz w:val="21"/>
                      <w:szCs w:val="21"/>
                    </w:rPr>
                    <w:t>，采用</w:t>
                  </w:r>
                  <w:r>
                    <w:rPr>
                      <w:rFonts w:hint="eastAsia"/>
                      <w:color w:val="auto"/>
                      <w:sz w:val="21"/>
                      <w:szCs w:val="21"/>
                      <w:lang w:eastAsia="zh-CN"/>
                    </w:rPr>
                    <w:t>“</w:t>
                  </w:r>
                  <w:r>
                    <w:rPr>
                      <w:color w:val="auto"/>
                      <w:sz w:val="21"/>
                      <w:szCs w:val="21"/>
                    </w:rPr>
                    <w:t>调节酸化＋厌氧（UASB）＋好氧曝气法</w:t>
                  </w:r>
                  <w:r>
                    <w:rPr>
                      <w:rFonts w:hint="eastAsia"/>
                      <w:color w:val="auto"/>
                      <w:sz w:val="21"/>
                      <w:szCs w:val="21"/>
                      <w:lang w:eastAsia="zh-CN"/>
                    </w:rPr>
                    <w:t>”</w:t>
                  </w:r>
                  <w:r>
                    <w:rPr>
                      <w:color w:val="auto"/>
                      <w:sz w:val="21"/>
                      <w:szCs w:val="21"/>
                    </w:rPr>
                    <w:t>处理工艺的污水处理站。</w:t>
                  </w:r>
                  <w:r>
                    <w:rPr>
                      <w:rFonts w:hint="eastAsia"/>
                      <w:color w:val="auto"/>
                      <w:sz w:val="21"/>
                      <w:szCs w:val="21"/>
                      <w:lang w:eastAsia="zh-CN"/>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EAD7FD1">
                  <w:pPr>
                    <w:jc w:val="center"/>
                    <w:rPr>
                      <w:rFonts w:hint="default" w:eastAsia="宋体"/>
                      <w:color w:val="auto"/>
                      <w:sz w:val="21"/>
                      <w:szCs w:val="21"/>
                      <w:lang w:val="en-US" w:eastAsia="zh-CN"/>
                    </w:rPr>
                  </w:pPr>
                  <w:r>
                    <w:rPr>
                      <w:rFonts w:hint="eastAsia"/>
                      <w:color w:val="auto"/>
                      <w:sz w:val="21"/>
                      <w:szCs w:val="21"/>
                      <w:lang w:val="en-US" w:eastAsia="zh-CN"/>
                    </w:rPr>
                    <w:t>150</w:t>
                  </w:r>
                </w:p>
              </w:tc>
            </w:tr>
            <w:tr w14:paraId="0FDB6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8D982D6">
                  <w:pPr>
                    <w:jc w:val="center"/>
                    <w:rPr>
                      <w:rFonts w:hint="eastAsia" w:eastAsia="宋体"/>
                      <w:color w:val="auto"/>
                      <w:sz w:val="21"/>
                      <w:szCs w:val="21"/>
                      <w:lang w:val="en-US" w:eastAsia="zh-CN"/>
                    </w:rPr>
                  </w:pPr>
                  <w:r>
                    <w:rPr>
                      <w:rFonts w:hint="eastAsia"/>
                      <w:color w:val="auto"/>
                      <w:sz w:val="21"/>
                      <w:szCs w:val="21"/>
                      <w:lang w:val="en-US" w:eastAsia="zh-CN"/>
                    </w:rPr>
                    <w:t>4</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7D27D47">
                  <w:pPr>
                    <w:jc w:val="center"/>
                    <w:rPr>
                      <w:color w:val="auto"/>
                      <w:sz w:val="21"/>
                      <w:szCs w:val="21"/>
                    </w:rPr>
                  </w:pPr>
                  <w:r>
                    <w:rPr>
                      <w:color w:val="auto"/>
                      <w:sz w:val="21"/>
                      <w:szCs w:val="21"/>
                    </w:rPr>
                    <w:t>噪声</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894D3DF">
                  <w:pPr>
                    <w:spacing w:line="400" w:lineRule="exact"/>
                    <w:jc w:val="center"/>
                    <w:rPr>
                      <w:color w:val="auto"/>
                      <w:sz w:val="21"/>
                      <w:szCs w:val="21"/>
                    </w:rPr>
                  </w:pPr>
                  <w:r>
                    <w:rPr>
                      <w:color w:val="auto"/>
                      <w:sz w:val="21"/>
                      <w:szCs w:val="21"/>
                    </w:rPr>
                    <w:t>减震降噪、隔声消声措施</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8E0DD67">
                  <w:pPr>
                    <w:jc w:val="center"/>
                    <w:rPr>
                      <w:rFonts w:hint="eastAsia"/>
                      <w:color w:val="auto"/>
                      <w:sz w:val="21"/>
                      <w:szCs w:val="21"/>
                    </w:rPr>
                  </w:pPr>
                  <w:r>
                    <w:rPr>
                      <w:rFonts w:hint="eastAsia"/>
                      <w:color w:val="auto"/>
                      <w:sz w:val="21"/>
                      <w:szCs w:val="21"/>
                    </w:rPr>
                    <w:t>6</w:t>
                  </w:r>
                </w:p>
              </w:tc>
            </w:tr>
            <w:tr w14:paraId="01F44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1D1DF0F">
                  <w:pPr>
                    <w:jc w:val="center"/>
                    <w:rPr>
                      <w:rFonts w:hint="eastAsia" w:eastAsia="宋体"/>
                      <w:color w:val="auto"/>
                      <w:sz w:val="21"/>
                      <w:szCs w:val="21"/>
                      <w:lang w:val="en-US" w:eastAsia="zh-CN"/>
                    </w:rPr>
                  </w:pPr>
                  <w:r>
                    <w:rPr>
                      <w:rFonts w:hint="eastAsia"/>
                      <w:color w:val="auto"/>
                      <w:sz w:val="21"/>
                      <w:szCs w:val="21"/>
                      <w:lang w:val="en-US" w:eastAsia="zh-CN"/>
                    </w:rPr>
                    <w:t>5</w:t>
                  </w:r>
                </w:p>
              </w:tc>
              <w:tc>
                <w:tcPr>
                  <w:tcW w:w="0" w:type="auto"/>
                  <w:vMerge w:val="restart"/>
                  <w:tcBorders>
                    <w:top w:val="single" w:color="auto" w:sz="4" w:space="0"/>
                    <w:left w:val="single" w:color="auto" w:sz="4" w:space="0"/>
                    <w:right w:val="single" w:color="auto" w:sz="4" w:space="0"/>
                  </w:tcBorders>
                  <w:noWrap w:val="0"/>
                  <w:vAlign w:val="center"/>
                </w:tcPr>
                <w:p w14:paraId="59151DFC">
                  <w:pPr>
                    <w:jc w:val="center"/>
                    <w:rPr>
                      <w:rFonts w:ascii="Times New Roman" w:hAnsi="Times New Roman" w:eastAsia="宋体"/>
                      <w:color w:val="auto"/>
                      <w:kern w:val="2"/>
                      <w:sz w:val="21"/>
                      <w:szCs w:val="21"/>
                      <w:lang w:val="en-US" w:eastAsia="zh-CN" w:bidi="ar-SA"/>
                    </w:rPr>
                  </w:pPr>
                  <w:r>
                    <w:rPr>
                      <w:color w:val="auto"/>
                      <w:sz w:val="21"/>
                      <w:szCs w:val="21"/>
                    </w:rPr>
                    <w:t>固体废物</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8BA4D14">
                  <w:pPr>
                    <w:spacing w:line="400" w:lineRule="exact"/>
                    <w:jc w:val="center"/>
                    <w:rPr>
                      <w:color w:val="auto"/>
                      <w:sz w:val="21"/>
                      <w:szCs w:val="21"/>
                    </w:rPr>
                  </w:pPr>
                  <w:r>
                    <w:rPr>
                      <w:color w:val="auto"/>
                      <w:sz w:val="21"/>
                      <w:szCs w:val="21"/>
                    </w:rPr>
                    <w:t>一般固废和生活垃圾收集箱</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286D34E">
                  <w:pPr>
                    <w:jc w:val="center"/>
                    <w:rPr>
                      <w:color w:val="auto"/>
                      <w:sz w:val="21"/>
                      <w:szCs w:val="21"/>
                    </w:rPr>
                  </w:pPr>
                  <w:r>
                    <w:rPr>
                      <w:rFonts w:hint="eastAsia"/>
                      <w:color w:val="auto"/>
                      <w:sz w:val="21"/>
                      <w:szCs w:val="21"/>
                    </w:rPr>
                    <w:t>10</w:t>
                  </w:r>
                </w:p>
              </w:tc>
            </w:tr>
            <w:tr w14:paraId="56562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0CFB403A">
                  <w:pPr>
                    <w:jc w:val="center"/>
                    <w:rPr>
                      <w:rFonts w:hint="eastAsia" w:eastAsia="宋体"/>
                      <w:color w:val="auto"/>
                      <w:sz w:val="21"/>
                      <w:szCs w:val="21"/>
                      <w:lang w:val="en-US" w:eastAsia="zh-CN"/>
                    </w:rPr>
                  </w:pPr>
                  <w:r>
                    <w:rPr>
                      <w:rFonts w:hint="eastAsia"/>
                      <w:color w:val="auto"/>
                      <w:sz w:val="21"/>
                      <w:szCs w:val="21"/>
                      <w:lang w:val="en-US" w:eastAsia="zh-CN"/>
                    </w:rPr>
                    <w:t>6</w:t>
                  </w:r>
                </w:p>
              </w:tc>
              <w:tc>
                <w:tcPr>
                  <w:tcW w:w="0" w:type="auto"/>
                  <w:vMerge w:val="continue"/>
                  <w:tcBorders>
                    <w:left w:val="single" w:color="auto" w:sz="4" w:space="0"/>
                    <w:bottom w:val="single" w:color="auto" w:sz="4" w:space="0"/>
                    <w:right w:val="single" w:color="auto" w:sz="4" w:space="0"/>
                  </w:tcBorders>
                  <w:noWrap w:val="0"/>
                  <w:vAlign w:val="center"/>
                </w:tcPr>
                <w:p w14:paraId="789C302F">
                  <w:pPr>
                    <w:jc w:val="center"/>
                    <w:rPr>
                      <w:rFonts w:ascii="Times New Roman" w:hAnsi="Times New Roman" w:eastAsia="宋体"/>
                      <w:color w:val="auto"/>
                      <w:kern w:val="2"/>
                      <w:sz w:val="21"/>
                      <w:szCs w:val="21"/>
                      <w:lang w:val="en-US" w:eastAsia="zh-CN" w:bidi="ar-SA"/>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1382DA37">
                  <w:pPr>
                    <w:tabs>
                      <w:tab w:val="left" w:pos="1269"/>
                    </w:tabs>
                    <w:spacing w:line="400" w:lineRule="exact"/>
                    <w:jc w:val="center"/>
                    <w:rPr>
                      <w:rFonts w:hint="default" w:eastAsia="宋体"/>
                      <w:color w:val="auto"/>
                      <w:sz w:val="21"/>
                      <w:szCs w:val="21"/>
                      <w:lang w:val="en-US" w:eastAsia="zh-CN"/>
                    </w:rPr>
                  </w:pPr>
                  <w:r>
                    <w:rPr>
                      <w:rFonts w:hint="eastAsia"/>
                      <w:color w:val="auto"/>
                      <w:sz w:val="21"/>
                      <w:szCs w:val="21"/>
                      <w:lang w:val="en-US" w:eastAsia="zh-CN"/>
                    </w:rPr>
                    <w:t>废机油暂存危废间，后交由相关资质单位处置</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E393D55">
                  <w:pPr>
                    <w:jc w:val="center"/>
                    <w:rPr>
                      <w:rFonts w:hint="eastAsia" w:eastAsia="宋体"/>
                      <w:color w:val="auto"/>
                      <w:sz w:val="21"/>
                      <w:szCs w:val="21"/>
                      <w:lang w:val="en-US" w:eastAsia="zh-CN"/>
                    </w:rPr>
                  </w:pPr>
                  <w:r>
                    <w:rPr>
                      <w:rFonts w:hint="eastAsia"/>
                      <w:color w:val="auto"/>
                      <w:sz w:val="21"/>
                      <w:szCs w:val="21"/>
                      <w:lang w:val="en-US" w:eastAsia="zh-CN"/>
                    </w:rPr>
                    <w:t>5</w:t>
                  </w:r>
                </w:p>
              </w:tc>
            </w:tr>
            <w:tr w14:paraId="2E434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C9057F5">
                  <w:pPr>
                    <w:jc w:val="center"/>
                    <w:rPr>
                      <w:rFonts w:hint="eastAsia" w:eastAsia="宋体"/>
                      <w:color w:val="auto"/>
                      <w:sz w:val="21"/>
                      <w:szCs w:val="21"/>
                      <w:lang w:val="en-US" w:eastAsia="zh-CN"/>
                    </w:rPr>
                  </w:pPr>
                  <w:r>
                    <w:rPr>
                      <w:rFonts w:hint="eastAsia"/>
                      <w:color w:val="auto"/>
                      <w:sz w:val="21"/>
                      <w:szCs w:val="21"/>
                      <w:lang w:val="en-US" w:eastAsia="zh-CN"/>
                    </w:rPr>
                    <w:t>7</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F7337A1">
                  <w:pPr>
                    <w:jc w:val="center"/>
                    <w:rPr>
                      <w:rFonts w:hint="eastAsia"/>
                      <w:color w:val="auto"/>
                      <w:sz w:val="21"/>
                      <w:szCs w:val="21"/>
                    </w:rPr>
                  </w:pPr>
                  <w:r>
                    <w:rPr>
                      <w:rFonts w:hint="eastAsia"/>
                      <w:color w:val="auto"/>
                      <w:sz w:val="21"/>
                      <w:szCs w:val="21"/>
                    </w:rPr>
                    <w:t>其他</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D0776AB">
                  <w:pPr>
                    <w:spacing w:line="400" w:lineRule="exact"/>
                    <w:jc w:val="center"/>
                    <w:rPr>
                      <w:color w:val="auto"/>
                      <w:sz w:val="21"/>
                      <w:szCs w:val="21"/>
                    </w:rPr>
                  </w:pPr>
                  <w:r>
                    <w:rPr>
                      <w:color w:val="auto"/>
                      <w:sz w:val="21"/>
                      <w:szCs w:val="21"/>
                    </w:rPr>
                    <w:t>环境管理、竣工验收、排污口规范化</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E730689">
                  <w:pPr>
                    <w:jc w:val="center"/>
                    <w:rPr>
                      <w:color w:val="auto"/>
                      <w:sz w:val="21"/>
                      <w:szCs w:val="21"/>
                    </w:rPr>
                  </w:pPr>
                  <w:r>
                    <w:rPr>
                      <w:rFonts w:hint="eastAsia"/>
                      <w:color w:val="auto"/>
                      <w:sz w:val="21"/>
                      <w:szCs w:val="21"/>
                    </w:rPr>
                    <w:t>10</w:t>
                  </w:r>
                </w:p>
              </w:tc>
            </w:tr>
            <w:tr w14:paraId="4C7DD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703DBA6">
                  <w:pPr>
                    <w:jc w:val="center"/>
                    <w:rPr>
                      <w:color w:val="auto"/>
                      <w:sz w:val="21"/>
                      <w:szCs w:val="21"/>
                    </w:rPr>
                  </w:pP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7E1E4CB0">
                  <w:pPr>
                    <w:jc w:val="center"/>
                    <w:rPr>
                      <w:color w:val="auto"/>
                      <w:sz w:val="21"/>
                      <w:szCs w:val="21"/>
                    </w:rPr>
                  </w:pPr>
                  <w:r>
                    <w:rPr>
                      <w:color w:val="auto"/>
                      <w:sz w:val="21"/>
                      <w:szCs w:val="21"/>
                    </w:rPr>
                    <w:t>总计</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E45EBD8">
                  <w:pPr>
                    <w:jc w:val="center"/>
                    <w:rPr>
                      <w:rFonts w:hint="default" w:eastAsia="宋体"/>
                      <w:color w:val="auto"/>
                      <w:sz w:val="21"/>
                      <w:szCs w:val="21"/>
                      <w:lang w:val="en-US" w:eastAsia="zh-CN"/>
                    </w:rPr>
                  </w:pPr>
                  <w:r>
                    <w:rPr>
                      <w:rFonts w:hint="eastAsia" w:eastAsia="宋体"/>
                      <w:color w:val="auto"/>
                      <w:sz w:val="21"/>
                      <w:szCs w:val="21"/>
                      <w:lang w:val="en-US" w:eastAsia="zh-CN"/>
                    </w:rPr>
                    <w:t>191.5</w:t>
                  </w:r>
                </w:p>
              </w:tc>
            </w:tr>
          </w:tbl>
          <w:p w14:paraId="5B0FE7E7">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二、环境管理要求</w:t>
            </w:r>
          </w:p>
          <w:p w14:paraId="0AB13001">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为了落实各项污染防治措施，应当根据实际特点，制定各种类型的环保制度。</w:t>
            </w:r>
          </w:p>
          <w:p w14:paraId="3BCD0CC9">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（1）环保设施的建设、运行及维护费用保障制度</w:t>
            </w:r>
          </w:p>
          <w:p w14:paraId="3EB0DFFE">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在项目的建设、运行、维护的过程中，要设立专项的环保资金，所有环保投支出该专项资金投入，并定时、定量对该环保资金进行补充，以保证环保设施的正常建设、运行和维护。</w:t>
            </w:r>
          </w:p>
          <w:p w14:paraId="308D958B">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（2）排污定期报告制度</w:t>
            </w:r>
          </w:p>
          <w:p w14:paraId="599DC895">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要定期向当地环保部门报告污染治理设施运行情况、污染物排放情况以及污染事故、污染纠纷等情况。</w:t>
            </w:r>
          </w:p>
          <w:p w14:paraId="5908D82D">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（3）污染处理设施的管理制度</w:t>
            </w:r>
          </w:p>
          <w:p w14:paraId="3A3B949C">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对污染治理设施的管理必须与生产经营活动一起纳入企业的日常管理中，要建立岗位责任制，制定操作规程，建立环境管理</w:t>
            </w:r>
            <w:r>
              <w:rPr>
                <w:rFonts w:hint="eastAsia" w:cs="宋体"/>
                <w:color w:val="auto"/>
                <w:sz w:val="21"/>
                <w:szCs w:val="21"/>
                <w:lang w:val="en-US" w:eastAsia="zh-CN"/>
              </w:rPr>
              <w:t>台账</w:t>
            </w:r>
            <w:r>
              <w:rPr>
                <w:rFonts w:hint="default" w:ascii="Times New Roman" w:hAnsi="Times New Roman" w:eastAsia="宋体" w:cs="宋体"/>
                <w:color w:val="auto"/>
                <w:sz w:val="21"/>
                <w:szCs w:val="21"/>
                <w:lang w:val="en-US" w:eastAsia="zh-CN"/>
              </w:rPr>
              <w:t>。</w:t>
            </w:r>
          </w:p>
          <w:p w14:paraId="457DAE32">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（4）奖惩制度</w:t>
            </w:r>
          </w:p>
          <w:p w14:paraId="78C9D861">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企业应设置环境保护奖惩制度，对爱护环保设施，节能降耗、改善环境者实行奖励；对不按环保要求管理，造成环保设施损坏、环境污染和资源、能源浪费者予以处罚。</w:t>
            </w:r>
          </w:p>
          <w:p w14:paraId="25FC943C">
            <w:pPr>
              <w:overflowPunct w:val="0"/>
              <w:autoSpaceDE w:val="0"/>
              <w:autoSpaceDN w:val="0"/>
              <w:bidi w:val="0"/>
              <w:adjustRightInd w:val="0"/>
              <w:snapToGrid w:val="0"/>
              <w:spacing w:before="0" w:after="0" w:line="500" w:lineRule="exact"/>
              <w:ind w:left="0" w:right="0" w:firstLine="420" w:firstLineChars="200"/>
              <w:jc w:val="left"/>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（5）规范排污口</w:t>
            </w:r>
          </w:p>
          <w:p w14:paraId="551BB0FB">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本项目应按《环境保护图形标志—排放口（源）》（GB15562.1-1995）、《危险废物识别标志设置技术规范》（HJ1276-2022）规定的图形，在各气、水、声排污口（源）挂牌标识，做到各排污口（源）的环保标志明显，便于企业管理和公众监督。</w:t>
            </w:r>
          </w:p>
          <w:p w14:paraId="307A4CF5">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列入总量控制污染物的排污口为管理的重点，排污口应便于采样与计量监测，便于日常现场监督检查。排污口位置必须合理确定，按环监</w:t>
            </w:r>
            <w:r>
              <w:rPr>
                <w:rFonts w:hint="eastAsia" w:cs="宋体"/>
                <w:color w:val="auto"/>
                <w:sz w:val="21"/>
                <w:szCs w:val="21"/>
                <w:lang w:val="en-US" w:eastAsia="zh-CN"/>
              </w:rPr>
              <w:t>〔</w:t>
            </w:r>
            <w:r>
              <w:rPr>
                <w:rFonts w:hint="eastAsia" w:ascii="Times New Roman" w:hAnsi="Times New Roman" w:eastAsia="宋体" w:cs="宋体"/>
                <w:color w:val="auto"/>
                <w:sz w:val="21"/>
                <w:szCs w:val="21"/>
                <w:lang w:val="en-US" w:eastAsia="zh-CN"/>
              </w:rPr>
              <w:t>1996</w:t>
            </w:r>
            <w:r>
              <w:rPr>
                <w:rFonts w:hint="eastAsia" w:cs="宋体"/>
                <w:color w:val="auto"/>
                <w:sz w:val="21"/>
                <w:szCs w:val="21"/>
                <w:lang w:val="en-US" w:eastAsia="zh-CN"/>
              </w:rPr>
              <w:t>〕</w:t>
            </w:r>
            <w:r>
              <w:rPr>
                <w:rFonts w:hint="eastAsia" w:ascii="Times New Roman" w:hAnsi="Times New Roman" w:eastAsia="宋体" w:cs="宋体"/>
                <w:color w:val="auto"/>
                <w:sz w:val="21"/>
                <w:szCs w:val="21"/>
                <w:lang w:val="en-US" w:eastAsia="zh-CN"/>
              </w:rPr>
              <w:t>470号文件要求进行规范化管理。</w:t>
            </w:r>
          </w:p>
          <w:p w14:paraId="29DC7C77">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污染物排放口的环保图形标志牌应设置在靠近采样点的醒目位置处，标志牌设置高度为其上缘距地面约2m。</w:t>
            </w:r>
          </w:p>
          <w:p w14:paraId="29432C09">
            <w:pPr>
              <w:overflowPunct w:val="0"/>
              <w:autoSpaceDE w:val="0"/>
              <w:autoSpaceDN w:val="0"/>
              <w:bidi w:val="0"/>
              <w:adjustRightInd w:val="0"/>
              <w:snapToGrid w:val="0"/>
              <w:spacing w:before="0" w:after="0" w:line="500" w:lineRule="exact"/>
              <w:ind w:left="0" w:right="0" w:firstLine="420" w:firstLineChars="200"/>
              <w:jc w:val="left"/>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14:paraId="4FC1D25C">
            <w:pPr>
              <w:widowControl w:val="0"/>
              <w:overflowPunct w:val="0"/>
              <w:autoSpaceDE w:val="0"/>
              <w:autoSpaceDN w:val="0"/>
              <w:adjustRightInd w:val="0"/>
              <w:snapToGrid w:val="0"/>
              <w:spacing w:before="0" w:after="0" w:line="360" w:lineRule="exact"/>
              <w:ind w:right="0"/>
              <w:jc w:val="both"/>
              <w:rPr>
                <w:rFonts w:hint="default" w:ascii="Times New Roman" w:hAnsi="Times New Roman" w:eastAsia="宋体" w:cs="宋体"/>
                <w:snapToGrid w:val="0"/>
                <w:color w:val="auto"/>
                <w:sz w:val="24"/>
                <w:szCs w:val="21"/>
                <w:lang w:val="en-US" w:eastAsia="zh-CN" w:bidi="ar-SA"/>
              </w:rPr>
            </w:pPr>
          </w:p>
        </w:tc>
      </w:tr>
    </w:tbl>
    <w:p w14:paraId="19C0C9A3">
      <w:pPr>
        <w:rPr>
          <w:rFonts w:hint="default"/>
          <w:color w:val="auto"/>
          <w:lang w:val="en-US"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1103E29">
      <w:pPr>
        <w:widowControl w:val="0"/>
        <w:overflowPunct w:val="0"/>
        <w:autoSpaceDE w:val="0"/>
        <w:autoSpaceDN w:val="0"/>
        <w:bidi w:val="0"/>
        <w:adjustRightInd w:val="0"/>
        <w:snapToGrid w:val="0"/>
        <w:spacing w:before="0" w:after="0" w:line="560" w:lineRule="exact"/>
        <w:ind w:left="0" w:right="0" w:firstLine="0" w:firstLineChars="0"/>
        <w:jc w:val="center"/>
        <w:outlineLvl w:val="0"/>
        <w:rPr>
          <w:rFonts w:hint="eastAsia" w:ascii="Times New Roman" w:hAnsi="Times New Roman" w:eastAsia="宋体" w:cs="宋体"/>
          <w:b/>
          <w:color w:val="auto"/>
          <w:kern w:val="44"/>
          <w:sz w:val="28"/>
          <w:szCs w:val="22"/>
          <w:lang w:val="en-US" w:eastAsia="zh-CN" w:bidi="ar-SA"/>
        </w:rPr>
      </w:pPr>
      <w:bookmarkStart w:id="77" w:name="_Toc29259"/>
      <w:bookmarkStart w:id="78" w:name="_Toc14416"/>
      <w:bookmarkStart w:id="79" w:name="_Toc3035"/>
      <w:bookmarkStart w:id="80" w:name="_Toc21886"/>
      <w:bookmarkStart w:id="81" w:name="_Toc31367"/>
      <w:bookmarkStart w:id="82" w:name="_Toc16460"/>
      <w:r>
        <w:rPr>
          <w:rFonts w:hint="eastAsia" w:ascii="Times New Roman" w:hAnsi="Times New Roman" w:eastAsia="宋体" w:cs="宋体"/>
          <w:b/>
          <w:color w:val="auto"/>
          <w:kern w:val="44"/>
          <w:sz w:val="28"/>
          <w:szCs w:val="22"/>
          <w:lang w:val="en-US" w:eastAsia="zh-CN" w:bidi="ar-SA"/>
        </w:rPr>
        <w:t>六、结论</w:t>
      </w:r>
      <w:bookmarkEnd w:id="77"/>
      <w:bookmarkEnd w:id="78"/>
      <w:bookmarkEnd w:id="79"/>
      <w:bookmarkEnd w:id="80"/>
      <w:bookmarkEnd w:id="81"/>
      <w:bookmarkEnd w:id="82"/>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B7F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14:paraId="0ECE721B">
            <w:pPr>
              <w:widowControl w:val="0"/>
              <w:overflowPunct w:val="0"/>
              <w:autoSpaceDE w:val="0"/>
              <w:autoSpaceDN w:val="0"/>
              <w:bidi w:val="0"/>
              <w:adjustRightInd w:val="0"/>
              <w:snapToGrid w:val="0"/>
              <w:spacing w:before="0" w:after="0" w:line="560" w:lineRule="exact"/>
              <w:ind w:right="0"/>
              <w:jc w:val="left"/>
              <w:outlineLvl w:val="1"/>
              <w:rPr>
                <w:rFonts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1、</w:t>
            </w:r>
            <w:r>
              <w:rPr>
                <w:rFonts w:ascii="Times New Roman" w:hAnsi="Times New Roman" w:eastAsia="宋体" w:cs="黑体"/>
                <w:b/>
                <w:color w:val="auto"/>
                <w:sz w:val="28"/>
                <w:szCs w:val="30"/>
                <w:lang w:val="en-US" w:eastAsia="zh-CN" w:bidi="ar-SA"/>
              </w:rPr>
              <w:t>结论</w:t>
            </w:r>
          </w:p>
          <w:p w14:paraId="0E3507C1">
            <w:pPr>
              <w:overflowPunct w:val="0"/>
              <w:autoSpaceDE w:val="0"/>
              <w:autoSpaceDN w:val="0"/>
              <w:bidi w:val="0"/>
              <w:adjustRightInd w:val="0"/>
              <w:snapToGrid w:val="0"/>
              <w:spacing w:before="0" w:after="0" w:line="500" w:lineRule="exact"/>
              <w:ind w:left="0" w:right="0" w:firstLine="480" w:firstLineChars="200"/>
              <w:jc w:val="left"/>
              <w:rPr>
                <w:rFonts w:ascii="Times New Roman" w:hAnsi="Times New Roman" w:eastAsia="宋体" w:cs="宋体"/>
                <w:color w:val="auto"/>
              </w:rPr>
            </w:pPr>
            <w:r>
              <w:rPr>
                <w:rFonts w:hint="eastAsia" w:ascii="Times New Roman" w:hAnsi="Times New Roman" w:eastAsia="宋体" w:cs="宋体"/>
                <w:color w:val="auto"/>
                <w:lang w:val="en-US" w:eastAsia="zh-CN"/>
              </w:rPr>
              <w:t>综上所述，本项目具有较明显的社会经济效益，项目所在地环境质量较好，项目对周围环境的污染程度较轻，本项目所产生的废气、废水、噪声、固废在采取相应的治理措施后，可满足相应的国家排放标准。通过对本项目环境影响评价，只要在本项目的建设中认真执行环保“三同时”，具体落实本环评中提出的各污染防治措施，从环保角度看，本项目的建设是可行的。</w:t>
            </w:r>
          </w:p>
          <w:p w14:paraId="2524A9A1">
            <w:pPr>
              <w:widowControl w:val="0"/>
              <w:overflowPunct w:val="0"/>
              <w:autoSpaceDE w:val="0"/>
              <w:autoSpaceDN w:val="0"/>
              <w:bidi w:val="0"/>
              <w:adjustRightInd w:val="0"/>
              <w:snapToGrid w:val="0"/>
              <w:spacing w:before="0" w:after="0" w:line="560" w:lineRule="exact"/>
              <w:ind w:right="0"/>
              <w:jc w:val="left"/>
              <w:outlineLvl w:val="1"/>
              <w:rPr>
                <w:rFonts w:ascii="Times New Roman" w:hAnsi="Times New Roman" w:eastAsia="宋体" w:cs="黑体"/>
                <w:b/>
                <w:color w:val="auto"/>
                <w:sz w:val="28"/>
                <w:szCs w:val="30"/>
                <w:lang w:val="en-US" w:eastAsia="zh-CN" w:bidi="ar-SA"/>
              </w:rPr>
            </w:pPr>
            <w:r>
              <w:rPr>
                <w:rFonts w:hint="eastAsia" w:cs="黑体"/>
                <w:b/>
                <w:color w:val="auto"/>
                <w:sz w:val="28"/>
                <w:szCs w:val="30"/>
                <w:lang w:val="en-US" w:eastAsia="zh-CN" w:bidi="ar-SA"/>
              </w:rPr>
              <w:t>2、</w:t>
            </w:r>
            <w:r>
              <w:rPr>
                <w:rFonts w:ascii="Times New Roman" w:hAnsi="Times New Roman" w:eastAsia="宋体" w:cs="黑体"/>
                <w:b/>
                <w:color w:val="auto"/>
                <w:sz w:val="28"/>
                <w:szCs w:val="30"/>
                <w:lang w:val="en-US" w:eastAsia="zh-CN" w:bidi="ar-SA"/>
              </w:rPr>
              <w:t>建议</w:t>
            </w:r>
          </w:p>
          <w:p w14:paraId="0E340854">
            <w:pPr>
              <w:keepNext w:val="0"/>
              <w:keepLines w:val="0"/>
              <w:pageBreakBefore w:val="0"/>
              <w:widowControl w:val="0"/>
              <w:kinsoku/>
              <w:wordWrap/>
              <w:overflowPunct w:val="0"/>
              <w:topLinePunct w:val="0"/>
              <w:autoSpaceDE w:val="0"/>
              <w:autoSpaceDN w:val="0"/>
              <w:bidi w:val="0"/>
              <w:adjustRightInd w:val="0"/>
              <w:snapToGrid w:val="0"/>
              <w:spacing w:before="0" w:after="0" w:line="500" w:lineRule="exact"/>
              <w:ind w:left="0" w:right="0" w:firstLine="480" w:firstLineChars="200"/>
              <w:jc w:val="both"/>
              <w:textAlignment w:val="auto"/>
              <w:rPr>
                <w:rFonts w:ascii="Times New Roman" w:hAnsi="Times New Roman" w:eastAsia="宋体" w:cs="宋体"/>
                <w:color w:val="auto"/>
              </w:rPr>
            </w:pPr>
            <w:r>
              <w:rPr>
                <w:rFonts w:hint="eastAsia" w:ascii="Times New Roman" w:hAnsi="Times New Roman" w:eastAsia="宋体" w:cs="宋体"/>
                <w:color w:val="auto"/>
              </w:rPr>
              <w:t>加强管理，建立各种健全的生产环保规章制度，严格在岗人员操作管理，与此同时，加强设备、管道、各项治污措施的定期检修和维护工作。</w:t>
            </w:r>
          </w:p>
          <w:p w14:paraId="73EE5927">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44A3F19B">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20E8E9A5">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2A386F8D">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7687D2E4">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7E54416B">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071786D5">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6318F97D">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1E180C6A">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1AED5562">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24B66EC2">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7C377FE8">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0FA5EA27">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4F245ACC">
            <w:pPr>
              <w:widowControl w:val="0"/>
              <w:overflowPunct w:val="0"/>
              <w:autoSpaceDE w:val="0"/>
              <w:autoSpaceDN w:val="0"/>
              <w:adjustRightInd w:val="0"/>
              <w:snapToGrid w:val="0"/>
              <w:spacing w:before="0" w:after="0" w:line="400" w:lineRule="exact"/>
              <w:ind w:left="0" w:right="0" w:firstLine="0" w:firstLineChars="0"/>
              <w:jc w:val="center"/>
              <w:rPr>
                <w:rFonts w:hint="default" w:ascii="Times New Roman" w:hAnsi="Times New Roman" w:eastAsia="宋体" w:cs="宋体"/>
                <w:color w:val="auto"/>
                <w:sz w:val="24"/>
                <w:szCs w:val="24"/>
                <w:vertAlign w:val="baseline"/>
                <w:lang w:val="en-US" w:eastAsia="zh-CN" w:bidi="ar-SA"/>
              </w:rPr>
            </w:pPr>
          </w:p>
          <w:p w14:paraId="7397C2CA">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color w:val="auto"/>
                <w:sz w:val="24"/>
                <w:szCs w:val="24"/>
                <w:vertAlign w:val="baseline"/>
                <w:lang w:val="en-US" w:eastAsia="zh-CN" w:bidi="ar-SA"/>
              </w:rPr>
            </w:pPr>
          </w:p>
          <w:p w14:paraId="47C1135E">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color w:val="auto"/>
                <w:sz w:val="24"/>
                <w:szCs w:val="24"/>
                <w:vertAlign w:val="baseline"/>
                <w:lang w:val="en-US" w:eastAsia="zh-CN" w:bidi="ar-SA"/>
              </w:rPr>
            </w:pPr>
          </w:p>
          <w:p w14:paraId="509CD417">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color w:val="auto"/>
                <w:sz w:val="24"/>
                <w:szCs w:val="24"/>
                <w:vertAlign w:val="baseline"/>
                <w:lang w:val="en-US" w:eastAsia="zh-CN" w:bidi="ar-SA"/>
              </w:rPr>
            </w:pPr>
          </w:p>
          <w:p w14:paraId="7252BEF6">
            <w:pPr>
              <w:widowControl w:val="0"/>
              <w:overflowPunct w:val="0"/>
              <w:autoSpaceDE w:val="0"/>
              <w:autoSpaceDN w:val="0"/>
              <w:adjustRightInd w:val="0"/>
              <w:snapToGrid w:val="0"/>
              <w:spacing w:before="0" w:after="0" w:line="400" w:lineRule="exact"/>
              <w:ind w:left="0" w:right="0" w:firstLine="0" w:firstLineChars="0"/>
              <w:jc w:val="both"/>
              <w:rPr>
                <w:rFonts w:hint="default" w:ascii="Times New Roman" w:hAnsi="Times New Roman" w:eastAsia="宋体" w:cs="宋体"/>
                <w:color w:val="auto"/>
                <w:sz w:val="24"/>
                <w:szCs w:val="24"/>
                <w:vertAlign w:val="baseline"/>
                <w:lang w:val="en-US" w:eastAsia="zh-CN" w:bidi="ar-SA"/>
              </w:rPr>
            </w:pPr>
          </w:p>
        </w:tc>
      </w:tr>
    </w:tbl>
    <w:p w14:paraId="43D61BD7">
      <w:pPr>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1508C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right="0" w:firstLine="640" w:firstLineChars="200"/>
        <w:jc w:val="left"/>
        <w:textAlignment w:val="auto"/>
        <w:outlineLvl w:val="0"/>
        <w:rPr>
          <w:rFonts w:ascii="Times New Roman" w:hAnsi="Times New Roman" w:eastAsia="黑体" w:cs="Times New Roman"/>
          <w:snapToGrid w:val="0"/>
          <w:color w:val="auto"/>
          <w:kern w:val="0"/>
          <w:sz w:val="32"/>
          <w:szCs w:val="32"/>
          <w:highlight w:val="none"/>
          <w:lang w:val="en-US" w:eastAsia="zh-CN" w:bidi="ar-SA"/>
        </w:rPr>
      </w:pPr>
      <w:bookmarkStart w:id="83" w:name="_Toc10718"/>
      <w:bookmarkStart w:id="84" w:name="_Toc12004"/>
      <w:bookmarkStart w:id="85" w:name="_Toc6309"/>
      <w:bookmarkStart w:id="86" w:name="_Toc3929"/>
      <w:bookmarkStart w:id="87" w:name="_Toc31582"/>
      <w:r>
        <w:rPr>
          <w:rFonts w:hint="eastAsia" w:ascii="Times New Roman" w:hAnsi="Times New Roman" w:eastAsia="黑体" w:cs="Times New Roman"/>
          <w:snapToGrid w:val="0"/>
          <w:color w:val="auto"/>
          <w:kern w:val="0"/>
          <w:sz w:val="32"/>
          <w:szCs w:val="32"/>
          <w:highlight w:val="none"/>
          <w:lang w:val="en-US" w:eastAsia="zh-CN" w:bidi="ar-SA"/>
        </w:rPr>
        <w:t>附表</w:t>
      </w:r>
      <w:bookmarkEnd w:id="83"/>
      <w:bookmarkEnd w:id="84"/>
      <w:bookmarkEnd w:id="85"/>
      <w:bookmarkEnd w:id="86"/>
      <w:bookmarkEnd w:id="87"/>
    </w:p>
    <w:p w14:paraId="1F4ECD63">
      <w:pPr>
        <w:overflowPunct w:val="0"/>
        <w:autoSpaceDE w:val="0"/>
        <w:autoSpaceDN w:val="0"/>
        <w:bidi w:val="0"/>
        <w:adjustRightInd w:val="0"/>
        <w:snapToGrid w:val="0"/>
        <w:spacing w:before="0" w:after="0" w:line="500" w:lineRule="exact"/>
        <w:ind w:left="0" w:right="0" w:firstLine="562" w:firstLineChars="200"/>
        <w:jc w:val="center"/>
        <w:outlineLvl w:val="0"/>
        <w:rPr>
          <w:rFonts w:hint="eastAsia" w:ascii="Times New Roman" w:hAnsi="Times New Roman" w:eastAsia="宋体" w:cs="宋体"/>
          <w:b/>
          <w:bCs/>
          <w:color w:val="auto"/>
          <w:sz w:val="28"/>
          <w:szCs w:val="28"/>
          <w:lang w:val="en-US" w:eastAsia="zh-CN"/>
        </w:rPr>
      </w:pPr>
      <w:bookmarkStart w:id="88" w:name="_Toc15838"/>
      <w:bookmarkStart w:id="89" w:name="_Toc29686"/>
      <w:bookmarkStart w:id="90" w:name="_Toc28588"/>
      <w:bookmarkStart w:id="91" w:name="_Toc32240"/>
      <w:bookmarkStart w:id="92" w:name="_Toc31124"/>
      <w:r>
        <w:rPr>
          <w:rFonts w:hint="eastAsia" w:ascii="Times New Roman" w:hAnsi="Times New Roman" w:eastAsia="宋体" w:cs="宋体"/>
          <w:b/>
          <w:bCs/>
          <w:color w:val="auto"/>
          <w:sz w:val="28"/>
          <w:szCs w:val="28"/>
          <w:lang w:val="en-US" w:eastAsia="zh-CN"/>
        </w:rPr>
        <w:t>建设项目污染物排放量汇总表</w:t>
      </w:r>
      <w:bookmarkEnd w:id="88"/>
      <w:bookmarkEnd w:id="89"/>
      <w:bookmarkEnd w:id="90"/>
      <w:bookmarkEnd w:id="91"/>
      <w:bookmarkEnd w:id="92"/>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984"/>
        <w:gridCol w:w="1701"/>
        <w:gridCol w:w="1276"/>
        <w:gridCol w:w="1366"/>
        <w:gridCol w:w="1586"/>
        <w:gridCol w:w="1468"/>
        <w:gridCol w:w="1854"/>
        <w:gridCol w:w="1532"/>
      </w:tblGrid>
      <w:tr w14:paraId="176C1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21" w:type="dxa"/>
            <w:tcBorders>
              <w:tl2br w:val="single" w:color="auto" w:sz="4" w:space="0"/>
            </w:tcBorders>
            <w:noWrap w:val="0"/>
            <w:tcMar>
              <w:left w:w="28" w:type="dxa"/>
              <w:right w:w="28" w:type="dxa"/>
            </w:tcMar>
            <w:vAlign w:val="center"/>
          </w:tcPr>
          <w:p w14:paraId="3D1E427E">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right="0" w:firstLine="336" w:firstLineChars="200"/>
              <w:jc w:val="right"/>
              <w:textAlignment w:val="auto"/>
              <w:rPr>
                <w:rFonts w:hint="eastAsia" w:ascii="Times New Roman" w:hAnsi="Times New Roman" w:eastAsia="黑体" w:cs="宋体"/>
                <w:snapToGrid w:val="0"/>
                <w:color w:val="auto"/>
                <w:spacing w:val="-6"/>
                <w:kern w:val="21"/>
                <w:sz w:val="18"/>
                <w:szCs w:val="18"/>
                <w:highlight w:val="none"/>
                <w:lang w:val="en-US" w:eastAsia="zh-CN" w:bidi="ar-SA"/>
              </w:rPr>
            </w:pPr>
            <w:r>
              <w:rPr>
                <w:rFonts w:hint="eastAsia" w:ascii="Times New Roman" w:hAnsi="Times New Roman" w:eastAsia="黑体" w:cs="宋体"/>
                <w:snapToGrid w:val="0"/>
                <w:color w:val="auto"/>
                <w:spacing w:val="-6"/>
                <w:kern w:val="21"/>
                <w:sz w:val="18"/>
                <w:szCs w:val="18"/>
                <w:highlight w:val="none"/>
                <w:lang w:val="en-US" w:eastAsia="zh-CN" w:bidi="ar-SA"/>
              </w:rPr>
              <w:t>项目</w:t>
            </w:r>
          </w:p>
          <w:p w14:paraId="54FAEE60">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left"/>
              <w:textAlignment w:val="auto"/>
              <w:rPr>
                <w:rFonts w:hint="eastAsia" w:ascii="Times New Roman" w:hAnsi="Times New Roman" w:eastAsia="黑体" w:cs="宋体"/>
                <w:snapToGrid w:val="0"/>
                <w:color w:val="auto"/>
                <w:spacing w:val="-6"/>
                <w:kern w:val="21"/>
                <w:sz w:val="18"/>
                <w:szCs w:val="18"/>
                <w:highlight w:val="none"/>
                <w:lang w:val="en-US" w:eastAsia="zh-CN" w:bidi="ar-SA"/>
              </w:rPr>
            </w:pPr>
            <w:r>
              <w:rPr>
                <w:rFonts w:hint="eastAsia" w:ascii="Times New Roman" w:hAnsi="Times New Roman" w:eastAsia="黑体" w:cs="宋体"/>
                <w:snapToGrid w:val="0"/>
                <w:color w:val="auto"/>
                <w:spacing w:val="-6"/>
                <w:kern w:val="21"/>
                <w:sz w:val="18"/>
                <w:szCs w:val="18"/>
                <w:highlight w:val="none"/>
                <w:lang w:val="en-US" w:eastAsia="zh-CN" w:bidi="ar-SA"/>
              </w:rPr>
              <w:t>分类</w:t>
            </w:r>
          </w:p>
        </w:tc>
        <w:tc>
          <w:tcPr>
            <w:tcW w:w="1984" w:type="dxa"/>
            <w:noWrap w:val="0"/>
            <w:tcMar>
              <w:left w:w="28" w:type="dxa"/>
              <w:right w:w="28" w:type="dxa"/>
            </w:tcMar>
            <w:vAlign w:val="center"/>
          </w:tcPr>
          <w:p w14:paraId="08E95C4D">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宋体"/>
                <w:snapToGrid w:val="0"/>
                <w:color w:val="auto"/>
                <w:spacing w:val="-6"/>
                <w:kern w:val="21"/>
                <w:sz w:val="18"/>
                <w:szCs w:val="18"/>
                <w:highlight w:val="none"/>
                <w:lang w:val="en-US" w:eastAsia="zh-CN" w:bidi="ar-SA"/>
              </w:rPr>
            </w:pPr>
            <w:r>
              <w:rPr>
                <w:rFonts w:hint="eastAsia" w:ascii="Times New Roman" w:hAnsi="Times New Roman" w:eastAsia="黑体" w:cs="宋体"/>
                <w:snapToGrid w:val="0"/>
                <w:color w:val="auto"/>
                <w:spacing w:val="-6"/>
                <w:kern w:val="21"/>
                <w:sz w:val="18"/>
                <w:szCs w:val="18"/>
                <w:highlight w:val="none"/>
                <w:lang w:val="en-US" w:eastAsia="zh-CN" w:bidi="ar-SA"/>
              </w:rPr>
              <w:t>污染物名称</w:t>
            </w:r>
          </w:p>
        </w:tc>
        <w:tc>
          <w:tcPr>
            <w:tcW w:w="1701" w:type="dxa"/>
            <w:noWrap w:val="0"/>
            <w:tcMar>
              <w:left w:w="28" w:type="dxa"/>
              <w:right w:w="28" w:type="dxa"/>
            </w:tcMar>
            <w:vAlign w:val="center"/>
          </w:tcPr>
          <w:p w14:paraId="11B5C512">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t>现有工程</w:t>
            </w:r>
          </w:p>
          <w:p w14:paraId="675A7C87">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t>排放量（固</w:t>
            </w:r>
            <w:r>
              <w:rPr>
                <w:rFonts w:hint="eastAsia" w:ascii="Times New Roman" w:hAnsi="Times New Roman" w:eastAsia="黑体" w:cs="Times New Roman"/>
                <w:snapToGrid w:val="0"/>
                <w:color w:val="auto"/>
                <w:spacing w:val="-6"/>
                <w:kern w:val="21"/>
                <w:sz w:val="18"/>
                <w:szCs w:val="18"/>
                <w:highlight w:val="none"/>
                <w:lang w:val="en-US" w:eastAsia="zh-CN" w:bidi="ar-SA"/>
              </w:rPr>
              <w:t>体</w:t>
            </w:r>
            <w:r>
              <w:rPr>
                <w:rFonts w:ascii="Times New Roman" w:hAnsi="Times New Roman" w:eastAsia="黑体" w:cs="Times New Roman"/>
                <w:snapToGrid w:val="0"/>
                <w:color w:val="auto"/>
                <w:spacing w:val="-6"/>
                <w:kern w:val="21"/>
                <w:sz w:val="18"/>
                <w:szCs w:val="18"/>
                <w:highlight w:val="none"/>
                <w:lang w:val="en-US" w:eastAsia="zh-CN" w:bidi="ar-SA"/>
              </w:rPr>
              <w:t>废</w:t>
            </w:r>
            <w:r>
              <w:rPr>
                <w:rFonts w:hint="eastAsia" w:ascii="Times New Roman" w:hAnsi="Times New Roman" w:eastAsia="黑体" w:cs="Times New Roman"/>
                <w:snapToGrid w:val="0"/>
                <w:color w:val="auto"/>
                <w:spacing w:val="-6"/>
                <w:kern w:val="21"/>
                <w:sz w:val="18"/>
                <w:szCs w:val="18"/>
                <w:highlight w:val="none"/>
                <w:lang w:val="en-US" w:eastAsia="zh-CN" w:bidi="ar-SA"/>
              </w:rPr>
              <w:t>物</w:t>
            </w:r>
            <w:r>
              <w:rPr>
                <w:rFonts w:ascii="Times New Roman" w:hAnsi="Times New Roman" w:eastAsia="黑体" w:cs="Times New Roman"/>
                <w:snapToGrid w:val="0"/>
                <w:color w:val="auto"/>
                <w:spacing w:val="-6"/>
                <w:kern w:val="21"/>
                <w:sz w:val="18"/>
                <w:szCs w:val="18"/>
                <w:highlight w:val="none"/>
                <w:lang w:val="en-US" w:eastAsia="zh-CN" w:bidi="ar-SA"/>
              </w:rPr>
              <w:t>产生量）</w:t>
            </w:r>
            <w:r>
              <w:rPr>
                <w:rFonts w:ascii="Times New Roman" w:hAnsi="Times New Roman" w:eastAsia="黑体" w:cs="Times New Roman"/>
                <w:snapToGrid w:val="0"/>
                <w:color w:val="auto"/>
                <w:spacing w:val="-6"/>
                <w:kern w:val="21"/>
                <w:sz w:val="18"/>
                <w:szCs w:val="18"/>
                <w:highlight w:val="none"/>
                <w:lang w:val="en-US" w:eastAsia="zh-CN" w:bidi="ar-SA"/>
              </w:rPr>
              <w:fldChar w:fldCharType="begin"/>
            </w:r>
            <w:r>
              <w:rPr>
                <w:rFonts w:ascii="Times New Roman" w:hAnsi="Times New Roman" w:eastAsia="黑体" w:cs="Times New Roman"/>
                <w:snapToGrid w:val="0"/>
                <w:color w:val="auto"/>
                <w:spacing w:val="-6"/>
                <w:kern w:val="21"/>
                <w:sz w:val="18"/>
                <w:szCs w:val="18"/>
                <w:highlight w:val="none"/>
                <w:lang w:val="en-US" w:eastAsia="zh-CN" w:bidi="ar-SA"/>
              </w:rPr>
              <w:instrText xml:space="preserve"> = 1 \* GB3 \* MERGEFORMAT </w:instrText>
            </w:r>
            <w:r>
              <w:rPr>
                <w:rFonts w:ascii="Times New Roman" w:hAnsi="Times New Roman" w:eastAsia="黑体" w:cs="Times New Roman"/>
                <w:snapToGrid w:val="0"/>
                <w:color w:val="auto"/>
                <w:spacing w:val="-6"/>
                <w:kern w:val="21"/>
                <w:sz w:val="18"/>
                <w:szCs w:val="18"/>
                <w:highlight w:val="none"/>
                <w:lang w:val="en-US" w:eastAsia="zh-CN" w:bidi="ar-SA"/>
              </w:rPr>
              <w:fldChar w:fldCharType="separate"/>
            </w:r>
            <w:r>
              <w:rPr>
                <w:rFonts w:hint="eastAsia" w:ascii="Times New Roman" w:hAnsi="Times New Roman" w:eastAsia="黑体" w:cs="宋体"/>
                <w:color w:val="auto"/>
                <w:kern w:val="2"/>
                <w:sz w:val="18"/>
                <w:szCs w:val="18"/>
                <w:highlight w:val="none"/>
                <w:lang w:val="en-US" w:eastAsia="zh-CN" w:bidi="ar-SA"/>
              </w:rPr>
              <w:t>①</w:t>
            </w:r>
            <w:r>
              <w:rPr>
                <w:rFonts w:ascii="Times New Roman" w:hAnsi="Times New Roman" w:eastAsia="黑体" w:cs="Times New Roman"/>
                <w:snapToGrid w:val="0"/>
                <w:color w:val="auto"/>
                <w:spacing w:val="-6"/>
                <w:kern w:val="21"/>
                <w:sz w:val="18"/>
                <w:szCs w:val="18"/>
                <w:highlight w:val="none"/>
                <w:lang w:val="en-US" w:eastAsia="zh-CN" w:bidi="ar-SA"/>
              </w:rPr>
              <w:fldChar w:fldCharType="end"/>
            </w:r>
          </w:p>
        </w:tc>
        <w:tc>
          <w:tcPr>
            <w:tcW w:w="1276" w:type="dxa"/>
            <w:noWrap w:val="0"/>
            <w:tcMar>
              <w:left w:w="28" w:type="dxa"/>
              <w:right w:w="28" w:type="dxa"/>
            </w:tcMar>
            <w:vAlign w:val="center"/>
          </w:tcPr>
          <w:p w14:paraId="5CACAB2E">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t>现有工程</w:t>
            </w:r>
          </w:p>
          <w:p w14:paraId="265F137B">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t>许可排放量</w:t>
            </w:r>
          </w:p>
          <w:p w14:paraId="1EFD4B44">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right="0" w:firstLine="336" w:firstLineChars="200"/>
              <w:jc w:val="center"/>
              <w:textAlignment w:val="auto"/>
              <w:rPr>
                <w:rFonts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fldChar w:fldCharType="begin"/>
            </w:r>
            <w:r>
              <w:rPr>
                <w:rFonts w:ascii="Times New Roman" w:hAnsi="Times New Roman" w:eastAsia="黑体" w:cs="Times New Roman"/>
                <w:snapToGrid w:val="0"/>
                <w:color w:val="auto"/>
                <w:spacing w:val="-6"/>
                <w:kern w:val="21"/>
                <w:sz w:val="18"/>
                <w:szCs w:val="18"/>
                <w:highlight w:val="none"/>
                <w:lang w:val="en-US" w:eastAsia="zh-CN" w:bidi="ar-SA"/>
              </w:rPr>
              <w:instrText xml:space="preserve"> = 2 \* GB3 \* MERGEFORMAT </w:instrText>
            </w:r>
            <w:r>
              <w:rPr>
                <w:rFonts w:ascii="Times New Roman" w:hAnsi="Times New Roman" w:eastAsia="黑体" w:cs="Times New Roman"/>
                <w:snapToGrid w:val="0"/>
                <w:color w:val="auto"/>
                <w:spacing w:val="-6"/>
                <w:kern w:val="21"/>
                <w:sz w:val="18"/>
                <w:szCs w:val="18"/>
                <w:highlight w:val="none"/>
                <w:lang w:val="en-US" w:eastAsia="zh-CN" w:bidi="ar-SA"/>
              </w:rPr>
              <w:fldChar w:fldCharType="separate"/>
            </w:r>
            <w:r>
              <w:rPr>
                <w:rFonts w:hint="eastAsia" w:ascii="Times New Roman" w:hAnsi="Times New Roman" w:eastAsia="黑体" w:cs="宋体"/>
                <w:snapToGrid w:val="0"/>
                <w:color w:val="auto"/>
                <w:spacing w:val="-6"/>
                <w:kern w:val="21"/>
                <w:sz w:val="18"/>
                <w:szCs w:val="18"/>
                <w:highlight w:val="none"/>
                <w:lang w:val="en-US" w:eastAsia="zh-CN" w:bidi="ar-SA"/>
              </w:rPr>
              <w:t>②</w:t>
            </w:r>
            <w:r>
              <w:rPr>
                <w:rFonts w:ascii="Times New Roman" w:hAnsi="Times New Roman" w:eastAsia="黑体" w:cs="Times New Roman"/>
                <w:snapToGrid w:val="0"/>
                <w:color w:val="auto"/>
                <w:spacing w:val="-6"/>
                <w:kern w:val="21"/>
                <w:sz w:val="18"/>
                <w:szCs w:val="18"/>
                <w:highlight w:val="none"/>
                <w:lang w:val="en-US" w:eastAsia="zh-CN" w:bidi="ar-SA"/>
              </w:rPr>
              <w:fldChar w:fldCharType="end"/>
            </w:r>
          </w:p>
        </w:tc>
        <w:tc>
          <w:tcPr>
            <w:tcW w:w="1366" w:type="dxa"/>
            <w:noWrap w:val="0"/>
            <w:tcMar>
              <w:left w:w="28" w:type="dxa"/>
              <w:right w:w="28" w:type="dxa"/>
            </w:tcMar>
            <w:vAlign w:val="center"/>
          </w:tcPr>
          <w:p w14:paraId="3506F295">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t>在建工程</w:t>
            </w:r>
          </w:p>
          <w:p w14:paraId="2DEFC596">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t>排放量（固</w:t>
            </w:r>
            <w:r>
              <w:rPr>
                <w:rFonts w:hint="eastAsia" w:ascii="Times New Roman" w:hAnsi="Times New Roman" w:eastAsia="黑体" w:cs="Times New Roman"/>
                <w:snapToGrid w:val="0"/>
                <w:color w:val="auto"/>
                <w:spacing w:val="-6"/>
                <w:kern w:val="21"/>
                <w:sz w:val="18"/>
                <w:szCs w:val="18"/>
                <w:highlight w:val="none"/>
                <w:lang w:val="en-US" w:eastAsia="zh-CN" w:bidi="ar-SA"/>
              </w:rPr>
              <w:t>体</w:t>
            </w:r>
            <w:r>
              <w:rPr>
                <w:rFonts w:ascii="Times New Roman" w:hAnsi="Times New Roman" w:eastAsia="黑体" w:cs="Times New Roman"/>
                <w:snapToGrid w:val="0"/>
                <w:color w:val="auto"/>
                <w:spacing w:val="-6"/>
                <w:kern w:val="21"/>
                <w:sz w:val="18"/>
                <w:szCs w:val="18"/>
                <w:highlight w:val="none"/>
                <w:lang w:val="en-US" w:eastAsia="zh-CN" w:bidi="ar-SA"/>
              </w:rPr>
              <w:t>废</w:t>
            </w:r>
            <w:r>
              <w:rPr>
                <w:rFonts w:hint="eastAsia" w:ascii="Times New Roman" w:hAnsi="Times New Roman" w:eastAsia="黑体" w:cs="Times New Roman"/>
                <w:snapToGrid w:val="0"/>
                <w:color w:val="auto"/>
                <w:spacing w:val="-6"/>
                <w:kern w:val="21"/>
                <w:sz w:val="18"/>
                <w:szCs w:val="18"/>
                <w:highlight w:val="none"/>
                <w:lang w:val="en-US" w:eastAsia="zh-CN" w:bidi="ar-SA"/>
              </w:rPr>
              <w:t>物</w:t>
            </w:r>
            <w:r>
              <w:rPr>
                <w:rFonts w:ascii="Times New Roman" w:hAnsi="Times New Roman" w:eastAsia="黑体" w:cs="Times New Roman"/>
                <w:snapToGrid w:val="0"/>
                <w:color w:val="auto"/>
                <w:spacing w:val="-6"/>
                <w:kern w:val="21"/>
                <w:sz w:val="18"/>
                <w:szCs w:val="18"/>
                <w:highlight w:val="none"/>
                <w:lang w:val="en-US" w:eastAsia="zh-CN" w:bidi="ar-SA"/>
              </w:rPr>
              <w:t>产生量）</w:t>
            </w:r>
            <w:r>
              <w:rPr>
                <w:rFonts w:ascii="Times New Roman" w:hAnsi="Times New Roman" w:eastAsia="黑体" w:cs="Times New Roman"/>
                <w:snapToGrid w:val="0"/>
                <w:color w:val="auto"/>
                <w:spacing w:val="-6"/>
                <w:kern w:val="21"/>
                <w:sz w:val="18"/>
                <w:szCs w:val="18"/>
                <w:highlight w:val="none"/>
                <w:lang w:val="en-US" w:eastAsia="zh-CN" w:bidi="ar-SA"/>
              </w:rPr>
              <w:fldChar w:fldCharType="begin"/>
            </w:r>
            <w:r>
              <w:rPr>
                <w:rFonts w:ascii="Times New Roman" w:hAnsi="Times New Roman" w:eastAsia="黑体" w:cs="Times New Roman"/>
                <w:snapToGrid w:val="0"/>
                <w:color w:val="auto"/>
                <w:spacing w:val="-6"/>
                <w:kern w:val="21"/>
                <w:sz w:val="18"/>
                <w:szCs w:val="18"/>
                <w:highlight w:val="none"/>
                <w:lang w:val="en-US" w:eastAsia="zh-CN" w:bidi="ar-SA"/>
              </w:rPr>
              <w:instrText xml:space="preserve"> = 3 \* GB3 \* MERGEFORMAT </w:instrText>
            </w:r>
            <w:r>
              <w:rPr>
                <w:rFonts w:ascii="Times New Roman" w:hAnsi="Times New Roman" w:eastAsia="黑体" w:cs="Times New Roman"/>
                <w:snapToGrid w:val="0"/>
                <w:color w:val="auto"/>
                <w:spacing w:val="-6"/>
                <w:kern w:val="21"/>
                <w:sz w:val="18"/>
                <w:szCs w:val="18"/>
                <w:highlight w:val="none"/>
                <w:lang w:val="en-US" w:eastAsia="zh-CN" w:bidi="ar-SA"/>
              </w:rPr>
              <w:fldChar w:fldCharType="separate"/>
            </w:r>
            <w:r>
              <w:rPr>
                <w:rFonts w:hint="eastAsia" w:ascii="Times New Roman" w:hAnsi="Times New Roman" w:eastAsia="黑体" w:cs="宋体"/>
                <w:color w:val="auto"/>
                <w:kern w:val="2"/>
                <w:sz w:val="18"/>
                <w:szCs w:val="18"/>
                <w:highlight w:val="none"/>
                <w:lang w:val="en-US" w:eastAsia="zh-CN" w:bidi="ar-SA"/>
              </w:rPr>
              <w:t>③</w:t>
            </w:r>
            <w:r>
              <w:rPr>
                <w:rFonts w:ascii="Times New Roman" w:hAnsi="Times New Roman" w:eastAsia="黑体" w:cs="Times New Roman"/>
                <w:snapToGrid w:val="0"/>
                <w:color w:val="auto"/>
                <w:spacing w:val="-6"/>
                <w:kern w:val="21"/>
                <w:sz w:val="18"/>
                <w:szCs w:val="18"/>
                <w:highlight w:val="none"/>
                <w:lang w:val="en-US" w:eastAsia="zh-CN" w:bidi="ar-SA"/>
              </w:rPr>
              <w:fldChar w:fldCharType="end"/>
            </w:r>
          </w:p>
        </w:tc>
        <w:tc>
          <w:tcPr>
            <w:tcW w:w="1586" w:type="dxa"/>
            <w:noWrap w:val="0"/>
            <w:tcMar>
              <w:left w:w="28" w:type="dxa"/>
              <w:right w:w="28" w:type="dxa"/>
            </w:tcMar>
            <w:vAlign w:val="center"/>
          </w:tcPr>
          <w:p w14:paraId="47E14971">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t>本项目</w:t>
            </w:r>
          </w:p>
          <w:p w14:paraId="2AB05DF2">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t>排放量（固</w:t>
            </w:r>
            <w:r>
              <w:rPr>
                <w:rFonts w:hint="eastAsia" w:ascii="Times New Roman" w:hAnsi="Times New Roman" w:eastAsia="黑体" w:cs="Times New Roman"/>
                <w:snapToGrid w:val="0"/>
                <w:color w:val="auto"/>
                <w:spacing w:val="-6"/>
                <w:kern w:val="21"/>
                <w:sz w:val="18"/>
                <w:szCs w:val="18"/>
                <w:highlight w:val="none"/>
                <w:lang w:val="en-US" w:eastAsia="zh-CN" w:bidi="ar-SA"/>
              </w:rPr>
              <w:t>体</w:t>
            </w:r>
            <w:r>
              <w:rPr>
                <w:rFonts w:ascii="Times New Roman" w:hAnsi="Times New Roman" w:eastAsia="黑体" w:cs="Times New Roman"/>
                <w:snapToGrid w:val="0"/>
                <w:color w:val="auto"/>
                <w:spacing w:val="-6"/>
                <w:kern w:val="21"/>
                <w:sz w:val="18"/>
                <w:szCs w:val="18"/>
                <w:highlight w:val="none"/>
                <w:lang w:val="en-US" w:eastAsia="zh-CN" w:bidi="ar-SA"/>
              </w:rPr>
              <w:t>废</w:t>
            </w:r>
            <w:r>
              <w:rPr>
                <w:rFonts w:hint="eastAsia" w:ascii="Times New Roman" w:hAnsi="Times New Roman" w:eastAsia="黑体" w:cs="Times New Roman"/>
                <w:snapToGrid w:val="0"/>
                <w:color w:val="auto"/>
                <w:spacing w:val="-6"/>
                <w:kern w:val="21"/>
                <w:sz w:val="18"/>
                <w:szCs w:val="18"/>
                <w:highlight w:val="none"/>
                <w:lang w:val="en-US" w:eastAsia="zh-CN" w:bidi="ar-SA"/>
              </w:rPr>
              <w:t>物</w:t>
            </w:r>
            <w:r>
              <w:rPr>
                <w:rFonts w:ascii="Times New Roman" w:hAnsi="Times New Roman" w:eastAsia="黑体" w:cs="Times New Roman"/>
                <w:snapToGrid w:val="0"/>
                <w:color w:val="auto"/>
                <w:spacing w:val="-6"/>
                <w:kern w:val="21"/>
                <w:sz w:val="18"/>
                <w:szCs w:val="18"/>
                <w:highlight w:val="none"/>
                <w:lang w:val="en-US" w:eastAsia="zh-CN" w:bidi="ar-SA"/>
              </w:rPr>
              <w:t>产生量）</w:t>
            </w:r>
            <w:r>
              <w:rPr>
                <w:rFonts w:ascii="Times New Roman" w:hAnsi="Times New Roman" w:eastAsia="黑体" w:cs="Times New Roman"/>
                <w:snapToGrid w:val="0"/>
                <w:color w:val="auto"/>
                <w:spacing w:val="-6"/>
                <w:kern w:val="21"/>
                <w:sz w:val="18"/>
                <w:szCs w:val="18"/>
                <w:highlight w:val="none"/>
                <w:lang w:val="en-US" w:eastAsia="zh-CN" w:bidi="ar-SA"/>
              </w:rPr>
              <w:fldChar w:fldCharType="begin"/>
            </w:r>
            <w:r>
              <w:rPr>
                <w:rFonts w:ascii="Times New Roman" w:hAnsi="Times New Roman" w:eastAsia="黑体" w:cs="Times New Roman"/>
                <w:snapToGrid w:val="0"/>
                <w:color w:val="auto"/>
                <w:spacing w:val="-6"/>
                <w:kern w:val="21"/>
                <w:sz w:val="18"/>
                <w:szCs w:val="18"/>
                <w:highlight w:val="none"/>
                <w:lang w:val="en-US" w:eastAsia="zh-CN" w:bidi="ar-SA"/>
              </w:rPr>
              <w:instrText xml:space="preserve"> = 4 \* GB3 \* MERGEFORMAT </w:instrText>
            </w:r>
            <w:r>
              <w:rPr>
                <w:rFonts w:ascii="Times New Roman" w:hAnsi="Times New Roman" w:eastAsia="黑体" w:cs="Times New Roman"/>
                <w:snapToGrid w:val="0"/>
                <w:color w:val="auto"/>
                <w:spacing w:val="-6"/>
                <w:kern w:val="21"/>
                <w:sz w:val="18"/>
                <w:szCs w:val="18"/>
                <w:highlight w:val="none"/>
                <w:lang w:val="en-US" w:eastAsia="zh-CN" w:bidi="ar-SA"/>
              </w:rPr>
              <w:fldChar w:fldCharType="separate"/>
            </w:r>
            <w:r>
              <w:rPr>
                <w:rFonts w:hint="eastAsia" w:ascii="Times New Roman" w:hAnsi="Times New Roman" w:eastAsia="黑体" w:cs="宋体"/>
                <w:color w:val="auto"/>
                <w:kern w:val="2"/>
                <w:sz w:val="18"/>
                <w:szCs w:val="18"/>
                <w:highlight w:val="none"/>
                <w:lang w:val="en-US" w:eastAsia="zh-CN" w:bidi="ar-SA"/>
              </w:rPr>
              <w:t>④</w:t>
            </w:r>
            <w:r>
              <w:rPr>
                <w:rFonts w:ascii="Times New Roman" w:hAnsi="Times New Roman" w:eastAsia="黑体" w:cs="Times New Roman"/>
                <w:snapToGrid w:val="0"/>
                <w:color w:val="auto"/>
                <w:spacing w:val="-6"/>
                <w:kern w:val="21"/>
                <w:sz w:val="18"/>
                <w:szCs w:val="18"/>
                <w:highlight w:val="none"/>
                <w:lang w:val="en-US" w:eastAsia="zh-CN" w:bidi="ar-SA"/>
              </w:rPr>
              <w:fldChar w:fldCharType="end"/>
            </w:r>
          </w:p>
        </w:tc>
        <w:tc>
          <w:tcPr>
            <w:tcW w:w="1468" w:type="dxa"/>
            <w:noWrap w:val="0"/>
            <w:tcMar>
              <w:left w:w="28" w:type="dxa"/>
              <w:right w:w="28" w:type="dxa"/>
            </w:tcMar>
            <w:vAlign w:val="center"/>
          </w:tcPr>
          <w:p w14:paraId="4E46F157">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16"/>
                <w:kern w:val="21"/>
                <w:sz w:val="18"/>
                <w:szCs w:val="18"/>
                <w:highlight w:val="none"/>
                <w:lang w:val="en-US" w:eastAsia="zh-CN" w:bidi="ar-SA"/>
              </w:rPr>
            </w:pPr>
            <w:r>
              <w:rPr>
                <w:rFonts w:ascii="Times New Roman" w:hAnsi="Times New Roman" w:eastAsia="黑体" w:cs="Times New Roman"/>
                <w:snapToGrid w:val="0"/>
                <w:color w:val="auto"/>
                <w:spacing w:val="-16"/>
                <w:kern w:val="21"/>
                <w:sz w:val="18"/>
                <w:szCs w:val="18"/>
                <w:highlight w:val="none"/>
                <w:lang w:val="en-US" w:eastAsia="zh-CN" w:bidi="ar-SA"/>
              </w:rPr>
              <w:t>以新带老削减量</w:t>
            </w:r>
          </w:p>
          <w:p w14:paraId="3B352780">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16"/>
                <w:kern w:val="21"/>
                <w:sz w:val="18"/>
                <w:szCs w:val="18"/>
                <w:highlight w:val="none"/>
                <w:lang w:val="en-US" w:eastAsia="zh-CN" w:bidi="ar-SA"/>
              </w:rPr>
            </w:pPr>
            <w:r>
              <w:rPr>
                <w:rFonts w:ascii="Times New Roman" w:hAnsi="Times New Roman" w:eastAsia="黑体" w:cs="Times New Roman"/>
                <w:snapToGrid w:val="0"/>
                <w:color w:val="auto"/>
                <w:spacing w:val="-16"/>
                <w:kern w:val="21"/>
                <w:sz w:val="18"/>
                <w:szCs w:val="18"/>
                <w:highlight w:val="none"/>
                <w:lang w:val="en-US" w:eastAsia="zh-CN" w:bidi="ar-SA"/>
              </w:rPr>
              <w:t>（新建项目不填）</w:t>
            </w:r>
            <w:r>
              <w:rPr>
                <w:rFonts w:ascii="Times New Roman" w:hAnsi="Times New Roman" w:eastAsia="黑体" w:cs="Times New Roman"/>
                <w:snapToGrid w:val="0"/>
                <w:color w:val="auto"/>
                <w:spacing w:val="-16"/>
                <w:kern w:val="21"/>
                <w:sz w:val="18"/>
                <w:szCs w:val="18"/>
                <w:highlight w:val="none"/>
                <w:lang w:val="en-US" w:eastAsia="zh-CN" w:bidi="ar-SA"/>
              </w:rPr>
              <w:fldChar w:fldCharType="begin"/>
            </w:r>
            <w:r>
              <w:rPr>
                <w:rFonts w:ascii="Times New Roman" w:hAnsi="Times New Roman" w:eastAsia="黑体" w:cs="Times New Roman"/>
                <w:snapToGrid w:val="0"/>
                <w:color w:val="auto"/>
                <w:spacing w:val="-16"/>
                <w:kern w:val="21"/>
                <w:sz w:val="18"/>
                <w:szCs w:val="18"/>
                <w:highlight w:val="none"/>
                <w:lang w:val="en-US" w:eastAsia="zh-CN" w:bidi="ar-SA"/>
              </w:rPr>
              <w:instrText xml:space="preserve"> = 5 \* GB3 \* MERGEFORMAT </w:instrText>
            </w:r>
            <w:r>
              <w:rPr>
                <w:rFonts w:ascii="Times New Roman" w:hAnsi="Times New Roman" w:eastAsia="黑体" w:cs="Times New Roman"/>
                <w:snapToGrid w:val="0"/>
                <w:color w:val="auto"/>
                <w:spacing w:val="-16"/>
                <w:kern w:val="21"/>
                <w:sz w:val="18"/>
                <w:szCs w:val="18"/>
                <w:highlight w:val="none"/>
                <w:lang w:val="en-US" w:eastAsia="zh-CN" w:bidi="ar-SA"/>
              </w:rPr>
              <w:fldChar w:fldCharType="separate"/>
            </w:r>
            <w:r>
              <w:rPr>
                <w:rFonts w:hint="eastAsia" w:ascii="Times New Roman" w:hAnsi="Times New Roman" w:eastAsia="黑体" w:cs="宋体"/>
                <w:color w:val="auto"/>
                <w:kern w:val="2"/>
                <w:sz w:val="18"/>
                <w:szCs w:val="18"/>
                <w:highlight w:val="none"/>
                <w:lang w:val="en-US" w:eastAsia="zh-CN" w:bidi="ar-SA"/>
              </w:rPr>
              <w:t>⑤</w:t>
            </w:r>
            <w:r>
              <w:rPr>
                <w:rFonts w:ascii="Times New Roman" w:hAnsi="Times New Roman" w:eastAsia="黑体" w:cs="Times New Roman"/>
                <w:snapToGrid w:val="0"/>
                <w:color w:val="auto"/>
                <w:spacing w:val="-16"/>
                <w:kern w:val="21"/>
                <w:sz w:val="18"/>
                <w:szCs w:val="18"/>
                <w:highlight w:val="none"/>
                <w:lang w:val="en-US" w:eastAsia="zh-CN" w:bidi="ar-SA"/>
              </w:rPr>
              <w:fldChar w:fldCharType="end"/>
            </w:r>
          </w:p>
        </w:tc>
        <w:tc>
          <w:tcPr>
            <w:tcW w:w="1854" w:type="dxa"/>
            <w:noWrap w:val="0"/>
            <w:tcMar>
              <w:left w:w="28" w:type="dxa"/>
              <w:right w:w="28" w:type="dxa"/>
            </w:tcMar>
            <w:vAlign w:val="center"/>
          </w:tcPr>
          <w:p w14:paraId="6AC70EBA">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hint="eastAsia" w:ascii="Times New Roman" w:hAnsi="Times New Roman" w:eastAsia="黑体" w:cs="Times New Roman"/>
                <w:snapToGrid w:val="0"/>
                <w:color w:val="auto"/>
                <w:spacing w:val="-16"/>
                <w:kern w:val="21"/>
                <w:sz w:val="18"/>
                <w:szCs w:val="18"/>
                <w:highlight w:val="none"/>
                <w:lang w:val="en-US" w:eastAsia="zh-CN" w:bidi="ar-SA"/>
              </w:rPr>
            </w:pPr>
            <w:r>
              <w:rPr>
                <w:rFonts w:ascii="Times New Roman" w:hAnsi="Times New Roman" w:eastAsia="黑体" w:cs="Times New Roman"/>
                <w:snapToGrid w:val="0"/>
                <w:color w:val="auto"/>
                <w:spacing w:val="-16"/>
                <w:kern w:val="21"/>
                <w:sz w:val="18"/>
                <w:szCs w:val="18"/>
                <w:highlight w:val="none"/>
                <w:lang w:val="en-US" w:eastAsia="zh-CN" w:bidi="ar-SA"/>
              </w:rPr>
              <w:t>本项目建成后</w:t>
            </w:r>
          </w:p>
          <w:p w14:paraId="3F231B88">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16"/>
                <w:kern w:val="21"/>
                <w:sz w:val="18"/>
                <w:szCs w:val="18"/>
                <w:highlight w:val="none"/>
                <w:lang w:val="en-US" w:eastAsia="zh-CN" w:bidi="ar-SA"/>
              </w:rPr>
            </w:pPr>
            <w:r>
              <w:rPr>
                <w:rFonts w:hint="eastAsia" w:ascii="Times New Roman" w:hAnsi="Times New Roman" w:eastAsia="黑体" w:cs="Times New Roman"/>
                <w:snapToGrid w:val="0"/>
                <w:color w:val="auto"/>
                <w:spacing w:val="-16"/>
                <w:kern w:val="21"/>
                <w:sz w:val="18"/>
                <w:szCs w:val="18"/>
                <w:highlight w:val="none"/>
                <w:lang w:val="en-US" w:eastAsia="zh-CN" w:bidi="ar-SA"/>
              </w:rPr>
              <w:t>全厂</w:t>
            </w:r>
            <w:r>
              <w:rPr>
                <w:rFonts w:ascii="Times New Roman" w:hAnsi="Times New Roman" w:eastAsia="黑体" w:cs="Times New Roman"/>
                <w:snapToGrid w:val="0"/>
                <w:color w:val="auto"/>
                <w:spacing w:val="-16"/>
                <w:kern w:val="21"/>
                <w:sz w:val="18"/>
                <w:szCs w:val="18"/>
                <w:highlight w:val="none"/>
                <w:lang w:val="en-US" w:eastAsia="zh-CN" w:bidi="ar-SA"/>
              </w:rPr>
              <w:t>排放量（固</w:t>
            </w:r>
            <w:r>
              <w:rPr>
                <w:rFonts w:hint="eastAsia" w:ascii="Times New Roman" w:hAnsi="Times New Roman" w:eastAsia="黑体" w:cs="Times New Roman"/>
                <w:snapToGrid w:val="0"/>
                <w:color w:val="auto"/>
                <w:spacing w:val="-16"/>
                <w:kern w:val="21"/>
                <w:sz w:val="18"/>
                <w:szCs w:val="18"/>
                <w:highlight w:val="none"/>
                <w:lang w:val="en-US" w:eastAsia="zh-CN" w:bidi="ar-SA"/>
              </w:rPr>
              <w:t>体</w:t>
            </w:r>
            <w:r>
              <w:rPr>
                <w:rFonts w:ascii="Times New Roman" w:hAnsi="Times New Roman" w:eastAsia="黑体" w:cs="Times New Roman"/>
                <w:snapToGrid w:val="0"/>
                <w:color w:val="auto"/>
                <w:spacing w:val="-16"/>
                <w:kern w:val="21"/>
                <w:sz w:val="18"/>
                <w:szCs w:val="18"/>
                <w:highlight w:val="none"/>
                <w:lang w:val="en-US" w:eastAsia="zh-CN" w:bidi="ar-SA"/>
              </w:rPr>
              <w:t>废</w:t>
            </w:r>
            <w:r>
              <w:rPr>
                <w:rFonts w:hint="eastAsia" w:ascii="Times New Roman" w:hAnsi="Times New Roman" w:eastAsia="黑体" w:cs="Times New Roman"/>
                <w:snapToGrid w:val="0"/>
                <w:color w:val="auto"/>
                <w:spacing w:val="-16"/>
                <w:kern w:val="21"/>
                <w:sz w:val="18"/>
                <w:szCs w:val="18"/>
                <w:highlight w:val="none"/>
                <w:lang w:val="en-US" w:eastAsia="zh-CN" w:bidi="ar-SA"/>
              </w:rPr>
              <w:t>物</w:t>
            </w:r>
            <w:r>
              <w:rPr>
                <w:rFonts w:ascii="Times New Roman" w:hAnsi="Times New Roman" w:eastAsia="黑体" w:cs="Times New Roman"/>
                <w:snapToGrid w:val="0"/>
                <w:color w:val="auto"/>
                <w:spacing w:val="-16"/>
                <w:kern w:val="21"/>
                <w:sz w:val="18"/>
                <w:szCs w:val="18"/>
                <w:highlight w:val="none"/>
                <w:lang w:val="en-US" w:eastAsia="zh-CN" w:bidi="ar-SA"/>
              </w:rPr>
              <w:t>产生量）</w:t>
            </w:r>
            <w:r>
              <w:rPr>
                <w:rFonts w:ascii="Times New Roman" w:hAnsi="Times New Roman" w:eastAsia="黑体" w:cs="Times New Roman"/>
                <w:snapToGrid w:val="0"/>
                <w:color w:val="auto"/>
                <w:spacing w:val="-16"/>
                <w:kern w:val="21"/>
                <w:sz w:val="18"/>
                <w:szCs w:val="18"/>
                <w:highlight w:val="none"/>
                <w:lang w:val="en-US" w:eastAsia="zh-CN" w:bidi="ar-SA"/>
              </w:rPr>
              <w:fldChar w:fldCharType="begin"/>
            </w:r>
            <w:r>
              <w:rPr>
                <w:rFonts w:ascii="Times New Roman" w:hAnsi="Times New Roman" w:eastAsia="黑体" w:cs="Times New Roman"/>
                <w:snapToGrid w:val="0"/>
                <w:color w:val="auto"/>
                <w:spacing w:val="-16"/>
                <w:kern w:val="21"/>
                <w:sz w:val="18"/>
                <w:szCs w:val="18"/>
                <w:highlight w:val="none"/>
                <w:lang w:val="en-US" w:eastAsia="zh-CN" w:bidi="ar-SA"/>
              </w:rPr>
              <w:instrText xml:space="preserve"> = 6 \* GB3 \* MERGEFORMAT </w:instrText>
            </w:r>
            <w:r>
              <w:rPr>
                <w:rFonts w:ascii="Times New Roman" w:hAnsi="Times New Roman" w:eastAsia="黑体" w:cs="Times New Roman"/>
                <w:snapToGrid w:val="0"/>
                <w:color w:val="auto"/>
                <w:spacing w:val="-16"/>
                <w:kern w:val="21"/>
                <w:sz w:val="18"/>
                <w:szCs w:val="18"/>
                <w:highlight w:val="none"/>
                <w:lang w:val="en-US" w:eastAsia="zh-CN" w:bidi="ar-SA"/>
              </w:rPr>
              <w:fldChar w:fldCharType="separate"/>
            </w:r>
            <w:r>
              <w:rPr>
                <w:rFonts w:hint="eastAsia" w:ascii="Times New Roman" w:hAnsi="Times New Roman" w:eastAsia="黑体" w:cs="宋体"/>
                <w:color w:val="auto"/>
                <w:kern w:val="2"/>
                <w:sz w:val="18"/>
                <w:szCs w:val="18"/>
                <w:highlight w:val="none"/>
                <w:lang w:val="en-US" w:eastAsia="zh-CN" w:bidi="ar-SA"/>
              </w:rPr>
              <w:t>⑥</w:t>
            </w:r>
            <w:r>
              <w:rPr>
                <w:rFonts w:ascii="Times New Roman" w:hAnsi="Times New Roman" w:eastAsia="黑体" w:cs="Times New Roman"/>
                <w:snapToGrid w:val="0"/>
                <w:color w:val="auto"/>
                <w:spacing w:val="-16"/>
                <w:kern w:val="21"/>
                <w:sz w:val="18"/>
                <w:szCs w:val="18"/>
                <w:highlight w:val="none"/>
                <w:lang w:val="en-US" w:eastAsia="zh-CN" w:bidi="ar-SA"/>
              </w:rPr>
              <w:fldChar w:fldCharType="end"/>
            </w:r>
          </w:p>
        </w:tc>
        <w:tc>
          <w:tcPr>
            <w:tcW w:w="1532" w:type="dxa"/>
            <w:noWrap w:val="0"/>
            <w:tcMar>
              <w:left w:w="28" w:type="dxa"/>
              <w:right w:w="28" w:type="dxa"/>
            </w:tcMar>
            <w:vAlign w:val="center"/>
          </w:tcPr>
          <w:p w14:paraId="6C97DE26">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t>变化量</w:t>
            </w:r>
          </w:p>
          <w:p w14:paraId="33F5BD3C">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exact"/>
              <w:ind w:left="0" w:leftChars="0" w:right="0" w:firstLine="0" w:firstLineChars="0"/>
              <w:jc w:val="center"/>
              <w:textAlignment w:val="auto"/>
              <w:rPr>
                <w:rFonts w:ascii="Times New Roman" w:hAnsi="Times New Roman" w:eastAsia="黑体" w:cs="Times New Roman"/>
                <w:snapToGrid w:val="0"/>
                <w:color w:val="auto"/>
                <w:spacing w:val="-6"/>
                <w:kern w:val="21"/>
                <w:sz w:val="18"/>
                <w:szCs w:val="18"/>
                <w:highlight w:val="none"/>
                <w:lang w:val="en-US" w:eastAsia="zh-CN" w:bidi="ar-SA"/>
              </w:rPr>
            </w:pPr>
            <w:r>
              <w:rPr>
                <w:rFonts w:ascii="Times New Roman" w:hAnsi="Times New Roman" w:eastAsia="黑体" w:cs="Times New Roman"/>
                <w:snapToGrid w:val="0"/>
                <w:color w:val="auto"/>
                <w:spacing w:val="-6"/>
                <w:kern w:val="21"/>
                <w:sz w:val="18"/>
                <w:szCs w:val="18"/>
                <w:highlight w:val="none"/>
                <w:lang w:val="en-US" w:eastAsia="zh-CN" w:bidi="ar-SA"/>
              </w:rPr>
              <w:fldChar w:fldCharType="begin"/>
            </w:r>
            <w:r>
              <w:rPr>
                <w:rFonts w:ascii="Times New Roman" w:hAnsi="Times New Roman" w:eastAsia="黑体" w:cs="Times New Roman"/>
                <w:snapToGrid w:val="0"/>
                <w:color w:val="auto"/>
                <w:spacing w:val="-6"/>
                <w:kern w:val="21"/>
                <w:sz w:val="18"/>
                <w:szCs w:val="18"/>
                <w:highlight w:val="none"/>
                <w:lang w:val="en-US" w:eastAsia="zh-CN" w:bidi="ar-SA"/>
              </w:rPr>
              <w:instrText xml:space="preserve"> = 7 \* GB3 \* MERGEFORMAT </w:instrText>
            </w:r>
            <w:r>
              <w:rPr>
                <w:rFonts w:ascii="Times New Roman" w:hAnsi="Times New Roman" w:eastAsia="黑体" w:cs="Times New Roman"/>
                <w:snapToGrid w:val="0"/>
                <w:color w:val="auto"/>
                <w:spacing w:val="-6"/>
                <w:kern w:val="21"/>
                <w:sz w:val="18"/>
                <w:szCs w:val="18"/>
                <w:highlight w:val="none"/>
                <w:lang w:val="en-US" w:eastAsia="zh-CN" w:bidi="ar-SA"/>
              </w:rPr>
              <w:fldChar w:fldCharType="separate"/>
            </w:r>
            <w:r>
              <w:rPr>
                <w:rFonts w:hint="eastAsia" w:ascii="Times New Roman" w:hAnsi="Times New Roman" w:eastAsia="黑体" w:cs="宋体"/>
                <w:color w:val="auto"/>
                <w:kern w:val="2"/>
                <w:sz w:val="18"/>
                <w:szCs w:val="18"/>
                <w:highlight w:val="none"/>
                <w:lang w:val="en-US" w:eastAsia="zh-CN" w:bidi="ar-SA"/>
              </w:rPr>
              <w:t>⑦</w:t>
            </w:r>
            <w:r>
              <w:rPr>
                <w:rFonts w:ascii="Times New Roman" w:hAnsi="Times New Roman" w:eastAsia="黑体" w:cs="Times New Roman"/>
                <w:snapToGrid w:val="0"/>
                <w:color w:val="auto"/>
                <w:spacing w:val="-6"/>
                <w:kern w:val="21"/>
                <w:sz w:val="18"/>
                <w:szCs w:val="18"/>
                <w:highlight w:val="none"/>
                <w:lang w:val="en-US" w:eastAsia="zh-CN" w:bidi="ar-SA"/>
              </w:rPr>
              <w:fldChar w:fldCharType="end"/>
            </w:r>
          </w:p>
        </w:tc>
      </w:tr>
      <w:tr w14:paraId="69BDE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restart"/>
            <w:noWrap w:val="0"/>
            <w:vAlign w:val="center"/>
          </w:tcPr>
          <w:p w14:paraId="0B4A9786">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r>
              <w:rPr>
                <w:rFonts w:hint="eastAsia" w:ascii="Times New Roman" w:hAnsi="Times New Roman" w:eastAsia="宋体" w:cs="宋体"/>
                <w:snapToGrid w:val="0"/>
                <w:color w:val="auto"/>
                <w:kern w:val="21"/>
                <w:sz w:val="18"/>
                <w:szCs w:val="18"/>
                <w:highlight w:val="none"/>
                <w:lang w:val="en-US" w:eastAsia="zh-CN" w:bidi="ar-SA"/>
              </w:rPr>
              <w:t>废气</w:t>
            </w:r>
          </w:p>
        </w:tc>
        <w:tc>
          <w:tcPr>
            <w:tcW w:w="1984" w:type="dxa"/>
            <w:noWrap w:val="0"/>
            <w:vAlign w:val="center"/>
          </w:tcPr>
          <w:p w14:paraId="32A5D864">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701" w:type="dxa"/>
            <w:noWrap w:val="0"/>
            <w:vAlign w:val="center"/>
          </w:tcPr>
          <w:p w14:paraId="4D447E1F">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276" w:type="dxa"/>
            <w:noWrap w:val="0"/>
            <w:vAlign w:val="center"/>
          </w:tcPr>
          <w:p w14:paraId="1F5571C6">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366" w:type="dxa"/>
            <w:noWrap w:val="0"/>
            <w:vAlign w:val="center"/>
          </w:tcPr>
          <w:p w14:paraId="34A89AE3">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18"/>
                <w:szCs w:val="18"/>
                <w:highlight w:val="none"/>
                <w:lang w:val="en-US"/>
              </w:rPr>
            </w:pPr>
            <w:r>
              <w:rPr>
                <w:rFonts w:hint="eastAsia" w:cs="宋体"/>
                <w:snapToGrid w:val="0"/>
                <w:color w:val="auto"/>
                <w:kern w:val="21"/>
                <w:sz w:val="18"/>
                <w:szCs w:val="18"/>
                <w:highlight w:val="none"/>
                <w:lang w:val="en-US" w:eastAsia="zh-CN"/>
              </w:rPr>
              <w:t>/</w:t>
            </w:r>
          </w:p>
        </w:tc>
        <w:tc>
          <w:tcPr>
            <w:tcW w:w="1586" w:type="dxa"/>
            <w:noWrap w:val="0"/>
            <w:vAlign w:val="center"/>
          </w:tcPr>
          <w:p w14:paraId="7DE75FA7">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c>
          <w:tcPr>
            <w:tcW w:w="1468" w:type="dxa"/>
            <w:noWrap w:val="0"/>
            <w:vAlign w:val="center"/>
          </w:tcPr>
          <w:p w14:paraId="7A4EB3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c>
          <w:tcPr>
            <w:tcW w:w="1854" w:type="dxa"/>
            <w:noWrap w:val="0"/>
            <w:vAlign w:val="center"/>
          </w:tcPr>
          <w:p w14:paraId="3AA58CA5">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c>
          <w:tcPr>
            <w:tcW w:w="1532" w:type="dxa"/>
            <w:noWrap w:val="0"/>
            <w:vAlign w:val="center"/>
          </w:tcPr>
          <w:p w14:paraId="5D2329C6">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r>
      <w:tr w14:paraId="44627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continue"/>
            <w:noWrap w:val="0"/>
            <w:vAlign w:val="center"/>
          </w:tcPr>
          <w:p w14:paraId="0B2B8912">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p>
        </w:tc>
        <w:tc>
          <w:tcPr>
            <w:tcW w:w="1984" w:type="dxa"/>
            <w:noWrap w:val="0"/>
            <w:vAlign w:val="center"/>
          </w:tcPr>
          <w:p w14:paraId="4C920A26">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Style w:val="36"/>
                <w:rFonts w:hint="default"/>
                <w:color w:val="auto"/>
                <w:kern w:val="2"/>
                <w:sz w:val="18"/>
                <w:szCs w:val="18"/>
                <w:highlight w:val="none"/>
                <w:lang w:val="en-US" w:eastAsia="zh-CN" w:bidi="ar"/>
              </w:rPr>
            </w:pPr>
            <w:r>
              <w:rPr>
                <w:rFonts w:hint="eastAsia" w:cs="宋体"/>
                <w:snapToGrid w:val="0"/>
                <w:color w:val="auto"/>
                <w:kern w:val="21"/>
                <w:sz w:val="18"/>
                <w:szCs w:val="18"/>
                <w:highlight w:val="none"/>
                <w:lang w:val="en-US" w:eastAsia="zh-CN"/>
              </w:rPr>
              <w:t>/</w:t>
            </w:r>
          </w:p>
        </w:tc>
        <w:tc>
          <w:tcPr>
            <w:tcW w:w="1701" w:type="dxa"/>
            <w:noWrap w:val="0"/>
            <w:vAlign w:val="center"/>
          </w:tcPr>
          <w:p w14:paraId="348A7713">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c>
          <w:tcPr>
            <w:tcW w:w="1276" w:type="dxa"/>
            <w:noWrap w:val="0"/>
            <w:vAlign w:val="center"/>
          </w:tcPr>
          <w:p w14:paraId="16DD3886">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c>
          <w:tcPr>
            <w:tcW w:w="1366" w:type="dxa"/>
            <w:noWrap w:val="0"/>
            <w:vAlign w:val="center"/>
          </w:tcPr>
          <w:p w14:paraId="735282CE">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c>
          <w:tcPr>
            <w:tcW w:w="1586" w:type="dxa"/>
            <w:noWrap w:val="0"/>
            <w:vAlign w:val="center"/>
          </w:tcPr>
          <w:p w14:paraId="64281ED9">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c>
          <w:tcPr>
            <w:tcW w:w="1468" w:type="dxa"/>
            <w:noWrap w:val="0"/>
            <w:vAlign w:val="center"/>
          </w:tcPr>
          <w:p w14:paraId="0580DA2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c>
          <w:tcPr>
            <w:tcW w:w="1854" w:type="dxa"/>
            <w:noWrap w:val="0"/>
            <w:vAlign w:val="center"/>
          </w:tcPr>
          <w:p w14:paraId="1CB4F5A1">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c>
          <w:tcPr>
            <w:tcW w:w="1532" w:type="dxa"/>
            <w:noWrap w:val="0"/>
            <w:vAlign w:val="center"/>
          </w:tcPr>
          <w:p w14:paraId="44AB3B47">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宋体"/>
                <w:snapToGrid w:val="0"/>
                <w:color w:val="auto"/>
                <w:kern w:val="21"/>
                <w:sz w:val="18"/>
                <w:szCs w:val="18"/>
                <w:highlight w:val="none"/>
                <w:lang w:val="en-US" w:eastAsia="zh-CN"/>
              </w:rPr>
              <w:t>/</w:t>
            </w:r>
          </w:p>
        </w:tc>
      </w:tr>
      <w:tr w14:paraId="68FEF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021" w:type="dxa"/>
            <w:vMerge w:val="restart"/>
            <w:noWrap w:val="0"/>
            <w:vAlign w:val="center"/>
          </w:tcPr>
          <w:p w14:paraId="5BAF1744">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r>
              <w:rPr>
                <w:rFonts w:hint="eastAsia" w:ascii="Times New Roman" w:hAnsi="Times New Roman" w:eastAsia="宋体" w:cs="宋体"/>
                <w:snapToGrid w:val="0"/>
                <w:color w:val="auto"/>
                <w:kern w:val="21"/>
                <w:sz w:val="18"/>
                <w:szCs w:val="18"/>
                <w:highlight w:val="none"/>
                <w:lang w:val="en-US" w:eastAsia="zh-CN" w:bidi="ar-SA"/>
              </w:rPr>
              <w:t>废水</w:t>
            </w:r>
          </w:p>
        </w:tc>
        <w:tc>
          <w:tcPr>
            <w:tcW w:w="1984" w:type="dxa"/>
            <w:noWrap w:val="0"/>
            <w:vAlign w:val="center"/>
          </w:tcPr>
          <w:p w14:paraId="432CAD72">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废水（万t/a）</w:t>
            </w:r>
          </w:p>
        </w:tc>
        <w:tc>
          <w:tcPr>
            <w:tcW w:w="1701" w:type="dxa"/>
            <w:noWrap w:val="0"/>
            <w:vAlign w:val="center"/>
          </w:tcPr>
          <w:p w14:paraId="75225B19">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276" w:type="dxa"/>
            <w:noWrap w:val="0"/>
            <w:vAlign w:val="center"/>
          </w:tcPr>
          <w:p w14:paraId="381BC698">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cs="宋体"/>
                <w:snapToGrid w:val="0"/>
                <w:color w:val="auto"/>
                <w:kern w:val="21"/>
                <w:sz w:val="18"/>
                <w:szCs w:val="18"/>
                <w:highlight w:val="none"/>
                <w:lang w:val="en-US" w:eastAsia="zh-CN"/>
              </w:rPr>
              <w:t>/</w:t>
            </w:r>
          </w:p>
        </w:tc>
        <w:tc>
          <w:tcPr>
            <w:tcW w:w="1366" w:type="dxa"/>
            <w:noWrap w:val="0"/>
            <w:vAlign w:val="center"/>
          </w:tcPr>
          <w:p w14:paraId="145181B9">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586" w:type="dxa"/>
            <w:noWrap w:val="0"/>
            <w:vAlign w:val="center"/>
          </w:tcPr>
          <w:p w14:paraId="101AE17D">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18"/>
                <w:lang w:val="en-US" w:eastAsia="zh-CN"/>
              </w:rPr>
              <w:t>1.759568</w:t>
            </w:r>
            <w:r>
              <w:rPr>
                <w:rFonts w:hint="eastAsia" w:cs="宋体"/>
                <w:snapToGrid w:val="0"/>
                <w:color w:val="auto"/>
                <w:kern w:val="21"/>
                <w:sz w:val="18"/>
                <w:szCs w:val="18"/>
                <w:highlight w:val="none"/>
                <w:lang w:val="en-US" w:eastAsia="zh-CN"/>
              </w:rPr>
              <w:t>万</w:t>
            </w:r>
            <w:r>
              <w:rPr>
                <w:rFonts w:hint="eastAsia"/>
                <w:color w:val="auto"/>
                <w:sz w:val="18"/>
                <w:szCs w:val="18"/>
              </w:rPr>
              <w:t>t/a</w:t>
            </w:r>
          </w:p>
        </w:tc>
        <w:tc>
          <w:tcPr>
            <w:tcW w:w="1468" w:type="dxa"/>
            <w:noWrap w:val="0"/>
            <w:vAlign w:val="center"/>
          </w:tcPr>
          <w:p w14:paraId="3FF89F52">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854" w:type="dxa"/>
            <w:noWrap w:val="0"/>
            <w:vAlign w:val="center"/>
          </w:tcPr>
          <w:p w14:paraId="5AFB1484">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18"/>
                <w:lang w:val="en-US" w:eastAsia="zh-CN"/>
              </w:rPr>
              <w:t>1.759568</w:t>
            </w:r>
            <w:r>
              <w:rPr>
                <w:rFonts w:hint="eastAsia" w:cs="宋体"/>
                <w:snapToGrid w:val="0"/>
                <w:color w:val="auto"/>
                <w:kern w:val="21"/>
                <w:sz w:val="18"/>
                <w:szCs w:val="18"/>
                <w:highlight w:val="none"/>
                <w:lang w:val="en-US" w:eastAsia="zh-CN"/>
              </w:rPr>
              <w:t>万</w:t>
            </w:r>
            <w:r>
              <w:rPr>
                <w:rFonts w:hint="eastAsia"/>
                <w:color w:val="auto"/>
                <w:sz w:val="18"/>
                <w:szCs w:val="18"/>
              </w:rPr>
              <w:t>t/a</w:t>
            </w:r>
          </w:p>
        </w:tc>
        <w:tc>
          <w:tcPr>
            <w:tcW w:w="1532" w:type="dxa"/>
            <w:noWrap w:val="0"/>
            <w:vAlign w:val="center"/>
          </w:tcPr>
          <w:p w14:paraId="507179B9">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color w:val="auto"/>
                <w:sz w:val="18"/>
                <w:szCs w:val="18"/>
                <w:lang w:val="en-US" w:eastAsia="zh-CN"/>
              </w:rPr>
              <w:t>+1.759568</w:t>
            </w:r>
            <w:r>
              <w:rPr>
                <w:rFonts w:hint="eastAsia" w:cs="宋体"/>
                <w:snapToGrid w:val="0"/>
                <w:color w:val="auto"/>
                <w:kern w:val="21"/>
                <w:sz w:val="18"/>
                <w:szCs w:val="18"/>
                <w:highlight w:val="none"/>
                <w:lang w:val="en-US" w:eastAsia="zh-CN"/>
              </w:rPr>
              <w:t>万</w:t>
            </w:r>
            <w:r>
              <w:rPr>
                <w:rFonts w:hint="eastAsia"/>
                <w:color w:val="auto"/>
                <w:sz w:val="18"/>
                <w:szCs w:val="18"/>
              </w:rPr>
              <w:t>t/a</w:t>
            </w:r>
          </w:p>
        </w:tc>
      </w:tr>
      <w:tr w14:paraId="1813C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continue"/>
            <w:tcBorders/>
            <w:noWrap w:val="0"/>
            <w:vAlign w:val="center"/>
          </w:tcPr>
          <w:p w14:paraId="288B2F99">
            <w:pPr>
              <w:widowControl w:val="0"/>
              <w:overflowPunct w:val="0"/>
              <w:autoSpaceDE w:val="0"/>
              <w:autoSpaceDN w:val="0"/>
              <w:adjustRightInd w:val="0"/>
              <w:snapToGrid w:val="0"/>
              <w:spacing w:before="0" w:beforeLines="0" w:after="0" w:afterLines="0" w:line="240" w:lineRule="auto"/>
              <w:ind w:left="0" w:right="0" w:firstLine="360" w:firstLineChars="200"/>
              <w:jc w:val="center"/>
              <w:rPr>
                <w:rFonts w:hint="eastAsia" w:ascii="Times New Roman" w:hAnsi="Times New Roman" w:eastAsia="宋体" w:cs="宋体"/>
                <w:snapToGrid w:val="0"/>
                <w:color w:val="auto"/>
                <w:kern w:val="21"/>
                <w:sz w:val="18"/>
                <w:szCs w:val="18"/>
                <w:highlight w:val="none"/>
                <w:lang w:val="en-US" w:eastAsia="zh-CN" w:bidi="ar-SA"/>
              </w:rPr>
            </w:pPr>
          </w:p>
        </w:tc>
        <w:tc>
          <w:tcPr>
            <w:tcW w:w="1984" w:type="dxa"/>
            <w:noWrap w:val="0"/>
            <w:vAlign w:val="center"/>
          </w:tcPr>
          <w:p w14:paraId="0D09AE3A">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COD（t/a）</w:t>
            </w:r>
          </w:p>
        </w:tc>
        <w:tc>
          <w:tcPr>
            <w:tcW w:w="1701" w:type="dxa"/>
            <w:noWrap w:val="0"/>
            <w:vAlign w:val="center"/>
          </w:tcPr>
          <w:p w14:paraId="1CFE9350">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276" w:type="dxa"/>
            <w:noWrap w:val="0"/>
            <w:vAlign w:val="center"/>
          </w:tcPr>
          <w:p w14:paraId="5876761F">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cs="宋体"/>
                <w:snapToGrid w:val="0"/>
                <w:color w:val="auto"/>
                <w:kern w:val="21"/>
                <w:sz w:val="18"/>
                <w:szCs w:val="18"/>
                <w:highlight w:val="none"/>
                <w:lang w:val="en-US" w:eastAsia="zh-CN"/>
              </w:rPr>
              <w:t>/</w:t>
            </w:r>
          </w:p>
        </w:tc>
        <w:tc>
          <w:tcPr>
            <w:tcW w:w="1366" w:type="dxa"/>
            <w:noWrap w:val="0"/>
            <w:vAlign w:val="center"/>
          </w:tcPr>
          <w:p w14:paraId="67E5B38B">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586" w:type="dxa"/>
            <w:noWrap w:val="0"/>
            <w:vAlign w:val="center"/>
          </w:tcPr>
          <w:p w14:paraId="602216EE">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7.74784</w:t>
            </w:r>
            <w:r>
              <w:rPr>
                <w:rFonts w:hint="eastAsia"/>
                <w:color w:val="auto"/>
                <w:sz w:val="18"/>
                <w:szCs w:val="18"/>
              </w:rPr>
              <w:t>t/a</w:t>
            </w:r>
          </w:p>
        </w:tc>
        <w:tc>
          <w:tcPr>
            <w:tcW w:w="1468" w:type="dxa"/>
            <w:noWrap w:val="0"/>
            <w:vAlign w:val="center"/>
          </w:tcPr>
          <w:p w14:paraId="15576612">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854" w:type="dxa"/>
            <w:noWrap w:val="0"/>
            <w:vAlign w:val="center"/>
          </w:tcPr>
          <w:p w14:paraId="548C22A3">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7.74784</w:t>
            </w:r>
            <w:r>
              <w:rPr>
                <w:rFonts w:hint="eastAsia"/>
                <w:color w:val="auto"/>
                <w:sz w:val="18"/>
                <w:szCs w:val="18"/>
              </w:rPr>
              <w:t>t/a</w:t>
            </w:r>
          </w:p>
        </w:tc>
        <w:tc>
          <w:tcPr>
            <w:tcW w:w="1532" w:type="dxa"/>
            <w:noWrap w:val="0"/>
            <w:vAlign w:val="center"/>
          </w:tcPr>
          <w:p w14:paraId="76593C3E">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color w:val="auto"/>
                <w:sz w:val="18"/>
                <w:szCs w:val="18"/>
                <w:lang w:val="en-US" w:eastAsia="zh-CN"/>
              </w:rPr>
              <w:t>+</w:t>
            </w:r>
            <w:r>
              <w:rPr>
                <w:rFonts w:hint="eastAsia" w:cs="Times New Roman"/>
                <w:i w:val="0"/>
                <w:iCs w:val="0"/>
                <w:color w:val="auto"/>
                <w:kern w:val="0"/>
                <w:sz w:val="18"/>
                <w:szCs w:val="18"/>
                <w:u w:val="none"/>
                <w:lang w:val="en-US" w:eastAsia="zh-CN" w:bidi="ar"/>
              </w:rPr>
              <w:t>7.74784</w:t>
            </w:r>
            <w:r>
              <w:rPr>
                <w:rFonts w:hint="eastAsia"/>
                <w:color w:val="auto"/>
                <w:sz w:val="18"/>
                <w:szCs w:val="18"/>
              </w:rPr>
              <w:t>t/a</w:t>
            </w:r>
          </w:p>
        </w:tc>
      </w:tr>
      <w:tr w14:paraId="62585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continue"/>
            <w:tcBorders/>
            <w:noWrap w:val="0"/>
            <w:vAlign w:val="center"/>
          </w:tcPr>
          <w:p w14:paraId="205BD120">
            <w:pPr>
              <w:widowControl w:val="0"/>
              <w:overflowPunct w:val="0"/>
              <w:autoSpaceDE w:val="0"/>
              <w:autoSpaceDN w:val="0"/>
              <w:adjustRightInd w:val="0"/>
              <w:snapToGrid w:val="0"/>
              <w:spacing w:before="0" w:beforeLines="0" w:after="0" w:afterLines="0" w:line="240" w:lineRule="auto"/>
              <w:ind w:left="0" w:right="0" w:firstLine="360" w:firstLineChars="200"/>
              <w:jc w:val="center"/>
              <w:rPr>
                <w:rFonts w:hint="eastAsia" w:ascii="Times New Roman" w:hAnsi="Times New Roman" w:eastAsia="宋体" w:cs="宋体"/>
                <w:snapToGrid w:val="0"/>
                <w:color w:val="auto"/>
                <w:kern w:val="21"/>
                <w:sz w:val="18"/>
                <w:szCs w:val="18"/>
                <w:highlight w:val="none"/>
                <w:lang w:val="en-US" w:eastAsia="zh-CN" w:bidi="ar-SA"/>
              </w:rPr>
            </w:pPr>
          </w:p>
        </w:tc>
        <w:tc>
          <w:tcPr>
            <w:tcW w:w="1984" w:type="dxa"/>
            <w:noWrap w:val="0"/>
            <w:vAlign w:val="center"/>
          </w:tcPr>
          <w:p w14:paraId="5B3E8B0A">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宋体"/>
                <w:snapToGrid w:val="0"/>
                <w:color w:val="auto"/>
                <w:kern w:val="21"/>
                <w:sz w:val="18"/>
                <w:szCs w:val="18"/>
                <w:highlight w:val="none"/>
                <w:lang w:val="en-US" w:eastAsia="zh-CN"/>
              </w:rPr>
            </w:pPr>
            <w:r>
              <w:rPr>
                <w:rFonts w:hint="eastAsia"/>
                <w:color w:val="auto"/>
                <w:sz w:val="18"/>
                <w:szCs w:val="18"/>
              </w:rPr>
              <w:t>NH</w:t>
            </w:r>
            <w:r>
              <w:rPr>
                <w:rFonts w:hint="eastAsia"/>
                <w:color w:val="auto"/>
                <w:sz w:val="18"/>
                <w:szCs w:val="18"/>
                <w:vertAlign w:val="subscript"/>
              </w:rPr>
              <w:t>3</w:t>
            </w:r>
            <w:r>
              <w:rPr>
                <w:rFonts w:hint="eastAsia"/>
                <w:color w:val="auto"/>
                <w:sz w:val="18"/>
                <w:szCs w:val="18"/>
              </w:rPr>
              <w:t>-N</w:t>
            </w:r>
            <w:r>
              <w:rPr>
                <w:rFonts w:hint="eastAsia" w:cs="宋体"/>
                <w:snapToGrid w:val="0"/>
                <w:color w:val="auto"/>
                <w:kern w:val="21"/>
                <w:sz w:val="18"/>
                <w:szCs w:val="18"/>
                <w:highlight w:val="none"/>
                <w:lang w:val="en-US" w:eastAsia="zh-CN"/>
              </w:rPr>
              <w:t>（t/a））</w:t>
            </w:r>
          </w:p>
        </w:tc>
        <w:tc>
          <w:tcPr>
            <w:tcW w:w="1701" w:type="dxa"/>
            <w:noWrap w:val="0"/>
            <w:vAlign w:val="center"/>
          </w:tcPr>
          <w:p w14:paraId="12F25134">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276" w:type="dxa"/>
            <w:noWrap w:val="0"/>
            <w:vAlign w:val="center"/>
          </w:tcPr>
          <w:p w14:paraId="2F5D5C55">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366" w:type="dxa"/>
            <w:noWrap w:val="0"/>
            <w:vAlign w:val="center"/>
          </w:tcPr>
          <w:p w14:paraId="39A8163B">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586" w:type="dxa"/>
            <w:noWrap w:val="0"/>
            <w:vAlign w:val="center"/>
          </w:tcPr>
          <w:p w14:paraId="56E3C857">
            <w:pPr>
              <w:keepNext w:val="0"/>
              <w:keepLines w:val="0"/>
              <w:widowControl/>
              <w:suppressLineNumbers w:val="0"/>
              <w:overflowPunct/>
              <w:autoSpaceDE/>
              <w:autoSpaceDN/>
              <w:adjustRightInd/>
              <w:snapToGrid/>
              <w:spacing w:before="0" w:after="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0.387392</w:t>
            </w:r>
            <w:r>
              <w:rPr>
                <w:rFonts w:hint="eastAsia"/>
                <w:color w:val="auto"/>
                <w:sz w:val="18"/>
                <w:szCs w:val="18"/>
              </w:rPr>
              <w:t>t/a</w:t>
            </w:r>
          </w:p>
        </w:tc>
        <w:tc>
          <w:tcPr>
            <w:tcW w:w="1468" w:type="dxa"/>
            <w:noWrap w:val="0"/>
            <w:vAlign w:val="center"/>
          </w:tcPr>
          <w:p w14:paraId="6AC4ADEF">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p>
        </w:tc>
        <w:tc>
          <w:tcPr>
            <w:tcW w:w="1854" w:type="dxa"/>
            <w:noWrap w:val="0"/>
            <w:vAlign w:val="center"/>
          </w:tcPr>
          <w:p w14:paraId="3016FCC1">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0.387392</w:t>
            </w:r>
            <w:r>
              <w:rPr>
                <w:rFonts w:hint="eastAsia"/>
                <w:color w:val="auto"/>
                <w:sz w:val="18"/>
                <w:szCs w:val="18"/>
              </w:rPr>
              <w:t>t/a</w:t>
            </w:r>
          </w:p>
        </w:tc>
        <w:tc>
          <w:tcPr>
            <w:tcW w:w="1532" w:type="dxa"/>
            <w:noWrap w:val="0"/>
            <w:vAlign w:val="center"/>
          </w:tcPr>
          <w:p w14:paraId="6F88BA50">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color w:val="auto"/>
                <w:sz w:val="18"/>
                <w:szCs w:val="18"/>
                <w:lang w:val="en-US" w:eastAsia="zh-CN"/>
              </w:rPr>
              <w:t>+</w:t>
            </w:r>
            <w:r>
              <w:rPr>
                <w:rFonts w:hint="eastAsia" w:cs="Times New Roman"/>
                <w:i w:val="0"/>
                <w:iCs w:val="0"/>
                <w:color w:val="auto"/>
                <w:kern w:val="0"/>
                <w:sz w:val="18"/>
                <w:szCs w:val="18"/>
                <w:u w:val="none"/>
                <w:lang w:val="en-US" w:eastAsia="zh-CN" w:bidi="ar"/>
              </w:rPr>
              <w:t>0.387392</w:t>
            </w:r>
            <w:r>
              <w:rPr>
                <w:rFonts w:hint="eastAsia"/>
                <w:color w:val="auto"/>
                <w:sz w:val="18"/>
                <w:szCs w:val="18"/>
              </w:rPr>
              <w:t>t/a</w:t>
            </w:r>
          </w:p>
        </w:tc>
      </w:tr>
      <w:tr w14:paraId="02B73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restart"/>
            <w:noWrap w:val="0"/>
            <w:vAlign w:val="center"/>
          </w:tcPr>
          <w:p w14:paraId="4E24EAC5">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r>
              <w:rPr>
                <w:rFonts w:hint="eastAsia" w:ascii="Times New Roman" w:hAnsi="Times New Roman" w:eastAsia="宋体" w:cs="宋体"/>
                <w:snapToGrid w:val="0"/>
                <w:color w:val="auto"/>
                <w:kern w:val="21"/>
                <w:sz w:val="18"/>
                <w:szCs w:val="18"/>
                <w:highlight w:val="none"/>
                <w:lang w:val="en-US" w:eastAsia="zh-CN" w:bidi="ar-SA"/>
              </w:rPr>
              <w:t>工业固体废物</w:t>
            </w:r>
          </w:p>
        </w:tc>
        <w:tc>
          <w:tcPr>
            <w:tcW w:w="1984" w:type="dxa"/>
            <w:noWrap w:val="0"/>
            <w:vAlign w:val="center"/>
          </w:tcPr>
          <w:p w14:paraId="02F5D1A6">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宋体"/>
                <w:snapToGrid w:val="0"/>
                <w:color w:val="auto"/>
                <w:kern w:val="21"/>
                <w:sz w:val="18"/>
                <w:szCs w:val="18"/>
                <w:highlight w:val="none"/>
                <w:lang w:val="en-US" w:eastAsia="zh-CN"/>
              </w:rPr>
            </w:pPr>
            <w:r>
              <w:rPr>
                <w:rFonts w:hint="eastAsia"/>
                <w:color w:val="auto"/>
                <w:sz w:val="18"/>
                <w:szCs w:val="18"/>
                <w:lang w:val="en-US" w:eastAsia="zh-CN"/>
              </w:rPr>
              <w:t>果梗、烂果</w:t>
            </w:r>
            <w:r>
              <w:rPr>
                <w:rFonts w:hint="eastAsia" w:cs="宋体"/>
                <w:snapToGrid w:val="0"/>
                <w:color w:val="auto"/>
                <w:kern w:val="21"/>
                <w:sz w:val="18"/>
                <w:szCs w:val="18"/>
                <w:highlight w:val="none"/>
                <w:lang w:val="en-US" w:eastAsia="zh-CN"/>
              </w:rPr>
              <w:t>（t/a）</w:t>
            </w:r>
          </w:p>
        </w:tc>
        <w:tc>
          <w:tcPr>
            <w:tcW w:w="1701" w:type="dxa"/>
            <w:noWrap w:val="0"/>
            <w:vAlign w:val="center"/>
          </w:tcPr>
          <w:p w14:paraId="5171795E">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rPr>
            </w:pPr>
            <w:r>
              <w:rPr>
                <w:rFonts w:hint="eastAsia" w:cs="宋体"/>
                <w:snapToGrid w:val="0"/>
                <w:color w:val="auto"/>
                <w:kern w:val="21"/>
                <w:sz w:val="18"/>
                <w:szCs w:val="18"/>
                <w:highlight w:val="none"/>
                <w:lang w:val="en-US" w:eastAsia="zh-CN"/>
              </w:rPr>
              <w:t>/</w:t>
            </w:r>
          </w:p>
        </w:tc>
        <w:tc>
          <w:tcPr>
            <w:tcW w:w="1276" w:type="dxa"/>
            <w:noWrap w:val="0"/>
            <w:vAlign w:val="center"/>
          </w:tcPr>
          <w:p w14:paraId="50FC26F9">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cs="宋体"/>
                <w:snapToGrid w:val="0"/>
                <w:color w:val="auto"/>
                <w:kern w:val="21"/>
                <w:sz w:val="18"/>
                <w:szCs w:val="18"/>
                <w:highlight w:val="none"/>
                <w:lang w:val="en-US" w:eastAsia="zh-CN"/>
              </w:rPr>
              <w:t>/</w:t>
            </w:r>
          </w:p>
        </w:tc>
        <w:tc>
          <w:tcPr>
            <w:tcW w:w="1366" w:type="dxa"/>
            <w:noWrap w:val="0"/>
            <w:vAlign w:val="center"/>
          </w:tcPr>
          <w:p w14:paraId="655E9671">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18"/>
                <w:szCs w:val="18"/>
                <w:u w:val="none"/>
                <w:lang w:val="en-US" w:eastAsia="zh-CN" w:bidi="ar-SA"/>
              </w:rPr>
            </w:pPr>
            <w:r>
              <w:rPr>
                <w:rFonts w:hint="eastAsia" w:cs="宋体"/>
                <w:snapToGrid w:val="0"/>
                <w:color w:val="auto"/>
                <w:kern w:val="21"/>
                <w:sz w:val="18"/>
                <w:szCs w:val="18"/>
                <w:highlight w:val="none"/>
                <w:lang w:val="en-US" w:eastAsia="zh-CN"/>
              </w:rPr>
              <w:t>/</w:t>
            </w:r>
          </w:p>
        </w:tc>
        <w:tc>
          <w:tcPr>
            <w:tcW w:w="1586" w:type="dxa"/>
            <w:noWrap w:val="0"/>
            <w:vAlign w:val="center"/>
          </w:tcPr>
          <w:p w14:paraId="75D534B8">
            <w:pPr>
              <w:jc w:val="center"/>
              <w:rPr>
                <w:rFonts w:hint="default" w:ascii="Times New Roman" w:hAnsi="Times New Roman" w:eastAsia="宋体" w:cs="Times New Roman"/>
                <w:color w:val="auto"/>
                <w:kern w:val="2"/>
                <w:sz w:val="18"/>
                <w:szCs w:val="18"/>
                <w:lang w:val="en-US" w:eastAsia="zh-CN"/>
              </w:rPr>
            </w:pPr>
            <w:r>
              <w:rPr>
                <w:rFonts w:hint="eastAsia"/>
                <w:color w:val="auto"/>
                <w:sz w:val="18"/>
                <w:szCs w:val="18"/>
                <w:lang w:val="en-US" w:eastAsia="zh-CN"/>
              </w:rPr>
              <w:t>110</w:t>
            </w:r>
            <w:r>
              <w:rPr>
                <w:rFonts w:hint="eastAsia"/>
                <w:color w:val="auto"/>
                <w:sz w:val="18"/>
                <w:szCs w:val="18"/>
              </w:rPr>
              <w:t>t/a</w:t>
            </w:r>
          </w:p>
        </w:tc>
        <w:tc>
          <w:tcPr>
            <w:tcW w:w="1468" w:type="dxa"/>
            <w:noWrap w:val="0"/>
            <w:vAlign w:val="center"/>
          </w:tcPr>
          <w:p w14:paraId="02231488">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b/>
                <w:bCs/>
                <w:color w:val="auto"/>
                <w:kern w:val="2"/>
                <w:sz w:val="18"/>
                <w:szCs w:val="18"/>
                <w:lang w:val="en-US" w:eastAsia="zh-CN"/>
              </w:rPr>
            </w:pPr>
            <w:r>
              <w:rPr>
                <w:rFonts w:hint="eastAsia" w:cs="宋体"/>
                <w:snapToGrid w:val="0"/>
                <w:color w:val="auto"/>
                <w:kern w:val="21"/>
                <w:sz w:val="18"/>
                <w:szCs w:val="18"/>
                <w:highlight w:val="none"/>
                <w:lang w:val="en-US" w:eastAsia="zh-CN"/>
              </w:rPr>
              <w:t>/</w:t>
            </w:r>
          </w:p>
        </w:tc>
        <w:tc>
          <w:tcPr>
            <w:tcW w:w="1854" w:type="dxa"/>
            <w:noWrap w:val="0"/>
            <w:vAlign w:val="center"/>
          </w:tcPr>
          <w:p w14:paraId="2F661D20">
            <w:pPr>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color w:val="auto"/>
                <w:sz w:val="18"/>
                <w:szCs w:val="18"/>
                <w:lang w:val="en-US" w:eastAsia="zh-CN"/>
              </w:rPr>
              <w:t>110</w:t>
            </w:r>
            <w:r>
              <w:rPr>
                <w:rFonts w:hint="eastAsia"/>
                <w:color w:val="auto"/>
                <w:sz w:val="18"/>
                <w:szCs w:val="18"/>
              </w:rPr>
              <w:t>t/a</w:t>
            </w:r>
          </w:p>
        </w:tc>
        <w:tc>
          <w:tcPr>
            <w:tcW w:w="1532" w:type="dxa"/>
            <w:noWrap w:val="0"/>
            <w:vAlign w:val="center"/>
          </w:tcPr>
          <w:p w14:paraId="53C8D300">
            <w:pPr>
              <w:jc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color w:val="auto"/>
                <w:sz w:val="18"/>
                <w:szCs w:val="18"/>
                <w:lang w:val="en-US" w:eastAsia="zh-CN"/>
              </w:rPr>
              <w:t>+110</w:t>
            </w:r>
            <w:r>
              <w:rPr>
                <w:rFonts w:hint="eastAsia"/>
                <w:color w:val="auto"/>
                <w:sz w:val="18"/>
                <w:szCs w:val="18"/>
              </w:rPr>
              <w:t>t/a</w:t>
            </w:r>
          </w:p>
        </w:tc>
      </w:tr>
      <w:tr w14:paraId="40C9C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continue"/>
            <w:tcBorders/>
            <w:noWrap w:val="0"/>
            <w:vAlign w:val="center"/>
          </w:tcPr>
          <w:p w14:paraId="2A3EE5C6">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p>
        </w:tc>
        <w:tc>
          <w:tcPr>
            <w:tcW w:w="1984" w:type="dxa"/>
            <w:noWrap w:val="0"/>
            <w:vAlign w:val="center"/>
          </w:tcPr>
          <w:p w14:paraId="0CEA7DF2">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宋体" w:hAnsi="宋体" w:cs="宋体"/>
                <w:i w:val="0"/>
                <w:iCs w:val="0"/>
                <w:color w:val="auto"/>
                <w:kern w:val="0"/>
                <w:sz w:val="18"/>
                <w:szCs w:val="18"/>
                <w:u w:val="none"/>
                <w:lang w:val="en-US" w:eastAsia="zh-CN" w:bidi="ar"/>
              </w:rPr>
            </w:pPr>
            <w:r>
              <w:rPr>
                <w:rFonts w:hint="eastAsia"/>
                <w:color w:val="auto"/>
                <w:sz w:val="18"/>
                <w:szCs w:val="18"/>
                <w:lang w:val="en-US" w:eastAsia="zh-CN"/>
              </w:rPr>
              <w:t>果渣</w:t>
            </w:r>
            <w:r>
              <w:rPr>
                <w:rFonts w:hint="eastAsia" w:cs="宋体"/>
                <w:snapToGrid w:val="0"/>
                <w:color w:val="auto"/>
                <w:kern w:val="21"/>
                <w:sz w:val="18"/>
                <w:szCs w:val="18"/>
                <w:highlight w:val="none"/>
                <w:lang w:val="en-US" w:eastAsia="zh-CN"/>
              </w:rPr>
              <w:t>（t/a）</w:t>
            </w:r>
          </w:p>
        </w:tc>
        <w:tc>
          <w:tcPr>
            <w:tcW w:w="1701" w:type="dxa"/>
            <w:noWrap w:val="0"/>
            <w:vAlign w:val="center"/>
          </w:tcPr>
          <w:p w14:paraId="554C1E20">
            <w:pPr>
              <w:overflowPunct/>
              <w:autoSpaceDE/>
              <w:autoSpaceDN/>
              <w:adjustRightInd/>
              <w:snapToGrid/>
              <w:spacing w:before="0" w:after="0" w:line="240" w:lineRule="auto"/>
              <w:ind w:left="0" w:leftChars="0" w:right="0" w:rightChars="0" w:firstLine="0" w:firstLineChars="0"/>
              <w:jc w:val="center"/>
              <w:rPr>
                <w:rFonts w:hint="default" w:ascii="宋体" w:hAnsi="宋体" w:cs="宋体"/>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276" w:type="dxa"/>
            <w:noWrap w:val="0"/>
            <w:vAlign w:val="center"/>
          </w:tcPr>
          <w:p w14:paraId="52C0B33E">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366" w:type="dxa"/>
            <w:noWrap w:val="0"/>
            <w:vAlign w:val="center"/>
          </w:tcPr>
          <w:p w14:paraId="0F880137">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586" w:type="dxa"/>
            <w:noWrap w:val="0"/>
            <w:vAlign w:val="center"/>
          </w:tcPr>
          <w:p w14:paraId="2DC295CD">
            <w:pPr>
              <w:jc w:val="center"/>
              <w:rPr>
                <w:rFonts w:hint="default" w:cs="Times New Roman"/>
                <w:color w:val="auto"/>
                <w:kern w:val="0"/>
                <w:sz w:val="18"/>
                <w:szCs w:val="18"/>
                <w:highlight w:val="none"/>
                <w:lang w:val="en-US" w:eastAsia="zh-CN" w:bidi="ar"/>
              </w:rPr>
            </w:pPr>
            <w:r>
              <w:rPr>
                <w:rFonts w:hint="eastAsia"/>
                <w:color w:val="auto"/>
                <w:sz w:val="18"/>
                <w:szCs w:val="18"/>
                <w:lang w:val="en-US" w:eastAsia="zh-CN"/>
              </w:rPr>
              <w:t>3556.7</w:t>
            </w:r>
            <w:r>
              <w:rPr>
                <w:rFonts w:hint="eastAsia"/>
                <w:color w:val="auto"/>
                <w:sz w:val="18"/>
                <w:szCs w:val="18"/>
              </w:rPr>
              <w:t>t/a</w:t>
            </w:r>
          </w:p>
        </w:tc>
        <w:tc>
          <w:tcPr>
            <w:tcW w:w="1468" w:type="dxa"/>
            <w:noWrap w:val="0"/>
            <w:vAlign w:val="center"/>
          </w:tcPr>
          <w:p w14:paraId="2D48D094">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854" w:type="dxa"/>
            <w:noWrap w:val="0"/>
            <w:vAlign w:val="center"/>
          </w:tcPr>
          <w:p w14:paraId="64435CB6">
            <w:pPr>
              <w:jc w:val="center"/>
              <w:rPr>
                <w:rFonts w:hint="default" w:cs="Times New Roman"/>
                <w:color w:val="auto"/>
                <w:kern w:val="0"/>
                <w:sz w:val="18"/>
                <w:szCs w:val="18"/>
                <w:highlight w:val="none"/>
                <w:lang w:val="en-US" w:eastAsia="zh-CN" w:bidi="ar"/>
              </w:rPr>
            </w:pPr>
            <w:r>
              <w:rPr>
                <w:rFonts w:hint="eastAsia"/>
                <w:color w:val="auto"/>
                <w:sz w:val="18"/>
                <w:szCs w:val="18"/>
                <w:lang w:val="en-US" w:eastAsia="zh-CN"/>
              </w:rPr>
              <w:t>3556.7</w:t>
            </w:r>
            <w:r>
              <w:rPr>
                <w:rFonts w:hint="eastAsia"/>
                <w:color w:val="auto"/>
                <w:sz w:val="18"/>
                <w:szCs w:val="18"/>
              </w:rPr>
              <w:t>t/a</w:t>
            </w:r>
          </w:p>
        </w:tc>
        <w:tc>
          <w:tcPr>
            <w:tcW w:w="1532" w:type="dxa"/>
            <w:noWrap w:val="0"/>
            <w:vAlign w:val="center"/>
          </w:tcPr>
          <w:p w14:paraId="273A4D14">
            <w:pPr>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18"/>
                <w:lang w:val="en-US" w:eastAsia="zh-CN"/>
              </w:rPr>
              <w:t>+3556.7</w:t>
            </w:r>
            <w:r>
              <w:rPr>
                <w:rFonts w:hint="eastAsia"/>
                <w:color w:val="auto"/>
                <w:sz w:val="18"/>
                <w:szCs w:val="18"/>
              </w:rPr>
              <w:t>t/a</w:t>
            </w:r>
          </w:p>
        </w:tc>
      </w:tr>
      <w:tr w14:paraId="3BF94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continue"/>
            <w:tcBorders/>
            <w:noWrap w:val="0"/>
            <w:vAlign w:val="center"/>
          </w:tcPr>
          <w:p w14:paraId="3631ADDA">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p>
        </w:tc>
        <w:tc>
          <w:tcPr>
            <w:tcW w:w="1984" w:type="dxa"/>
            <w:noWrap w:val="0"/>
            <w:vAlign w:val="center"/>
          </w:tcPr>
          <w:p w14:paraId="0E99D0BB">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宋体" w:hAnsi="宋体" w:eastAsia="宋体" w:cs="宋体"/>
                <w:i w:val="0"/>
                <w:iCs w:val="0"/>
                <w:color w:val="auto"/>
                <w:kern w:val="0"/>
                <w:sz w:val="18"/>
                <w:szCs w:val="18"/>
                <w:u w:val="none"/>
                <w:lang w:val="en-US" w:eastAsia="zh-CN" w:bidi="ar"/>
              </w:rPr>
            </w:pPr>
            <w:r>
              <w:rPr>
                <w:rFonts w:hint="eastAsia"/>
                <w:color w:val="auto"/>
                <w:sz w:val="18"/>
                <w:szCs w:val="18"/>
                <w:lang w:val="en-US" w:eastAsia="zh-CN"/>
              </w:rPr>
              <w:t>废包装</w:t>
            </w:r>
            <w:r>
              <w:rPr>
                <w:rFonts w:hint="eastAsia" w:cs="宋体"/>
                <w:snapToGrid w:val="0"/>
                <w:color w:val="auto"/>
                <w:kern w:val="21"/>
                <w:sz w:val="18"/>
                <w:szCs w:val="18"/>
                <w:highlight w:val="none"/>
                <w:lang w:val="en-US" w:eastAsia="zh-CN"/>
              </w:rPr>
              <w:t>（t/a）</w:t>
            </w:r>
          </w:p>
        </w:tc>
        <w:tc>
          <w:tcPr>
            <w:tcW w:w="1701" w:type="dxa"/>
            <w:noWrap w:val="0"/>
            <w:vAlign w:val="center"/>
          </w:tcPr>
          <w:p w14:paraId="768AC3F5">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276" w:type="dxa"/>
            <w:noWrap w:val="0"/>
            <w:vAlign w:val="center"/>
          </w:tcPr>
          <w:p w14:paraId="01AF25FA">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366" w:type="dxa"/>
            <w:noWrap w:val="0"/>
            <w:vAlign w:val="center"/>
          </w:tcPr>
          <w:p w14:paraId="28C0FEED">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586" w:type="dxa"/>
            <w:noWrap w:val="0"/>
            <w:vAlign w:val="center"/>
          </w:tcPr>
          <w:p w14:paraId="7E7A4B87">
            <w:pPr>
              <w:jc w:val="center"/>
              <w:rPr>
                <w:rFonts w:hint="default" w:cs="Times New Roman"/>
                <w:color w:val="auto"/>
                <w:kern w:val="0"/>
                <w:sz w:val="18"/>
                <w:szCs w:val="18"/>
                <w:highlight w:val="none"/>
                <w:lang w:val="en-US" w:eastAsia="zh-CN" w:bidi="ar"/>
              </w:rPr>
            </w:pPr>
            <w:r>
              <w:rPr>
                <w:rFonts w:hint="eastAsia"/>
                <w:color w:val="auto"/>
                <w:sz w:val="18"/>
                <w:szCs w:val="18"/>
                <w:lang w:val="en-US" w:eastAsia="zh-CN"/>
              </w:rPr>
              <w:t>2</w:t>
            </w:r>
            <w:r>
              <w:rPr>
                <w:rFonts w:hint="eastAsia"/>
                <w:color w:val="auto"/>
                <w:sz w:val="18"/>
                <w:szCs w:val="18"/>
              </w:rPr>
              <w:t>t/a</w:t>
            </w:r>
          </w:p>
        </w:tc>
        <w:tc>
          <w:tcPr>
            <w:tcW w:w="1468" w:type="dxa"/>
            <w:noWrap w:val="0"/>
            <w:vAlign w:val="center"/>
          </w:tcPr>
          <w:p w14:paraId="3D55BEAA">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854" w:type="dxa"/>
            <w:noWrap w:val="0"/>
            <w:vAlign w:val="center"/>
          </w:tcPr>
          <w:p w14:paraId="21C6E089">
            <w:pPr>
              <w:jc w:val="center"/>
              <w:rPr>
                <w:rFonts w:hint="default" w:cs="Times New Roman"/>
                <w:color w:val="auto"/>
                <w:kern w:val="0"/>
                <w:sz w:val="18"/>
                <w:szCs w:val="18"/>
                <w:highlight w:val="none"/>
                <w:lang w:val="en-US" w:eastAsia="zh-CN" w:bidi="ar"/>
              </w:rPr>
            </w:pPr>
            <w:r>
              <w:rPr>
                <w:rFonts w:hint="eastAsia"/>
                <w:color w:val="auto"/>
                <w:sz w:val="18"/>
                <w:szCs w:val="18"/>
                <w:lang w:val="en-US" w:eastAsia="zh-CN"/>
              </w:rPr>
              <w:t>2</w:t>
            </w:r>
            <w:r>
              <w:rPr>
                <w:rFonts w:hint="eastAsia"/>
                <w:color w:val="auto"/>
                <w:sz w:val="18"/>
                <w:szCs w:val="18"/>
              </w:rPr>
              <w:t>t/a</w:t>
            </w:r>
          </w:p>
        </w:tc>
        <w:tc>
          <w:tcPr>
            <w:tcW w:w="1532" w:type="dxa"/>
            <w:noWrap w:val="0"/>
            <w:vAlign w:val="center"/>
          </w:tcPr>
          <w:p w14:paraId="04C4C9CA">
            <w:pPr>
              <w:jc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color w:val="auto"/>
                <w:sz w:val="18"/>
                <w:szCs w:val="18"/>
                <w:lang w:val="en-US" w:eastAsia="zh-CN"/>
              </w:rPr>
              <w:t>+2</w:t>
            </w:r>
            <w:r>
              <w:rPr>
                <w:rFonts w:hint="eastAsia"/>
                <w:color w:val="auto"/>
                <w:sz w:val="18"/>
                <w:szCs w:val="18"/>
              </w:rPr>
              <w:t>t/a</w:t>
            </w:r>
          </w:p>
        </w:tc>
      </w:tr>
      <w:tr w14:paraId="0E390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continue"/>
            <w:tcBorders/>
            <w:noWrap w:val="0"/>
            <w:vAlign w:val="center"/>
          </w:tcPr>
          <w:p w14:paraId="0F636AA7">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p>
        </w:tc>
        <w:tc>
          <w:tcPr>
            <w:tcW w:w="1984" w:type="dxa"/>
            <w:noWrap w:val="0"/>
            <w:vAlign w:val="center"/>
          </w:tcPr>
          <w:p w14:paraId="74F3FF0F">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宋体" w:hAnsi="宋体" w:cs="宋体"/>
                <w:i w:val="0"/>
                <w:iCs w:val="0"/>
                <w:color w:val="auto"/>
                <w:kern w:val="0"/>
                <w:sz w:val="18"/>
                <w:szCs w:val="18"/>
                <w:u w:val="none"/>
                <w:lang w:val="en-US" w:eastAsia="zh-CN" w:bidi="ar"/>
              </w:rPr>
            </w:pPr>
            <w:r>
              <w:rPr>
                <w:rFonts w:hint="eastAsia"/>
                <w:color w:val="auto"/>
                <w:sz w:val="18"/>
                <w:szCs w:val="18"/>
                <w:lang w:val="en-US" w:eastAsia="zh-CN"/>
              </w:rPr>
              <w:t>废离子树脂</w:t>
            </w:r>
            <w:r>
              <w:rPr>
                <w:rFonts w:hint="eastAsia" w:cs="宋体"/>
                <w:snapToGrid w:val="0"/>
                <w:color w:val="auto"/>
                <w:kern w:val="21"/>
                <w:sz w:val="18"/>
                <w:szCs w:val="18"/>
                <w:highlight w:val="none"/>
                <w:lang w:val="en-US" w:eastAsia="zh-CN"/>
              </w:rPr>
              <w:t>（t/a）</w:t>
            </w:r>
          </w:p>
        </w:tc>
        <w:tc>
          <w:tcPr>
            <w:tcW w:w="1701" w:type="dxa"/>
            <w:noWrap w:val="0"/>
            <w:vAlign w:val="center"/>
          </w:tcPr>
          <w:p w14:paraId="4AAB1278">
            <w:pPr>
              <w:overflowPunct/>
              <w:autoSpaceDE/>
              <w:autoSpaceDN/>
              <w:adjustRightInd/>
              <w:snapToGrid/>
              <w:spacing w:before="0" w:after="0" w:line="240" w:lineRule="auto"/>
              <w:ind w:left="0" w:leftChars="0" w:right="0" w:rightChars="0" w:firstLine="0" w:firstLineChars="0"/>
              <w:jc w:val="center"/>
              <w:rPr>
                <w:rFonts w:hint="default" w:cs="Times New Roman"/>
                <w:color w:val="auto"/>
                <w:kern w:val="2"/>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276" w:type="dxa"/>
            <w:noWrap w:val="0"/>
            <w:vAlign w:val="center"/>
          </w:tcPr>
          <w:p w14:paraId="5EE30A9B">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366" w:type="dxa"/>
            <w:noWrap w:val="0"/>
            <w:vAlign w:val="center"/>
          </w:tcPr>
          <w:p w14:paraId="32242127">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586" w:type="dxa"/>
            <w:noWrap w:val="0"/>
            <w:vAlign w:val="center"/>
          </w:tcPr>
          <w:p w14:paraId="754FF9AF">
            <w:pPr>
              <w:jc w:val="center"/>
              <w:rPr>
                <w:rFonts w:hint="default"/>
                <w:color w:val="auto"/>
                <w:sz w:val="18"/>
                <w:szCs w:val="18"/>
                <w:vertAlign w:val="baseline"/>
                <w:lang w:val="en-US" w:eastAsia="zh-CN"/>
              </w:rPr>
            </w:pPr>
            <w:r>
              <w:rPr>
                <w:rFonts w:hint="eastAsia"/>
                <w:color w:val="auto"/>
                <w:sz w:val="18"/>
                <w:szCs w:val="18"/>
                <w:lang w:val="en-US" w:eastAsia="zh-CN"/>
              </w:rPr>
              <w:t>0.5</w:t>
            </w:r>
            <w:r>
              <w:rPr>
                <w:rFonts w:hint="eastAsia"/>
                <w:color w:val="auto"/>
                <w:sz w:val="18"/>
                <w:szCs w:val="18"/>
              </w:rPr>
              <w:t>t/a</w:t>
            </w:r>
          </w:p>
        </w:tc>
        <w:tc>
          <w:tcPr>
            <w:tcW w:w="1468" w:type="dxa"/>
            <w:noWrap w:val="0"/>
            <w:vAlign w:val="center"/>
          </w:tcPr>
          <w:p w14:paraId="6975F9C3">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854" w:type="dxa"/>
            <w:noWrap w:val="0"/>
            <w:vAlign w:val="center"/>
          </w:tcPr>
          <w:p w14:paraId="584C27FC">
            <w:pPr>
              <w:jc w:val="center"/>
              <w:rPr>
                <w:rFonts w:hint="eastAsia"/>
                <w:color w:val="auto"/>
                <w:sz w:val="18"/>
                <w:szCs w:val="18"/>
                <w:vertAlign w:val="baseline"/>
                <w:lang w:val="en-US" w:eastAsia="zh-CN"/>
              </w:rPr>
            </w:pPr>
            <w:r>
              <w:rPr>
                <w:rFonts w:hint="eastAsia"/>
                <w:color w:val="auto"/>
                <w:sz w:val="18"/>
                <w:szCs w:val="18"/>
                <w:lang w:val="en-US" w:eastAsia="zh-CN"/>
              </w:rPr>
              <w:t>0.5</w:t>
            </w:r>
            <w:r>
              <w:rPr>
                <w:rFonts w:hint="eastAsia"/>
                <w:color w:val="auto"/>
                <w:sz w:val="18"/>
                <w:szCs w:val="18"/>
              </w:rPr>
              <w:t>t/a</w:t>
            </w:r>
          </w:p>
        </w:tc>
        <w:tc>
          <w:tcPr>
            <w:tcW w:w="1532" w:type="dxa"/>
            <w:noWrap w:val="0"/>
            <w:vAlign w:val="center"/>
          </w:tcPr>
          <w:p w14:paraId="3DDDD33D">
            <w:pPr>
              <w:jc w:val="center"/>
              <w:rPr>
                <w:rFonts w:hint="eastAsia"/>
                <w:color w:val="auto"/>
                <w:sz w:val="18"/>
                <w:szCs w:val="18"/>
                <w:vertAlign w:val="baseline"/>
                <w:lang w:val="en-US" w:eastAsia="zh-CN"/>
              </w:rPr>
            </w:pPr>
            <w:r>
              <w:rPr>
                <w:rFonts w:hint="eastAsia"/>
                <w:color w:val="auto"/>
                <w:sz w:val="18"/>
                <w:szCs w:val="18"/>
                <w:lang w:val="en-US" w:eastAsia="zh-CN"/>
              </w:rPr>
              <w:t>+0.5</w:t>
            </w:r>
            <w:r>
              <w:rPr>
                <w:rFonts w:hint="eastAsia"/>
                <w:color w:val="auto"/>
                <w:sz w:val="18"/>
                <w:szCs w:val="18"/>
              </w:rPr>
              <w:t>t/a</w:t>
            </w:r>
          </w:p>
        </w:tc>
      </w:tr>
      <w:tr w14:paraId="042A4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21" w:type="dxa"/>
            <w:vMerge w:val="continue"/>
            <w:tcBorders/>
            <w:noWrap w:val="0"/>
            <w:vAlign w:val="center"/>
          </w:tcPr>
          <w:p w14:paraId="4259ECC7">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p>
        </w:tc>
        <w:tc>
          <w:tcPr>
            <w:tcW w:w="1984" w:type="dxa"/>
            <w:noWrap w:val="0"/>
            <w:vAlign w:val="center"/>
          </w:tcPr>
          <w:p w14:paraId="03FCD3BD">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宋体" w:hAnsi="宋体" w:cs="宋体"/>
                <w:i w:val="0"/>
                <w:iCs w:val="0"/>
                <w:color w:val="auto"/>
                <w:kern w:val="0"/>
                <w:sz w:val="18"/>
                <w:szCs w:val="18"/>
                <w:u w:val="none"/>
                <w:lang w:val="en-US" w:eastAsia="zh-CN" w:bidi="ar"/>
              </w:rPr>
            </w:pPr>
            <w:r>
              <w:rPr>
                <w:rFonts w:hint="eastAsia"/>
                <w:color w:val="auto"/>
                <w:sz w:val="18"/>
                <w:szCs w:val="18"/>
                <w:lang w:val="en-US" w:eastAsia="zh-CN"/>
              </w:rPr>
              <w:t>废超滤膜</w:t>
            </w:r>
            <w:r>
              <w:rPr>
                <w:rFonts w:hint="eastAsia" w:cs="宋体"/>
                <w:snapToGrid w:val="0"/>
                <w:color w:val="auto"/>
                <w:kern w:val="21"/>
                <w:sz w:val="18"/>
                <w:szCs w:val="18"/>
                <w:highlight w:val="none"/>
                <w:lang w:val="en-US" w:eastAsia="zh-CN"/>
              </w:rPr>
              <w:t>（t/a）</w:t>
            </w:r>
          </w:p>
        </w:tc>
        <w:tc>
          <w:tcPr>
            <w:tcW w:w="1701" w:type="dxa"/>
            <w:noWrap w:val="0"/>
            <w:vAlign w:val="center"/>
          </w:tcPr>
          <w:p w14:paraId="3CBB4A02">
            <w:pPr>
              <w:overflowPunct/>
              <w:autoSpaceDE/>
              <w:autoSpaceDN/>
              <w:adjustRightInd/>
              <w:snapToGrid/>
              <w:spacing w:before="0" w:after="0" w:line="240" w:lineRule="auto"/>
              <w:ind w:left="0" w:leftChars="0" w:right="0" w:rightChars="0" w:firstLine="0" w:firstLineChars="0"/>
              <w:jc w:val="center"/>
              <w:rPr>
                <w:rFonts w:hint="default" w:cs="Times New Roman"/>
                <w:color w:val="auto"/>
                <w:kern w:val="2"/>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276" w:type="dxa"/>
            <w:noWrap w:val="0"/>
            <w:vAlign w:val="center"/>
          </w:tcPr>
          <w:p w14:paraId="52225902">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366" w:type="dxa"/>
            <w:noWrap w:val="0"/>
            <w:vAlign w:val="center"/>
          </w:tcPr>
          <w:p w14:paraId="048A92D6">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586" w:type="dxa"/>
            <w:noWrap w:val="0"/>
            <w:vAlign w:val="center"/>
          </w:tcPr>
          <w:p w14:paraId="2E7AA438">
            <w:pPr>
              <w:jc w:val="center"/>
              <w:rPr>
                <w:rFonts w:hint="default"/>
                <w:color w:val="auto"/>
                <w:sz w:val="18"/>
                <w:szCs w:val="18"/>
                <w:vertAlign w:val="baseline"/>
                <w:lang w:val="en-US" w:eastAsia="zh-CN"/>
              </w:rPr>
            </w:pPr>
            <w:r>
              <w:rPr>
                <w:rFonts w:hint="eastAsia"/>
                <w:color w:val="auto"/>
                <w:sz w:val="18"/>
                <w:szCs w:val="18"/>
                <w:lang w:val="en-US" w:eastAsia="zh-CN"/>
              </w:rPr>
              <w:t>0.1</w:t>
            </w:r>
            <w:r>
              <w:rPr>
                <w:rFonts w:hint="eastAsia"/>
                <w:color w:val="auto"/>
                <w:sz w:val="18"/>
                <w:szCs w:val="18"/>
              </w:rPr>
              <w:t>t/a</w:t>
            </w:r>
          </w:p>
        </w:tc>
        <w:tc>
          <w:tcPr>
            <w:tcW w:w="1468" w:type="dxa"/>
            <w:noWrap w:val="0"/>
            <w:vAlign w:val="center"/>
          </w:tcPr>
          <w:p w14:paraId="4FBA3B64">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854" w:type="dxa"/>
            <w:noWrap w:val="0"/>
            <w:vAlign w:val="center"/>
          </w:tcPr>
          <w:p w14:paraId="3CAA21D4">
            <w:pPr>
              <w:jc w:val="center"/>
              <w:rPr>
                <w:rFonts w:hint="eastAsia"/>
                <w:color w:val="auto"/>
                <w:sz w:val="18"/>
                <w:szCs w:val="18"/>
                <w:vertAlign w:val="baseline"/>
                <w:lang w:val="en-US" w:eastAsia="zh-CN"/>
              </w:rPr>
            </w:pPr>
            <w:r>
              <w:rPr>
                <w:rFonts w:hint="eastAsia"/>
                <w:color w:val="auto"/>
                <w:sz w:val="18"/>
                <w:szCs w:val="18"/>
                <w:lang w:val="en-US" w:eastAsia="zh-CN"/>
              </w:rPr>
              <w:t>0.1</w:t>
            </w:r>
            <w:r>
              <w:rPr>
                <w:rFonts w:hint="eastAsia"/>
                <w:color w:val="auto"/>
                <w:sz w:val="18"/>
                <w:szCs w:val="18"/>
              </w:rPr>
              <w:t>t/a</w:t>
            </w:r>
          </w:p>
        </w:tc>
        <w:tc>
          <w:tcPr>
            <w:tcW w:w="1532" w:type="dxa"/>
            <w:noWrap w:val="0"/>
            <w:vAlign w:val="center"/>
          </w:tcPr>
          <w:p w14:paraId="37AADC29">
            <w:pPr>
              <w:jc w:val="center"/>
              <w:rPr>
                <w:rFonts w:hint="eastAsia"/>
                <w:color w:val="auto"/>
                <w:sz w:val="18"/>
                <w:szCs w:val="18"/>
                <w:vertAlign w:val="baseline"/>
                <w:lang w:val="en-US" w:eastAsia="zh-CN"/>
              </w:rPr>
            </w:pPr>
            <w:r>
              <w:rPr>
                <w:rFonts w:hint="eastAsia"/>
                <w:color w:val="auto"/>
                <w:sz w:val="18"/>
                <w:szCs w:val="18"/>
                <w:lang w:val="en-US" w:eastAsia="zh-CN"/>
              </w:rPr>
              <w:t>+0.1</w:t>
            </w:r>
            <w:r>
              <w:rPr>
                <w:rFonts w:hint="eastAsia"/>
                <w:color w:val="auto"/>
                <w:sz w:val="18"/>
                <w:szCs w:val="18"/>
              </w:rPr>
              <w:t>t/a</w:t>
            </w:r>
          </w:p>
        </w:tc>
      </w:tr>
      <w:tr w14:paraId="2C862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21" w:type="dxa"/>
            <w:vMerge w:val="continue"/>
            <w:tcBorders/>
            <w:noWrap w:val="0"/>
            <w:vAlign w:val="center"/>
          </w:tcPr>
          <w:p w14:paraId="7A55260B">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p>
        </w:tc>
        <w:tc>
          <w:tcPr>
            <w:tcW w:w="1984" w:type="dxa"/>
            <w:noWrap w:val="0"/>
            <w:vAlign w:val="center"/>
          </w:tcPr>
          <w:p w14:paraId="1D270DED">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宋体" w:hAnsi="宋体" w:cs="宋体"/>
                <w:i w:val="0"/>
                <w:iCs w:val="0"/>
                <w:color w:val="auto"/>
                <w:kern w:val="0"/>
                <w:sz w:val="18"/>
                <w:szCs w:val="18"/>
                <w:u w:val="none"/>
                <w:lang w:val="en-US" w:eastAsia="zh-CN" w:bidi="ar"/>
              </w:rPr>
            </w:pPr>
            <w:r>
              <w:rPr>
                <w:rFonts w:hint="eastAsia"/>
                <w:color w:val="auto"/>
                <w:sz w:val="18"/>
                <w:szCs w:val="18"/>
                <w:lang w:val="en-US" w:eastAsia="zh-CN"/>
              </w:rPr>
              <w:t>废反渗透膜</w:t>
            </w:r>
            <w:r>
              <w:rPr>
                <w:rFonts w:hint="eastAsia" w:cs="宋体"/>
                <w:snapToGrid w:val="0"/>
                <w:color w:val="auto"/>
                <w:kern w:val="21"/>
                <w:sz w:val="18"/>
                <w:szCs w:val="18"/>
                <w:highlight w:val="none"/>
                <w:lang w:val="en-US" w:eastAsia="zh-CN"/>
              </w:rPr>
              <w:t>（t/a）</w:t>
            </w:r>
          </w:p>
        </w:tc>
        <w:tc>
          <w:tcPr>
            <w:tcW w:w="1701" w:type="dxa"/>
            <w:noWrap w:val="0"/>
            <w:vAlign w:val="center"/>
          </w:tcPr>
          <w:p w14:paraId="48193EAB">
            <w:pPr>
              <w:overflowPunct/>
              <w:autoSpaceDE/>
              <w:autoSpaceDN/>
              <w:adjustRightInd/>
              <w:snapToGrid/>
              <w:spacing w:before="0" w:after="0" w:line="240" w:lineRule="auto"/>
              <w:ind w:left="0" w:leftChars="0" w:right="0" w:rightChars="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276" w:type="dxa"/>
            <w:noWrap w:val="0"/>
            <w:vAlign w:val="center"/>
          </w:tcPr>
          <w:p w14:paraId="019FEA4A">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366" w:type="dxa"/>
            <w:noWrap w:val="0"/>
            <w:vAlign w:val="center"/>
          </w:tcPr>
          <w:p w14:paraId="56974853">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586" w:type="dxa"/>
            <w:noWrap w:val="0"/>
            <w:vAlign w:val="center"/>
          </w:tcPr>
          <w:p w14:paraId="08FFB61F">
            <w:pPr>
              <w:jc w:val="center"/>
              <w:rPr>
                <w:rFonts w:hint="eastAsia" w:cs="Times New Roman"/>
                <w:color w:val="auto"/>
                <w:kern w:val="0"/>
                <w:sz w:val="18"/>
                <w:szCs w:val="18"/>
                <w:highlight w:val="none"/>
                <w:lang w:val="en-US" w:eastAsia="zh-CN" w:bidi="ar"/>
              </w:rPr>
            </w:pPr>
            <w:r>
              <w:rPr>
                <w:rFonts w:hint="eastAsia"/>
                <w:color w:val="auto"/>
                <w:sz w:val="18"/>
                <w:szCs w:val="18"/>
                <w:lang w:val="en-US" w:eastAsia="zh-CN"/>
              </w:rPr>
              <w:t>0.1</w:t>
            </w:r>
            <w:r>
              <w:rPr>
                <w:rFonts w:hint="eastAsia"/>
                <w:color w:val="auto"/>
                <w:sz w:val="18"/>
                <w:szCs w:val="18"/>
              </w:rPr>
              <w:t>t/a</w:t>
            </w:r>
          </w:p>
        </w:tc>
        <w:tc>
          <w:tcPr>
            <w:tcW w:w="1468" w:type="dxa"/>
            <w:noWrap w:val="0"/>
            <w:vAlign w:val="center"/>
          </w:tcPr>
          <w:p w14:paraId="4FA491CC">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宋体"/>
                <w:snapToGrid w:val="0"/>
                <w:color w:val="auto"/>
                <w:kern w:val="21"/>
                <w:sz w:val="18"/>
                <w:szCs w:val="18"/>
                <w:highlight w:val="none"/>
                <w:lang w:val="en-US" w:eastAsia="zh-CN"/>
              </w:rPr>
              <w:t>/</w:t>
            </w:r>
          </w:p>
        </w:tc>
        <w:tc>
          <w:tcPr>
            <w:tcW w:w="1854" w:type="dxa"/>
            <w:noWrap w:val="0"/>
            <w:vAlign w:val="center"/>
          </w:tcPr>
          <w:p w14:paraId="6539D9C0">
            <w:pPr>
              <w:jc w:val="center"/>
              <w:rPr>
                <w:rFonts w:hint="eastAsia" w:cs="Times New Roman"/>
                <w:color w:val="auto"/>
                <w:kern w:val="0"/>
                <w:sz w:val="18"/>
                <w:szCs w:val="18"/>
                <w:highlight w:val="none"/>
                <w:lang w:val="en-US" w:eastAsia="zh-CN" w:bidi="ar"/>
              </w:rPr>
            </w:pPr>
            <w:r>
              <w:rPr>
                <w:rFonts w:hint="eastAsia"/>
                <w:color w:val="auto"/>
                <w:sz w:val="18"/>
                <w:szCs w:val="18"/>
                <w:lang w:val="en-US" w:eastAsia="zh-CN"/>
              </w:rPr>
              <w:t>0.1</w:t>
            </w:r>
            <w:r>
              <w:rPr>
                <w:rFonts w:hint="eastAsia"/>
                <w:color w:val="auto"/>
                <w:sz w:val="18"/>
                <w:szCs w:val="18"/>
              </w:rPr>
              <w:t>t/a</w:t>
            </w:r>
          </w:p>
        </w:tc>
        <w:tc>
          <w:tcPr>
            <w:tcW w:w="1532" w:type="dxa"/>
            <w:noWrap w:val="0"/>
            <w:vAlign w:val="center"/>
          </w:tcPr>
          <w:p w14:paraId="39D1A9A1">
            <w:pPr>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18"/>
                <w:lang w:val="en-US" w:eastAsia="zh-CN"/>
              </w:rPr>
              <w:t>+0.1</w:t>
            </w:r>
            <w:r>
              <w:rPr>
                <w:rFonts w:hint="eastAsia"/>
                <w:color w:val="auto"/>
                <w:sz w:val="18"/>
                <w:szCs w:val="18"/>
              </w:rPr>
              <w:t>t/a</w:t>
            </w:r>
          </w:p>
        </w:tc>
      </w:tr>
      <w:tr w14:paraId="5A26E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continue"/>
            <w:tcBorders/>
            <w:noWrap w:val="0"/>
            <w:vAlign w:val="center"/>
          </w:tcPr>
          <w:p w14:paraId="460BBF80">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bookmarkStart w:id="93" w:name="_GoBack" w:colFirst="6" w:colLast="6"/>
          </w:p>
        </w:tc>
        <w:tc>
          <w:tcPr>
            <w:tcW w:w="1984" w:type="dxa"/>
            <w:noWrap w:val="0"/>
            <w:vAlign w:val="center"/>
          </w:tcPr>
          <w:p w14:paraId="345884E8">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宋体"/>
                <w:snapToGrid w:val="0"/>
                <w:color w:val="auto"/>
                <w:kern w:val="21"/>
                <w:sz w:val="18"/>
                <w:szCs w:val="18"/>
                <w:highlight w:val="none"/>
                <w:lang w:val="en-US" w:eastAsia="zh-CN"/>
              </w:rPr>
            </w:pPr>
            <w:r>
              <w:rPr>
                <w:rFonts w:hint="eastAsia"/>
                <w:color w:val="auto"/>
                <w:sz w:val="18"/>
                <w:szCs w:val="18"/>
                <w:lang w:val="en-US" w:eastAsia="zh-CN"/>
              </w:rPr>
              <w:t>污泥</w:t>
            </w:r>
            <w:r>
              <w:rPr>
                <w:rFonts w:hint="eastAsia" w:cs="宋体"/>
                <w:snapToGrid w:val="0"/>
                <w:color w:val="auto"/>
                <w:kern w:val="21"/>
                <w:sz w:val="18"/>
                <w:szCs w:val="18"/>
                <w:highlight w:val="none"/>
                <w:lang w:val="en-US" w:eastAsia="zh-CN"/>
              </w:rPr>
              <w:t>（t/a）</w:t>
            </w:r>
          </w:p>
        </w:tc>
        <w:tc>
          <w:tcPr>
            <w:tcW w:w="1701" w:type="dxa"/>
            <w:noWrap w:val="0"/>
            <w:vAlign w:val="center"/>
          </w:tcPr>
          <w:p w14:paraId="1648FA4C">
            <w:pPr>
              <w:overflowPunct/>
              <w:autoSpaceDE/>
              <w:autoSpaceDN/>
              <w:adjustRightInd/>
              <w:snapToGrid/>
              <w:spacing w:before="0" w:after="0" w:line="240" w:lineRule="auto"/>
              <w:ind w:left="0" w:leftChars="0" w:right="0" w:rightChars="0" w:firstLine="0" w:firstLineChars="0"/>
              <w:jc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276" w:type="dxa"/>
            <w:noWrap w:val="0"/>
            <w:vAlign w:val="center"/>
          </w:tcPr>
          <w:p w14:paraId="70D57307">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366" w:type="dxa"/>
            <w:noWrap w:val="0"/>
            <w:vAlign w:val="center"/>
          </w:tcPr>
          <w:p w14:paraId="18D3A579">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586" w:type="dxa"/>
            <w:noWrap w:val="0"/>
            <w:vAlign w:val="center"/>
          </w:tcPr>
          <w:p w14:paraId="5DACB14B">
            <w:pPr>
              <w:jc w:val="center"/>
              <w:rPr>
                <w:rFonts w:hint="eastAsia" w:cs="Times New Roman"/>
                <w:color w:val="auto"/>
                <w:kern w:val="0"/>
                <w:sz w:val="18"/>
                <w:szCs w:val="18"/>
                <w:highlight w:val="none"/>
                <w:lang w:val="en-US" w:eastAsia="zh-CN" w:bidi="ar"/>
              </w:rPr>
            </w:pPr>
            <w:r>
              <w:rPr>
                <w:rFonts w:hint="eastAsia"/>
                <w:color w:val="auto"/>
                <w:sz w:val="18"/>
                <w:szCs w:val="18"/>
                <w:lang w:val="en-US" w:eastAsia="zh-CN"/>
              </w:rPr>
              <w:t>2.56</w:t>
            </w:r>
            <w:r>
              <w:rPr>
                <w:rFonts w:hint="eastAsia"/>
                <w:color w:val="auto"/>
                <w:sz w:val="18"/>
                <w:szCs w:val="18"/>
              </w:rPr>
              <w:t>t/a</w:t>
            </w:r>
          </w:p>
        </w:tc>
        <w:tc>
          <w:tcPr>
            <w:tcW w:w="1468" w:type="dxa"/>
            <w:noWrap w:val="0"/>
            <w:vAlign w:val="center"/>
          </w:tcPr>
          <w:p w14:paraId="0D92D400">
            <w:pPr>
              <w:overflowPunct/>
              <w:autoSpaceDE/>
              <w:autoSpaceDN/>
              <w:adjustRightInd/>
              <w:snapToGrid/>
              <w:spacing w:before="0" w:after="0" w:line="240" w:lineRule="auto"/>
              <w:ind w:left="0" w:leftChars="0" w:right="0" w:rightChars="0" w:firstLine="0" w:firstLineChars="0"/>
              <w:jc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854" w:type="dxa"/>
            <w:noWrap w:val="0"/>
            <w:vAlign w:val="center"/>
          </w:tcPr>
          <w:p w14:paraId="7297D89F">
            <w:pPr>
              <w:jc w:val="center"/>
              <w:rPr>
                <w:rFonts w:hint="eastAsia" w:cs="Times New Roman"/>
                <w:color w:val="auto"/>
                <w:kern w:val="0"/>
                <w:sz w:val="18"/>
                <w:szCs w:val="18"/>
                <w:highlight w:val="none"/>
                <w:lang w:val="en-US" w:eastAsia="zh-CN" w:bidi="ar"/>
              </w:rPr>
            </w:pPr>
            <w:r>
              <w:rPr>
                <w:rFonts w:hint="eastAsia"/>
                <w:color w:val="auto"/>
                <w:sz w:val="18"/>
                <w:szCs w:val="18"/>
                <w:lang w:val="en-US" w:eastAsia="zh-CN"/>
              </w:rPr>
              <w:t>2.56</w:t>
            </w:r>
            <w:r>
              <w:rPr>
                <w:rFonts w:hint="eastAsia"/>
                <w:color w:val="auto"/>
                <w:sz w:val="18"/>
                <w:szCs w:val="18"/>
              </w:rPr>
              <w:t>t/a</w:t>
            </w:r>
          </w:p>
        </w:tc>
        <w:tc>
          <w:tcPr>
            <w:tcW w:w="1532" w:type="dxa"/>
            <w:noWrap w:val="0"/>
            <w:vAlign w:val="center"/>
          </w:tcPr>
          <w:p w14:paraId="07BA4F21">
            <w:pPr>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18"/>
                <w:lang w:val="en-US" w:eastAsia="zh-CN"/>
              </w:rPr>
              <w:t>+2.56</w:t>
            </w:r>
            <w:r>
              <w:rPr>
                <w:rFonts w:hint="eastAsia"/>
                <w:color w:val="auto"/>
                <w:sz w:val="18"/>
                <w:szCs w:val="18"/>
              </w:rPr>
              <w:t>t/a</w:t>
            </w:r>
          </w:p>
        </w:tc>
      </w:tr>
      <w:tr w14:paraId="09E3B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Merge w:val="continue"/>
            <w:tcBorders/>
            <w:noWrap w:val="0"/>
            <w:vAlign w:val="center"/>
          </w:tcPr>
          <w:p w14:paraId="4042AEEE">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eastAsia" w:ascii="Times New Roman" w:hAnsi="Times New Roman" w:eastAsia="宋体" w:cs="宋体"/>
                <w:snapToGrid w:val="0"/>
                <w:color w:val="auto"/>
                <w:kern w:val="21"/>
                <w:sz w:val="18"/>
                <w:szCs w:val="18"/>
                <w:highlight w:val="none"/>
                <w:lang w:val="en-US" w:eastAsia="zh-CN" w:bidi="ar-SA"/>
              </w:rPr>
            </w:pPr>
          </w:p>
        </w:tc>
        <w:tc>
          <w:tcPr>
            <w:tcW w:w="1984" w:type="dxa"/>
            <w:noWrap w:val="0"/>
            <w:vAlign w:val="center"/>
          </w:tcPr>
          <w:p w14:paraId="6D63C9F6">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宋体"/>
                <w:snapToGrid w:val="0"/>
                <w:color w:val="auto"/>
                <w:kern w:val="21"/>
                <w:sz w:val="18"/>
                <w:szCs w:val="18"/>
                <w:highlight w:val="none"/>
                <w:lang w:val="en-US" w:eastAsia="zh-CN"/>
              </w:rPr>
            </w:pPr>
            <w:r>
              <w:rPr>
                <w:rFonts w:hint="eastAsia" w:cs="Times New Roman"/>
                <w:color w:val="auto"/>
                <w:kern w:val="0"/>
                <w:sz w:val="18"/>
                <w:szCs w:val="18"/>
                <w:highlight w:val="none"/>
                <w:lang w:val="en-US" w:eastAsia="zh-CN" w:bidi="ar"/>
              </w:rPr>
              <w:t>生活垃圾</w:t>
            </w:r>
            <w:r>
              <w:rPr>
                <w:rFonts w:hint="eastAsia" w:cs="宋体"/>
                <w:snapToGrid w:val="0"/>
                <w:color w:val="auto"/>
                <w:kern w:val="21"/>
                <w:sz w:val="18"/>
                <w:szCs w:val="18"/>
                <w:highlight w:val="none"/>
                <w:lang w:val="en-US" w:eastAsia="zh-CN"/>
              </w:rPr>
              <w:t>（t/a）</w:t>
            </w:r>
          </w:p>
        </w:tc>
        <w:tc>
          <w:tcPr>
            <w:tcW w:w="1701" w:type="dxa"/>
            <w:noWrap w:val="0"/>
            <w:vAlign w:val="center"/>
          </w:tcPr>
          <w:p w14:paraId="426E120F">
            <w:pPr>
              <w:overflowPunct/>
              <w:autoSpaceDE/>
              <w:autoSpaceDN/>
              <w:adjustRightInd/>
              <w:snapToGrid/>
              <w:spacing w:before="0" w:after="0" w:line="240" w:lineRule="auto"/>
              <w:ind w:left="0" w:leftChars="0" w:right="0" w:rightChars="0" w:firstLine="0" w:firstLineChars="0"/>
              <w:jc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276" w:type="dxa"/>
            <w:noWrap w:val="0"/>
            <w:vAlign w:val="center"/>
          </w:tcPr>
          <w:p w14:paraId="035FE3FC">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366" w:type="dxa"/>
            <w:noWrap w:val="0"/>
            <w:vAlign w:val="center"/>
          </w:tcPr>
          <w:p w14:paraId="78B46833">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586" w:type="dxa"/>
            <w:noWrap w:val="0"/>
            <w:vAlign w:val="center"/>
          </w:tcPr>
          <w:p w14:paraId="11B0E514">
            <w:pPr>
              <w:pStyle w:val="46"/>
              <w:ind w:firstLine="0" w:firstLineChars="0"/>
              <w:jc w:val="center"/>
              <w:rPr>
                <w:rFonts w:hint="eastAsia" w:cs="Times New Roman"/>
                <w:color w:val="auto"/>
                <w:kern w:val="0"/>
                <w:sz w:val="18"/>
                <w:szCs w:val="18"/>
                <w:highlight w:val="none"/>
                <w:lang w:val="en-US" w:eastAsia="zh-CN" w:bidi="ar"/>
              </w:rPr>
            </w:pPr>
            <w:r>
              <w:rPr>
                <w:rFonts w:hint="eastAsia"/>
                <w:color w:val="auto"/>
                <w:sz w:val="18"/>
                <w:szCs w:val="18"/>
                <w:lang w:val="en-US" w:eastAsia="zh-CN"/>
              </w:rPr>
              <w:t>3.6</w:t>
            </w:r>
            <w:r>
              <w:rPr>
                <w:rFonts w:hint="eastAsia"/>
                <w:color w:val="auto"/>
                <w:sz w:val="18"/>
                <w:szCs w:val="18"/>
              </w:rPr>
              <w:t>t/a</w:t>
            </w:r>
          </w:p>
        </w:tc>
        <w:tc>
          <w:tcPr>
            <w:tcW w:w="1468" w:type="dxa"/>
            <w:noWrap w:val="0"/>
            <w:vAlign w:val="center"/>
          </w:tcPr>
          <w:p w14:paraId="33CA7B81">
            <w:pPr>
              <w:overflowPunct/>
              <w:autoSpaceDE/>
              <w:autoSpaceDN/>
              <w:adjustRightInd/>
              <w:snapToGrid/>
              <w:spacing w:before="0" w:after="0" w:line="240" w:lineRule="auto"/>
              <w:ind w:left="0" w:leftChars="0" w:right="0" w:rightChars="0" w:firstLine="0" w:firstLineChars="0"/>
              <w:jc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854" w:type="dxa"/>
            <w:noWrap w:val="0"/>
            <w:vAlign w:val="center"/>
          </w:tcPr>
          <w:p w14:paraId="461D621F">
            <w:pPr>
              <w:pStyle w:val="46"/>
              <w:ind w:firstLine="0" w:firstLineChars="0"/>
              <w:jc w:val="center"/>
              <w:rPr>
                <w:rFonts w:hint="eastAsia" w:cs="Times New Roman"/>
                <w:color w:val="auto"/>
                <w:kern w:val="0"/>
                <w:sz w:val="18"/>
                <w:szCs w:val="18"/>
                <w:highlight w:val="none"/>
                <w:lang w:val="en-US" w:eastAsia="zh-CN" w:bidi="ar"/>
              </w:rPr>
            </w:pPr>
            <w:r>
              <w:rPr>
                <w:rFonts w:hint="eastAsia"/>
                <w:color w:val="auto"/>
                <w:sz w:val="18"/>
                <w:szCs w:val="18"/>
                <w:lang w:val="en-US" w:eastAsia="zh-CN"/>
              </w:rPr>
              <w:t>3.6</w:t>
            </w:r>
            <w:r>
              <w:rPr>
                <w:rFonts w:hint="eastAsia"/>
                <w:color w:val="auto"/>
                <w:sz w:val="18"/>
                <w:szCs w:val="18"/>
              </w:rPr>
              <w:t>t/a</w:t>
            </w:r>
          </w:p>
        </w:tc>
        <w:tc>
          <w:tcPr>
            <w:tcW w:w="1532" w:type="dxa"/>
            <w:noWrap w:val="0"/>
            <w:vAlign w:val="center"/>
          </w:tcPr>
          <w:p w14:paraId="5927F9EF">
            <w:pPr>
              <w:pStyle w:val="46"/>
              <w:ind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18"/>
                <w:lang w:val="en-US" w:eastAsia="zh-CN"/>
              </w:rPr>
              <w:t>+3.6</w:t>
            </w:r>
            <w:r>
              <w:rPr>
                <w:rFonts w:hint="eastAsia"/>
                <w:color w:val="auto"/>
                <w:sz w:val="18"/>
                <w:szCs w:val="18"/>
              </w:rPr>
              <w:t>t/a</w:t>
            </w:r>
          </w:p>
        </w:tc>
      </w:tr>
      <w:tr w14:paraId="65E72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noWrap w:val="0"/>
            <w:vAlign w:val="center"/>
          </w:tcPr>
          <w:p w14:paraId="69783043">
            <w:pPr>
              <w:widowControl w:val="0"/>
              <w:overflowPunct w:val="0"/>
              <w:autoSpaceDE w:val="0"/>
              <w:autoSpaceDN w:val="0"/>
              <w:adjustRightInd w:val="0"/>
              <w:snapToGrid w:val="0"/>
              <w:spacing w:before="0" w:beforeLines="0" w:after="0" w:afterLines="0" w:line="240" w:lineRule="auto"/>
              <w:ind w:left="0" w:leftChars="0" w:right="0" w:firstLine="0" w:firstLineChars="0"/>
              <w:jc w:val="center"/>
              <w:rPr>
                <w:rFonts w:hint="default" w:ascii="Times New Roman" w:hAnsi="Times New Roman" w:eastAsia="宋体" w:cs="宋体"/>
                <w:snapToGrid w:val="0"/>
                <w:color w:val="auto"/>
                <w:kern w:val="21"/>
                <w:sz w:val="18"/>
                <w:szCs w:val="18"/>
                <w:highlight w:val="none"/>
                <w:lang w:val="en-US" w:eastAsia="zh-CN" w:bidi="ar-SA"/>
              </w:rPr>
            </w:pPr>
            <w:r>
              <w:rPr>
                <w:rFonts w:hint="eastAsia" w:cs="宋体"/>
                <w:snapToGrid w:val="0"/>
                <w:color w:val="auto"/>
                <w:kern w:val="21"/>
                <w:sz w:val="18"/>
                <w:szCs w:val="18"/>
                <w:highlight w:val="none"/>
                <w:lang w:val="en-US" w:eastAsia="zh-CN" w:bidi="ar-SA"/>
              </w:rPr>
              <w:t>危险废物</w:t>
            </w:r>
          </w:p>
        </w:tc>
        <w:tc>
          <w:tcPr>
            <w:tcW w:w="1984" w:type="dxa"/>
            <w:noWrap w:val="0"/>
            <w:vAlign w:val="center"/>
          </w:tcPr>
          <w:p w14:paraId="49517290">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宋体"/>
                <w:snapToGrid w:val="0"/>
                <w:color w:val="auto"/>
                <w:kern w:val="21"/>
                <w:sz w:val="18"/>
                <w:szCs w:val="18"/>
                <w:highlight w:val="none"/>
                <w:lang w:val="en-US" w:eastAsia="zh-CN"/>
              </w:rPr>
            </w:pPr>
            <w:r>
              <w:rPr>
                <w:rFonts w:hint="eastAsia" w:cs="Times New Roman"/>
                <w:color w:val="auto"/>
                <w:kern w:val="0"/>
                <w:sz w:val="18"/>
                <w:szCs w:val="18"/>
                <w:highlight w:val="none"/>
                <w:lang w:val="en-US" w:eastAsia="zh-CN" w:bidi="ar"/>
              </w:rPr>
              <w:t>废机油</w:t>
            </w:r>
            <w:r>
              <w:rPr>
                <w:rFonts w:hint="eastAsia" w:cs="宋体"/>
                <w:snapToGrid w:val="0"/>
                <w:color w:val="auto"/>
                <w:kern w:val="21"/>
                <w:sz w:val="18"/>
                <w:szCs w:val="18"/>
                <w:highlight w:val="none"/>
                <w:lang w:val="en-US" w:eastAsia="zh-CN"/>
              </w:rPr>
              <w:t>（t/a）</w:t>
            </w:r>
          </w:p>
        </w:tc>
        <w:tc>
          <w:tcPr>
            <w:tcW w:w="1701" w:type="dxa"/>
            <w:noWrap w:val="0"/>
            <w:vAlign w:val="center"/>
          </w:tcPr>
          <w:p w14:paraId="15FD41A9">
            <w:pPr>
              <w:overflowPunct/>
              <w:autoSpaceDE/>
              <w:autoSpaceDN/>
              <w:adjustRightInd/>
              <w:snapToGrid/>
              <w:spacing w:before="0" w:after="0" w:line="240" w:lineRule="auto"/>
              <w:ind w:left="0" w:leftChars="0" w:right="0" w:rightChars="0" w:firstLine="0" w:firstLineChars="0"/>
              <w:jc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276" w:type="dxa"/>
            <w:noWrap w:val="0"/>
            <w:vAlign w:val="center"/>
          </w:tcPr>
          <w:p w14:paraId="25C82317">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366" w:type="dxa"/>
            <w:noWrap w:val="0"/>
            <w:vAlign w:val="center"/>
          </w:tcPr>
          <w:p w14:paraId="4CA68AF8">
            <w:pPr>
              <w:keepNext w:val="0"/>
              <w:keepLines w:val="0"/>
              <w:widowControl/>
              <w:suppressLineNumbers w:val="0"/>
              <w:overflowPunct/>
              <w:autoSpaceDE/>
              <w:autoSpaceDN/>
              <w:adjustRightInd/>
              <w:snapToGrid/>
              <w:spacing w:before="0" w:after="0" w:line="240" w:lineRule="auto"/>
              <w:ind w:left="0" w:leftChars="0" w:right="0" w:rightChars="0" w:firstLine="0" w:firstLineChars="0"/>
              <w:jc w:val="center"/>
              <w:textAlignment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586" w:type="dxa"/>
            <w:noWrap w:val="0"/>
            <w:vAlign w:val="center"/>
          </w:tcPr>
          <w:p w14:paraId="474920F6">
            <w:pPr>
              <w:pStyle w:val="46"/>
              <w:ind w:firstLine="0" w:firstLineChars="0"/>
              <w:jc w:val="center"/>
              <w:rPr>
                <w:rFonts w:hint="eastAsia" w:cs="Times New Roman"/>
                <w:color w:val="auto"/>
                <w:kern w:val="0"/>
                <w:sz w:val="18"/>
                <w:szCs w:val="18"/>
                <w:highlight w:val="none"/>
                <w:lang w:val="en-US" w:eastAsia="zh-CN" w:bidi="ar"/>
              </w:rPr>
            </w:pPr>
            <w:r>
              <w:rPr>
                <w:rFonts w:hint="eastAsia"/>
                <w:color w:val="auto"/>
                <w:sz w:val="18"/>
                <w:szCs w:val="18"/>
                <w:lang w:val="en-US" w:eastAsia="zh-CN"/>
              </w:rPr>
              <w:t>0.1</w:t>
            </w:r>
            <w:r>
              <w:rPr>
                <w:rFonts w:hint="eastAsia"/>
                <w:color w:val="auto"/>
                <w:sz w:val="18"/>
                <w:szCs w:val="18"/>
              </w:rPr>
              <w:t>t/a</w:t>
            </w:r>
          </w:p>
        </w:tc>
        <w:tc>
          <w:tcPr>
            <w:tcW w:w="1468" w:type="dxa"/>
            <w:noWrap w:val="0"/>
            <w:vAlign w:val="center"/>
          </w:tcPr>
          <w:p w14:paraId="0FACD79D">
            <w:pPr>
              <w:overflowPunct/>
              <w:autoSpaceDE/>
              <w:autoSpaceDN/>
              <w:adjustRightInd/>
              <w:snapToGrid/>
              <w:spacing w:before="0" w:after="0" w:line="240" w:lineRule="auto"/>
              <w:ind w:left="0" w:leftChars="0" w:right="0" w:rightChars="0" w:firstLine="0" w:firstLineChars="0"/>
              <w:jc w:val="center"/>
              <w:rPr>
                <w:rFonts w:hint="eastAsia" w:cs="宋体"/>
                <w:snapToGrid w:val="0"/>
                <w:color w:val="auto"/>
                <w:kern w:val="21"/>
                <w:sz w:val="18"/>
                <w:szCs w:val="18"/>
                <w:highlight w:val="none"/>
                <w:lang w:val="en-US" w:eastAsia="zh-CN"/>
              </w:rPr>
            </w:pPr>
            <w:r>
              <w:rPr>
                <w:rFonts w:hint="eastAsia" w:cs="宋体"/>
                <w:snapToGrid w:val="0"/>
                <w:color w:val="auto"/>
                <w:kern w:val="21"/>
                <w:sz w:val="18"/>
                <w:szCs w:val="18"/>
                <w:highlight w:val="none"/>
                <w:lang w:val="en-US" w:eastAsia="zh-CN"/>
              </w:rPr>
              <w:t>/</w:t>
            </w:r>
          </w:p>
        </w:tc>
        <w:tc>
          <w:tcPr>
            <w:tcW w:w="1854" w:type="dxa"/>
            <w:noWrap w:val="0"/>
            <w:vAlign w:val="center"/>
          </w:tcPr>
          <w:p w14:paraId="103453B5">
            <w:pPr>
              <w:pStyle w:val="46"/>
              <w:ind w:firstLine="0" w:firstLineChars="0"/>
              <w:jc w:val="center"/>
              <w:rPr>
                <w:rFonts w:hint="eastAsia" w:cs="Times New Roman"/>
                <w:color w:val="auto"/>
                <w:kern w:val="0"/>
                <w:sz w:val="18"/>
                <w:szCs w:val="18"/>
                <w:highlight w:val="none"/>
                <w:lang w:val="en-US" w:eastAsia="zh-CN" w:bidi="ar"/>
              </w:rPr>
            </w:pPr>
            <w:r>
              <w:rPr>
                <w:rFonts w:hint="eastAsia"/>
                <w:color w:val="auto"/>
                <w:sz w:val="18"/>
                <w:szCs w:val="18"/>
                <w:lang w:val="en-US" w:eastAsia="zh-CN"/>
              </w:rPr>
              <w:t>0.1</w:t>
            </w:r>
            <w:r>
              <w:rPr>
                <w:rFonts w:hint="eastAsia"/>
                <w:color w:val="auto"/>
                <w:sz w:val="18"/>
                <w:szCs w:val="18"/>
              </w:rPr>
              <w:t>t/a</w:t>
            </w:r>
          </w:p>
        </w:tc>
        <w:tc>
          <w:tcPr>
            <w:tcW w:w="1532" w:type="dxa"/>
            <w:noWrap w:val="0"/>
            <w:vAlign w:val="center"/>
          </w:tcPr>
          <w:p w14:paraId="6B90EB39">
            <w:pPr>
              <w:pStyle w:val="46"/>
              <w:ind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olor w:val="auto"/>
                <w:sz w:val="18"/>
                <w:szCs w:val="18"/>
                <w:lang w:val="en-US" w:eastAsia="zh-CN"/>
              </w:rPr>
              <w:t>+0.1</w:t>
            </w:r>
            <w:r>
              <w:rPr>
                <w:rFonts w:hint="eastAsia"/>
                <w:color w:val="auto"/>
                <w:sz w:val="18"/>
                <w:szCs w:val="18"/>
              </w:rPr>
              <w:t>t/a</w:t>
            </w:r>
          </w:p>
        </w:tc>
      </w:tr>
      <w:bookmarkEnd w:id="93"/>
    </w:tbl>
    <w:p w14:paraId="3081481D">
      <w:pPr>
        <w:widowControl w:val="0"/>
        <w:spacing w:line="360" w:lineRule="exact"/>
        <w:jc w:val="center"/>
        <w:rPr>
          <w:rFonts w:ascii="Times New Roman" w:hAnsi="Times New Roman" w:eastAsia="宋体" w:cs="宋体"/>
          <w:snapToGrid w:val="0"/>
          <w:color w:val="auto"/>
          <w:sz w:val="24"/>
          <w:szCs w:val="21"/>
          <w:lang w:val="en-US" w:eastAsia="zh-CN" w:bidi="ar-SA"/>
        </w:rPr>
      </w:pPr>
    </w:p>
    <w:p w14:paraId="175E1A1B">
      <w:pPr>
        <w:pStyle w:val="26"/>
        <w:rPr>
          <w:color w:val="auto"/>
          <w:lang w:val="en-US" w:eastAsia="zh-CN"/>
        </w:rPr>
        <w:sectPr>
          <w:headerReference r:id="rId13" w:type="default"/>
          <w:footerReference r:id="rId14"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08F4161">
      <w:pPr>
        <w:pStyle w:val="26"/>
        <w:rPr>
          <w:color w:val="auto"/>
          <w:lang w:val="en-US" w:eastAsia="zh-CN"/>
        </w:rPr>
      </w:pPr>
    </w:p>
    <w:p w14:paraId="304746E6">
      <w:pPr>
        <w:rPr>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6"/>
    <w:family w:val="swiss"/>
    <w:pitch w:val="default"/>
    <w:sig w:usb0="F7FFAEFF" w:usb1="F9DFFFFF" w:usb2="0000007F" w:usb3="00000000" w:csb0="203F01FF" w:csb1="DFFF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96487">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852EB">
    <w:pPr>
      <w:widowControl w:val="0"/>
      <w:overflowPunct w:val="0"/>
      <w:autoSpaceDE w:val="0"/>
      <w:autoSpaceDN w:val="0"/>
      <w:adjustRightInd w:val="0"/>
      <w:snapToGrid w:val="0"/>
      <w:spacing w:before="0" w:after="0" w:line="500" w:lineRule="exact"/>
      <w:ind w:left="0" w:right="0" w:firstLine="360" w:firstLineChars="200"/>
      <w:jc w:val="left"/>
      <w:rPr>
        <w:rFonts w:ascii="Times New Roman" w:hAnsi="Times New Roman" w:eastAsia="宋体" w:cs="宋体"/>
        <w:sz w:val="18"/>
        <w:szCs w:val="22"/>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FFAB9">
    <w:pPr>
      <w:widowControl w:val="0"/>
      <w:overflowPunct w:val="0"/>
      <w:autoSpaceDE w:val="0"/>
      <w:autoSpaceDN w:val="0"/>
      <w:adjustRightInd w:val="0"/>
      <w:snapToGrid w:val="0"/>
      <w:spacing w:before="0" w:after="0" w:line="500" w:lineRule="exact"/>
      <w:ind w:left="0" w:right="0" w:firstLine="360" w:firstLineChars="200"/>
      <w:jc w:val="left"/>
      <w:rPr>
        <w:rFonts w:ascii="Times New Roman" w:hAnsi="Times New Roman" w:eastAsia="宋体" w:cs="宋体"/>
        <w:sz w:val="18"/>
        <w:szCs w:val="22"/>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5DB7C">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FF5DB7C">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DC617">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85062">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hty45AgAAc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rhty45AgAAcwQAAA4AAAAAAAAAAQAgAAAAHwEAAGRycy9lMm9Eb2Mu&#10;eG1sUEsFBgAAAAAGAAYAWQEAAMoFAAAAAA==&#10;">
              <v:fill on="f" focussize="0,0"/>
              <v:stroke on="f" weight="0.5pt"/>
              <v:imagedata o:title=""/>
              <o:lock v:ext="edit" aspectratio="f"/>
              <v:textbox inset="0mm,0mm,0mm,0mm" style="mso-fit-shape-to-text:t;">
                <w:txbxContent>
                  <w:p w14:paraId="1DD85062">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450A0">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0D589">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5880D589">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1C472">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091CC">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3FF091CC">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37FC0">
    <w:pPr>
      <w:widowControl w:val="0"/>
      <w:overflowPunct w:val="0"/>
      <w:autoSpaceDE w:val="0"/>
      <w:autoSpaceDN w:val="0"/>
      <w:adjustRightInd w:val="0"/>
      <w:snapToGrid w:val="0"/>
      <w:spacing w:before="0" w:after="0" w:line="500" w:lineRule="exact"/>
      <w:ind w:left="0" w:right="0" w:firstLine="360" w:firstLineChars="200"/>
      <w:jc w:val="center"/>
      <w:rPr>
        <w:rFonts w:hint="eastAsia" w:ascii="宋体" w:hAnsi="宋体" w:eastAsia="宋体" w:cs="宋体"/>
        <w:sz w:val="18"/>
        <w:szCs w:val="22"/>
        <w:lang w:val="en-US" w:eastAsia="zh-CN" w:bidi="ar-SA"/>
      </w:rPr>
    </w:pPr>
    <w:r>
      <w:rPr>
        <w:rFonts w:ascii="Times New Roman" w:hAnsi="Times New Roman" w:eastAsia="宋体" w:cs="宋体"/>
        <w:sz w:val="18"/>
        <w:szCs w:val="22"/>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E6AE0">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441E6AE0">
                    <w:pPr>
                      <w:widowControl w:val="0"/>
                      <w:overflowPunct w:val="0"/>
                      <w:autoSpaceDE w:val="0"/>
                      <w:autoSpaceDN w:val="0"/>
                      <w:adjustRightInd w:val="0"/>
                      <w:snapToGrid w:val="0"/>
                      <w:spacing w:before="0" w:after="0" w:line="500" w:lineRule="exact"/>
                      <w:ind w:left="0" w:right="0" w:firstLine="420" w:firstLineChars="200"/>
                      <w:jc w:val="center"/>
                      <w:rPr>
                        <w:rFonts w:ascii="Times New Roman" w:hAnsi="Times New Roman" w:eastAsia="宋体" w:cs="宋体"/>
                        <w:sz w:val="21"/>
                        <w:szCs w:val="21"/>
                        <w:lang w:val="en-US" w:eastAsia="zh-CN" w:bidi="ar-SA"/>
                      </w:rPr>
                    </w:pPr>
                    <w:r>
                      <w:rPr>
                        <w:rFonts w:hint="default" w:ascii="Times New Roman" w:hAnsi="Times New Roman" w:eastAsia="宋体" w:cs="Times New Roman"/>
                        <w:sz w:val="21"/>
                        <w:szCs w:val="21"/>
                        <w:lang w:val="en-US" w:eastAsia="zh-CN" w:bidi="ar-SA"/>
                      </w:rPr>
                      <w:fldChar w:fldCharType="begin"/>
                    </w:r>
                    <w:r>
                      <w:rPr>
                        <w:rFonts w:hint="default" w:ascii="Times New Roman" w:hAnsi="Times New Roman" w:eastAsia="宋体" w:cs="Times New Roman"/>
                        <w:sz w:val="21"/>
                        <w:szCs w:val="21"/>
                        <w:lang w:val="en-US" w:eastAsia="zh-CN" w:bidi="ar-SA"/>
                      </w:rPr>
                      <w:instrText xml:space="preserve"> PAGE   \* MERGEFORMAT </w:instrText>
                    </w:r>
                    <w:r>
                      <w:rPr>
                        <w:rFonts w:hint="default" w:ascii="Times New Roman" w:hAnsi="Times New Roman" w:eastAsia="宋体" w:cs="Times New Roman"/>
                        <w:sz w:val="21"/>
                        <w:szCs w:val="21"/>
                        <w:lang w:val="en-US" w:eastAsia="zh-CN" w:bidi="ar-SA"/>
                      </w:rPr>
                      <w:fldChar w:fldCharType="separate"/>
                    </w:r>
                    <w:r>
                      <w:rPr>
                        <w:rFonts w:hint="default" w:ascii="Times New Roman" w:hAnsi="Times New Roman" w:eastAsia="宋体" w:cs="Times New Roman"/>
                        <w:sz w:val="21"/>
                        <w:szCs w:val="21"/>
                        <w:lang w:val="zh-CN" w:eastAsia="zh-CN" w:bidi="ar-SA"/>
                      </w:rPr>
                      <w:t>39</w:t>
                    </w:r>
                    <w:r>
                      <w:rPr>
                        <w:rFonts w:hint="default" w:ascii="Times New Roman" w:hAnsi="Times New Roman" w:eastAsia="宋体" w:cs="Times New Roman"/>
                        <w:sz w:val="21"/>
                        <w:szCs w:val="21"/>
                        <w:lang w:val="en-US" w:eastAsia="zh-CN" w:bidi="ar-S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5E802">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21A8C">
    <w:pPr>
      <w:widowControl w:val="0"/>
      <w:pBdr>
        <w:bottom w:val="none" w:color="auto" w:sz="0" w:space="1"/>
      </w:pBdr>
      <w:overflowPunct w:val="0"/>
      <w:autoSpaceDE w:val="0"/>
      <w:autoSpaceDN w:val="0"/>
      <w:adjustRightInd w:val="0"/>
      <w:snapToGrid w:val="0"/>
      <w:spacing w:before="0" w:after="0" w:line="240" w:lineRule="atLeast"/>
      <w:ind w:left="0" w:right="0" w:firstLine="360" w:firstLineChars="200"/>
      <w:jc w:val="center"/>
      <w:rPr>
        <w:rFonts w:ascii="Times New Roman" w:hAnsi="Times New Roman" w:eastAsia="宋体" w:cs="宋体"/>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DF6BB">
    <w:pPr>
      <w:widowControl w:val="0"/>
      <w:pBdr>
        <w:bottom w:val="none" w:color="auto" w:sz="0" w:space="1"/>
      </w:pBdr>
      <w:overflowPunct w:val="0"/>
      <w:autoSpaceDE w:val="0"/>
      <w:autoSpaceDN w:val="0"/>
      <w:adjustRightInd w:val="0"/>
      <w:snapToGrid w:val="0"/>
      <w:spacing w:before="0" w:after="0" w:line="240" w:lineRule="atLeast"/>
      <w:ind w:left="0" w:right="0" w:firstLine="360" w:firstLineChars="200"/>
      <w:jc w:val="center"/>
      <w:rPr>
        <w:rFonts w:ascii="Times New Roman" w:hAnsi="Times New Roman" w:eastAsia="宋体" w:cs="宋体"/>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4F237"/>
    <w:multiLevelType w:val="singleLevel"/>
    <w:tmpl w:val="B044F237"/>
    <w:lvl w:ilvl="0" w:tentative="0">
      <w:start w:val="1"/>
      <w:numFmt w:val="decimal"/>
      <w:suff w:val="nothing"/>
      <w:lvlText w:val="（%1）"/>
      <w:lvlJc w:val="left"/>
    </w:lvl>
  </w:abstractNum>
  <w:abstractNum w:abstractNumId="1">
    <w:nsid w:val="B8F8F5AC"/>
    <w:multiLevelType w:val="singleLevel"/>
    <w:tmpl w:val="B8F8F5AC"/>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2">
    <w:nsid w:val="215BDC7C"/>
    <w:multiLevelType w:val="singleLevel"/>
    <w:tmpl w:val="215BDC7C"/>
    <w:lvl w:ilvl="0" w:tentative="0">
      <w:start w:val="2"/>
      <w:numFmt w:val="chineseCounting"/>
      <w:suff w:val="nothing"/>
      <w:lvlText w:val="%1、"/>
      <w:lvlJc w:val="left"/>
      <w:rPr>
        <w:rFonts w:hint="eastAsia"/>
      </w:rPr>
    </w:lvl>
  </w:abstractNum>
  <w:abstractNum w:abstractNumId="3">
    <w:nsid w:val="5E2B1243"/>
    <w:multiLevelType w:val="singleLevel"/>
    <w:tmpl w:val="5E2B1243"/>
    <w:lvl w:ilvl="0" w:tentative="0">
      <w:start w:val="3"/>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zY2Q4YzRmYjkyODc1OGJlZDM2YWFkNmZkNWEzODAifQ=="/>
  </w:docVars>
  <w:rsids>
    <w:rsidRoot w:val="539D7B05"/>
    <w:rsid w:val="003773F4"/>
    <w:rsid w:val="011F11B5"/>
    <w:rsid w:val="01203C5D"/>
    <w:rsid w:val="012F2443"/>
    <w:rsid w:val="01AE0253"/>
    <w:rsid w:val="01B07533"/>
    <w:rsid w:val="01B110AA"/>
    <w:rsid w:val="02201D8C"/>
    <w:rsid w:val="02663EAD"/>
    <w:rsid w:val="02A91D81"/>
    <w:rsid w:val="039446EB"/>
    <w:rsid w:val="045126D0"/>
    <w:rsid w:val="048B3E34"/>
    <w:rsid w:val="04BD2353"/>
    <w:rsid w:val="04EF2CC5"/>
    <w:rsid w:val="062D74A1"/>
    <w:rsid w:val="066E3EF9"/>
    <w:rsid w:val="069E459F"/>
    <w:rsid w:val="07A77979"/>
    <w:rsid w:val="08C6368D"/>
    <w:rsid w:val="08D76D8D"/>
    <w:rsid w:val="08EE6740"/>
    <w:rsid w:val="09A65537"/>
    <w:rsid w:val="09CF713E"/>
    <w:rsid w:val="0A1042DF"/>
    <w:rsid w:val="0AF0630D"/>
    <w:rsid w:val="0B9045F4"/>
    <w:rsid w:val="0C2C37FB"/>
    <w:rsid w:val="0C5530F9"/>
    <w:rsid w:val="0C9475FE"/>
    <w:rsid w:val="0CAB20B4"/>
    <w:rsid w:val="0D464D9C"/>
    <w:rsid w:val="0D8836E4"/>
    <w:rsid w:val="0DB859E5"/>
    <w:rsid w:val="0E330C11"/>
    <w:rsid w:val="0EA855E3"/>
    <w:rsid w:val="0FDA5C70"/>
    <w:rsid w:val="11447845"/>
    <w:rsid w:val="12B54D84"/>
    <w:rsid w:val="12D27425"/>
    <w:rsid w:val="13946A5D"/>
    <w:rsid w:val="13CC58CF"/>
    <w:rsid w:val="13D2407A"/>
    <w:rsid w:val="13DD6D7C"/>
    <w:rsid w:val="1437543F"/>
    <w:rsid w:val="148F403D"/>
    <w:rsid w:val="15A37511"/>
    <w:rsid w:val="15FA6315"/>
    <w:rsid w:val="1720407D"/>
    <w:rsid w:val="181618CB"/>
    <w:rsid w:val="18683FA1"/>
    <w:rsid w:val="18947C6B"/>
    <w:rsid w:val="1A425325"/>
    <w:rsid w:val="1A817A5A"/>
    <w:rsid w:val="1AFC6A9A"/>
    <w:rsid w:val="1B416BA3"/>
    <w:rsid w:val="1B4F44C9"/>
    <w:rsid w:val="1B542D7A"/>
    <w:rsid w:val="1B8F18BE"/>
    <w:rsid w:val="1B9C5F72"/>
    <w:rsid w:val="1C396857"/>
    <w:rsid w:val="1CF7677A"/>
    <w:rsid w:val="1D1F1166"/>
    <w:rsid w:val="1D2B4CB8"/>
    <w:rsid w:val="1D6A1F13"/>
    <w:rsid w:val="1E4225C4"/>
    <w:rsid w:val="1EBB6C6C"/>
    <w:rsid w:val="1F0D396C"/>
    <w:rsid w:val="1F451951"/>
    <w:rsid w:val="1F813A12"/>
    <w:rsid w:val="203B0065"/>
    <w:rsid w:val="20EE1E64"/>
    <w:rsid w:val="211E4301"/>
    <w:rsid w:val="21911029"/>
    <w:rsid w:val="22A9604A"/>
    <w:rsid w:val="232A616E"/>
    <w:rsid w:val="23452FA8"/>
    <w:rsid w:val="254774AC"/>
    <w:rsid w:val="254A0D4A"/>
    <w:rsid w:val="25783B09"/>
    <w:rsid w:val="261D66B2"/>
    <w:rsid w:val="27347BF2"/>
    <w:rsid w:val="2749750B"/>
    <w:rsid w:val="2754582F"/>
    <w:rsid w:val="27E02E0D"/>
    <w:rsid w:val="29346260"/>
    <w:rsid w:val="2A73319F"/>
    <w:rsid w:val="2C9E41D9"/>
    <w:rsid w:val="2CDB6790"/>
    <w:rsid w:val="2D524C40"/>
    <w:rsid w:val="2EC456C9"/>
    <w:rsid w:val="2ED05488"/>
    <w:rsid w:val="2F0C72DB"/>
    <w:rsid w:val="2F6915D5"/>
    <w:rsid w:val="2F84256B"/>
    <w:rsid w:val="30141F9B"/>
    <w:rsid w:val="310B054F"/>
    <w:rsid w:val="31163AA2"/>
    <w:rsid w:val="31723B02"/>
    <w:rsid w:val="31E11CA7"/>
    <w:rsid w:val="32951856"/>
    <w:rsid w:val="32D210DE"/>
    <w:rsid w:val="33E069AA"/>
    <w:rsid w:val="344B639C"/>
    <w:rsid w:val="35774A21"/>
    <w:rsid w:val="358362DE"/>
    <w:rsid w:val="35F40921"/>
    <w:rsid w:val="37DC56CD"/>
    <w:rsid w:val="38064FA4"/>
    <w:rsid w:val="395C1320"/>
    <w:rsid w:val="3A43428E"/>
    <w:rsid w:val="3AB605BC"/>
    <w:rsid w:val="3E014244"/>
    <w:rsid w:val="3EAE3073"/>
    <w:rsid w:val="3EC50CA2"/>
    <w:rsid w:val="3F104626"/>
    <w:rsid w:val="3F2F4DE1"/>
    <w:rsid w:val="3F4563B2"/>
    <w:rsid w:val="40CC33E3"/>
    <w:rsid w:val="415B68B6"/>
    <w:rsid w:val="41611034"/>
    <w:rsid w:val="41923405"/>
    <w:rsid w:val="423C074B"/>
    <w:rsid w:val="42B3373C"/>
    <w:rsid w:val="433A4470"/>
    <w:rsid w:val="43B32905"/>
    <w:rsid w:val="45340C72"/>
    <w:rsid w:val="4547407C"/>
    <w:rsid w:val="455D3C05"/>
    <w:rsid w:val="4693720F"/>
    <w:rsid w:val="46F752D4"/>
    <w:rsid w:val="486A0C38"/>
    <w:rsid w:val="48C178A9"/>
    <w:rsid w:val="49160ED8"/>
    <w:rsid w:val="49920446"/>
    <w:rsid w:val="49C425B4"/>
    <w:rsid w:val="49EB0756"/>
    <w:rsid w:val="4AB60164"/>
    <w:rsid w:val="4AC73BB8"/>
    <w:rsid w:val="4B531E57"/>
    <w:rsid w:val="4BED22AB"/>
    <w:rsid w:val="4BF81778"/>
    <w:rsid w:val="4BFC5519"/>
    <w:rsid w:val="4C7B3AB4"/>
    <w:rsid w:val="4D3C2089"/>
    <w:rsid w:val="4E0F189C"/>
    <w:rsid w:val="4F0E056F"/>
    <w:rsid w:val="508C47B1"/>
    <w:rsid w:val="50B67110"/>
    <w:rsid w:val="50BE73D4"/>
    <w:rsid w:val="50E53551"/>
    <w:rsid w:val="512137F5"/>
    <w:rsid w:val="51E42035"/>
    <w:rsid w:val="52C84536"/>
    <w:rsid w:val="52FE4D9E"/>
    <w:rsid w:val="533A5BFF"/>
    <w:rsid w:val="538232D9"/>
    <w:rsid w:val="539D7B05"/>
    <w:rsid w:val="547F6E00"/>
    <w:rsid w:val="5532282F"/>
    <w:rsid w:val="554D1443"/>
    <w:rsid w:val="56002BDB"/>
    <w:rsid w:val="5878114F"/>
    <w:rsid w:val="587A07F0"/>
    <w:rsid w:val="58A9755A"/>
    <w:rsid w:val="594009A6"/>
    <w:rsid w:val="59905BC2"/>
    <w:rsid w:val="5A3F654E"/>
    <w:rsid w:val="5A4A688C"/>
    <w:rsid w:val="5A8F0C41"/>
    <w:rsid w:val="5AB70FE9"/>
    <w:rsid w:val="5ADA1D08"/>
    <w:rsid w:val="5BCF1086"/>
    <w:rsid w:val="5BE34B31"/>
    <w:rsid w:val="5C476A2F"/>
    <w:rsid w:val="5CB65E49"/>
    <w:rsid w:val="5D284EF1"/>
    <w:rsid w:val="5D394B3F"/>
    <w:rsid w:val="5D534216"/>
    <w:rsid w:val="5DBB72EF"/>
    <w:rsid w:val="5E8E7C6F"/>
    <w:rsid w:val="62255EA3"/>
    <w:rsid w:val="62684C63"/>
    <w:rsid w:val="62BC7E8A"/>
    <w:rsid w:val="632B1C79"/>
    <w:rsid w:val="63F220F3"/>
    <w:rsid w:val="642B176B"/>
    <w:rsid w:val="643A3E2C"/>
    <w:rsid w:val="651F307E"/>
    <w:rsid w:val="672F50CE"/>
    <w:rsid w:val="674179AC"/>
    <w:rsid w:val="67876CB8"/>
    <w:rsid w:val="68062C4B"/>
    <w:rsid w:val="684552C8"/>
    <w:rsid w:val="68F34B79"/>
    <w:rsid w:val="69E679D9"/>
    <w:rsid w:val="6A1A02B8"/>
    <w:rsid w:val="6A68469B"/>
    <w:rsid w:val="6B4B4A33"/>
    <w:rsid w:val="6C627CF4"/>
    <w:rsid w:val="6D486EEA"/>
    <w:rsid w:val="6D616C46"/>
    <w:rsid w:val="6E826660"/>
    <w:rsid w:val="6EF70BC7"/>
    <w:rsid w:val="6F0F5516"/>
    <w:rsid w:val="6F6A28FA"/>
    <w:rsid w:val="6FE27182"/>
    <w:rsid w:val="70375B9C"/>
    <w:rsid w:val="7053007F"/>
    <w:rsid w:val="70926DFA"/>
    <w:rsid w:val="70D86167"/>
    <w:rsid w:val="71145489"/>
    <w:rsid w:val="712D1947"/>
    <w:rsid w:val="714627EA"/>
    <w:rsid w:val="718F50E7"/>
    <w:rsid w:val="71BE777B"/>
    <w:rsid w:val="71F41E98"/>
    <w:rsid w:val="72227D09"/>
    <w:rsid w:val="72420550"/>
    <w:rsid w:val="72BA6194"/>
    <w:rsid w:val="73077EF9"/>
    <w:rsid w:val="73C80D84"/>
    <w:rsid w:val="73E05878"/>
    <w:rsid w:val="742C1313"/>
    <w:rsid w:val="74540551"/>
    <w:rsid w:val="747F7695"/>
    <w:rsid w:val="748667BE"/>
    <w:rsid w:val="74905ACD"/>
    <w:rsid w:val="75657150"/>
    <w:rsid w:val="76C438CF"/>
    <w:rsid w:val="77213E4E"/>
    <w:rsid w:val="782A5B6A"/>
    <w:rsid w:val="782F5B06"/>
    <w:rsid w:val="786E4A29"/>
    <w:rsid w:val="79320449"/>
    <w:rsid w:val="7A535995"/>
    <w:rsid w:val="7AA10E9B"/>
    <w:rsid w:val="7B0A5DE5"/>
    <w:rsid w:val="7B914CB4"/>
    <w:rsid w:val="7BD9615B"/>
    <w:rsid w:val="7C226173"/>
    <w:rsid w:val="7C5A1851"/>
    <w:rsid w:val="7C945CA8"/>
    <w:rsid w:val="7CC61BD9"/>
    <w:rsid w:val="7D272574"/>
    <w:rsid w:val="7D4F1BCF"/>
    <w:rsid w:val="7D8C520B"/>
    <w:rsid w:val="7E0F4C64"/>
    <w:rsid w:val="7E30325B"/>
    <w:rsid w:val="7ED640AD"/>
    <w:rsid w:val="7FC5096B"/>
    <w:rsid w:val="7FE606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20" w:lineRule="exact"/>
      <w:jc w:val="both"/>
    </w:pPr>
    <w:rPr>
      <w:rFonts w:ascii="Times New Roman" w:hAnsi="Times New Roman" w:eastAsia="宋体" w:cs="宋体"/>
      <w:color w:val="auto"/>
      <w:sz w:val="24"/>
      <w:szCs w:val="22"/>
      <w:lang w:val="en-US" w:eastAsia="zh-CN" w:bidi="ar-SA"/>
    </w:rPr>
  </w:style>
  <w:style w:type="paragraph" w:styleId="2">
    <w:name w:val="heading 1"/>
    <w:basedOn w:val="1"/>
    <w:next w:val="1"/>
    <w:autoRedefine/>
    <w:qFormat/>
    <w:uiPriority w:val="0"/>
    <w:pPr>
      <w:keepNext/>
      <w:ind w:firstLine="1619" w:firstLineChars="547"/>
      <w:outlineLvl w:val="0"/>
    </w:pPr>
    <w:rPr>
      <w:rFonts w:hint="eastAsia" w:ascii="宋体" w:hAnsi="宋体" w:cs="Arial Unicode MS"/>
      <w:spacing w:val="8"/>
      <w:sz w:val="28"/>
    </w:rPr>
  </w:style>
  <w:style w:type="paragraph" w:styleId="3">
    <w:name w:val="heading 2"/>
    <w:basedOn w:val="1"/>
    <w:next w:val="1"/>
    <w:autoRedefine/>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unhideWhenUsed/>
    <w:qFormat/>
    <w:uiPriority w:val="0"/>
    <w:pPr>
      <w:keepNext w:val="0"/>
      <w:keepLines w:val="0"/>
      <w:spacing w:line="500" w:lineRule="exact"/>
      <w:outlineLvl w:val="2"/>
    </w:pPr>
    <w:rPr>
      <w:rFonts w:ascii="Times New Roman" w:hAnsi="Times New Roman" w:eastAsia="宋体"/>
      <w:b/>
      <w:sz w:val="24"/>
    </w:rPr>
  </w:style>
  <w:style w:type="paragraph" w:styleId="5">
    <w:name w:val="heading 4"/>
    <w:basedOn w:val="1"/>
    <w:next w:val="1"/>
    <w:autoRedefine/>
    <w:qFormat/>
    <w:uiPriority w:val="0"/>
    <w:pPr>
      <w:keepNext/>
      <w:keepLines/>
      <w:widowControl/>
      <w:spacing w:before="280" w:after="290" w:line="376" w:lineRule="atLeast"/>
      <w:outlineLvl w:val="3"/>
    </w:pPr>
    <w:rPr>
      <w:rFonts w:ascii="Arial" w:hAnsi="Arial"/>
      <w:b/>
      <w:bCs/>
      <w:szCs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ind w:firstLine="420"/>
    </w:pPr>
    <w:rPr>
      <w:szCs w:val="24"/>
    </w:rPr>
  </w:style>
  <w:style w:type="paragraph" w:styleId="7">
    <w:name w:val="annotation text"/>
    <w:basedOn w:val="1"/>
    <w:autoRedefine/>
    <w:qFormat/>
    <w:uiPriority w:val="0"/>
    <w:pPr>
      <w:jc w:val="left"/>
    </w:pPr>
  </w:style>
  <w:style w:type="paragraph" w:styleId="8">
    <w:name w:val="Body Text"/>
    <w:basedOn w:val="1"/>
    <w:next w:val="9"/>
    <w:autoRedefine/>
    <w:qFormat/>
    <w:uiPriority w:val="1"/>
    <w:rPr>
      <w:rFonts w:ascii="宋体" w:hAnsi="宋体"/>
      <w:szCs w:val="24"/>
    </w:rPr>
  </w:style>
  <w:style w:type="paragraph" w:styleId="9">
    <w:name w:val="List Bullet 5"/>
    <w:basedOn w:val="1"/>
    <w:qFormat/>
    <w:uiPriority w:val="0"/>
    <w:pPr>
      <w:numPr>
        <w:ilvl w:val="0"/>
        <w:numId w:val="1"/>
      </w:numPr>
    </w:pPr>
  </w:style>
  <w:style w:type="paragraph" w:styleId="10">
    <w:name w:val="Body Text Indent"/>
    <w:basedOn w:val="1"/>
    <w:next w:val="5"/>
    <w:autoRedefine/>
    <w:qFormat/>
    <w:uiPriority w:val="0"/>
    <w:pPr>
      <w:spacing w:after="120"/>
      <w:ind w:left="420" w:leftChars="200"/>
    </w:pPr>
  </w:style>
  <w:style w:type="paragraph" w:styleId="11">
    <w:name w:val="Plain Text"/>
    <w:basedOn w:val="1"/>
    <w:autoRedefine/>
    <w:qFormat/>
    <w:uiPriority w:val="0"/>
    <w:rPr>
      <w:rFonts w:ascii="宋体" w:hAnsi="Courier New"/>
      <w:szCs w:val="20"/>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autoRedefine/>
    <w:qFormat/>
    <w:uiPriority w:val="0"/>
  </w:style>
  <w:style w:type="paragraph" w:styleId="15">
    <w:name w:val="List"/>
    <w:basedOn w:val="1"/>
    <w:next w:val="1"/>
    <w:autoRedefine/>
    <w:qFormat/>
    <w:uiPriority w:val="0"/>
    <w:pPr>
      <w:widowControl w:val="0"/>
      <w:overflowPunct w:val="0"/>
      <w:autoSpaceDE w:val="0"/>
      <w:autoSpaceDN w:val="0"/>
      <w:adjustRightInd w:val="0"/>
      <w:snapToGrid w:val="0"/>
      <w:spacing w:line="360" w:lineRule="atLeast"/>
      <w:ind w:left="0" w:firstLine="0" w:firstLineChars="0"/>
      <w:jc w:val="center"/>
    </w:pPr>
    <w:rPr>
      <w:rFonts w:ascii="Times New Roman" w:hAnsi="Times New Roman" w:eastAsia="宋体" w:cs="Times New Roman"/>
      <w:kern w:val="2"/>
      <w:sz w:val="21"/>
      <w:szCs w:val="24"/>
      <w:lang w:val="en-US" w:eastAsia="zh-CN" w:bidi="ar-SA"/>
    </w:rPr>
  </w:style>
  <w:style w:type="paragraph" w:styleId="16">
    <w:name w:val="Body Text 2"/>
    <w:basedOn w:val="1"/>
    <w:autoRedefine/>
    <w:qFormat/>
    <w:uiPriority w:val="0"/>
    <w:pPr>
      <w:spacing w:after="120" w:afterLines="0" w:line="480" w:lineRule="auto"/>
    </w:pPr>
    <w:rPr>
      <w:rFonts w:eastAsia="仿宋_GB2312"/>
    </w:rPr>
  </w:style>
  <w:style w:type="paragraph" w:styleId="17">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ind w:firstLine="420" w:firstLineChars="100"/>
    </w:pPr>
  </w:style>
  <w:style w:type="paragraph" w:styleId="19">
    <w:name w:val="Body Text First Indent 2"/>
    <w:basedOn w:val="10"/>
    <w:next w:val="18"/>
    <w:autoRedefine/>
    <w:qFormat/>
    <w:uiPriority w:val="0"/>
    <w:pPr>
      <w:widowControl w:val="0"/>
      <w:autoSpaceDE/>
      <w:autoSpaceDN/>
      <w:adjustRightInd/>
      <w:spacing w:after="120" w:line="240" w:lineRule="auto"/>
      <w:ind w:left="420" w:leftChars="200" w:firstLine="420" w:firstLineChars="200"/>
      <w:jc w:val="both"/>
      <w:textAlignment w:val="auto"/>
    </w:pPr>
    <w:rPr>
      <w:kern w:val="2"/>
      <w:sz w:val="21"/>
      <w:szCs w:val="24"/>
      <w:lang w:eastAsia="zh-CN" w:bidi="ar-SA"/>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annotation reference"/>
    <w:autoRedefine/>
    <w:semiHidden/>
    <w:qFormat/>
    <w:uiPriority w:val="0"/>
    <w:rPr>
      <w:sz w:val="21"/>
    </w:rPr>
  </w:style>
  <w:style w:type="paragraph" w:customStyle="1" w:styleId="24">
    <w:name w:val="Default"/>
    <w:basedOn w:val="25"/>
    <w:next w:val="1"/>
    <w:autoRedefine/>
    <w:qFormat/>
    <w:uiPriority w:val="0"/>
    <w:pPr>
      <w:widowControl w:val="0"/>
      <w:tabs>
        <w:tab w:val="left" w:pos="1845"/>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纯文本1"/>
    <w:autoRedefine/>
    <w:qFormat/>
    <w:uiPriority w:val="0"/>
    <w:pPr>
      <w:widowControl w:val="0"/>
      <w:tabs>
        <w:tab w:val="left" w:pos="1845"/>
      </w:tabs>
      <w:spacing w:line="240" w:lineRule="exact"/>
      <w:jc w:val="center"/>
    </w:pPr>
    <w:rPr>
      <w:rFonts w:asciiTheme="minorHAnsi" w:hAnsiTheme="minorHAnsi" w:eastAsiaTheme="minorEastAsia" w:cstheme="minorBidi"/>
      <w:kern w:val="2"/>
      <w:sz w:val="18"/>
      <w:szCs w:val="24"/>
      <w:lang w:val="en-US" w:eastAsia="zh-CN" w:bidi="ar-SA"/>
    </w:rPr>
  </w:style>
  <w:style w:type="paragraph" w:customStyle="1" w:styleId="26">
    <w:name w:val="表格内"/>
    <w:basedOn w:val="27"/>
    <w:autoRedefine/>
    <w:qFormat/>
    <w:uiPriority w:val="0"/>
    <w:pPr>
      <w:spacing w:line="360" w:lineRule="exact"/>
      <w:jc w:val="center"/>
    </w:pPr>
    <w:rPr>
      <w:snapToGrid w:val="0"/>
      <w:szCs w:val="21"/>
    </w:rPr>
  </w:style>
  <w:style w:type="paragraph" w:customStyle="1" w:styleId="27">
    <w:name w:val="表文字"/>
    <w:basedOn w:val="1"/>
    <w:autoRedefine/>
    <w:qFormat/>
    <w:uiPriority w:val="0"/>
    <w:pPr>
      <w:overflowPunct w:val="0"/>
      <w:autoSpaceDE w:val="0"/>
      <w:autoSpaceDN w:val="0"/>
      <w:adjustRightInd w:val="0"/>
      <w:spacing w:line="240" w:lineRule="atLeast"/>
      <w:jc w:val="center"/>
      <w:textAlignment w:val="baseline"/>
    </w:pPr>
    <w:rPr>
      <w:rFonts w:eastAsia="仿宋_GB2312"/>
      <w:kern w:val="0"/>
      <w:sz w:val="24"/>
      <w:szCs w:val="20"/>
    </w:rPr>
  </w:style>
  <w:style w:type="paragraph" w:customStyle="1" w:styleId="28">
    <w:name w:val="Body Text 21"/>
    <w:basedOn w:val="1"/>
    <w:autoRedefine/>
    <w:qFormat/>
    <w:uiPriority w:val="0"/>
    <w:pPr>
      <w:spacing w:after="120" w:line="480" w:lineRule="auto"/>
    </w:pPr>
  </w:style>
  <w:style w:type="paragraph" w:customStyle="1" w:styleId="29">
    <w:name w:val="表格内容1"/>
    <w:basedOn w:val="1"/>
    <w:autoRedefine/>
    <w:qFormat/>
    <w:uiPriority w:val="0"/>
    <w:pPr>
      <w:widowControl/>
      <w:spacing w:line="240" w:lineRule="auto"/>
      <w:ind w:firstLine="0" w:firstLineChars="0"/>
      <w:jc w:val="center"/>
    </w:pPr>
    <w:rPr>
      <w:kern w:val="0"/>
      <w:sz w:val="21"/>
      <w:szCs w:val="21"/>
      <w:lang w:eastAsia="en-US" w:bidi="en-US"/>
    </w:rPr>
  </w:style>
  <w:style w:type="paragraph" w:customStyle="1" w:styleId="30">
    <w:name w:val="表格"/>
    <w:basedOn w:val="1"/>
    <w:next w:val="1"/>
    <w:autoRedefine/>
    <w:qFormat/>
    <w:uiPriority w:val="0"/>
    <w:pPr>
      <w:widowControl w:val="0"/>
      <w:spacing w:after="0" w:line="240" w:lineRule="auto"/>
      <w:ind w:firstLine="0" w:firstLineChars="0"/>
      <w:jc w:val="center"/>
    </w:pPr>
    <w:rPr>
      <w:rFonts w:ascii="Times New Roman" w:hAnsi="Times New Roman" w:eastAsia="宋体" w:cstheme="minorBidi"/>
      <w:kern w:val="2"/>
      <w:sz w:val="21"/>
      <w:szCs w:val="21"/>
    </w:rPr>
  </w:style>
  <w:style w:type="paragraph" w:customStyle="1" w:styleId="31">
    <w:name w:val="表格文字"/>
    <w:basedOn w:val="1"/>
    <w:next w:val="1"/>
    <w:autoRedefine/>
    <w:qFormat/>
    <w:uiPriority w:val="0"/>
    <w:pPr>
      <w:tabs>
        <w:tab w:val="center" w:pos="1053"/>
      </w:tabs>
      <w:adjustRightInd/>
      <w:spacing w:line="360" w:lineRule="exact"/>
      <w:ind w:firstLine="0" w:firstLineChars="0"/>
      <w:jc w:val="center"/>
    </w:pPr>
    <w:rPr>
      <w:rFonts w:ascii="宋体" w:hAnsi="宋体"/>
      <w:kern w:val="21"/>
      <w:sz w:val="21"/>
      <w:szCs w:val="21"/>
    </w:rPr>
  </w:style>
  <w:style w:type="paragraph" w:customStyle="1" w:styleId="32">
    <w:name w:val="1 表头"/>
    <w:basedOn w:val="1"/>
    <w:autoRedefine/>
    <w:qFormat/>
    <w:uiPriority w:val="0"/>
    <w:pPr>
      <w:adjustRightInd w:val="0"/>
      <w:snapToGrid w:val="0"/>
      <w:spacing w:line="240" w:lineRule="auto"/>
      <w:ind w:firstLine="0" w:firstLineChars="0"/>
      <w:jc w:val="center"/>
    </w:pPr>
    <w:rPr>
      <w:b/>
      <w:color w:val="000000"/>
      <w:sz w:val="21"/>
      <w:szCs w:val="21"/>
    </w:rPr>
  </w:style>
  <w:style w:type="paragraph" w:customStyle="1" w:styleId="33">
    <w:name w:val="正文A"/>
    <w:basedOn w:val="34"/>
    <w:autoRedefine/>
    <w:qFormat/>
    <w:uiPriority w:val="0"/>
    <w:pPr>
      <w:spacing w:line="500" w:lineRule="exact"/>
      <w:ind w:firstLine="200" w:firstLineChars="200"/>
    </w:pPr>
    <w:rPr>
      <w:rFonts w:ascii="Times New Roman" w:hAnsi="Times New Roman" w:cs="Times New Roman"/>
      <w:kern w:val="0"/>
      <w:sz w:val="24"/>
      <w:szCs w:val="24"/>
      <w:lang w:val="zh-CN" w:eastAsia="zh-CN"/>
    </w:rPr>
  </w:style>
  <w:style w:type="paragraph" w:customStyle="1" w:styleId="34">
    <w:name w:val="正文!!!!!!!!!!!"/>
    <w:basedOn w:val="35"/>
    <w:autoRedefine/>
    <w:qFormat/>
    <w:uiPriority w:val="0"/>
    <w:pPr>
      <w:ind w:firstLine="480"/>
    </w:pPr>
    <w:rPr>
      <w:rFonts w:ascii="Times New Roman" w:hAnsi="Times New Roman" w:eastAsia="宋体" w:cs="Times New Roman"/>
    </w:rPr>
  </w:style>
  <w:style w:type="paragraph" w:customStyle="1" w:styleId="35">
    <w:name w:val="正文 楷体"/>
    <w:basedOn w:val="1"/>
    <w:autoRedefine/>
    <w:qFormat/>
    <w:uiPriority w:val="0"/>
    <w:pPr>
      <w:spacing w:line="500" w:lineRule="exact"/>
      <w:ind w:firstLine="200" w:firstLineChars="200"/>
    </w:pPr>
    <w:rPr>
      <w:rFonts w:ascii="楷体_GB2312" w:hAnsi="楷体_GB2312" w:eastAsia="楷体_GB2312" w:cs="宋体"/>
      <w:sz w:val="24"/>
      <w:szCs w:val="24"/>
    </w:rPr>
  </w:style>
  <w:style w:type="character" w:customStyle="1" w:styleId="36">
    <w:name w:val="font51"/>
    <w:basedOn w:val="22"/>
    <w:autoRedefine/>
    <w:qFormat/>
    <w:uiPriority w:val="0"/>
    <w:rPr>
      <w:rFonts w:hint="eastAsia" w:ascii="宋体" w:hAnsi="宋体" w:eastAsia="宋体" w:cs="宋体"/>
      <w:color w:val="000000"/>
      <w:sz w:val="21"/>
      <w:szCs w:val="21"/>
      <w:u w:val="none"/>
    </w:rPr>
  </w:style>
  <w:style w:type="character" w:customStyle="1" w:styleId="37">
    <w:name w:val="font21"/>
    <w:basedOn w:val="22"/>
    <w:autoRedefine/>
    <w:qFormat/>
    <w:uiPriority w:val="0"/>
    <w:rPr>
      <w:rFonts w:hint="default" w:ascii="Times New Roman" w:hAnsi="Times New Roman" w:cs="Times New Roman"/>
      <w:color w:val="000000"/>
      <w:sz w:val="21"/>
      <w:szCs w:val="21"/>
      <w:u w:val="none"/>
    </w:rPr>
  </w:style>
  <w:style w:type="paragraph" w:customStyle="1" w:styleId="38">
    <w:name w:val="无间隔"/>
    <w:basedOn w:val="1"/>
    <w:next w:val="1"/>
    <w:autoRedefine/>
    <w:qFormat/>
    <w:uiPriority w:val="0"/>
    <w:pPr>
      <w:spacing w:line="240" w:lineRule="auto"/>
      <w:ind w:firstLine="0"/>
      <w:jc w:val="center"/>
    </w:pPr>
    <w:rPr>
      <w:kern w:val="0"/>
      <w:szCs w:val="28"/>
    </w:rPr>
  </w:style>
  <w:style w:type="character" w:customStyle="1" w:styleId="39">
    <w:name w:val="font11"/>
    <w:basedOn w:val="22"/>
    <w:autoRedefine/>
    <w:qFormat/>
    <w:uiPriority w:val="0"/>
    <w:rPr>
      <w:rFonts w:hint="eastAsia" w:ascii="宋体" w:hAnsi="宋体" w:eastAsia="宋体" w:cs="宋体"/>
      <w:color w:val="000000"/>
      <w:sz w:val="21"/>
      <w:szCs w:val="21"/>
      <w:u w:val="none"/>
    </w:rPr>
  </w:style>
  <w:style w:type="paragraph" w:customStyle="1" w:styleId="40">
    <w:name w:val="Table Text"/>
    <w:basedOn w:val="1"/>
    <w:autoRedefine/>
    <w:semiHidden/>
    <w:qFormat/>
    <w:uiPriority w:val="0"/>
    <w:rPr>
      <w:rFonts w:ascii="宋体" w:hAnsi="宋体" w:eastAsia="宋体" w:cs="宋体"/>
      <w:sz w:val="18"/>
      <w:szCs w:val="18"/>
      <w:lang w:val="en-US" w:eastAsia="en-US" w:bidi="ar-SA"/>
    </w:rPr>
  </w:style>
  <w:style w:type="table" w:customStyle="1" w:styleId="41">
    <w:name w:val="Table Normal"/>
    <w:autoRedefine/>
    <w:semiHidden/>
    <w:unhideWhenUsed/>
    <w:qFormat/>
    <w:uiPriority w:val="0"/>
    <w:tblPr>
      <w:tblCellMar>
        <w:top w:w="0" w:type="dxa"/>
        <w:left w:w="0" w:type="dxa"/>
        <w:bottom w:w="0" w:type="dxa"/>
        <w:right w:w="0" w:type="dxa"/>
      </w:tblCellMar>
    </w:tblPr>
  </w:style>
  <w:style w:type="character" w:customStyle="1" w:styleId="42">
    <w:name w:val="font01"/>
    <w:basedOn w:val="22"/>
    <w:autoRedefine/>
    <w:qFormat/>
    <w:uiPriority w:val="0"/>
    <w:rPr>
      <w:rFonts w:hint="default" w:ascii="Times New Roman" w:hAnsi="Times New Roman" w:cs="Times New Roman"/>
      <w:color w:val="000000"/>
      <w:sz w:val="21"/>
      <w:szCs w:val="21"/>
      <w:u w:val="none"/>
      <w:vertAlign w:val="subscript"/>
    </w:rPr>
  </w:style>
  <w:style w:type="paragraph" w:customStyle="1" w:styleId="43">
    <w:name w:val="表格内容"/>
    <w:basedOn w:val="6"/>
    <w:next w:val="1"/>
    <w:autoRedefine/>
    <w:qFormat/>
    <w:uiPriority w:val="0"/>
    <w:pPr>
      <w:autoSpaceDE w:val="0"/>
      <w:autoSpaceDN w:val="0"/>
      <w:adjustRightInd w:val="0"/>
      <w:snapToGrid w:val="0"/>
      <w:spacing w:line="240" w:lineRule="auto"/>
      <w:ind w:firstLine="0" w:firstLineChars="0"/>
      <w:jc w:val="center"/>
    </w:pPr>
    <w:rPr>
      <w:kern w:val="0"/>
      <w:sz w:val="21"/>
      <w:szCs w:val="20"/>
    </w:rPr>
  </w:style>
  <w:style w:type="paragraph" w:customStyle="1" w:styleId="44">
    <w:name w:val="表头A"/>
    <w:basedOn w:val="45"/>
    <w:autoRedefine/>
    <w:qFormat/>
    <w:uiPriority w:val="0"/>
    <w:pPr>
      <w:spacing w:line="400" w:lineRule="exact"/>
      <w:ind w:firstLine="0" w:firstLineChars="0"/>
    </w:pPr>
    <w:rPr>
      <w:rFonts w:ascii="Times New Roman" w:hAnsi="Times New Roman"/>
    </w:rPr>
  </w:style>
  <w:style w:type="paragraph" w:customStyle="1" w:styleId="45">
    <w:name w:val="表头"/>
    <w:basedOn w:val="6"/>
    <w:next w:val="1"/>
    <w:autoRedefine/>
    <w:qFormat/>
    <w:uiPriority w:val="0"/>
    <w:pPr>
      <w:spacing w:line="320" w:lineRule="atLeast"/>
      <w:jc w:val="center"/>
    </w:pPr>
    <w:rPr>
      <w:rFonts w:ascii="宋体" w:hAnsi="宋体"/>
      <w:b/>
      <w:color w:val="000000"/>
    </w:rPr>
  </w:style>
  <w:style w:type="paragraph" w:customStyle="1" w:styleId="46">
    <w:name w:val="表中文字"/>
    <w:basedOn w:val="1"/>
    <w:next w:val="1"/>
    <w:autoRedefine/>
    <w:qFormat/>
    <w:uiPriority w:val="0"/>
    <w:pPr>
      <w:spacing w:line="300" w:lineRule="exact"/>
      <w:ind w:firstLine="0" w:firstLineChars="0"/>
      <w:jc w:val="center"/>
    </w:pPr>
    <w:rPr>
      <w:sz w:val="21"/>
    </w:rPr>
  </w:style>
  <w:style w:type="paragraph" w:customStyle="1" w:styleId="47">
    <w:name w:val="报告表正文"/>
    <w:basedOn w:val="1"/>
    <w:autoRedefine/>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Cs w:val="20"/>
    </w:rPr>
  </w:style>
  <w:style w:type="paragraph" w:customStyle="1" w:styleId="48">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49">
    <w:name w:val="表内字"/>
    <w:basedOn w:val="1"/>
    <w:autoRedefine/>
    <w:qFormat/>
    <w:uiPriority w:val="0"/>
    <w:pPr>
      <w:jc w:val="center"/>
    </w:pPr>
    <w:rPr>
      <w:sz w:val="21"/>
      <w:szCs w:val="24"/>
    </w:rPr>
  </w:style>
  <w:style w:type="paragraph" w:customStyle="1" w:styleId="50">
    <w:name w:val="表格中字"/>
    <w:autoRedefine/>
    <w:qFormat/>
    <w:uiPriority w:val="0"/>
    <w:pPr>
      <w:widowControl w:val="0"/>
      <w:overflowPunct w:val="0"/>
      <w:autoSpaceDE w:val="0"/>
      <w:autoSpaceDN w:val="0"/>
      <w:adjustRightInd w:val="0"/>
      <w:snapToGrid w:val="0"/>
      <w:spacing w:line="300" w:lineRule="atLeast"/>
      <w:jc w:val="center"/>
      <w:textAlignment w:val="baseline"/>
    </w:pPr>
    <w:rPr>
      <w:rFonts w:ascii="Times New Roman" w:hAnsi="Times New Roman" w:eastAsia="宋体" w:cs="Times New Roman"/>
      <w:sz w:val="21"/>
      <w:lang w:val="en-US" w:eastAsia="zh-CN" w:bidi="ar-SA"/>
    </w:rPr>
  </w:style>
  <w:style w:type="paragraph" w:customStyle="1" w:styleId="51">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wmf"/><Relationship Id="rId28" Type="http://schemas.openxmlformats.org/officeDocument/2006/relationships/image" Target="media/image13.wmf"/><Relationship Id="rId27" Type="http://schemas.openxmlformats.org/officeDocument/2006/relationships/image" Target="media/image12.wmf"/><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41505</Words>
  <Characters>45821</Characters>
  <Lines>0</Lines>
  <Paragraphs>0</Paragraphs>
  <TotalTime>6</TotalTime>
  <ScaleCrop>false</ScaleCrop>
  <LinksUpToDate>false</LinksUpToDate>
  <CharactersWithSpaces>46392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2023-11-06T02:25:00Z</dcterms:created>
  <dc:creator>Alessandra＊</dc:creator>
  <cp:lastModifiedBy>qzuser</cp:lastModifiedBy>
  <cp:lastPrinted>2024-05-29T04:03:00Z</cp:lastPrinted>
  <dcterms:modified xsi:type="dcterms:W3CDTF">2024-08-07T09:45:34Z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9A423FBCF3844E7881A43302481ED487_13</vt:lpwstr>
  </property>
</Properties>
</file>