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A9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sz w:val="24"/>
          <w:szCs w:val="24"/>
        </w:rPr>
      </w:pPr>
    </w:p>
    <w:p w14:paraId="0742B07C">
      <w:pPr>
        <w:adjustRightInd w:val="0"/>
        <w:snapToGrid w:val="0"/>
        <w:spacing w:line="360" w:lineRule="auto"/>
        <w:rPr>
          <w:rFonts w:ascii="Times New Roman" w:hAnsi="Times New Roman"/>
          <w:sz w:val="24"/>
          <w:szCs w:val="24"/>
        </w:rPr>
      </w:pPr>
    </w:p>
    <w:p w14:paraId="41405189">
      <w:pPr>
        <w:pStyle w:val="2"/>
        <w:rPr>
          <w:rFonts w:ascii="Times New Roman" w:hAnsi="Times New Roman"/>
          <w:sz w:val="24"/>
          <w:szCs w:val="24"/>
        </w:rPr>
      </w:pPr>
    </w:p>
    <w:p w14:paraId="4D535594"/>
    <w:p w14:paraId="3FD53D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ascii="Times New Roman" w:hAnsi="Times New Roman"/>
          <w:b/>
          <w:spacing w:val="-18"/>
          <w:sz w:val="44"/>
          <w:szCs w:val="44"/>
        </w:rPr>
      </w:pPr>
      <w:r>
        <w:rPr>
          <w:rFonts w:hint="eastAsia" w:ascii="Times New Roman" w:hAnsi="Times New Roman"/>
          <w:b/>
          <w:spacing w:val="-18"/>
          <w:sz w:val="44"/>
          <w:szCs w:val="44"/>
        </w:rPr>
        <w:t>胡杨河市明源农业发展有限公司年出栏10万头生猪养殖项目</w:t>
      </w:r>
    </w:p>
    <w:p w14:paraId="5F69901E">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center"/>
        <w:textAlignment w:val="auto"/>
        <w:outlineLvl w:val="9"/>
        <w:rPr>
          <w:rFonts w:ascii="Times New Roman" w:hAnsi="Times New Roman"/>
          <w:b/>
          <w:spacing w:val="-18"/>
          <w:sz w:val="72"/>
          <w:szCs w:val="72"/>
        </w:rPr>
      </w:pPr>
      <w:r>
        <w:rPr>
          <w:rFonts w:ascii="Times New Roman" w:hAnsi="Times New Roman"/>
          <w:b/>
          <w:spacing w:val="-18"/>
          <w:sz w:val="72"/>
          <w:szCs w:val="72"/>
        </w:rPr>
        <w:t>环境影响报告书</w:t>
      </w:r>
    </w:p>
    <w:p w14:paraId="7AF58799">
      <w:pPr>
        <w:adjustRightInd w:val="0"/>
        <w:snapToGrid w:val="0"/>
        <w:spacing w:line="360" w:lineRule="auto"/>
        <w:jc w:val="center"/>
        <w:rPr>
          <w:rFonts w:ascii="Times New Roman" w:hAnsi="Times New Roman"/>
          <w:b/>
          <w:bCs/>
          <w:sz w:val="30"/>
          <w:szCs w:val="30"/>
        </w:rPr>
      </w:pPr>
    </w:p>
    <w:p w14:paraId="5122385D">
      <w:pPr>
        <w:adjustRightInd w:val="0"/>
        <w:snapToGrid w:val="0"/>
        <w:spacing w:line="360" w:lineRule="auto"/>
        <w:rPr>
          <w:rFonts w:ascii="Times New Roman" w:hAnsi="Times New Roman" w:eastAsia="楷体"/>
          <w:bCs/>
          <w:sz w:val="32"/>
          <w:szCs w:val="32"/>
        </w:rPr>
      </w:pPr>
    </w:p>
    <w:p w14:paraId="5729989A">
      <w:pPr>
        <w:adjustRightInd w:val="0"/>
        <w:snapToGrid w:val="0"/>
        <w:spacing w:line="360" w:lineRule="auto"/>
        <w:rPr>
          <w:rFonts w:ascii="Times New Roman" w:hAnsi="Times New Roman" w:eastAsia="楷体"/>
          <w:bCs/>
          <w:sz w:val="32"/>
          <w:szCs w:val="32"/>
        </w:rPr>
      </w:pPr>
    </w:p>
    <w:p w14:paraId="2FBAC5FA">
      <w:pPr>
        <w:adjustRightInd w:val="0"/>
        <w:snapToGrid w:val="0"/>
        <w:spacing w:line="360" w:lineRule="auto"/>
        <w:rPr>
          <w:rFonts w:ascii="Times New Roman" w:hAnsi="Times New Roman" w:eastAsia="楷体"/>
          <w:bCs/>
          <w:sz w:val="32"/>
          <w:szCs w:val="32"/>
        </w:rPr>
      </w:pPr>
    </w:p>
    <w:p w14:paraId="372E51EB">
      <w:pPr>
        <w:adjustRightInd w:val="0"/>
        <w:snapToGrid w:val="0"/>
        <w:spacing w:line="360" w:lineRule="auto"/>
        <w:rPr>
          <w:rFonts w:ascii="Times New Roman" w:hAnsi="Times New Roman" w:eastAsia="楷体"/>
          <w:bCs/>
          <w:sz w:val="32"/>
          <w:szCs w:val="32"/>
        </w:rPr>
      </w:pPr>
    </w:p>
    <w:p w14:paraId="6E6609DA">
      <w:pPr>
        <w:adjustRightInd w:val="0"/>
        <w:snapToGrid w:val="0"/>
        <w:spacing w:line="360" w:lineRule="auto"/>
        <w:rPr>
          <w:rFonts w:ascii="Times New Roman" w:hAnsi="Times New Roman" w:eastAsia="楷体"/>
          <w:bCs/>
          <w:sz w:val="32"/>
          <w:szCs w:val="32"/>
        </w:rPr>
      </w:pPr>
    </w:p>
    <w:p w14:paraId="2FEFF9C1">
      <w:pPr>
        <w:adjustRightInd w:val="0"/>
        <w:snapToGrid w:val="0"/>
        <w:spacing w:line="360" w:lineRule="auto"/>
        <w:rPr>
          <w:rFonts w:ascii="Times New Roman" w:hAnsi="Times New Roman" w:eastAsia="楷体"/>
          <w:bCs/>
          <w:sz w:val="32"/>
          <w:szCs w:val="32"/>
        </w:rPr>
      </w:pPr>
    </w:p>
    <w:p w14:paraId="68934B0F">
      <w:pPr>
        <w:adjustRightInd w:val="0"/>
        <w:snapToGrid w:val="0"/>
        <w:spacing w:line="360" w:lineRule="auto"/>
        <w:rPr>
          <w:rFonts w:ascii="Times New Roman" w:hAnsi="Times New Roman" w:eastAsia="楷体"/>
          <w:bCs/>
          <w:sz w:val="32"/>
          <w:szCs w:val="32"/>
        </w:rPr>
      </w:pPr>
    </w:p>
    <w:p w14:paraId="1B42EEBD">
      <w:pPr>
        <w:adjustRightInd w:val="0"/>
        <w:snapToGrid w:val="0"/>
        <w:spacing w:line="360" w:lineRule="auto"/>
        <w:rPr>
          <w:rFonts w:ascii="Times New Roman" w:hAnsi="Times New Roman" w:eastAsia="楷体"/>
          <w:bCs/>
          <w:sz w:val="32"/>
          <w:szCs w:val="32"/>
        </w:rPr>
      </w:pPr>
    </w:p>
    <w:p w14:paraId="5F0FEFE5">
      <w:pPr>
        <w:adjustRightInd w:val="0"/>
        <w:snapToGrid w:val="0"/>
        <w:spacing w:line="360" w:lineRule="auto"/>
        <w:rPr>
          <w:rFonts w:ascii="Times New Roman" w:hAnsi="Times New Roman" w:eastAsia="楷体"/>
          <w:bCs/>
          <w:sz w:val="32"/>
          <w:szCs w:val="32"/>
        </w:rPr>
      </w:pPr>
    </w:p>
    <w:p w14:paraId="312916DD">
      <w:pPr>
        <w:adjustRightInd w:val="0"/>
        <w:snapToGrid w:val="0"/>
        <w:spacing w:line="360" w:lineRule="auto"/>
        <w:rPr>
          <w:rFonts w:ascii="Times New Roman" w:hAnsi="Times New Roman" w:eastAsia="楷体"/>
          <w:bCs/>
          <w:sz w:val="32"/>
          <w:szCs w:val="32"/>
        </w:rPr>
      </w:pPr>
    </w:p>
    <w:p w14:paraId="40A0C75B">
      <w:pPr>
        <w:adjustRightInd w:val="0"/>
        <w:snapToGrid w:val="0"/>
        <w:spacing w:line="360" w:lineRule="auto"/>
        <w:rPr>
          <w:rFonts w:ascii="Times New Roman" w:hAnsi="Times New Roman" w:eastAsia="楷体"/>
          <w:bCs/>
          <w:sz w:val="32"/>
          <w:szCs w:val="32"/>
        </w:rPr>
      </w:pPr>
    </w:p>
    <w:p w14:paraId="564D438D">
      <w:pPr>
        <w:keepNext w:val="0"/>
        <w:keepLines w:val="0"/>
        <w:pageBreakBefore w:val="0"/>
        <w:widowControl w:val="0"/>
        <w:tabs>
          <w:tab w:val="left" w:pos="851"/>
        </w:tabs>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sz w:val="32"/>
          <w:szCs w:val="30"/>
        </w:rPr>
      </w:pPr>
      <w:r>
        <w:rPr>
          <w:rFonts w:ascii="Times New Roman" w:hAnsi="Times New Roman"/>
          <w:bCs/>
          <w:sz w:val="32"/>
          <w:szCs w:val="32"/>
        </w:rPr>
        <w:t>建设单位</w:t>
      </w:r>
      <w:r>
        <w:rPr>
          <w:rFonts w:hint="eastAsia" w:ascii="Times New Roman" w:hAnsi="Times New Roman"/>
          <w:bCs/>
          <w:sz w:val="32"/>
          <w:szCs w:val="32"/>
        </w:rPr>
        <w:t>：胡杨河市明源农业发展有限公司</w:t>
      </w:r>
    </w:p>
    <w:p w14:paraId="5DFE875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bCs/>
          <w:sz w:val="32"/>
          <w:szCs w:val="32"/>
        </w:rPr>
      </w:pPr>
      <w:r>
        <w:rPr>
          <w:rFonts w:ascii="Times New Roman" w:hAnsi="Times New Roman"/>
          <w:bCs/>
          <w:sz w:val="32"/>
          <w:szCs w:val="32"/>
        </w:rPr>
        <w:t>评价单位</w:t>
      </w:r>
      <w:r>
        <w:rPr>
          <w:rFonts w:hint="eastAsia" w:ascii="Times New Roman" w:hAnsi="Times New Roman"/>
          <w:bCs/>
          <w:sz w:val="32"/>
          <w:szCs w:val="32"/>
        </w:rPr>
        <w:t>：新疆瑜璟润诚工程技术咨询有限公司</w:t>
      </w:r>
    </w:p>
    <w:p w14:paraId="788077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sz w:val="32"/>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upperRoman"/>
          <w:cols w:space="720" w:num="1"/>
          <w:docGrid w:type="lines" w:linePitch="312" w:charSpace="0"/>
        </w:sectPr>
      </w:pPr>
      <w:r>
        <w:rPr>
          <w:rFonts w:ascii="Times New Roman" w:hAnsi="Times New Roman"/>
          <w:sz w:val="32"/>
          <w:szCs w:val="30"/>
        </w:rPr>
        <w:t>日期：</w:t>
      </w:r>
      <w:r>
        <w:rPr>
          <w:rFonts w:hint="eastAsia"/>
          <w:sz w:val="32"/>
          <w:szCs w:val="30"/>
          <w:lang w:val="en-US" w:eastAsia="zh-CN"/>
        </w:rPr>
        <w:t>2024年7月</w:t>
      </w:r>
    </w:p>
    <w:p w14:paraId="5F35C5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242560" cy="8358505"/>
            <wp:effectExtent l="0" t="0" r="15240" b="444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2"/>
                    <a:stretch>
                      <a:fillRect/>
                    </a:stretch>
                  </pic:blipFill>
                  <pic:spPr>
                    <a:xfrm>
                      <a:off x="0" y="0"/>
                      <a:ext cx="5242560" cy="8358505"/>
                    </a:xfrm>
                    <a:prstGeom prst="rect">
                      <a:avLst/>
                    </a:prstGeom>
                    <a:noFill/>
                    <a:ln>
                      <a:noFill/>
                    </a:ln>
                  </pic:spPr>
                </pic:pic>
              </a:graphicData>
            </a:graphic>
          </wp:inline>
        </w:drawing>
      </w:r>
    </w:p>
    <w:p w14:paraId="71FD4ABD">
      <w:pPr>
        <w:bidi w:val="0"/>
        <w:sectPr>
          <w:pgSz w:w="11906" w:h="16838"/>
          <w:pgMar w:top="1440" w:right="1800" w:bottom="1440" w:left="1800" w:header="851" w:footer="992" w:gutter="0"/>
          <w:pgBorders>
            <w:top w:val="none" w:sz="0" w:space="0"/>
            <w:left w:val="none" w:sz="0" w:space="0"/>
            <w:bottom w:val="none" w:sz="0" w:space="0"/>
            <w:right w:val="none" w:sz="0" w:space="0"/>
          </w:pgBorders>
          <w:pgNumType w:fmt="upperRoman"/>
          <w:cols w:space="720" w:num="1"/>
          <w:docGrid w:type="lines" w:linePitch="312" w:charSpace="0"/>
        </w:sectPr>
      </w:pPr>
    </w:p>
    <w:sdt>
      <w:sdtPr>
        <w:rPr>
          <w:rFonts w:ascii="宋体" w:hAnsi="宋体" w:eastAsia="宋体" w:cs="Times New Roman"/>
          <w:kern w:val="2"/>
          <w:sz w:val="21"/>
          <w:szCs w:val="22"/>
          <w:lang w:val="en-US" w:eastAsia="zh-CN" w:bidi="ar-SA"/>
        </w:rPr>
        <w:id w:val="147479202"/>
        <w15:color w:val="DBDBDB"/>
        <w:docPartObj>
          <w:docPartGallery w:val="Table of Contents"/>
          <w:docPartUnique/>
        </w:docPartObj>
      </w:sdtPr>
      <w:sdtEndPr>
        <w:rPr>
          <w:rFonts w:hint="default" w:ascii="Times New Roman" w:hAnsi="Times New Roman" w:eastAsia="宋体" w:cs="Times New Roman"/>
          <w:b/>
          <w:kern w:val="2"/>
          <w:sz w:val="24"/>
          <w:szCs w:val="22"/>
          <w:lang w:val="en-US" w:eastAsia="zh-CN" w:bidi="ar-SA"/>
        </w:rPr>
      </w:sdtEndPr>
      <w:sdtContent>
        <w:p w14:paraId="227FB120">
          <w:pPr>
            <w:spacing w:before="0" w:beforeLines="0" w:after="0" w:afterLines="0" w:line="240" w:lineRule="auto"/>
            <w:ind w:left="0" w:leftChars="0" w:right="0" w:rightChars="0" w:firstLine="0" w:firstLineChars="0"/>
            <w:jc w:val="center"/>
          </w:pPr>
          <w:r>
            <w:rPr>
              <w:rFonts w:ascii="宋体" w:hAnsi="宋体" w:eastAsia="宋体"/>
              <w:sz w:val="21"/>
            </w:rPr>
            <w:t>目录</w:t>
          </w:r>
        </w:p>
        <w:p w14:paraId="439AD361">
          <w:pPr>
            <w:pStyle w:val="16"/>
            <w:tabs>
              <w:tab w:val="right" w:leader="dot" w:pos="8306"/>
            </w:tabs>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_Toc17477 </w:instrText>
          </w:r>
          <w:r>
            <w:rPr>
              <w:rFonts w:hint="default"/>
              <w:lang w:val="en-US" w:eastAsia="zh-CN"/>
            </w:rPr>
            <w:fldChar w:fldCharType="separate"/>
          </w:r>
          <w:r>
            <w:rPr>
              <w:rFonts w:hint="default"/>
              <w:lang w:val="en-US" w:eastAsia="zh-CN"/>
            </w:rPr>
            <w:t xml:space="preserve">1 </w:t>
          </w:r>
          <w:r>
            <w:rPr>
              <w:rFonts w:hint="eastAsia"/>
              <w:lang w:val="en-US" w:eastAsia="zh-CN"/>
            </w:rPr>
            <w:t>概述</w:t>
          </w:r>
          <w:r>
            <w:tab/>
          </w:r>
          <w:r>
            <w:fldChar w:fldCharType="begin"/>
          </w:r>
          <w:r>
            <w:instrText xml:space="preserve"> PAGEREF _Toc17477 \h </w:instrText>
          </w:r>
          <w:r>
            <w:fldChar w:fldCharType="separate"/>
          </w:r>
          <w:r>
            <w:t>- 1 -</w:t>
          </w:r>
          <w:r>
            <w:fldChar w:fldCharType="end"/>
          </w:r>
          <w:r>
            <w:rPr>
              <w:rFonts w:hint="default"/>
              <w:lang w:val="en-US" w:eastAsia="zh-CN"/>
            </w:rPr>
            <w:fldChar w:fldCharType="end"/>
          </w:r>
        </w:p>
        <w:p w14:paraId="392BDD01">
          <w:pPr>
            <w:pStyle w:val="17"/>
            <w:tabs>
              <w:tab w:val="right" w:leader="dot" w:pos="8306"/>
            </w:tabs>
          </w:pPr>
          <w:r>
            <w:rPr>
              <w:rFonts w:hint="default"/>
              <w:lang w:val="en-US" w:eastAsia="zh-CN"/>
            </w:rPr>
            <w:fldChar w:fldCharType="begin"/>
          </w:r>
          <w:r>
            <w:rPr>
              <w:rFonts w:hint="default"/>
              <w:lang w:val="en-US" w:eastAsia="zh-CN"/>
            </w:rPr>
            <w:instrText xml:space="preserve"> HYPERLINK \l _Toc9905 </w:instrText>
          </w:r>
          <w:r>
            <w:rPr>
              <w:rFonts w:hint="default"/>
              <w:lang w:val="en-US" w:eastAsia="zh-CN"/>
            </w:rPr>
            <w:fldChar w:fldCharType="separate"/>
          </w:r>
          <w:r>
            <w:rPr>
              <w:rFonts w:hint="default"/>
              <w:lang w:val="en-US" w:eastAsia="zh-CN"/>
            </w:rPr>
            <w:t xml:space="preserve">1.1 </w:t>
          </w:r>
          <w:r>
            <w:rPr>
              <w:rFonts w:hint="eastAsia"/>
              <w:lang w:val="en-US" w:eastAsia="zh-CN"/>
            </w:rPr>
            <w:t>建设项目特点</w:t>
          </w:r>
          <w:r>
            <w:tab/>
          </w:r>
          <w:r>
            <w:fldChar w:fldCharType="begin"/>
          </w:r>
          <w:r>
            <w:instrText xml:space="preserve"> PAGEREF _Toc9905 \h </w:instrText>
          </w:r>
          <w:r>
            <w:fldChar w:fldCharType="separate"/>
          </w:r>
          <w:r>
            <w:t>- 1 -</w:t>
          </w:r>
          <w:r>
            <w:fldChar w:fldCharType="end"/>
          </w:r>
          <w:r>
            <w:rPr>
              <w:rFonts w:hint="default"/>
              <w:lang w:val="en-US" w:eastAsia="zh-CN"/>
            </w:rPr>
            <w:fldChar w:fldCharType="end"/>
          </w:r>
        </w:p>
        <w:p w14:paraId="38B9EB08">
          <w:pPr>
            <w:pStyle w:val="17"/>
            <w:tabs>
              <w:tab w:val="right" w:leader="dot" w:pos="8306"/>
            </w:tabs>
          </w:pPr>
          <w:r>
            <w:rPr>
              <w:rFonts w:hint="default"/>
              <w:lang w:val="en-US" w:eastAsia="zh-CN"/>
            </w:rPr>
            <w:fldChar w:fldCharType="begin"/>
          </w:r>
          <w:r>
            <w:rPr>
              <w:rFonts w:hint="default"/>
              <w:lang w:val="en-US" w:eastAsia="zh-CN"/>
            </w:rPr>
            <w:instrText xml:space="preserve"> HYPERLINK \l _Toc27886 </w:instrText>
          </w:r>
          <w:r>
            <w:rPr>
              <w:rFonts w:hint="default"/>
              <w:lang w:val="en-US" w:eastAsia="zh-CN"/>
            </w:rPr>
            <w:fldChar w:fldCharType="separate"/>
          </w:r>
          <w:r>
            <w:rPr>
              <w:rFonts w:hint="default"/>
              <w:lang w:val="en-US" w:eastAsia="zh-CN"/>
            </w:rPr>
            <w:t xml:space="preserve">1.2 </w:t>
          </w:r>
          <w:r>
            <w:rPr>
              <w:rFonts w:hint="eastAsia"/>
              <w:lang w:val="en-US" w:eastAsia="zh-CN"/>
            </w:rPr>
            <w:t>环境影响评价的工作过程</w:t>
          </w:r>
          <w:r>
            <w:tab/>
          </w:r>
          <w:r>
            <w:fldChar w:fldCharType="begin"/>
          </w:r>
          <w:r>
            <w:instrText xml:space="preserve"> PAGEREF _Toc27886 \h </w:instrText>
          </w:r>
          <w:r>
            <w:fldChar w:fldCharType="separate"/>
          </w:r>
          <w:r>
            <w:t>- 2 -</w:t>
          </w:r>
          <w:r>
            <w:fldChar w:fldCharType="end"/>
          </w:r>
          <w:r>
            <w:rPr>
              <w:rFonts w:hint="default"/>
              <w:lang w:val="en-US" w:eastAsia="zh-CN"/>
            </w:rPr>
            <w:fldChar w:fldCharType="end"/>
          </w:r>
        </w:p>
        <w:p w14:paraId="69B932D4">
          <w:pPr>
            <w:pStyle w:val="17"/>
            <w:tabs>
              <w:tab w:val="right" w:leader="dot" w:pos="8306"/>
            </w:tabs>
          </w:pPr>
          <w:r>
            <w:rPr>
              <w:rFonts w:hint="default"/>
              <w:lang w:val="en-US" w:eastAsia="zh-CN"/>
            </w:rPr>
            <w:fldChar w:fldCharType="begin"/>
          </w:r>
          <w:r>
            <w:rPr>
              <w:rFonts w:hint="default"/>
              <w:lang w:val="en-US" w:eastAsia="zh-CN"/>
            </w:rPr>
            <w:instrText xml:space="preserve"> HYPERLINK \l _Toc18919 </w:instrText>
          </w:r>
          <w:r>
            <w:rPr>
              <w:rFonts w:hint="default"/>
              <w:lang w:val="en-US" w:eastAsia="zh-CN"/>
            </w:rPr>
            <w:fldChar w:fldCharType="separate"/>
          </w:r>
          <w:r>
            <w:rPr>
              <w:rFonts w:hint="default"/>
              <w:lang w:val="en-US" w:eastAsia="zh-CN"/>
            </w:rPr>
            <w:t xml:space="preserve">1.3 </w:t>
          </w:r>
          <w:r>
            <w:rPr>
              <w:rFonts w:hint="eastAsia"/>
              <w:lang w:val="en-US" w:eastAsia="zh-CN"/>
            </w:rPr>
            <w:t>分析判定相关情况</w:t>
          </w:r>
          <w:r>
            <w:tab/>
          </w:r>
          <w:r>
            <w:fldChar w:fldCharType="begin"/>
          </w:r>
          <w:r>
            <w:instrText xml:space="preserve"> PAGEREF _Toc18919 \h </w:instrText>
          </w:r>
          <w:r>
            <w:fldChar w:fldCharType="separate"/>
          </w:r>
          <w:r>
            <w:t>- 3 -</w:t>
          </w:r>
          <w:r>
            <w:fldChar w:fldCharType="end"/>
          </w:r>
          <w:r>
            <w:rPr>
              <w:rFonts w:hint="default"/>
              <w:lang w:val="en-US" w:eastAsia="zh-CN"/>
            </w:rPr>
            <w:fldChar w:fldCharType="end"/>
          </w:r>
        </w:p>
        <w:p w14:paraId="0F772D54">
          <w:pPr>
            <w:pStyle w:val="17"/>
            <w:tabs>
              <w:tab w:val="right" w:leader="dot" w:pos="8306"/>
            </w:tabs>
          </w:pPr>
          <w:r>
            <w:rPr>
              <w:rFonts w:hint="default"/>
              <w:lang w:val="en-US" w:eastAsia="zh-CN"/>
            </w:rPr>
            <w:fldChar w:fldCharType="begin"/>
          </w:r>
          <w:r>
            <w:rPr>
              <w:rFonts w:hint="default"/>
              <w:lang w:val="en-US" w:eastAsia="zh-CN"/>
            </w:rPr>
            <w:instrText xml:space="preserve"> HYPERLINK \l _Toc31582 </w:instrText>
          </w:r>
          <w:r>
            <w:rPr>
              <w:rFonts w:hint="default"/>
              <w:lang w:val="en-US" w:eastAsia="zh-CN"/>
            </w:rPr>
            <w:fldChar w:fldCharType="separate"/>
          </w:r>
          <w:r>
            <w:rPr>
              <w:rFonts w:hint="default"/>
              <w:lang w:val="en-US" w:eastAsia="zh-CN"/>
            </w:rPr>
            <w:t xml:space="preserve">1.4 </w:t>
          </w:r>
          <w:r>
            <w:rPr>
              <w:rFonts w:hint="eastAsia"/>
              <w:lang w:val="en-US" w:eastAsia="zh-CN"/>
            </w:rPr>
            <w:t>关注的主要环境问题及环境影响</w:t>
          </w:r>
          <w:r>
            <w:tab/>
          </w:r>
          <w:r>
            <w:fldChar w:fldCharType="begin"/>
          </w:r>
          <w:r>
            <w:instrText xml:space="preserve"> PAGEREF _Toc31582 \h </w:instrText>
          </w:r>
          <w:r>
            <w:fldChar w:fldCharType="separate"/>
          </w:r>
          <w:r>
            <w:t>- 30 -</w:t>
          </w:r>
          <w:r>
            <w:fldChar w:fldCharType="end"/>
          </w:r>
          <w:r>
            <w:rPr>
              <w:rFonts w:hint="default"/>
              <w:lang w:val="en-US" w:eastAsia="zh-CN"/>
            </w:rPr>
            <w:fldChar w:fldCharType="end"/>
          </w:r>
        </w:p>
        <w:p w14:paraId="246B56D2">
          <w:pPr>
            <w:pStyle w:val="17"/>
            <w:tabs>
              <w:tab w:val="right" w:leader="dot" w:pos="8306"/>
            </w:tabs>
          </w:pPr>
          <w:r>
            <w:rPr>
              <w:rFonts w:hint="default"/>
              <w:lang w:val="en-US" w:eastAsia="zh-CN"/>
            </w:rPr>
            <w:fldChar w:fldCharType="begin"/>
          </w:r>
          <w:r>
            <w:rPr>
              <w:rFonts w:hint="default"/>
              <w:lang w:val="en-US" w:eastAsia="zh-CN"/>
            </w:rPr>
            <w:instrText xml:space="preserve"> HYPERLINK \l _Toc18307 </w:instrText>
          </w:r>
          <w:r>
            <w:rPr>
              <w:rFonts w:hint="default"/>
              <w:lang w:val="en-US" w:eastAsia="zh-CN"/>
            </w:rPr>
            <w:fldChar w:fldCharType="separate"/>
          </w:r>
          <w:r>
            <w:rPr>
              <w:rFonts w:hint="default"/>
              <w:lang w:val="en-US" w:eastAsia="zh-CN"/>
            </w:rPr>
            <w:t xml:space="preserve">1.5 </w:t>
          </w:r>
          <w:r>
            <w:rPr>
              <w:rFonts w:hint="eastAsia"/>
              <w:lang w:val="en-US" w:eastAsia="zh-CN"/>
            </w:rPr>
            <w:t>环境影响评价的主要的结论</w:t>
          </w:r>
          <w:r>
            <w:tab/>
          </w:r>
          <w:r>
            <w:fldChar w:fldCharType="begin"/>
          </w:r>
          <w:r>
            <w:instrText xml:space="preserve"> PAGEREF _Toc18307 \h </w:instrText>
          </w:r>
          <w:r>
            <w:fldChar w:fldCharType="separate"/>
          </w:r>
          <w:r>
            <w:t>- 30 -</w:t>
          </w:r>
          <w:r>
            <w:fldChar w:fldCharType="end"/>
          </w:r>
          <w:r>
            <w:rPr>
              <w:rFonts w:hint="default"/>
              <w:lang w:val="en-US" w:eastAsia="zh-CN"/>
            </w:rPr>
            <w:fldChar w:fldCharType="end"/>
          </w:r>
        </w:p>
        <w:p w14:paraId="18E6D369">
          <w:pPr>
            <w:pStyle w:val="16"/>
            <w:tabs>
              <w:tab w:val="right" w:leader="dot" w:pos="8306"/>
            </w:tabs>
          </w:pPr>
          <w:r>
            <w:rPr>
              <w:rFonts w:hint="default"/>
              <w:lang w:val="en-US" w:eastAsia="zh-CN"/>
            </w:rPr>
            <w:fldChar w:fldCharType="begin"/>
          </w:r>
          <w:r>
            <w:rPr>
              <w:rFonts w:hint="default"/>
              <w:lang w:val="en-US" w:eastAsia="zh-CN"/>
            </w:rPr>
            <w:instrText xml:space="preserve"> HYPERLINK \l _Toc21611 </w:instrText>
          </w:r>
          <w:r>
            <w:rPr>
              <w:rFonts w:hint="default"/>
              <w:lang w:val="en-US" w:eastAsia="zh-CN"/>
            </w:rPr>
            <w:fldChar w:fldCharType="separate"/>
          </w:r>
          <w:r>
            <w:rPr>
              <w:rFonts w:hint="default"/>
              <w:lang w:val="en-US" w:eastAsia="zh-CN"/>
            </w:rPr>
            <w:t xml:space="preserve">2 </w:t>
          </w:r>
          <w:r>
            <w:rPr>
              <w:rFonts w:hint="eastAsia"/>
              <w:lang w:val="en-US" w:eastAsia="zh-CN"/>
            </w:rPr>
            <w:t>总则</w:t>
          </w:r>
          <w:r>
            <w:tab/>
          </w:r>
          <w:r>
            <w:fldChar w:fldCharType="begin"/>
          </w:r>
          <w:r>
            <w:instrText xml:space="preserve"> PAGEREF _Toc21611 \h </w:instrText>
          </w:r>
          <w:r>
            <w:fldChar w:fldCharType="separate"/>
          </w:r>
          <w:r>
            <w:t>- 31 -</w:t>
          </w:r>
          <w:r>
            <w:fldChar w:fldCharType="end"/>
          </w:r>
          <w:r>
            <w:rPr>
              <w:rFonts w:hint="default"/>
              <w:lang w:val="en-US" w:eastAsia="zh-CN"/>
            </w:rPr>
            <w:fldChar w:fldCharType="end"/>
          </w:r>
        </w:p>
        <w:p w14:paraId="6B65435B">
          <w:pPr>
            <w:pStyle w:val="17"/>
            <w:tabs>
              <w:tab w:val="right" w:leader="dot" w:pos="8306"/>
            </w:tabs>
          </w:pPr>
          <w:r>
            <w:rPr>
              <w:rFonts w:hint="default"/>
              <w:lang w:val="en-US" w:eastAsia="zh-CN"/>
            </w:rPr>
            <w:fldChar w:fldCharType="begin"/>
          </w:r>
          <w:r>
            <w:rPr>
              <w:rFonts w:hint="default"/>
              <w:lang w:val="en-US" w:eastAsia="zh-CN"/>
            </w:rPr>
            <w:instrText xml:space="preserve"> HYPERLINK \l _Toc24796 </w:instrText>
          </w:r>
          <w:r>
            <w:rPr>
              <w:rFonts w:hint="default"/>
              <w:lang w:val="en-US" w:eastAsia="zh-CN"/>
            </w:rPr>
            <w:fldChar w:fldCharType="separate"/>
          </w:r>
          <w:r>
            <w:rPr>
              <w:rFonts w:hint="default"/>
              <w:lang w:val="en-US" w:eastAsia="zh-CN"/>
            </w:rPr>
            <w:t xml:space="preserve">2.1 </w:t>
          </w:r>
          <w:r>
            <w:rPr>
              <w:rFonts w:hint="eastAsia"/>
              <w:lang w:val="en-US" w:eastAsia="zh-CN"/>
            </w:rPr>
            <w:t>编制依据</w:t>
          </w:r>
          <w:r>
            <w:tab/>
          </w:r>
          <w:r>
            <w:fldChar w:fldCharType="begin"/>
          </w:r>
          <w:r>
            <w:instrText xml:space="preserve"> PAGEREF _Toc24796 \h </w:instrText>
          </w:r>
          <w:r>
            <w:fldChar w:fldCharType="separate"/>
          </w:r>
          <w:r>
            <w:t>- 31 -</w:t>
          </w:r>
          <w:r>
            <w:fldChar w:fldCharType="end"/>
          </w:r>
          <w:r>
            <w:rPr>
              <w:rFonts w:hint="default"/>
              <w:lang w:val="en-US" w:eastAsia="zh-CN"/>
            </w:rPr>
            <w:fldChar w:fldCharType="end"/>
          </w:r>
        </w:p>
        <w:p w14:paraId="50816E4A">
          <w:pPr>
            <w:pStyle w:val="17"/>
            <w:tabs>
              <w:tab w:val="right" w:leader="dot" w:pos="8306"/>
            </w:tabs>
          </w:pPr>
          <w:r>
            <w:rPr>
              <w:rFonts w:hint="default"/>
              <w:lang w:val="en-US" w:eastAsia="zh-CN"/>
            </w:rPr>
            <w:fldChar w:fldCharType="begin"/>
          </w:r>
          <w:r>
            <w:rPr>
              <w:rFonts w:hint="default"/>
              <w:lang w:val="en-US" w:eastAsia="zh-CN"/>
            </w:rPr>
            <w:instrText xml:space="preserve"> HYPERLINK \l _Toc19585 </w:instrText>
          </w:r>
          <w:r>
            <w:rPr>
              <w:rFonts w:hint="default"/>
              <w:lang w:val="en-US" w:eastAsia="zh-CN"/>
            </w:rPr>
            <w:fldChar w:fldCharType="separate"/>
          </w:r>
          <w:r>
            <w:rPr>
              <w:rFonts w:hint="default"/>
              <w:lang w:val="en-US" w:eastAsia="zh-CN"/>
            </w:rPr>
            <w:t xml:space="preserve">2.2 </w:t>
          </w:r>
          <w:r>
            <w:rPr>
              <w:rFonts w:hint="eastAsia"/>
              <w:lang w:val="en-US" w:eastAsia="zh-CN"/>
            </w:rPr>
            <w:t>评价因子与评价标准</w:t>
          </w:r>
          <w:r>
            <w:tab/>
          </w:r>
          <w:r>
            <w:fldChar w:fldCharType="begin"/>
          </w:r>
          <w:r>
            <w:instrText xml:space="preserve"> PAGEREF _Toc19585 \h </w:instrText>
          </w:r>
          <w:r>
            <w:fldChar w:fldCharType="separate"/>
          </w:r>
          <w:r>
            <w:t>- 35 -</w:t>
          </w:r>
          <w:r>
            <w:fldChar w:fldCharType="end"/>
          </w:r>
          <w:r>
            <w:rPr>
              <w:rFonts w:hint="default"/>
              <w:lang w:val="en-US" w:eastAsia="zh-CN"/>
            </w:rPr>
            <w:fldChar w:fldCharType="end"/>
          </w:r>
        </w:p>
        <w:p w14:paraId="6FAE8925">
          <w:pPr>
            <w:pStyle w:val="17"/>
            <w:tabs>
              <w:tab w:val="right" w:leader="dot" w:pos="8306"/>
            </w:tabs>
          </w:pPr>
          <w:r>
            <w:rPr>
              <w:rFonts w:hint="default"/>
              <w:lang w:val="en-US" w:eastAsia="zh-CN"/>
            </w:rPr>
            <w:fldChar w:fldCharType="begin"/>
          </w:r>
          <w:r>
            <w:rPr>
              <w:rFonts w:hint="default"/>
              <w:lang w:val="en-US" w:eastAsia="zh-CN"/>
            </w:rPr>
            <w:instrText xml:space="preserve"> HYPERLINK \l _Toc5977 </w:instrText>
          </w:r>
          <w:r>
            <w:rPr>
              <w:rFonts w:hint="default"/>
              <w:lang w:val="en-US" w:eastAsia="zh-CN"/>
            </w:rPr>
            <w:fldChar w:fldCharType="separate"/>
          </w:r>
          <w:r>
            <w:rPr>
              <w:rFonts w:hint="default"/>
              <w:lang w:val="en-US" w:eastAsia="zh-CN"/>
            </w:rPr>
            <w:t xml:space="preserve">2.3 </w:t>
          </w:r>
          <w:r>
            <w:rPr>
              <w:rFonts w:hint="eastAsia"/>
              <w:lang w:val="en-US" w:eastAsia="zh-CN"/>
            </w:rPr>
            <w:t>评价工作等级和评价范围</w:t>
          </w:r>
          <w:r>
            <w:tab/>
          </w:r>
          <w:r>
            <w:fldChar w:fldCharType="begin"/>
          </w:r>
          <w:r>
            <w:instrText xml:space="preserve"> PAGEREF _Toc5977 \h </w:instrText>
          </w:r>
          <w:r>
            <w:fldChar w:fldCharType="separate"/>
          </w:r>
          <w:r>
            <w:t>- 44 -</w:t>
          </w:r>
          <w:r>
            <w:fldChar w:fldCharType="end"/>
          </w:r>
          <w:r>
            <w:rPr>
              <w:rFonts w:hint="default"/>
              <w:lang w:val="en-US" w:eastAsia="zh-CN"/>
            </w:rPr>
            <w:fldChar w:fldCharType="end"/>
          </w:r>
        </w:p>
        <w:p w14:paraId="7F3E58D5">
          <w:pPr>
            <w:pStyle w:val="17"/>
            <w:tabs>
              <w:tab w:val="right" w:leader="dot" w:pos="8306"/>
            </w:tabs>
          </w:pPr>
          <w:r>
            <w:rPr>
              <w:rFonts w:hint="default"/>
              <w:lang w:val="en-US" w:eastAsia="zh-CN"/>
            </w:rPr>
            <w:fldChar w:fldCharType="begin"/>
          </w:r>
          <w:r>
            <w:rPr>
              <w:rFonts w:hint="default"/>
              <w:lang w:val="en-US" w:eastAsia="zh-CN"/>
            </w:rPr>
            <w:instrText xml:space="preserve"> HYPERLINK \l _Toc2925 </w:instrText>
          </w:r>
          <w:r>
            <w:rPr>
              <w:rFonts w:hint="default"/>
              <w:lang w:val="en-US" w:eastAsia="zh-CN"/>
            </w:rPr>
            <w:fldChar w:fldCharType="separate"/>
          </w:r>
          <w:r>
            <w:rPr>
              <w:rFonts w:hint="default"/>
              <w:lang w:val="en-US" w:eastAsia="zh-CN"/>
            </w:rPr>
            <w:t xml:space="preserve">2.4 </w:t>
          </w:r>
          <w:r>
            <w:rPr>
              <w:rFonts w:hint="eastAsia"/>
              <w:lang w:val="en-US" w:eastAsia="zh-CN"/>
            </w:rPr>
            <w:t>相关规划及环境功能区划</w:t>
          </w:r>
          <w:r>
            <w:tab/>
          </w:r>
          <w:r>
            <w:fldChar w:fldCharType="begin"/>
          </w:r>
          <w:r>
            <w:instrText xml:space="preserve"> PAGEREF _Toc2925 \h </w:instrText>
          </w:r>
          <w:r>
            <w:fldChar w:fldCharType="separate"/>
          </w:r>
          <w:r>
            <w:t>- 53 -</w:t>
          </w:r>
          <w:r>
            <w:fldChar w:fldCharType="end"/>
          </w:r>
          <w:r>
            <w:rPr>
              <w:rFonts w:hint="default"/>
              <w:lang w:val="en-US" w:eastAsia="zh-CN"/>
            </w:rPr>
            <w:fldChar w:fldCharType="end"/>
          </w:r>
        </w:p>
        <w:p w14:paraId="50B3868B">
          <w:pPr>
            <w:pStyle w:val="17"/>
            <w:tabs>
              <w:tab w:val="right" w:leader="dot" w:pos="8306"/>
            </w:tabs>
          </w:pPr>
          <w:r>
            <w:rPr>
              <w:rFonts w:hint="default"/>
              <w:lang w:val="en-US" w:eastAsia="zh-CN"/>
            </w:rPr>
            <w:fldChar w:fldCharType="begin"/>
          </w:r>
          <w:r>
            <w:rPr>
              <w:rFonts w:hint="default"/>
              <w:lang w:val="en-US" w:eastAsia="zh-CN"/>
            </w:rPr>
            <w:instrText xml:space="preserve"> HYPERLINK \l _Toc30606 </w:instrText>
          </w:r>
          <w:r>
            <w:rPr>
              <w:rFonts w:hint="default"/>
              <w:lang w:val="en-US" w:eastAsia="zh-CN"/>
            </w:rPr>
            <w:fldChar w:fldCharType="separate"/>
          </w:r>
          <w:r>
            <w:rPr>
              <w:rFonts w:hint="default"/>
              <w:lang w:val="en-US" w:eastAsia="zh-CN"/>
            </w:rPr>
            <w:t xml:space="preserve">2.5 </w:t>
          </w:r>
          <w:r>
            <w:rPr>
              <w:rFonts w:hint="eastAsia"/>
              <w:lang w:val="en-US" w:eastAsia="zh-CN"/>
            </w:rPr>
            <w:t>主要环境保护目标</w:t>
          </w:r>
          <w:r>
            <w:tab/>
          </w:r>
          <w:r>
            <w:fldChar w:fldCharType="begin"/>
          </w:r>
          <w:r>
            <w:instrText xml:space="preserve"> PAGEREF _Toc30606 \h </w:instrText>
          </w:r>
          <w:r>
            <w:fldChar w:fldCharType="separate"/>
          </w:r>
          <w:r>
            <w:t>- 55 -</w:t>
          </w:r>
          <w:r>
            <w:fldChar w:fldCharType="end"/>
          </w:r>
          <w:r>
            <w:rPr>
              <w:rFonts w:hint="default"/>
              <w:lang w:val="en-US" w:eastAsia="zh-CN"/>
            </w:rPr>
            <w:fldChar w:fldCharType="end"/>
          </w:r>
        </w:p>
        <w:p w14:paraId="183383C3">
          <w:pPr>
            <w:pStyle w:val="16"/>
            <w:tabs>
              <w:tab w:val="right" w:leader="dot" w:pos="8306"/>
            </w:tabs>
          </w:pPr>
          <w:r>
            <w:rPr>
              <w:rFonts w:hint="default"/>
              <w:lang w:val="en-US" w:eastAsia="zh-CN"/>
            </w:rPr>
            <w:fldChar w:fldCharType="begin"/>
          </w:r>
          <w:r>
            <w:rPr>
              <w:rFonts w:hint="default"/>
              <w:lang w:val="en-US" w:eastAsia="zh-CN"/>
            </w:rPr>
            <w:instrText xml:space="preserve"> HYPERLINK \l _Toc18309 </w:instrText>
          </w:r>
          <w:r>
            <w:rPr>
              <w:rFonts w:hint="default"/>
              <w:lang w:val="en-US" w:eastAsia="zh-CN"/>
            </w:rPr>
            <w:fldChar w:fldCharType="separate"/>
          </w:r>
          <w:r>
            <w:rPr>
              <w:rFonts w:hint="default"/>
              <w:lang w:val="en-US" w:eastAsia="zh-CN"/>
            </w:rPr>
            <w:t xml:space="preserve">3 </w:t>
          </w:r>
          <w:r>
            <w:rPr>
              <w:rFonts w:hint="eastAsia"/>
              <w:lang w:val="en-US" w:eastAsia="zh-CN"/>
            </w:rPr>
            <w:t>建设项目工程分析</w:t>
          </w:r>
          <w:r>
            <w:tab/>
          </w:r>
          <w:r>
            <w:fldChar w:fldCharType="begin"/>
          </w:r>
          <w:r>
            <w:instrText xml:space="preserve"> PAGEREF _Toc18309 \h </w:instrText>
          </w:r>
          <w:r>
            <w:fldChar w:fldCharType="separate"/>
          </w:r>
          <w:r>
            <w:t>- 58 -</w:t>
          </w:r>
          <w:r>
            <w:fldChar w:fldCharType="end"/>
          </w:r>
          <w:r>
            <w:rPr>
              <w:rFonts w:hint="default"/>
              <w:lang w:val="en-US" w:eastAsia="zh-CN"/>
            </w:rPr>
            <w:fldChar w:fldCharType="end"/>
          </w:r>
        </w:p>
        <w:p w14:paraId="16CE038F">
          <w:pPr>
            <w:pStyle w:val="17"/>
            <w:tabs>
              <w:tab w:val="right" w:leader="dot" w:pos="8306"/>
            </w:tabs>
          </w:pPr>
          <w:r>
            <w:rPr>
              <w:rFonts w:hint="default"/>
              <w:lang w:val="en-US" w:eastAsia="zh-CN"/>
            </w:rPr>
            <w:fldChar w:fldCharType="begin"/>
          </w:r>
          <w:r>
            <w:rPr>
              <w:rFonts w:hint="default"/>
              <w:lang w:val="en-US" w:eastAsia="zh-CN"/>
            </w:rPr>
            <w:instrText xml:space="preserve"> HYPERLINK \l _Toc4673 </w:instrText>
          </w:r>
          <w:r>
            <w:rPr>
              <w:rFonts w:hint="default"/>
              <w:lang w:val="en-US" w:eastAsia="zh-CN"/>
            </w:rPr>
            <w:fldChar w:fldCharType="separate"/>
          </w:r>
          <w:r>
            <w:rPr>
              <w:rFonts w:hint="default"/>
              <w:lang w:val="en-US" w:eastAsia="zh-CN"/>
            </w:rPr>
            <w:t xml:space="preserve">3.1 </w:t>
          </w:r>
          <w:r>
            <w:rPr>
              <w:rFonts w:hint="eastAsia"/>
              <w:lang w:val="en-US" w:eastAsia="zh-CN"/>
            </w:rPr>
            <w:t>工程概况</w:t>
          </w:r>
          <w:r>
            <w:tab/>
          </w:r>
          <w:r>
            <w:fldChar w:fldCharType="begin"/>
          </w:r>
          <w:r>
            <w:instrText xml:space="preserve"> PAGEREF _Toc4673 \h </w:instrText>
          </w:r>
          <w:r>
            <w:fldChar w:fldCharType="separate"/>
          </w:r>
          <w:r>
            <w:t>- 58 -</w:t>
          </w:r>
          <w:r>
            <w:fldChar w:fldCharType="end"/>
          </w:r>
          <w:r>
            <w:rPr>
              <w:rFonts w:hint="default"/>
              <w:lang w:val="en-US" w:eastAsia="zh-CN"/>
            </w:rPr>
            <w:fldChar w:fldCharType="end"/>
          </w:r>
        </w:p>
        <w:p w14:paraId="4561D1F8">
          <w:pPr>
            <w:pStyle w:val="17"/>
            <w:tabs>
              <w:tab w:val="right" w:leader="dot" w:pos="8306"/>
            </w:tabs>
          </w:pPr>
          <w:r>
            <w:rPr>
              <w:rFonts w:hint="default"/>
              <w:lang w:val="en-US" w:eastAsia="zh-CN"/>
            </w:rPr>
            <w:fldChar w:fldCharType="begin"/>
          </w:r>
          <w:r>
            <w:rPr>
              <w:rFonts w:hint="default"/>
              <w:lang w:val="en-US" w:eastAsia="zh-CN"/>
            </w:rPr>
            <w:instrText xml:space="preserve"> HYPERLINK \l _Toc23318 </w:instrText>
          </w:r>
          <w:r>
            <w:rPr>
              <w:rFonts w:hint="default"/>
              <w:lang w:val="en-US" w:eastAsia="zh-CN"/>
            </w:rPr>
            <w:fldChar w:fldCharType="separate"/>
          </w:r>
          <w:r>
            <w:rPr>
              <w:rFonts w:hint="default"/>
              <w:lang w:val="en-US" w:eastAsia="zh-CN"/>
            </w:rPr>
            <w:t xml:space="preserve">3.2 </w:t>
          </w:r>
          <w:r>
            <w:rPr>
              <w:rFonts w:hint="eastAsia"/>
              <w:lang w:val="en-US" w:eastAsia="zh-CN"/>
            </w:rPr>
            <w:t>工艺流程</w:t>
          </w:r>
          <w:r>
            <w:tab/>
          </w:r>
          <w:r>
            <w:fldChar w:fldCharType="begin"/>
          </w:r>
          <w:r>
            <w:instrText xml:space="preserve"> PAGEREF _Toc23318 \h </w:instrText>
          </w:r>
          <w:r>
            <w:fldChar w:fldCharType="separate"/>
          </w:r>
          <w:r>
            <w:t>- 69 -</w:t>
          </w:r>
          <w:r>
            <w:fldChar w:fldCharType="end"/>
          </w:r>
          <w:r>
            <w:rPr>
              <w:rFonts w:hint="default"/>
              <w:lang w:val="en-US" w:eastAsia="zh-CN"/>
            </w:rPr>
            <w:fldChar w:fldCharType="end"/>
          </w:r>
        </w:p>
        <w:p w14:paraId="0DDC613C">
          <w:pPr>
            <w:pStyle w:val="17"/>
            <w:tabs>
              <w:tab w:val="right" w:leader="dot" w:pos="8306"/>
            </w:tabs>
          </w:pPr>
          <w:r>
            <w:rPr>
              <w:rFonts w:hint="default"/>
              <w:lang w:val="en-US" w:eastAsia="zh-CN"/>
            </w:rPr>
            <w:fldChar w:fldCharType="begin"/>
          </w:r>
          <w:r>
            <w:rPr>
              <w:rFonts w:hint="default"/>
              <w:lang w:val="en-US" w:eastAsia="zh-CN"/>
            </w:rPr>
            <w:instrText xml:space="preserve"> HYPERLINK \l _Toc15013 </w:instrText>
          </w:r>
          <w:r>
            <w:rPr>
              <w:rFonts w:hint="default"/>
              <w:lang w:val="en-US" w:eastAsia="zh-CN"/>
            </w:rPr>
            <w:fldChar w:fldCharType="separate"/>
          </w:r>
          <w:r>
            <w:rPr>
              <w:rFonts w:hint="default"/>
              <w:lang w:val="en-US" w:eastAsia="zh-CN"/>
            </w:rPr>
            <w:t xml:space="preserve">3.3 </w:t>
          </w:r>
          <w:r>
            <w:rPr>
              <w:rFonts w:hint="eastAsia"/>
              <w:lang w:val="en-US" w:eastAsia="zh-CN"/>
            </w:rPr>
            <w:t>产排污环节</w:t>
          </w:r>
          <w:r>
            <w:tab/>
          </w:r>
          <w:r>
            <w:fldChar w:fldCharType="begin"/>
          </w:r>
          <w:r>
            <w:instrText xml:space="preserve"> PAGEREF _Toc15013 \h </w:instrText>
          </w:r>
          <w:r>
            <w:fldChar w:fldCharType="separate"/>
          </w:r>
          <w:r>
            <w:t>- 82 -</w:t>
          </w:r>
          <w:r>
            <w:fldChar w:fldCharType="end"/>
          </w:r>
          <w:r>
            <w:rPr>
              <w:rFonts w:hint="default"/>
              <w:lang w:val="en-US" w:eastAsia="zh-CN"/>
            </w:rPr>
            <w:fldChar w:fldCharType="end"/>
          </w:r>
        </w:p>
        <w:p w14:paraId="33C656CE">
          <w:pPr>
            <w:pStyle w:val="17"/>
            <w:tabs>
              <w:tab w:val="right" w:leader="dot" w:pos="8306"/>
            </w:tabs>
          </w:pPr>
          <w:r>
            <w:rPr>
              <w:rFonts w:hint="default"/>
              <w:lang w:val="en-US" w:eastAsia="zh-CN"/>
            </w:rPr>
            <w:fldChar w:fldCharType="begin"/>
          </w:r>
          <w:r>
            <w:rPr>
              <w:rFonts w:hint="default"/>
              <w:lang w:val="en-US" w:eastAsia="zh-CN"/>
            </w:rPr>
            <w:instrText xml:space="preserve"> HYPERLINK \l _Toc3650 </w:instrText>
          </w:r>
          <w:r>
            <w:rPr>
              <w:rFonts w:hint="default"/>
              <w:lang w:val="en-US" w:eastAsia="zh-CN"/>
            </w:rPr>
            <w:fldChar w:fldCharType="separate"/>
          </w:r>
          <w:r>
            <w:rPr>
              <w:rFonts w:hint="default"/>
              <w:lang w:val="en-US" w:eastAsia="zh-CN"/>
            </w:rPr>
            <w:t xml:space="preserve">3.4 </w:t>
          </w:r>
          <w:r>
            <w:rPr>
              <w:rFonts w:hint="eastAsia"/>
              <w:lang w:val="en-US" w:eastAsia="zh-CN"/>
            </w:rPr>
            <w:t>污染源分析</w:t>
          </w:r>
          <w:r>
            <w:tab/>
          </w:r>
          <w:r>
            <w:fldChar w:fldCharType="begin"/>
          </w:r>
          <w:r>
            <w:instrText xml:space="preserve"> PAGEREF _Toc3650 \h </w:instrText>
          </w:r>
          <w:r>
            <w:fldChar w:fldCharType="separate"/>
          </w:r>
          <w:r>
            <w:t>- 86 -</w:t>
          </w:r>
          <w:r>
            <w:fldChar w:fldCharType="end"/>
          </w:r>
          <w:r>
            <w:rPr>
              <w:rFonts w:hint="default"/>
              <w:lang w:val="en-US" w:eastAsia="zh-CN"/>
            </w:rPr>
            <w:fldChar w:fldCharType="end"/>
          </w:r>
        </w:p>
        <w:p w14:paraId="1D43B5D5">
          <w:pPr>
            <w:pStyle w:val="17"/>
            <w:tabs>
              <w:tab w:val="right" w:leader="dot" w:pos="8306"/>
            </w:tabs>
          </w:pPr>
          <w:r>
            <w:rPr>
              <w:rFonts w:hint="default"/>
              <w:lang w:val="en-US" w:eastAsia="zh-CN"/>
            </w:rPr>
            <w:fldChar w:fldCharType="begin"/>
          </w:r>
          <w:r>
            <w:rPr>
              <w:rFonts w:hint="default"/>
              <w:lang w:val="en-US" w:eastAsia="zh-CN"/>
            </w:rPr>
            <w:instrText xml:space="preserve"> HYPERLINK \l _Toc6978 </w:instrText>
          </w:r>
          <w:r>
            <w:rPr>
              <w:rFonts w:hint="default"/>
              <w:lang w:val="en-US" w:eastAsia="zh-CN"/>
            </w:rPr>
            <w:fldChar w:fldCharType="separate"/>
          </w:r>
          <w:r>
            <w:rPr>
              <w:rFonts w:hint="default"/>
              <w:lang w:val="en-US" w:eastAsia="zh-CN"/>
            </w:rPr>
            <w:t xml:space="preserve">3.5 </w:t>
          </w:r>
          <w:r>
            <w:rPr>
              <w:rFonts w:hint="eastAsia"/>
              <w:lang w:val="en-US" w:eastAsia="zh-CN"/>
            </w:rPr>
            <w:t>清洁生产分析</w:t>
          </w:r>
          <w:r>
            <w:tab/>
          </w:r>
          <w:r>
            <w:fldChar w:fldCharType="begin"/>
          </w:r>
          <w:r>
            <w:instrText xml:space="preserve"> PAGEREF _Toc6978 \h </w:instrText>
          </w:r>
          <w:r>
            <w:fldChar w:fldCharType="separate"/>
          </w:r>
          <w:r>
            <w:t>- 103 -</w:t>
          </w:r>
          <w:r>
            <w:fldChar w:fldCharType="end"/>
          </w:r>
          <w:r>
            <w:rPr>
              <w:rFonts w:hint="default"/>
              <w:lang w:val="en-US" w:eastAsia="zh-CN"/>
            </w:rPr>
            <w:fldChar w:fldCharType="end"/>
          </w:r>
        </w:p>
        <w:p w14:paraId="4B629CCC">
          <w:pPr>
            <w:pStyle w:val="16"/>
            <w:tabs>
              <w:tab w:val="right" w:leader="dot" w:pos="8306"/>
            </w:tabs>
          </w:pPr>
          <w:r>
            <w:rPr>
              <w:rFonts w:hint="default"/>
              <w:lang w:val="en-US" w:eastAsia="zh-CN"/>
            </w:rPr>
            <w:fldChar w:fldCharType="begin"/>
          </w:r>
          <w:r>
            <w:rPr>
              <w:rFonts w:hint="default"/>
              <w:lang w:val="en-US" w:eastAsia="zh-CN"/>
            </w:rPr>
            <w:instrText xml:space="preserve"> HYPERLINK \l _Toc168 </w:instrText>
          </w:r>
          <w:r>
            <w:rPr>
              <w:rFonts w:hint="default"/>
              <w:lang w:val="en-US" w:eastAsia="zh-CN"/>
            </w:rPr>
            <w:fldChar w:fldCharType="separate"/>
          </w:r>
          <w:r>
            <w:rPr>
              <w:rFonts w:hint="default"/>
              <w:lang w:val="en-US" w:eastAsia="zh-CN"/>
            </w:rPr>
            <w:t xml:space="preserve">4 </w:t>
          </w:r>
          <w:r>
            <w:rPr>
              <w:rFonts w:hint="eastAsia"/>
              <w:lang w:val="en-US" w:eastAsia="zh-CN"/>
            </w:rPr>
            <w:t>环境现状调查与评价</w:t>
          </w:r>
          <w:r>
            <w:tab/>
          </w:r>
          <w:r>
            <w:fldChar w:fldCharType="begin"/>
          </w:r>
          <w:r>
            <w:instrText xml:space="preserve"> PAGEREF _Toc168 \h </w:instrText>
          </w:r>
          <w:r>
            <w:fldChar w:fldCharType="separate"/>
          </w:r>
          <w:r>
            <w:t>- 107 -</w:t>
          </w:r>
          <w:r>
            <w:fldChar w:fldCharType="end"/>
          </w:r>
          <w:r>
            <w:rPr>
              <w:rFonts w:hint="default"/>
              <w:lang w:val="en-US" w:eastAsia="zh-CN"/>
            </w:rPr>
            <w:fldChar w:fldCharType="end"/>
          </w:r>
        </w:p>
        <w:p w14:paraId="6E67E3AD">
          <w:pPr>
            <w:pStyle w:val="17"/>
            <w:tabs>
              <w:tab w:val="right" w:leader="dot" w:pos="8306"/>
            </w:tabs>
          </w:pPr>
          <w:r>
            <w:rPr>
              <w:rFonts w:hint="default"/>
              <w:lang w:val="en-US" w:eastAsia="zh-CN"/>
            </w:rPr>
            <w:fldChar w:fldCharType="begin"/>
          </w:r>
          <w:r>
            <w:rPr>
              <w:rFonts w:hint="default"/>
              <w:lang w:val="en-US" w:eastAsia="zh-CN"/>
            </w:rPr>
            <w:instrText xml:space="preserve"> HYPERLINK \l _Toc32625 </w:instrText>
          </w:r>
          <w:r>
            <w:rPr>
              <w:rFonts w:hint="default"/>
              <w:lang w:val="en-US" w:eastAsia="zh-CN"/>
            </w:rPr>
            <w:fldChar w:fldCharType="separate"/>
          </w:r>
          <w:r>
            <w:rPr>
              <w:rFonts w:hint="default"/>
              <w:lang w:val="en-US" w:eastAsia="zh-CN"/>
            </w:rPr>
            <w:t xml:space="preserve">4.1 </w:t>
          </w:r>
          <w:r>
            <w:rPr>
              <w:rFonts w:hint="eastAsia"/>
              <w:lang w:val="en-US" w:eastAsia="zh-CN"/>
            </w:rPr>
            <w:t>自然环境概况</w:t>
          </w:r>
          <w:r>
            <w:tab/>
          </w:r>
          <w:r>
            <w:fldChar w:fldCharType="begin"/>
          </w:r>
          <w:r>
            <w:instrText xml:space="preserve"> PAGEREF _Toc32625 \h </w:instrText>
          </w:r>
          <w:r>
            <w:fldChar w:fldCharType="separate"/>
          </w:r>
          <w:r>
            <w:t>- 107 -</w:t>
          </w:r>
          <w:r>
            <w:fldChar w:fldCharType="end"/>
          </w:r>
          <w:r>
            <w:rPr>
              <w:rFonts w:hint="default"/>
              <w:lang w:val="en-US" w:eastAsia="zh-CN"/>
            </w:rPr>
            <w:fldChar w:fldCharType="end"/>
          </w:r>
        </w:p>
        <w:p w14:paraId="70C426C4">
          <w:pPr>
            <w:pStyle w:val="17"/>
            <w:tabs>
              <w:tab w:val="right" w:leader="dot" w:pos="8306"/>
            </w:tabs>
          </w:pPr>
          <w:r>
            <w:rPr>
              <w:rFonts w:hint="default"/>
              <w:lang w:val="en-US" w:eastAsia="zh-CN"/>
            </w:rPr>
            <w:fldChar w:fldCharType="begin"/>
          </w:r>
          <w:r>
            <w:rPr>
              <w:rFonts w:hint="default"/>
              <w:lang w:val="en-US" w:eastAsia="zh-CN"/>
            </w:rPr>
            <w:instrText xml:space="preserve"> HYPERLINK \l _Toc14745 </w:instrText>
          </w:r>
          <w:r>
            <w:rPr>
              <w:rFonts w:hint="default"/>
              <w:lang w:val="en-US" w:eastAsia="zh-CN"/>
            </w:rPr>
            <w:fldChar w:fldCharType="separate"/>
          </w:r>
          <w:r>
            <w:rPr>
              <w:rFonts w:hint="default"/>
              <w:lang w:val="en-US" w:eastAsia="zh-CN"/>
            </w:rPr>
            <w:t xml:space="preserve">4.2 </w:t>
          </w:r>
          <w:r>
            <w:rPr>
              <w:rFonts w:hint="eastAsia"/>
              <w:lang w:val="en-US" w:eastAsia="zh-CN"/>
            </w:rPr>
            <w:t>环境质量现状调查与评价</w:t>
          </w:r>
          <w:r>
            <w:tab/>
          </w:r>
          <w:r>
            <w:fldChar w:fldCharType="begin"/>
          </w:r>
          <w:r>
            <w:instrText xml:space="preserve"> PAGEREF _Toc14745 \h </w:instrText>
          </w:r>
          <w:r>
            <w:fldChar w:fldCharType="separate"/>
          </w:r>
          <w:r>
            <w:t>- 116 -</w:t>
          </w:r>
          <w:r>
            <w:fldChar w:fldCharType="end"/>
          </w:r>
          <w:r>
            <w:rPr>
              <w:rFonts w:hint="default"/>
              <w:lang w:val="en-US" w:eastAsia="zh-CN"/>
            </w:rPr>
            <w:fldChar w:fldCharType="end"/>
          </w:r>
        </w:p>
        <w:p w14:paraId="7ACE6798">
          <w:pPr>
            <w:pStyle w:val="16"/>
            <w:tabs>
              <w:tab w:val="right" w:leader="dot" w:pos="8306"/>
            </w:tabs>
          </w:pPr>
          <w:r>
            <w:rPr>
              <w:rFonts w:hint="default"/>
              <w:lang w:val="en-US" w:eastAsia="zh-CN"/>
            </w:rPr>
            <w:fldChar w:fldCharType="begin"/>
          </w:r>
          <w:r>
            <w:rPr>
              <w:rFonts w:hint="default"/>
              <w:lang w:val="en-US" w:eastAsia="zh-CN"/>
            </w:rPr>
            <w:instrText xml:space="preserve"> HYPERLINK \l _Toc23883 </w:instrText>
          </w:r>
          <w:r>
            <w:rPr>
              <w:rFonts w:hint="default"/>
              <w:lang w:val="en-US" w:eastAsia="zh-CN"/>
            </w:rPr>
            <w:fldChar w:fldCharType="separate"/>
          </w:r>
          <w:r>
            <w:rPr>
              <w:rFonts w:hint="default"/>
              <w:lang w:val="en-US" w:eastAsia="zh-CN"/>
            </w:rPr>
            <w:t xml:space="preserve">5 </w:t>
          </w:r>
          <w:r>
            <w:rPr>
              <w:rFonts w:hint="eastAsia"/>
              <w:lang w:val="en-US" w:eastAsia="zh-CN"/>
            </w:rPr>
            <w:t>环境影响预测与评价</w:t>
          </w:r>
          <w:r>
            <w:tab/>
          </w:r>
          <w:r>
            <w:fldChar w:fldCharType="begin"/>
          </w:r>
          <w:r>
            <w:instrText xml:space="preserve"> PAGEREF _Toc23883 \h </w:instrText>
          </w:r>
          <w:r>
            <w:fldChar w:fldCharType="separate"/>
          </w:r>
          <w:r>
            <w:t>- 137 -</w:t>
          </w:r>
          <w:r>
            <w:fldChar w:fldCharType="end"/>
          </w:r>
          <w:r>
            <w:rPr>
              <w:rFonts w:hint="default"/>
              <w:lang w:val="en-US" w:eastAsia="zh-CN"/>
            </w:rPr>
            <w:fldChar w:fldCharType="end"/>
          </w:r>
        </w:p>
        <w:p w14:paraId="0B79A558">
          <w:pPr>
            <w:pStyle w:val="17"/>
            <w:tabs>
              <w:tab w:val="right" w:leader="dot" w:pos="8306"/>
            </w:tabs>
          </w:pPr>
          <w:r>
            <w:rPr>
              <w:rFonts w:hint="default"/>
              <w:lang w:val="en-US" w:eastAsia="zh-CN"/>
            </w:rPr>
            <w:fldChar w:fldCharType="begin"/>
          </w:r>
          <w:r>
            <w:rPr>
              <w:rFonts w:hint="default"/>
              <w:lang w:val="en-US" w:eastAsia="zh-CN"/>
            </w:rPr>
            <w:instrText xml:space="preserve"> HYPERLINK \l _Toc23203 </w:instrText>
          </w:r>
          <w:r>
            <w:rPr>
              <w:rFonts w:hint="default"/>
              <w:lang w:val="en-US" w:eastAsia="zh-CN"/>
            </w:rPr>
            <w:fldChar w:fldCharType="separate"/>
          </w:r>
          <w:r>
            <w:rPr>
              <w:rFonts w:hint="default"/>
              <w:lang w:val="en-US" w:eastAsia="zh-CN"/>
            </w:rPr>
            <w:t xml:space="preserve">5.1 </w:t>
          </w:r>
          <w:r>
            <w:rPr>
              <w:rFonts w:hint="eastAsia"/>
              <w:lang w:val="en-US" w:eastAsia="zh-CN"/>
            </w:rPr>
            <w:t>施工期环境影响分析</w:t>
          </w:r>
          <w:r>
            <w:tab/>
          </w:r>
          <w:r>
            <w:fldChar w:fldCharType="begin"/>
          </w:r>
          <w:r>
            <w:instrText xml:space="preserve"> PAGEREF _Toc23203 \h </w:instrText>
          </w:r>
          <w:r>
            <w:fldChar w:fldCharType="separate"/>
          </w:r>
          <w:r>
            <w:t>- 137 -</w:t>
          </w:r>
          <w:r>
            <w:fldChar w:fldCharType="end"/>
          </w:r>
          <w:r>
            <w:rPr>
              <w:rFonts w:hint="default"/>
              <w:lang w:val="en-US" w:eastAsia="zh-CN"/>
            </w:rPr>
            <w:fldChar w:fldCharType="end"/>
          </w:r>
        </w:p>
        <w:p w14:paraId="061FA3C9">
          <w:pPr>
            <w:pStyle w:val="17"/>
            <w:tabs>
              <w:tab w:val="right" w:leader="dot" w:pos="8306"/>
            </w:tabs>
          </w:pPr>
          <w:r>
            <w:rPr>
              <w:rFonts w:hint="default"/>
              <w:lang w:val="en-US" w:eastAsia="zh-CN"/>
            </w:rPr>
            <w:fldChar w:fldCharType="begin"/>
          </w:r>
          <w:r>
            <w:rPr>
              <w:rFonts w:hint="default"/>
              <w:lang w:val="en-US" w:eastAsia="zh-CN"/>
            </w:rPr>
            <w:instrText xml:space="preserve"> HYPERLINK \l _Toc19582 </w:instrText>
          </w:r>
          <w:r>
            <w:rPr>
              <w:rFonts w:hint="default"/>
              <w:lang w:val="en-US" w:eastAsia="zh-CN"/>
            </w:rPr>
            <w:fldChar w:fldCharType="separate"/>
          </w:r>
          <w:r>
            <w:rPr>
              <w:rFonts w:hint="default"/>
              <w:lang w:val="en-US" w:eastAsia="zh-CN"/>
            </w:rPr>
            <w:t xml:space="preserve">5.2 </w:t>
          </w:r>
          <w:r>
            <w:rPr>
              <w:rFonts w:hint="eastAsia"/>
              <w:lang w:val="en-US" w:eastAsia="zh-CN"/>
            </w:rPr>
            <w:t>运营期环境影响分析与评价</w:t>
          </w:r>
          <w:r>
            <w:tab/>
          </w:r>
          <w:r>
            <w:fldChar w:fldCharType="begin"/>
          </w:r>
          <w:r>
            <w:instrText xml:space="preserve"> PAGEREF _Toc19582 \h </w:instrText>
          </w:r>
          <w:r>
            <w:fldChar w:fldCharType="separate"/>
          </w:r>
          <w:r>
            <w:t>- 143 -</w:t>
          </w:r>
          <w:r>
            <w:fldChar w:fldCharType="end"/>
          </w:r>
          <w:r>
            <w:rPr>
              <w:rFonts w:hint="default"/>
              <w:lang w:val="en-US" w:eastAsia="zh-CN"/>
            </w:rPr>
            <w:fldChar w:fldCharType="end"/>
          </w:r>
        </w:p>
        <w:p w14:paraId="062E5021">
          <w:pPr>
            <w:pStyle w:val="16"/>
            <w:tabs>
              <w:tab w:val="right" w:leader="dot" w:pos="8306"/>
            </w:tabs>
          </w:pPr>
          <w:r>
            <w:rPr>
              <w:rFonts w:hint="default"/>
              <w:lang w:val="en-US" w:eastAsia="zh-CN"/>
            </w:rPr>
            <w:fldChar w:fldCharType="begin"/>
          </w:r>
          <w:r>
            <w:rPr>
              <w:rFonts w:hint="default"/>
              <w:lang w:val="en-US" w:eastAsia="zh-CN"/>
            </w:rPr>
            <w:instrText xml:space="preserve"> HYPERLINK \l _Toc4021 </w:instrText>
          </w:r>
          <w:r>
            <w:rPr>
              <w:rFonts w:hint="default"/>
              <w:lang w:val="en-US" w:eastAsia="zh-CN"/>
            </w:rPr>
            <w:fldChar w:fldCharType="separate"/>
          </w:r>
          <w:r>
            <w:rPr>
              <w:rFonts w:hint="default"/>
              <w:lang w:val="en-US" w:eastAsia="zh-CN"/>
            </w:rPr>
            <w:t xml:space="preserve">6 </w:t>
          </w:r>
          <w:r>
            <w:rPr>
              <w:rFonts w:hint="eastAsia"/>
              <w:lang w:val="en-US" w:eastAsia="zh-CN"/>
            </w:rPr>
            <w:t>环境保护措施及其可行性论证</w:t>
          </w:r>
          <w:r>
            <w:tab/>
          </w:r>
          <w:r>
            <w:fldChar w:fldCharType="begin"/>
          </w:r>
          <w:r>
            <w:instrText xml:space="preserve"> PAGEREF _Toc4021 \h </w:instrText>
          </w:r>
          <w:r>
            <w:fldChar w:fldCharType="separate"/>
          </w:r>
          <w:r>
            <w:t>- 183 -</w:t>
          </w:r>
          <w:r>
            <w:fldChar w:fldCharType="end"/>
          </w:r>
          <w:r>
            <w:rPr>
              <w:rFonts w:hint="default"/>
              <w:lang w:val="en-US" w:eastAsia="zh-CN"/>
            </w:rPr>
            <w:fldChar w:fldCharType="end"/>
          </w:r>
        </w:p>
        <w:p w14:paraId="15BC45AF">
          <w:pPr>
            <w:pStyle w:val="17"/>
            <w:tabs>
              <w:tab w:val="right" w:leader="dot" w:pos="8306"/>
            </w:tabs>
          </w:pPr>
          <w:r>
            <w:rPr>
              <w:rFonts w:hint="default"/>
              <w:lang w:val="en-US" w:eastAsia="zh-CN"/>
            </w:rPr>
            <w:fldChar w:fldCharType="begin"/>
          </w:r>
          <w:r>
            <w:rPr>
              <w:rFonts w:hint="default"/>
              <w:lang w:val="en-US" w:eastAsia="zh-CN"/>
            </w:rPr>
            <w:instrText xml:space="preserve"> HYPERLINK \l _Toc14442 </w:instrText>
          </w:r>
          <w:r>
            <w:rPr>
              <w:rFonts w:hint="default"/>
              <w:lang w:val="en-US" w:eastAsia="zh-CN"/>
            </w:rPr>
            <w:fldChar w:fldCharType="separate"/>
          </w:r>
          <w:r>
            <w:rPr>
              <w:rFonts w:hint="default"/>
              <w:lang w:val="en-US" w:eastAsia="zh-CN"/>
            </w:rPr>
            <w:t xml:space="preserve">6.1 </w:t>
          </w:r>
          <w:r>
            <w:t>施工期环境保护措施</w:t>
          </w:r>
          <w:r>
            <w:tab/>
          </w:r>
          <w:r>
            <w:fldChar w:fldCharType="begin"/>
          </w:r>
          <w:r>
            <w:instrText xml:space="preserve"> PAGEREF _Toc14442 \h </w:instrText>
          </w:r>
          <w:r>
            <w:fldChar w:fldCharType="separate"/>
          </w:r>
          <w:r>
            <w:t>- 183 -</w:t>
          </w:r>
          <w:r>
            <w:fldChar w:fldCharType="end"/>
          </w:r>
          <w:r>
            <w:rPr>
              <w:rFonts w:hint="default"/>
              <w:lang w:val="en-US" w:eastAsia="zh-CN"/>
            </w:rPr>
            <w:fldChar w:fldCharType="end"/>
          </w:r>
        </w:p>
        <w:p w14:paraId="2D3BFA02">
          <w:pPr>
            <w:pStyle w:val="17"/>
            <w:tabs>
              <w:tab w:val="right" w:leader="dot" w:pos="8306"/>
            </w:tabs>
          </w:pPr>
          <w:r>
            <w:rPr>
              <w:rFonts w:hint="default"/>
              <w:lang w:val="en-US" w:eastAsia="zh-CN"/>
            </w:rPr>
            <w:fldChar w:fldCharType="begin"/>
          </w:r>
          <w:r>
            <w:rPr>
              <w:rFonts w:hint="default"/>
              <w:lang w:val="en-US" w:eastAsia="zh-CN"/>
            </w:rPr>
            <w:instrText xml:space="preserve"> HYPERLINK \l _Toc28974 </w:instrText>
          </w:r>
          <w:r>
            <w:rPr>
              <w:rFonts w:hint="default"/>
              <w:lang w:val="en-US" w:eastAsia="zh-CN"/>
            </w:rPr>
            <w:fldChar w:fldCharType="separate"/>
          </w:r>
          <w:r>
            <w:rPr>
              <w:rFonts w:hint="default"/>
            </w:rPr>
            <w:t xml:space="preserve">6.2 </w:t>
          </w:r>
          <w:r>
            <w:t>运营期污染防治措施</w:t>
          </w:r>
          <w:r>
            <w:tab/>
          </w:r>
          <w:r>
            <w:fldChar w:fldCharType="begin"/>
          </w:r>
          <w:r>
            <w:instrText xml:space="preserve"> PAGEREF _Toc28974 \h </w:instrText>
          </w:r>
          <w:r>
            <w:fldChar w:fldCharType="separate"/>
          </w:r>
          <w:r>
            <w:t>- 187 -</w:t>
          </w:r>
          <w:r>
            <w:fldChar w:fldCharType="end"/>
          </w:r>
          <w:r>
            <w:rPr>
              <w:rFonts w:hint="default"/>
              <w:lang w:val="en-US" w:eastAsia="zh-CN"/>
            </w:rPr>
            <w:fldChar w:fldCharType="end"/>
          </w:r>
        </w:p>
        <w:p w14:paraId="58CAC941">
          <w:pPr>
            <w:pStyle w:val="16"/>
            <w:tabs>
              <w:tab w:val="right" w:leader="dot" w:pos="8306"/>
            </w:tabs>
          </w:pPr>
          <w:r>
            <w:rPr>
              <w:rFonts w:hint="default"/>
              <w:lang w:val="en-US" w:eastAsia="zh-CN"/>
            </w:rPr>
            <w:fldChar w:fldCharType="begin"/>
          </w:r>
          <w:r>
            <w:rPr>
              <w:rFonts w:hint="default"/>
              <w:lang w:val="en-US" w:eastAsia="zh-CN"/>
            </w:rPr>
            <w:instrText xml:space="preserve"> HYPERLINK \l _Toc20585 </w:instrText>
          </w:r>
          <w:r>
            <w:rPr>
              <w:rFonts w:hint="default"/>
              <w:lang w:val="en-US" w:eastAsia="zh-CN"/>
            </w:rPr>
            <w:fldChar w:fldCharType="separate"/>
          </w:r>
          <w:r>
            <w:rPr>
              <w:rFonts w:hint="default"/>
              <w:lang w:val="en-US" w:eastAsia="zh-CN"/>
            </w:rPr>
            <w:t xml:space="preserve">7 </w:t>
          </w:r>
          <w:r>
            <w:rPr>
              <w:rFonts w:hint="eastAsia"/>
              <w:lang w:val="en-US" w:eastAsia="zh-CN"/>
            </w:rPr>
            <w:t>环境影响经济损益分析</w:t>
          </w:r>
          <w:r>
            <w:tab/>
          </w:r>
          <w:r>
            <w:fldChar w:fldCharType="begin"/>
          </w:r>
          <w:r>
            <w:instrText xml:space="preserve"> PAGEREF _Toc20585 \h </w:instrText>
          </w:r>
          <w:r>
            <w:fldChar w:fldCharType="separate"/>
          </w:r>
          <w:r>
            <w:t>- 208 -</w:t>
          </w:r>
          <w:r>
            <w:fldChar w:fldCharType="end"/>
          </w:r>
          <w:r>
            <w:rPr>
              <w:rFonts w:hint="default"/>
              <w:lang w:val="en-US" w:eastAsia="zh-CN"/>
            </w:rPr>
            <w:fldChar w:fldCharType="end"/>
          </w:r>
        </w:p>
        <w:p w14:paraId="31915893">
          <w:pPr>
            <w:pStyle w:val="17"/>
            <w:tabs>
              <w:tab w:val="right" w:leader="dot" w:pos="8306"/>
            </w:tabs>
          </w:pPr>
          <w:r>
            <w:rPr>
              <w:rFonts w:hint="default"/>
              <w:lang w:val="en-US" w:eastAsia="zh-CN"/>
            </w:rPr>
            <w:fldChar w:fldCharType="begin"/>
          </w:r>
          <w:r>
            <w:rPr>
              <w:rFonts w:hint="default"/>
              <w:lang w:val="en-US" w:eastAsia="zh-CN"/>
            </w:rPr>
            <w:instrText xml:space="preserve"> HYPERLINK \l _Toc28561 </w:instrText>
          </w:r>
          <w:r>
            <w:rPr>
              <w:rFonts w:hint="default"/>
              <w:lang w:val="en-US" w:eastAsia="zh-CN"/>
            </w:rPr>
            <w:fldChar w:fldCharType="separate"/>
          </w:r>
          <w:r>
            <w:rPr>
              <w:rFonts w:hint="default"/>
              <w:lang w:val="en-US" w:eastAsia="zh-CN"/>
            </w:rPr>
            <w:t xml:space="preserve">7.1 </w:t>
          </w:r>
          <w:r>
            <w:rPr>
              <w:rFonts w:hint="eastAsia"/>
              <w:lang w:val="en-US" w:eastAsia="zh-CN"/>
            </w:rPr>
            <w:t>效益分析</w:t>
          </w:r>
          <w:r>
            <w:tab/>
          </w:r>
          <w:r>
            <w:fldChar w:fldCharType="begin"/>
          </w:r>
          <w:r>
            <w:instrText xml:space="preserve"> PAGEREF _Toc28561 \h </w:instrText>
          </w:r>
          <w:r>
            <w:fldChar w:fldCharType="separate"/>
          </w:r>
          <w:r>
            <w:t>- 208 -</w:t>
          </w:r>
          <w:r>
            <w:fldChar w:fldCharType="end"/>
          </w:r>
          <w:r>
            <w:rPr>
              <w:rFonts w:hint="default"/>
              <w:lang w:val="en-US" w:eastAsia="zh-CN"/>
            </w:rPr>
            <w:fldChar w:fldCharType="end"/>
          </w:r>
        </w:p>
        <w:p w14:paraId="1C3F5370">
          <w:pPr>
            <w:pStyle w:val="17"/>
            <w:tabs>
              <w:tab w:val="right" w:leader="dot" w:pos="8306"/>
            </w:tabs>
          </w:pPr>
          <w:r>
            <w:rPr>
              <w:rFonts w:hint="default"/>
              <w:lang w:val="en-US" w:eastAsia="zh-CN"/>
            </w:rPr>
            <w:fldChar w:fldCharType="begin"/>
          </w:r>
          <w:r>
            <w:rPr>
              <w:rFonts w:hint="default"/>
              <w:lang w:val="en-US" w:eastAsia="zh-CN"/>
            </w:rPr>
            <w:instrText xml:space="preserve"> HYPERLINK \l _Toc3902 </w:instrText>
          </w:r>
          <w:r>
            <w:rPr>
              <w:rFonts w:hint="default"/>
              <w:lang w:val="en-US" w:eastAsia="zh-CN"/>
            </w:rPr>
            <w:fldChar w:fldCharType="separate"/>
          </w:r>
          <w:r>
            <w:rPr>
              <w:rFonts w:hint="default"/>
              <w:lang w:val="en-US" w:eastAsia="zh-CN"/>
            </w:rPr>
            <w:t xml:space="preserve">7.2 </w:t>
          </w:r>
          <w:r>
            <w:rPr>
              <w:rFonts w:hint="eastAsia"/>
              <w:lang w:val="en-US" w:eastAsia="zh-CN"/>
            </w:rPr>
            <w:t>环保投资估算</w:t>
          </w:r>
          <w:r>
            <w:tab/>
          </w:r>
          <w:r>
            <w:fldChar w:fldCharType="begin"/>
          </w:r>
          <w:r>
            <w:instrText xml:space="preserve"> PAGEREF _Toc3902 \h </w:instrText>
          </w:r>
          <w:r>
            <w:fldChar w:fldCharType="separate"/>
          </w:r>
          <w:r>
            <w:t>- 210 -</w:t>
          </w:r>
          <w:r>
            <w:fldChar w:fldCharType="end"/>
          </w:r>
          <w:r>
            <w:rPr>
              <w:rFonts w:hint="default"/>
              <w:lang w:val="en-US" w:eastAsia="zh-CN"/>
            </w:rPr>
            <w:fldChar w:fldCharType="end"/>
          </w:r>
        </w:p>
        <w:p w14:paraId="059BEEC4">
          <w:pPr>
            <w:pStyle w:val="16"/>
            <w:tabs>
              <w:tab w:val="right" w:leader="dot" w:pos="8306"/>
            </w:tabs>
          </w:pPr>
          <w:r>
            <w:rPr>
              <w:rFonts w:hint="default"/>
              <w:lang w:val="en-US" w:eastAsia="zh-CN"/>
            </w:rPr>
            <w:fldChar w:fldCharType="begin"/>
          </w:r>
          <w:r>
            <w:rPr>
              <w:rFonts w:hint="default"/>
              <w:lang w:val="en-US" w:eastAsia="zh-CN"/>
            </w:rPr>
            <w:instrText xml:space="preserve"> HYPERLINK \l _Toc23992 </w:instrText>
          </w:r>
          <w:r>
            <w:rPr>
              <w:rFonts w:hint="default"/>
              <w:lang w:val="en-US" w:eastAsia="zh-CN"/>
            </w:rPr>
            <w:fldChar w:fldCharType="separate"/>
          </w:r>
          <w:r>
            <w:rPr>
              <w:rFonts w:hint="default"/>
              <w:lang w:val="en-US" w:eastAsia="zh-CN"/>
            </w:rPr>
            <w:t xml:space="preserve">8 </w:t>
          </w:r>
          <w:r>
            <w:rPr>
              <w:rFonts w:hint="eastAsia"/>
              <w:lang w:val="en-US" w:eastAsia="zh-CN"/>
            </w:rPr>
            <w:t>环境管理与监测计划</w:t>
          </w:r>
          <w:r>
            <w:tab/>
          </w:r>
          <w:r>
            <w:fldChar w:fldCharType="begin"/>
          </w:r>
          <w:r>
            <w:instrText xml:space="preserve"> PAGEREF _Toc23992 \h </w:instrText>
          </w:r>
          <w:r>
            <w:fldChar w:fldCharType="separate"/>
          </w:r>
          <w:r>
            <w:t>- 211 -</w:t>
          </w:r>
          <w:r>
            <w:fldChar w:fldCharType="end"/>
          </w:r>
          <w:r>
            <w:rPr>
              <w:rFonts w:hint="default"/>
              <w:lang w:val="en-US" w:eastAsia="zh-CN"/>
            </w:rPr>
            <w:fldChar w:fldCharType="end"/>
          </w:r>
        </w:p>
        <w:p w14:paraId="57DC6C7E">
          <w:pPr>
            <w:pStyle w:val="17"/>
            <w:tabs>
              <w:tab w:val="right" w:leader="dot" w:pos="8306"/>
            </w:tabs>
          </w:pPr>
          <w:r>
            <w:rPr>
              <w:rFonts w:hint="default"/>
              <w:lang w:val="en-US" w:eastAsia="zh-CN"/>
            </w:rPr>
            <w:fldChar w:fldCharType="begin"/>
          </w:r>
          <w:r>
            <w:rPr>
              <w:rFonts w:hint="default"/>
              <w:lang w:val="en-US" w:eastAsia="zh-CN"/>
            </w:rPr>
            <w:instrText xml:space="preserve"> HYPERLINK \l _Toc15091 </w:instrText>
          </w:r>
          <w:r>
            <w:rPr>
              <w:rFonts w:hint="default"/>
              <w:lang w:val="en-US" w:eastAsia="zh-CN"/>
            </w:rPr>
            <w:fldChar w:fldCharType="separate"/>
          </w:r>
          <w:r>
            <w:rPr>
              <w:rFonts w:hint="default"/>
              <w:lang w:val="en-US" w:eastAsia="zh-CN"/>
            </w:rPr>
            <w:t xml:space="preserve">8.1 </w:t>
          </w:r>
          <w:r>
            <w:rPr>
              <w:rFonts w:hint="eastAsia"/>
              <w:lang w:val="en-US" w:eastAsia="zh-CN"/>
            </w:rPr>
            <w:t>环境管理</w:t>
          </w:r>
          <w:r>
            <w:tab/>
          </w:r>
          <w:r>
            <w:fldChar w:fldCharType="begin"/>
          </w:r>
          <w:r>
            <w:instrText xml:space="preserve"> PAGEREF _Toc15091 \h </w:instrText>
          </w:r>
          <w:r>
            <w:fldChar w:fldCharType="separate"/>
          </w:r>
          <w:r>
            <w:t>- 211 -</w:t>
          </w:r>
          <w:r>
            <w:fldChar w:fldCharType="end"/>
          </w:r>
          <w:r>
            <w:rPr>
              <w:rFonts w:hint="default"/>
              <w:lang w:val="en-US" w:eastAsia="zh-CN"/>
            </w:rPr>
            <w:fldChar w:fldCharType="end"/>
          </w:r>
        </w:p>
        <w:p w14:paraId="65FB2E72">
          <w:pPr>
            <w:pStyle w:val="17"/>
            <w:tabs>
              <w:tab w:val="right" w:leader="dot" w:pos="8306"/>
            </w:tabs>
          </w:pPr>
          <w:r>
            <w:rPr>
              <w:rFonts w:hint="default"/>
              <w:lang w:val="en-US" w:eastAsia="zh-CN"/>
            </w:rPr>
            <w:fldChar w:fldCharType="begin"/>
          </w:r>
          <w:r>
            <w:rPr>
              <w:rFonts w:hint="default"/>
              <w:lang w:val="en-US" w:eastAsia="zh-CN"/>
            </w:rPr>
            <w:instrText xml:space="preserve"> HYPERLINK \l _Toc5562 </w:instrText>
          </w:r>
          <w:r>
            <w:rPr>
              <w:rFonts w:hint="default"/>
              <w:lang w:val="en-US" w:eastAsia="zh-CN"/>
            </w:rPr>
            <w:fldChar w:fldCharType="separate"/>
          </w:r>
          <w:r>
            <w:rPr>
              <w:rFonts w:hint="default"/>
              <w:lang w:val="en-US" w:eastAsia="zh-CN"/>
            </w:rPr>
            <w:t xml:space="preserve">8.2 </w:t>
          </w:r>
          <w:r>
            <w:rPr>
              <w:rFonts w:hint="eastAsia"/>
              <w:lang w:val="en-US" w:eastAsia="zh-CN"/>
            </w:rPr>
            <w:t>环境监测计划</w:t>
          </w:r>
          <w:r>
            <w:tab/>
          </w:r>
          <w:r>
            <w:fldChar w:fldCharType="begin"/>
          </w:r>
          <w:r>
            <w:instrText xml:space="preserve"> PAGEREF _Toc5562 \h </w:instrText>
          </w:r>
          <w:r>
            <w:fldChar w:fldCharType="separate"/>
          </w:r>
          <w:r>
            <w:t>- 215 -</w:t>
          </w:r>
          <w:r>
            <w:fldChar w:fldCharType="end"/>
          </w:r>
          <w:r>
            <w:rPr>
              <w:rFonts w:hint="default"/>
              <w:lang w:val="en-US" w:eastAsia="zh-CN"/>
            </w:rPr>
            <w:fldChar w:fldCharType="end"/>
          </w:r>
        </w:p>
        <w:p w14:paraId="282DAEEF">
          <w:pPr>
            <w:pStyle w:val="17"/>
            <w:tabs>
              <w:tab w:val="right" w:leader="dot" w:pos="8306"/>
            </w:tabs>
          </w:pPr>
          <w:r>
            <w:rPr>
              <w:rFonts w:hint="default"/>
              <w:lang w:val="en-US" w:eastAsia="zh-CN"/>
            </w:rPr>
            <w:fldChar w:fldCharType="begin"/>
          </w:r>
          <w:r>
            <w:rPr>
              <w:rFonts w:hint="default"/>
              <w:lang w:val="en-US" w:eastAsia="zh-CN"/>
            </w:rPr>
            <w:instrText xml:space="preserve"> HYPERLINK \l _Toc2223 </w:instrText>
          </w:r>
          <w:r>
            <w:rPr>
              <w:rFonts w:hint="default"/>
              <w:lang w:val="en-US" w:eastAsia="zh-CN"/>
            </w:rPr>
            <w:fldChar w:fldCharType="separate"/>
          </w:r>
          <w:r>
            <w:rPr>
              <w:rFonts w:hint="default"/>
              <w:lang w:val="en-US" w:eastAsia="zh-CN"/>
            </w:rPr>
            <w:t xml:space="preserve">8.3 </w:t>
          </w:r>
          <w:r>
            <w:rPr>
              <w:rFonts w:hint="eastAsia"/>
              <w:lang w:val="en-US" w:eastAsia="zh-CN"/>
            </w:rPr>
            <w:t>环保验收“三同时”</w:t>
          </w:r>
          <w:r>
            <w:tab/>
          </w:r>
          <w:r>
            <w:fldChar w:fldCharType="begin"/>
          </w:r>
          <w:r>
            <w:instrText xml:space="preserve"> PAGEREF _Toc2223 \h </w:instrText>
          </w:r>
          <w:r>
            <w:fldChar w:fldCharType="separate"/>
          </w:r>
          <w:r>
            <w:t>- 221 -</w:t>
          </w:r>
          <w:r>
            <w:fldChar w:fldCharType="end"/>
          </w:r>
          <w:r>
            <w:rPr>
              <w:rFonts w:hint="default"/>
              <w:lang w:val="en-US" w:eastAsia="zh-CN"/>
            </w:rPr>
            <w:fldChar w:fldCharType="end"/>
          </w:r>
        </w:p>
        <w:p w14:paraId="45ECBA88">
          <w:pPr>
            <w:pStyle w:val="17"/>
            <w:tabs>
              <w:tab w:val="right" w:leader="dot" w:pos="8306"/>
            </w:tabs>
          </w:pPr>
          <w:r>
            <w:rPr>
              <w:rFonts w:hint="default"/>
              <w:lang w:val="en-US" w:eastAsia="zh-CN"/>
            </w:rPr>
            <w:fldChar w:fldCharType="begin"/>
          </w:r>
          <w:r>
            <w:rPr>
              <w:rFonts w:hint="default"/>
              <w:lang w:val="en-US" w:eastAsia="zh-CN"/>
            </w:rPr>
            <w:instrText xml:space="preserve"> HYPERLINK \l _Toc21983 </w:instrText>
          </w:r>
          <w:r>
            <w:rPr>
              <w:rFonts w:hint="default"/>
              <w:lang w:val="en-US" w:eastAsia="zh-CN"/>
            </w:rPr>
            <w:fldChar w:fldCharType="separate"/>
          </w:r>
          <w:r>
            <w:rPr>
              <w:rFonts w:hint="default"/>
              <w:lang w:val="en-US" w:eastAsia="zh-CN"/>
            </w:rPr>
            <w:t xml:space="preserve">8.4 </w:t>
          </w:r>
          <w:r>
            <w:rPr>
              <w:rFonts w:hint="eastAsia"/>
              <w:lang w:val="en-US" w:eastAsia="zh-CN"/>
            </w:rPr>
            <w:t>与排污许可制度的衔接</w:t>
          </w:r>
          <w:r>
            <w:tab/>
          </w:r>
          <w:r>
            <w:fldChar w:fldCharType="begin"/>
          </w:r>
          <w:r>
            <w:instrText xml:space="preserve"> PAGEREF _Toc21983 \h </w:instrText>
          </w:r>
          <w:r>
            <w:fldChar w:fldCharType="separate"/>
          </w:r>
          <w:r>
            <w:t>- 222 -</w:t>
          </w:r>
          <w:r>
            <w:fldChar w:fldCharType="end"/>
          </w:r>
          <w:r>
            <w:rPr>
              <w:rFonts w:hint="default"/>
              <w:lang w:val="en-US" w:eastAsia="zh-CN"/>
            </w:rPr>
            <w:fldChar w:fldCharType="end"/>
          </w:r>
        </w:p>
        <w:p w14:paraId="71E4717D">
          <w:pPr>
            <w:pStyle w:val="16"/>
            <w:tabs>
              <w:tab w:val="right" w:leader="dot" w:pos="8306"/>
            </w:tabs>
          </w:pPr>
          <w:r>
            <w:rPr>
              <w:rFonts w:hint="default"/>
              <w:lang w:val="en-US" w:eastAsia="zh-CN"/>
            </w:rPr>
            <w:fldChar w:fldCharType="begin"/>
          </w:r>
          <w:r>
            <w:rPr>
              <w:rFonts w:hint="default"/>
              <w:lang w:val="en-US" w:eastAsia="zh-CN"/>
            </w:rPr>
            <w:instrText xml:space="preserve"> HYPERLINK \l _Toc11348 </w:instrText>
          </w:r>
          <w:r>
            <w:rPr>
              <w:rFonts w:hint="default"/>
              <w:lang w:val="en-US" w:eastAsia="zh-CN"/>
            </w:rPr>
            <w:fldChar w:fldCharType="separate"/>
          </w:r>
          <w:r>
            <w:rPr>
              <w:rFonts w:hint="default"/>
              <w:lang w:val="en-US" w:eastAsia="zh-CN"/>
            </w:rPr>
            <w:t xml:space="preserve">9 </w:t>
          </w:r>
          <w:r>
            <w:rPr>
              <w:rFonts w:hint="eastAsia"/>
              <w:lang w:val="en-US" w:eastAsia="zh-CN"/>
            </w:rPr>
            <w:t>环境影响评价结论</w:t>
          </w:r>
          <w:r>
            <w:tab/>
          </w:r>
          <w:r>
            <w:fldChar w:fldCharType="begin"/>
          </w:r>
          <w:r>
            <w:instrText xml:space="preserve"> PAGEREF _Toc11348 \h </w:instrText>
          </w:r>
          <w:r>
            <w:fldChar w:fldCharType="separate"/>
          </w:r>
          <w:r>
            <w:t>- 224 -</w:t>
          </w:r>
          <w:r>
            <w:fldChar w:fldCharType="end"/>
          </w:r>
          <w:r>
            <w:rPr>
              <w:rFonts w:hint="default"/>
              <w:lang w:val="en-US" w:eastAsia="zh-CN"/>
            </w:rPr>
            <w:fldChar w:fldCharType="end"/>
          </w:r>
        </w:p>
        <w:p w14:paraId="3B73DB82">
          <w:pPr>
            <w:pStyle w:val="17"/>
            <w:tabs>
              <w:tab w:val="right" w:leader="dot" w:pos="8306"/>
            </w:tabs>
          </w:pPr>
          <w:r>
            <w:rPr>
              <w:rFonts w:hint="default"/>
              <w:lang w:val="en-US" w:eastAsia="zh-CN"/>
            </w:rPr>
            <w:fldChar w:fldCharType="begin"/>
          </w:r>
          <w:r>
            <w:rPr>
              <w:rFonts w:hint="default"/>
              <w:lang w:val="en-US" w:eastAsia="zh-CN"/>
            </w:rPr>
            <w:instrText xml:space="preserve"> HYPERLINK \l _Toc7767 </w:instrText>
          </w:r>
          <w:r>
            <w:rPr>
              <w:rFonts w:hint="default"/>
              <w:lang w:val="en-US" w:eastAsia="zh-CN"/>
            </w:rPr>
            <w:fldChar w:fldCharType="separate"/>
          </w:r>
          <w:r>
            <w:rPr>
              <w:rFonts w:hint="default"/>
              <w:lang w:val="en-US" w:eastAsia="zh-CN"/>
            </w:rPr>
            <w:t xml:space="preserve">9.1 </w:t>
          </w:r>
          <w:r>
            <w:rPr>
              <w:rFonts w:hint="eastAsia"/>
              <w:lang w:val="en-US" w:eastAsia="zh-CN"/>
            </w:rPr>
            <w:t>建设项目基本情况</w:t>
          </w:r>
          <w:r>
            <w:tab/>
          </w:r>
          <w:r>
            <w:fldChar w:fldCharType="begin"/>
          </w:r>
          <w:r>
            <w:instrText xml:space="preserve"> PAGEREF _Toc7767 \h </w:instrText>
          </w:r>
          <w:r>
            <w:fldChar w:fldCharType="separate"/>
          </w:r>
          <w:r>
            <w:t>- 224 -</w:t>
          </w:r>
          <w:r>
            <w:fldChar w:fldCharType="end"/>
          </w:r>
          <w:r>
            <w:rPr>
              <w:rFonts w:hint="default"/>
              <w:lang w:val="en-US" w:eastAsia="zh-CN"/>
            </w:rPr>
            <w:fldChar w:fldCharType="end"/>
          </w:r>
        </w:p>
        <w:p w14:paraId="772AE15E">
          <w:pPr>
            <w:pStyle w:val="17"/>
            <w:tabs>
              <w:tab w:val="right" w:leader="dot" w:pos="8306"/>
            </w:tabs>
          </w:pPr>
          <w:r>
            <w:rPr>
              <w:rFonts w:hint="default"/>
              <w:lang w:val="en-US" w:eastAsia="zh-CN"/>
            </w:rPr>
            <w:fldChar w:fldCharType="begin"/>
          </w:r>
          <w:r>
            <w:rPr>
              <w:rFonts w:hint="default"/>
              <w:lang w:val="en-US" w:eastAsia="zh-CN"/>
            </w:rPr>
            <w:instrText xml:space="preserve"> HYPERLINK \l _Toc6620 </w:instrText>
          </w:r>
          <w:r>
            <w:rPr>
              <w:rFonts w:hint="default"/>
              <w:lang w:val="en-US" w:eastAsia="zh-CN"/>
            </w:rPr>
            <w:fldChar w:fldCharType="separate"/>
          </w:r>
          <w:r>
            <w:rPr>
              <w:rFonts w:hint="default"/>
              <w:lang w:val="en-US" w:eastAsia="zh-CN"/>
            </w:rPr>
            <w:t xml:space="preserve">9.2 </w:t>
          </w:r>
          <w:r>
            <w:rPr>
              <w:rFonts w:hint="eastAsia"/>
              <w:lang w:val="en-US" w:eastAsia="zh-CN"/>
            </w:rPr>
            <w:t>产业政策符合性</w:t>
          </w:r>
          <w:r>
            <w:tab/>
          </w:r>
          <w:r>
            <w:fldChar w:fldCharType="begin"/>
          </w:r>
          <w:r>
            <w:instrText xml:space="preserve"> PAGEREF _Toc6620 \h </w:instrText>
          </w:r>
          <w:r>
            <w:fldChar w:fldCharType="separate"/>
          </w:r>
          <w:r>
            <w:t>- 224 -</w:t>
          </w:r>
          <w:r>
            <w:fldChar w:fldCharType="end"/>
          </w:r>
          <w:r>
            <w:rPr>
              <w:rFonts w:hint="default"/>
              <w:lang w:val="en-US" w:eastAsia="zh-CN"/>
            </w:rPr>
            <w:fldChar w:fldCharType="end"/>
          </w:r>
        </w:p>
        <w:p w14:paraId="2639D8B5">
          <w:pPr>
            <w:pStyle w:val="17"/>
            <w:tabs>
              <w:tab w:val="right" w:leader="dot" w:pos="8306"/>
            </w:tabs>
          </w:pPr>
          <w:r>
            <w:rPr>
              <w:rFonts w:hint="default"/>
              <w:lang w:val="en-US" w:eastAsia="zh-CN"/>
            </w:rPr>
            <w:fldChar w:fldCharType="begin"/>
          </w:r>
          <w:r>
            <w:rPr>
              <w:rFonts w:hint="default"/>
              <w:lang w:val="en-US" w:eastAsia="zh-CN"/>
            </w:rPr>
            <w:instrText xml:space="preserve"> HYPERLINK \l _Toc23953 </w:instrText>
          </w:r>
          <w:r>
            <w:rPr>
              <w:rFonts w:hint="default"/>
              <w:lang w:val="en-US" w:eastAsia="zh-CN"/>
            </w:rPr>
            <w:fldChar w:fldCharType="separate"/>
          </w:r>
          <w:r>
            <w:rPr>
              <w:rFonts w:hint="default"/>
              <w:lang w:val="en-US" w:eastAsia="zh-CN"/>
            </w:rPr>
            <w:t xml:space="preserve">9.3 </w:t>
          </w:r>
          <w:r>
            <w:rPr>
              <w:rFonts w:hint="eastAsia"/>
              <w:lang w:val="en-US" w:eastAsia="zh-CN"/>
            </w:rPr>
            <w:t>环境质量现状</w:t>
          </w:r>
          <w:r>
            <w:tab/>
          </w:r>
          <w:r>
            <w:fldChar w:fldCharType="begin"/>
          </w:r>
          <w:r>
            <w:instrText xml:space="preserve"> PAGEREF _Toc23953 \h </w:instrText>
          </w:r>
          <w:r>
            <w:fldChar w:fldCharType="separate"/>
          </w:r>
          <w:r>
            <w:t>- 224 -</w:t>
          </w:r>
          <w:r>
            <w:fldChar w:fldCharType="end"/>
          </w:r>
          <w:r>
            <w:rPr>
              <w:rFonts w:hint="default"/>
              <w:lang w:val="en-US" w:eastAsia="zh-CN"/>
            </w:rPr>
            <w:fldChar w:fldCharType="end"/>
          </w:r>
        </w:p>
        <w:p w14:paraId="43AAD5D7">
          <w:pPr>
            <w:pStyle w:val="17"/>
            <w:tabs>
              <w:tab w:val="right" w:leader="dot" w:pos="8306"/>
            </w:tabs>
          </w:pPr>
          <w:r>
            <w:rPr>
              <w:rFonts w:hint="default"/>
              <w:lang w:val="en-US" w:eastAsia="zh-CN"/>
            </w:rPr>
            <w:fldChar w:fldCharType="begin"/>
          </w:r>
          <w:r>
            <w:rPr>
              <w:rFonts w:hint="default"/>
              <w:lang w:val="en-US" w:eastAsia="zh-CN"/>
            </w:rPr>
            <w:instrText xml:space="preserve"> HYPERLINK \l _Toc11986 </w:instrText>
          </w:r>
          <w:r>
            <w:rPr>
              <w:rFonts w:hint="default"/>
              <w:lang w:val="en-US" w:eastAsia="zh-CN"/>
            </w:rPr>
            <w:fldChar w:fldCharType="separate"/>
          </w:r>
          <w:r>
            <w:rPr>
              <w:rFonts w:hint="default"/>
              <w:lang w:val="en-US" w:eastAsia="zh-CN"/>
            </w:rPr>
            <w:t xml:space="preserve">9.4 </w:t>
          </w:r>
          <w:r>
            <w:rPr>
              <w:rFonts w:hint="eastAsia"/>
              <w:lang w:val="en-US" w:eastAsia="zh-CN"/>
            </w:rPr>
            <w:t>环境影响分析</w:t>
          </w:r>
          <w:r>
            <w:tab/>
          </w:r>
          <w:r>
            <w:fldChar w:fldCharType="begin"/>
          </w:r>
          <w:r>
            <w:instrText xml:space="preserve"> PAGEREF _Toc11986 \h </w:instrText>
          </w:r>
          <w:r>
            <w:fldChar w:fldCharType="separate"/>
          </w:r>
          <w:r>
            <w:t>- 225 -</w:t>
          </w:r>
          <w:r>
            <w:fldChar w:fldCharType="end"/>
          </w:r>
          <w:r>
            <w:rPr>
              <w:rFonts w:hint="default"/>
              <w:lang w:val="en-US" w:eastAsia="zh-CN"/>
            </w:rPr>
            <w:fldChar w:fldCharType="end"/>
          </w:r>
        </w:p>
        <w:p w14:paraId="7DBA91D1">
          <w:pPr>
            <w:pStyle w:val="17"/>
            <w:tabs>
              <w:tab w:val="right" w:leader="dot" w:pos="8306"/>
            </w:tabs>
          </w:pPr>
          <w:r>
            <w:rPr>
              <w:rFonts w:hint="default"/>
              <w:lang w:val="en-US" w:eastAsia="zh-CN"/>
            </w:rPr>
            <w:fldChar w:fldCharType="begin"/>
          </w:r>
          <w:r>
            <w:rPr>
              <w:rFonts w:hint="default"/>
              <w:lang w:val="en-US" w:eastAsia="zh-CN"/>
            </w:rPr>
            <w:instrText xml:space="preserve"> HYPERLINK \l _Toc26726 </w:instrText>
          </w:r>
          <w:r>
            <w:rPr>
              <w:rFonts w:hint="default"/>
              <w:lang w:val="en-US" w:eastAsia="zh-CN"/>
            </w:rPr>
            <w:fldChar w:fldCharType="separate"/>
          </w:r>
          <w:r>
            <w:rPr>
              <w:rFonts w:hint="default"/>
              <w:lang w:val="en-US" w:eastAsia="zh-CN"/>
            </w:rPr>
            <w:t xml:space="preserve">9.5 </w:t>
          </w:r>
          <w:r>
            <w:rPr>
              <w:rFonts w:hint="eastAsia"/>
              <w:lang w:val="en-US" w:eastAsia="zh-CN"/>
            </w:rPr>
            <w:t>环境保护措施</w:t>
          </w:r>
          <w:r>
            <w:tab/>
          </w:r>
          <w:r>
            <w:fldChar w:fldCharType="begin"/>
          </w:r>
          <w:r>
            <w:instrText xml:space="preserve"> PAGEREF _Toc26726 \h </w:instrText>
          </w:r>
          <w:r>
            <w:fldChar w:fldCharType="separate"/>
          </w:r>
          <w:r>
            <w:t>- 226 -</w:t>
          </w:r>
          <w:r>
            <w:fldChar w:fldCharType="end"/>
          </w:r>
          <w:r>
            <w:rPr>
              <w:rFonts w:hint="default"/>
              <w:lang w:val="en-US" w:eastAsia="zh-CN"/>
            </w:rPr>
            <w:fldChar w:fldCharType="end"/>
          </w:r>
        </w:p>
        <w:p w14:paraId="465C293E">
          <w:pPr>
            <w:pStyle w:val="17"/>
            <w:tabs>
              <w:tab w:val="right" w:leader="dot" w:pos="8306"/>
            </w:tabs>
          </w:pPr>
          <w:r>
            <w:rPr>
              <w:rFonts w:hint="default"/>
              <w:lang w:val="en-US" w:eastAsia="zh-CN"/>
            </w:rPr>
            <w:fldChar w:fldCharType="begin"/>
          </w:r>
          <w:r>
            <w:rPr>
              <w:rFonts w:hint="default"/>
              <w:lang w:val="en-US" w:eastAsia="zh-CN"/>
            </w:rPr>
            <w:instrText xml:space="preserve"> HYPERLINK \l _Toc27733 </w:instrText>
          </w:r>
          <w:r>
            <w:rPr>
              <w:rFonts w:hint="default"/>
              <w:lang w:val="en-US" w:eastAsia="zh-CN"/>
            </w:rPr>
            <w:fldChar w:fldCharType="separate"/>
          </w:r>
          <w:r>
            <w:rPr>
              <w:rFonts w:hint="default"/>
              <w:lang w:val="en-US" w:eastAsia="zh-CN"/>
            </w:rPr>
            <w:t xml:space="preserve">9.6 </w:t>
          </w:r>
          <w:r>
            <w:rPr>
              <w:rFonts w:hint="eastAsia"/>
              <w:lang w:val="en-US" w:eastAsia="zh-CN"/>
            </w:rPr>
            <w:t>环境影响经济损益分析</w:t>
          </w:r>
          <w:r>
            <w:tab/>
          </w:r>
          <w:r>
            <w:fldChar w:fldCharType="begin"/>
          </w:r>
          <w:r>
            <w:instrText xml:space="preserve"> PAGEREF _Toc27733 \h </w:instrText>
          </w:r>
          <w:r>
            <w:fldChar w:fldCharType="separate"/>
          </w:r>
          <w:r>
            <w:t>- 227 -</w:t>
          </w:r>
          <w:r>
            <w:fldChar w:fldCharType="end"/>
          </w:r>
          <w:r>
            <w:rPr>
              <w:rFonts w:hint="default"/>
              <w:lang w:val="en-US" w:eastAsia="zh-CN"/>
            </w:rPr>
            <w:fldChar w:fldCharType="end"/>
          </w:r>
        </w:p>
        <w:p w14:paraId="5B581F9B">
          <w:pPr>
            <w:pStyle w:val="17"/>
            <w:tabs>
              <w:tab w:val="right" w:leader="dot" w:pos="8306"/>
            </w:tabs>
          </w:pPr>
          <w:r>
            <w:rPr>
              <w:rFonts w:hint="default"/>
              <w:lang w:val="en-US" w:eastAsia="zh-CN"/>
            </w:rPr>
            <w:fldChar w:fldCharType="begin"/>
          </w:r>
          <w:r>
            <w:rPr>
              <w:rFonts w:hint="default"/>
              <w:lang w:val="en-US" w:eastAsia="zh-CN"/>
            </w:rPr>
            <w:instrText xml:space="preserve"> HYPERLINK \l _Toc25713 </w:instrText>
          </w:r>
          <w:r>
            <w:rPr>
              <w:rFonts w:hint="default"/>
              <w:lang w:val="en-US" w:eastAsia="zh-CN"/>
            </w:rPr>
            <w:fldChar w:fldCharType="separate"/>
          </w:r>
          <w:r>
            <w:rPr>
              <w:rFonts w:hint="default"/>
              <w:lang w:val="en-US" w:eastAsia="zh-CN"/>
            </w:rPr>
            <w:t xml:space="preserve">9.7 </w:t>
          </w:r>
          <w:r>
            <w:rPr>
              <w:rFonts w:hint="eastAsia"/>
              <w:lang w:val="en-US" w:eastAsia="zh-CN"/>
            </w:rPr>
            <w:t>环境管理与监测计划</w:t>
          </w:r>
          <w:r>
            <w:tab/>
          </w:r>
          <w:r>
            <w:fldChar w:fldCharType="begin"/>
          </w:r>
          <w:r>
            <w:instrText xml:space="preserve"> PAGEREF _Toc25713 \h </w:instrText>
          </w:r>
          <w:r>
            <w:fldChar w:fldCharType="separate"/>
          </w:r>
          <w:r>
            <w:t>- 227 -</w:t>
          </w:r>
          <w:r>
            <w:fldChar w:fldCharType="end"/>
          </w:r>
          <w:r>
            <w:rPr>
              <w:rFonts w:hint="default"/>
              <w:lang w:val="en-US" w:eastAsia="zh-CN"/>
            </w:rPr>
            <w:fldChar w:fldCharType="end"/>
          </w:r>
        </w:p>
        <w:p w14:paraId="0FD00276">
          <w:pPr>
            <w:pStyle w:val="17"/>
            <w:tabs>
              <w:tab w:val="right" w:leader="dot" w:pos="8306"/>
            </w:tabs>
          </w:pPr>
          <w:r>
            <w:rPr>
              <w:rFonts w:hint="default"/>
              <w:lang w:val="en-US" w:eastAsia="zh-CN"/>
            </w:rPr>
            <w:fldChar w:fldCharType="begin"/>
          </w:r>
          <w:r>
            <w:rPr>
              <w:rFonts w:hint="default"/>
              <w:lang w:val="en-US" w:eastAsia="zh-CN"/>
            </w:rPr>
            <w:instrText xml:space="preserve"> HYPERLINK \l _Toc28305 </w:instrText>
          </w:r>
          <w:r>
            <w:rPr>
              <w:rFonts w:hint="default"/>
              <w:lang w:val="en-US" w:eastAsia="zh-CN"/>
            </w:rPr>
            <w:fldChar w:fldCharType="separate"/>
          </w:r>
          <w:r>
            <w:rPr>
              <w:rFonts w:hint="default"/>
              <w:lang w:val="en-US" w:eastAsia="zh-CN"/>
            </w:rPr>
            <w:t xml:space="preserve">9.8 </w:t>
          </w:r>
          <w:r>
            <w:rPr>
              <w:rFonts w:hint="eastAsia"/>
              <w:lang w:val="en-US" w:eastAsia="zh-CN"/>
            </w:rPr>
            <w:t>总量控制指标</w:t>
          </w:r>
          <w:r>
            <w:tab/>
          </w:r>
          <w:r>
            <w:fldChar w:fldCharType="begin"/>
          </w:r>
          <w:r>
            <w:instrText xml:space="preserve"> PAGEREF _Toc28305 \h </w:instrText>
          </w:r>
          <w:r>
            <w:fldChar w:fldCharType="separate"/>
          </w:r>
          <w:r>
            <w:t>- 227 -</w:t>
          </w:r>
          <w:r>
            <w:fldChar w:fldCharType="end"/>
          </w:r>
          <w:r>
            <w:rPr>
              <w:rFonts w:hint="default"/>
              <w:lang w:val="en-US" w:eastAsia="zh-CN"/>
            </w:rPr>
            <w:fldChar w:fldCharType="end"/>
          </w:r>
        </w:p>
        <w:p w14:paraId="402583E6">
          <w:pPr>
            <w:pStyle w:val="17"/>
            <w:tabs>
              <w:tab w:val="right" w:leader="dot" w:pos="8306"/>
            </w:tabs>
          </w:pPr>
          <w:r>
            <w:rPr>
              <w:rFonts w:hint="default"/>
              <w:lang w:val="en-US" w:eastAsia="zh-CN"/>
            </w:rPr>
            <w:fldChar w:fldCharType="begin"/>
          </w:r>
          <w:r>
            <w:rPr>
              <w:rFonts w:hint="default"/>
              <w:lang w:val="en-US" w:eastAsia="zh-CN"/>
            </w:rPr>
            <w:instrText xml:space="preserve"> HYPERLINK \l _Toc15944 </w:instrText>
          </w:r>
          <w:r>
            <w:rPr>
              <w:rFonts w:hint="default"/>
              <w:lang w:val="en-US" w:eastAsia="zh-CN"/>
            </w:rPr>
            <w:fldChar w:fldCharType="separate"/>
          </w:r>
          <w:r>
            <w:rPr>
              <w:rFonts w:hint="default"/>
              <w:lang w:val="en-US" w:eastAsia="zh-CN"/>
            </w:rPr>
            <w:t xml:space="preserve">9.9 </w:t>
          </w:r>
          <w:r>
            <w:rPr>
              <w:rFonts w:hint="eastAsia"/>
              <w:lang w:val="en-US" w:eastAsia="zh-CN"/>
            </w:rPr>
            <w:t>公众参与采纳情况</w:t>
          </w:r>
          <w:r>
            <w:tab/>
          </w:r>
          <w:r>
            <w:fldChar w:fldCharType="begin"/>
          </w:r>
          <w:r>
            <w:instrText xml:space="preserve"> PAGEREF _Toc15944 \h </w:instrText>
          </w:r>
          <w:r>
            <w:fldChar w:fldCharType="separate"/>
          </w:r>
          <w:r>
            <w:t>- 227 -</w:t>
          </w:r>
          <w:r>
            <w:fldChar w:fldCharType="end"/>
          </w:r>
          <w:r>
            <w:rPr>
              <w:rFonts w:hint="default"/>
              <w:lang w:val="en-US" w:eastAsia="zh-CN"/>
            </w:rPr>
            <w:fldChar w:fldCharType="end"/>
          </w:r>
        </w:p>
        <w:p w14:paraId="6BEA7B91">
          <w:pPr>
            <w:pStyle w:val="17"/>
            <w:tabs>
              <w:tab w:val="right" w:leader="dot" w:pos="8306"/>
            </w:tabs>
          </w:pPr>
          <w:r>
            <w:rPr>
              <w:rFonts w:hint="default"/>
              <w:lang w:val="en-US" w:eastAsia="zh-CN"/>
            </w:rPr>
            <w:fldChar w:fldCharType="begin"/>
          </w:r>
          <w:r>
            <w:rPr>
              <w:rFonts w:hint="default"/>
              <w:lang w:val="en-US" w:eastAsia="zh-CN"/>
            </w:rPr>
            <w:instrText xml:space="preserve"> HYPERLINK \l _Toc29835 </w:instrText>
          </w:r>
          <w:r>
            <w:rPr>
              <w:rFonts w:hint="default"/>
              <w:lang w:val="en-US" w:eastAsia="zh-CN"/>
            </w:rPr>
            <w:fldChar w:fldCharType="separate"/>
          </w:r>
          <w:r>
            <w:rPr>
              <w:rFonts w:hint="default"/>
              <w:lang w:val="en-US" w:eastAsia="zh-CN"/>
            </w:rPr>
            <w:t xml:space="preserve">9.10 </w:t>
          </w:r>
          <w:r>
            <w:rPr>
              <w:rFonts w:hint="eastAsia"/>
              <w:lang w:val="en-US" w:eastAsia="zh-CN"/>
            </w:rPr>
            <w:t>结论</w:t>
          </w:r>
          <w:r>
            <w:tab/>
          </w:r>
          <w:r>
            <w:fldChar w:fldCharType="begin"/>
          </w:r>
          <w:r>
            <w:instrText xml:space="preserve"> PAGEREF _Toc29835 \h </w:instrText>
          </w:r>
          <w:r>
            <w:fldChar w:fldCharType="separate"/>
          </w:r>
          <w:r>
            <w:t>- 228 -</w:t>
          </w:r>
          <w:r>
            <w:fldChar w:fldCharType="end"/>
          </w:r>
          <w:r>
            <w:rPr>
              <w:rFonts w:hint="default"/>
              <w:lang w:val="en-US" w:eastAsia="zh-CN"/>
            </w:rPr>
            <w:fldChar w:fldCharType="end"/>
          </w:r>
        </w:p>
        <w:p w14:paraId="1C668F48">
          <w:pPr>
            <w:rPr>
              <w:rFonts w:hint="default"/>
              <w:lang w:val="en-US" w:eastAsia="zh-CN"/>
            </w:rPr>
          </w:pPr>
          <w:r>
            <w:rPr>
              <w:rFonts w:hint="default"/>
              <w:lang w:val="en-US" w:eastAsia="zh-CN"/>
            </w:rPr>
            <w:fldChar w:fldCharType="end"/>
          </w:r>
        </w:p>
      </w:sdtContent>
    </w:sdt>
    <w:p w14:paraId="1E1E4451">
      <w:pPr>
        <w:bidi w:val="0"/>
        <w:rPr>
          <w:rFonts w:hint="eastAsia"/>
          <w:lang w:val="en-US" w:eastAsia="zh-CN"/>
        </w:rPr>
      </w:pPr>
      <w:r>
        <w:rPr>
          <w:rFonts w:hint="eastAsia"/>
          <w:lang w:val="en-US" w:eastAsia="zh-CN"/>
        </w:rPr>
        <w:t>附件：</w:t>
      </w:r>
    </w:p>
    <w:p w14:paraId="02C19C92">
      <w:pPr>
        <w:bidi w:val="0"/>
        <w:rPr>
          <w:rFonts w:hint="eastAsia"/>
          <w:lang w:val="en-US" w:eastAsia="zh-CN"/>
        </w:rPr>
      </w:pPr>
      <w:r>
        <w:rPr>
          <w:rFonts w:hint="eastAsia"/>
          <w:lang w:val="en-US" w:eastAsia="zh-CN"/>
        </w:rPr>
        <w:t>附件1：委托书</w:t>
      </w:r>
    </w:p>
    <w:p w14:paraId="7BE3FDAA">
      <w:pPr>
        <w:bidi w:val="0"/>
        <w:rPr>
          <w:rFonts w:hint="default"/>
          <w:lang w:val="en-US" w:eastAsia="zh-CN"/>
        </w:rPr>
      </w:pPr>
      <w:r>
        <w:rPr>
          <w:rFonts w:hint="eastAsia"/>
          <w:lang w:val="en-US" w:eastAsia="zh-CN"/>
        </w:rPr>
        <w:t>附件2：项目备案证明</w:t>
      </w:r>
    </w:p>
    <w:p w14:paraId="50E03FB7">
      <w:pPr>
        <w:bidi w:val="0"/>
        <w:rPr>
          <w:rFonts w:hint="default"/>
          <w:lang w:val="en-US" w:eastAsia="zh-CN"/>
        </w:rPr>
      </w:pPr>
      <w:r>
        <w:rPr>
          <w:rFonts w:hint="eastAsia"/>
          <w:lang w:val="en-US" w:eastAsia="zh-CN"/>
        </w:rPr>
        <w:t>附件3：用地备案通知书</w:t>
      </w:r>
    </w:p>
    <w:p w14:paraId="66BE4511">
      <w:pPr>
        <w:bidi w:val="0"/>
        <w:rPr>
          <w:rFonts w:hint="default"/>
          <w:lang w:val="en-US" w:eastAsia="zh-CN"/>
        </w:rPr>
      </w:pPr>
      <w:r>
        <w:rPr>
          <w:rFonts w:hint="eastAsia"/>
          <w:lang w:val="en-US" w:eastAsia="zh-CN"/>
        </w:rPr>
        <w:t>附件4：畜禽粪污委托清运协议</w:t>
      </w:r>
    </w:p>
    <w:p w14:paraId="3F5280E2">
      <w:pPr>
        <w:bidi w:val="0"/>
        <w:rPr>
          <w:rFonts w:hint="eastAsia"/>
          <w:lang w:val="en-US" w:eastAsia="zh-CN"/>
        </w:rPr>
      </w:pPr>
      <w:r>
        <w:rPr>
          <w:rFonts w:hint="eastAsia"/>
          <w:lang w:val="en-US" w:eastAsia="zh-CN"/>
        </w:rPr>
        <w:t>附件5：环境质量现状监测报告</w:t>
      </w:r>
    </w:p>
    <w:p w14:paraId="6B15586B">
      <w:pPr>
        <w:bidi w:val="0"/>
        <w:rPr>
          <w:rFonts w:hint="eastAsia"/>
          <w:lang w:val="en-US" w:eastAsia="zh-CN"/>
        </w:rPr>
      </w:pPr>
      <w:r>
        <w:rPr>
          <w:rFonts w:hint="eastAsia"/>
          <w:lang w:val="en-US" w:eastAsia="zh-CN"/>
        </w:rPr>
        <w:t>附件6 建设项目环境影响报告书审批基础信息表</w:t>
      </w:r>
    </w:p>
    <w:p w14:paraId="642FEAC2">
      <w:pPr>
        <w:bidi w:val="0"/>
        <w:rPr>
          <w:rFonts w:hint="eastAsia"/>
          <w:lang w:val="en-US" w:eastAsia="zh-CN"/>
        </w:rPr>
      </w:pPr>
    </w:p>
    <w:p w14:paraId="2DB0ECDF">
      <w:pPr>
        <w:bidi w:val="0"/>
        <w:rPr>
          <w:rFonts w:hint="eastAsia"/>
          <w:lang w:val="en-US" w:eastAsia="zh-CN"/>
        </w:rPr>
      </w:pPr>
    </w:p>
    <w:p w14:paraId="7A1C3D62">
      <w:pPr>
        <w:bidi w:val="0"/>
        <w:rPr>
          <w:rFonts w:hint="eastAsia"/>
          <w:lang w:val="en-US" w:eastAsia="zh-CN"/>
        </w:rPr>
      </w:pPr>
    </w:p>
    <w:p w14:paraId="71C01556">
      <w:pPr>
        <w:bidi w:val="0"/>
        <w:rPr>
          <w:rFonts w:hint="eastAsia"/>
          <w:lang w:val="en-US" w:eastAsia="zh-CN"/>
        </w:rPr>
      </w:pPr>
    </w:p>
    <w:p w14:paraId="144FF883">
      <w:pPr>
        <w:rPr>
          <w:rFonts w:hint="default"/>
          <w:lang w:val="en-US" w:eastAsia="zh-CN"/>
        </w:rPr>
      </w:pPr>
    </w:p>
    <w:p w14:paraId="77731539">
      <w:pPr>
        <w:bidi w:val="0"/>
        <w:sectPr>
          <w:headerReference r:id="rId5" w:type="default"/>
          <w:footerReference r:id="rId6" w:type="default"/>
          <w:pgSz w:w="11906" w:h="16838"/>
          <w:pgMar w:top="1440" w:right="1800" w:bottom="1440" w:left="1800" w:header="794" w:footer="737" w:gutter="0"/>
          <w:pgBorders>
            <w:top w:val="none" w:sz="0" w:space="0"/>
            <w:left w:val="none" w:sz="0" w:space="0"/>
            <w:bottom w:val="none" w:sz="0" w:space="0"/>
            <w:right w:val="none" w:sz="0" w:space="0"/>
          </w:pgBorders>
          <w:pgNumType w:fmt="upperRoman" w:start="1"/>
          <w:cols w:space="720" w:num="1"/>
          <w:docGrid w:type="lines" w:linePitch="312" w:charSpace="0"/>
        </w:sectPr>
      </w:pPr>
    </w:p>
    <w:p w14:paraId="647D40E9">
      <w:pPr>
        <w:pStyle w:val="25"/>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eastAsia"/>
          <w:lang w:val="en-US" w:eastAsia="zh-CN"/>
        </w:rPr>
      </w:pPr>
      <w:bookmarkStart w:id="0" w:name="_Toc17477"/>
      <w:r>
        <w:rPr>
          <w:rFonts w:hint="eastAsia"/>
          <w:lang w:val="en-US" w:eastAsia="zh-CN"/>
        </w:rPr>
        <w:t>概述</w:t>
      </w:r>
      <w:bookmarkEnd w:id="0"/>
    </w:p>
    <w:p w14:paraId="1B5071E5">
      <w:pPr>
        <w:pStyle w:val="26"/>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textAlignment w:val="auto"/>
        <w:rPr>
          <w:rFonts w:hint="default"/>
          <w:lang w:val="en-US" w:eastAsia="zh-CN"/>
        </w:rPr>
      </w:pPr>
      <w:bookmarkStart w:id="1" w:name="_Toc9905"/>
      <w:r>
        <w:rPr>
          <w:rFonts w:hint="eastAsia"/>
          <w:lang w:val="en-US" w:eastAsia="zh-CN"/>
        </w:rPr>
        <w:t>建设项目特点</w:t>
      </w:r>
      <w:bookmarkEnd w:id="1"/>
    </w:p>
    <w:p w14:paraId="63ACA1CD">
      <w:pPr>
        <w:rPr>
          <w:rFonts w:hint="eastAsia"/>
          <w:lang w:val="en-US" w:eastAsia="zh-CN"/>
        </w:rPr>
      </w:pPr>
      <w:r>
        <w:rPr>
          <w:rFonts w:hint="eastAsia"/>
          <w:lang w:val="en-US" w:eastAsia="zh-CN"/>
        </w:rPr>
        <w:t>标准化、规模化养猪是我国现代畜牧业发展的基本方向，是稳定生猪市场、保障猪肉食品安全的长效机制，尤其是在当前面对市场价格波动、成本持续上涨、疾病与环境压力越来越大的形势下，发展规模化养猪是规避各类风险的最佳途径。规模化养殖通过理性安排生产计划，推广科学饲喂技术、配套完善防疫设施、环保设施，提高饲养效益，对于稳定生猪供应、稳定价格、保证畜产品安全具有重要意义。</w:t>
      </w:r>
    </w:p>
    <w:p w14:paraId="7445ECC2">
      <w:pPr>
        <w:rPr>
          <w:rFonts w:hint="eastAsia"/>
          <w:lang w:val="en-US" w:eastAsia="zh-CN"/>
        </w:rPr>
      </w:pPr>
      <w:r>
        <w:rPr>
          <w:rFonts w:hint="eastAsia"/>
          <w:lang w:val="en-US" w:eastAsia="zh-CN"/>
        </w:rPr>
        <w:t>新疆饲料资源丰富、气候干燥、有利于疫病防治，具有发展生猪产业的优势。在全国生猪产业向北方粮食主产区转移的大趋势下，新疆已由猪肉调入省区转变为调出省区。国家和自治区相继出台了加快生猪产业发展的一系列政策和措施，根据相关文件的指示精神和要求，各地应紧紧抓住发展养猪业的契机，进行标准化养殖小区建设，加大良种猪和优质商品猪养殖规模，提高生产能力。新疆是全国五大牧区之一，畜牧业在国民经济中占有重要地位，但在形成产业化生产中，发展速度和商品化程度却落后于内蒙古、山东和河北等省区。迎接西部大开发、大力发展“两高一优一无”畜牧业已成为新疆的当务之急，抓好畜牧业生产对于促进兵团经济发展，改善职工群众生活，增加出口等具有十分重要的意义。</w:t>
      </w:r>
    </w:p>
    <w:p w14:paraId="63B66FCB">
      <w:pPr>
        <w:rPr>
          <w:rFonts w:hint="eastAsia"/>
          <w:lang w:val="en-US" w:eastAsia="zh-CN"/>
        </w:rPr>
      </w:pPr>
      <w:r>
        <w:rPr>
          <w:rFonts w:hint="eastAsia"/>
          <w:lang w:val="en-US" w:eastAsia="zh-CN"/>
        </w:rPr>
        <w:t>胡杨河市明源农业发展有限公司成立2023年11月15日，注册地位于新疆胡杨河市一二九团五星街1号3-190号，法定代表人为黎明。经营范围包括畜禽委托饲养管理服务；家禽饲养；牲畜饲养；畜牧渔业饲料销售；草种植；蔬菜种植。</w:t>
      </w:r>
    </w:p>
    <w:p w14:paraId="4B4E666F">
      <w:pPr>
        <w:rPr>
          <w:rFonts w:hint="eastAsia"/>
          <w:lang w:val="en-US" w:eastAsia="zh-CN"/>
        </w:rPr>
      </w:pPr>
      <w:r>
        <w:rPr>
          <w:rFonts w:hint="eastAsia"/>
          <w:highlight w:val="none"/>
          <w:lang w:val="en-US" w:eastAsia="zh-CN"/>
        </w:rPr>
        <w:t>本项目是胡杨河市明源农业发展有限公司投资建设的养猪场，养猪场位于新疆胡杨河市129团13连，项目年出栏10万头生猪。项目运营主要污染物包括养殖废水、粪便、恶臭及噪声等，本项目圈舍排出的粪污汇入集粪池，经干湿分离车间进行固液分离，分离后的干粪输送至堆粪场收集，分离处的废水经厂区污水处理系统处理后在好氧塘中暂存，委托129团农业发展中心定期清运处理，不外排，厂区不设置废水排放口。固体粪便进行堆肥发酵后作为粪肥还田利用，养殖废水和粪便通过上述处理后全部妥善处理</w:t>
      </w:r>
      <w:r>
        <w:rPr>
          <w:rFonts w:hint="eastAsia"/>
          <w:lang w:val="en-US" w:eastAsia="zh-CN"/>
        </w:rPr>
        <w:t>。项目产生的恶臭通过优化饲料配方，提高养殖技术，圈舍通风、喷洒生物除臭剂等措施，控制恶臭气体污染。</w:t>
      </w:r>
    </w:p>
    <w:p w14:paraId="4F48AB72">
      <w:pPr>
        <w:pStyle w:val="26"/>
        <w:bidi w:val="0"/>
        <w:ind w:left="0" w:leftChars="0" w:firstLine="0" w:firstLineChars="0"/>
        <w:rPr>
          <w:rFonts w:hint="default"/>
          <w:lang w:val="en-US" w:eastAsia="zh-CN"/>
        </w:rPr>
      </w:pPr>
      <w:bookmarkStart w:id="2" w:name="_Toc27886"/>
      <w:r>
        <w:rPr>
          <w:rFonts w:hint="eastAsia"/>
          <w:lang w:val="en-US" w:eastAsia="zh-CN"/>
        </w:rPr>
        <w:t>环境影响评价的工作过程</w:t>
      </w:r>
      <w:bookmarkEnd w:id="2"/>
    </w:p>
    <w:p w14:paraId="1FB4941A">
      <w:pPr>
        <w:rPr>
          <w:rFonts w:hint="eastAsia"/>
          <w:lang w:val="en-US" w:eastAsia="zh-CN"/>
        </w:rPr>
      </w:pPr>
      <w:r>
        <w:rPr>
          <w:rFonts w:hint="eastAsia"/>
          <w:lang w:val="en-US" w:eastAsia="zh-CN"/>
        </w:rPr>
        <w:t>根据《中华人民共和国环境保护法》《中华人民共和国环境影响评价法》、国务院令第682号《国务院关于修改〈建设项目环境保护管理条例〉的决定》和《建设项目环境影响评价分类管理名录》及修改单的有关规定和要求，该建设项目应进行环境影响评价。本项目属于《建设项目环境影响评价分类管理名录》（2021版）“二、畜牧业；3.牲畜饲养031—年出栏生猪5000头（其他畜禽种类折合猪的养殖量）及以上的规模化畜禽养殖；存栏生猪2500头（其他畜禽种类折合猪的养殖规模）及以上无出栏量的规模化畜禽养殖；涉及环境敏感区的规模化畜禽养殖”，本项目年出栏量10万头生猪，应编制环境影响报告书。</w:t>
      </w:r>
    </w:p>
    <w:p w14:paraId="5DD903DD">
      <w:pPr>
        <w:rPr>
          <w:rFonts w:hint="eastAsia"/>
          <w:lang w:val="en-US" w:eastAsia="zh-CN"/>
        </w:rPr>
      </w:pPr>
      <w:r>
        <w:rPr>
          <w:rFonts w:hint="eastAsia"/>
          <w:lang w:val="en-US" w:eastAsia="zh-CN"/>
        </w:rPr>
        <w:t>胡杨河市明源农业发展有限公司于</w:t>
      </w:r>
      <w:r>
        <w:rPr>
          <w:rFonts w:hint="eastAsia"/>
          <w:highlight w:val="none"/>
          <w:lang w:val="en-US" w:eastAsia="zh-CN"/>
        </w:rPr>
        <w:t>2023年12月</w:t>
      </w:r>
      <w:r>
        <w:rPr>
          <w:rFonts w:hint="eastAsia"/>
          <w:lang w:val="en-US" w:eastAsia="zh-CN"/>
        </w:rPr>
        <w:t>底委托</w:t>
      </w:r>
      <w:r>
        <w:rPr>
          <w:rFonts w:hint="eastAsia"/>
          <w:highlight w:val="none"/>
          <w:lang w:val="en-US" w:eastAsia="zh-CN"/>
        </w:rPr>
        <w:t>新疆瑜璟润诚工程技术咨询有限公司</w:t>
      </w:r>
      <w:r>
        <w:rPr>
          <w:rFonts w:hint="eastAsia"/>
          <w:lang w:val="en-US" w:eastAsia="zh-CN"/>
        </w:rPr>
        <w:t>进行该项目的环境影响评价工作。接受委托后，评价单位组织有关环评工作人员赴现场进行了实地踏勘，对评价区范围的自然环境、规划情况及现场生产运营情况进行了调查，收集了当地水文、地质、气象、环境现状等资料，收集了具有相似生产规模和工艺的企业的实际生产数据。评价单位在此基础上，与建设单位多次沟通，查阅大量行业资料，明确本项目的环保措施。</w:t>
      </w:r>
    </w:p>
    <w:p w14:paraId="19B9EC20">
      <w:pPr>
        <w:rPr>
          <w:rFonts w:hint="eastAsia"/>
          <w:lang w:val="en-US" w:eastAsia="zh-CN"/>
        </w:rPr>
      </w:pPr>
      <w:r>
        <w:rPr>
          <w:rFonts w:hint="eastAsia"/>
          <w:lang w:val="en-US" w:eastAsia="zh-CN"/>
        </w:rPr>
        <w:t>本次评价根据《建设项目环境影响评价技术导则 总纲》（HJ2.1-2016）等的要求，环境现状评价主要采用资料收集、现场调查等技术方法；环境影响预测和评价主要采用数学模型和类比调查等技术方法；公众参与主要采用网络公示、登报公示、张贴公示等的公众参与方式，本项目环境影响评价公众参与责任主体为建设单位，建设单位为公众参与的结论负责，在环境影响评价工作程序中，将公众参与和环境影响评价文件编制工作分离。</w:t>
      </w:r>
    </w:p>
    <w:p w14:paraId="206C6760">
      <w:pPr>
        <w:rPr>
          <w:rFonts w:hint="eastAsia"/>
          <w:lang w:val="en-US" w:eastAsia="zh-CN"/>
        </w:rPr>
      </w:pPr>
      <w:r>
        <w:rPr>
          <w:rFonts w:hint="eastAsia"/>
          <w:lang w:val="en-US" w:eastAsia="zh-CN"/>
        </w:rPr>
        <w:t>在收集资料的基础上，通过对本项目相关的资料进行分析，依据《建设项目环境影响评价技术导则 总纲》（HJ2.1-2016）对报告书总体编辑内容章节安排与要求，根据相关环境影响评价的法律法规、技术要求及专项环境影响评价技术导则的章节编写技术要求，编制完成了《胡杨河市明源农业发展有限公司年出栏10万头生猪养殖项目环境影响报告书》并报送环境主管部门予以审查批复。</w:t>
      </w:r>
    </w:p>
    <w:p w14:paraId="4DD07CBE">
      <w:pPr>
        <w:rPr>
          <w:rFonts w:hint="eastAsia"/>
          <w:lang w:val="en-US" w:eastAsia="zh-CN"/>
        </w:rPr>
      </w:pPr>
      <w:r>
        <w:rPr>
          <w:rFonts w:hint="eastAsia"/>
          <w:lang w:val="en-US" w:eastAsia="zh-CN"/>
        </w:rPr>
        <w:t>本项目环境影响评价工作程序见图1.2-1所示。</w:t>
      </w:r>
    </w:p>
    <w:p w14:paraId="33E67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269230" cy="6501765"/>
            <wp:effectExtent l="0" t="0" r="7620" b="1333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3"/>
                    <a:stretch>
                      <a:fillRect/>
                    </a:stretch>
                  </pic:blipFill>
                  <pic:spPr>
                    <a:xfrm>
                      <a:off x="0" y="0"/>
                      <a:ext cx="5269230" cy="6501765"/>
                    </a:xfrm>
                    <a:prstGeom prst="rect">
                      <a:avLst/>
                    </a:prstGeom>
                    <a:noFill/>
                    <a:ln>
                      <a:noFill/>
                    </a:ln>
                  </pic:spPr>
                </pic:pic>
              </a:graphicData>
            </a:graphic>
          </wp:inline>
        </w:drawing>
      </w:r>
    </w:p>
    <w:p w14:paraId="24341BB1">
      <w:pPr>
        <w:keepNext w:val="0"/>
        <w:keepLines w:val="0"/>
        <w:pageBreakBefore w:val="0"/>
        <w:widowControl w:val="0"/>
        <w:kinsoku/>
        <w:wordWrap/>
        <w:overflowPunct/>
        <w:topLinePunct w:val="0"/>
        <w:autoSpaceDE/>
        <w:autoSpaceDN/>
        <w:bidi w:val="0"/>
        <w:adjustRightInd/>
        <w:snapToGrid/>
        <w:spacing w:before="157" w:beforeLines="50"/>
        <w:ind w:firstLine="0" w:firstLineChars="0"/>
        <w:jc w:val="center"/>
        <w:textAlignment w:val="auto"/>
        <w:rPr>
          <w:rFonts w:hint="eastAsia"/>
          <w:lang w:val="en-US" w:eastAsia="zh-CN"/>
        </w:rPr>
      </w:pPr>
      <w:r>
        <w:rPr>
          <w:rFonts w:hint="eastAsia"/>
          <w:b/>
          <w:bCs/>
          <w:color w:val="000000"/>
          <w:sz w:val="24"/>
          <w:szCs w:val="24"/>
          <w:highlight w:val="none"/>
        </w:rPr>
        <w:t>图</w:t>
      </w:r>
      <w:r>
        <w:rPr>
          <w:b/>
          <w:bCs/>
          <w:color w:val="000000"/>
          <w:sz w:val="24"/>
          <w:szCs w:val="24"/>
          <w:highlight w:val="none"/>
        </w:rPr>
        <w:t>1</w:t>
      </w:r>
      <w:r>
        <w:rPr>
          <w:rFonts w:hint="eastAsia"/>
          <w:b/>
          <w:bCs/>
          <w:color w:val="000000"/>
          <w:sz w:val="24"/>
          <w:szCs w:val="24"/>
          <w:highlight w:val="none"/>
        </w:rPr>
        <w:t>.2</w:t>
      </w:r>
      <w:r>
        <w:rPr>
          <w:b/>
          <w:bCs/>
          <w:color w:val="000000"/>
          <w:sz w:val="24"/>
          <w:szCs w:val="24"/>
          <w:highlight w:val="none"/>
        </w:rPr>
        <w:t xml:space="preserve">-1 </w:t>
      </w:r>
      <w:r>
        <w:rPr>
          <w:rFonts w:hint="eastAsia"/>
          <w:b/>
          <w:bCs/>
          <w:color w:val="000000"/>
          <w:sz w:val="24"/>
          <w:szCs w:val="24"/>
          <w:highlight w:val="none"/>
        </w:rPr>
        <w:t xml:space="preserve"> </w:t>
      </w:r>
      <w:r>
        <w:rPr>
          <w:rFonts w:hint="eastAsia"/>
          <w:b/>
          <w:bCs/>
          <w:color w:val="000000"/>
          <w:sz w:val="24"/>
          <w:szCs w:val="24"/>
          <w:highlight w:val="none"/>
          <w:lang w:val="en-US" w:eastAsia="zh-CN"/>
        </w:rPr>
        <w:t xml:space="preserve"> </w:t>
      </w:r>
      <w:r>
        <w:rPr>
          <w:rFonts w:hint="eastAsia"/>
          <w:b/>
          <w:bCs/>
          <w:color w:val="000000"/>
          <w:sz w:val="24"/>
          <w:szCs w:val="24"/>
          <w:highlight w:val="none"/>
        </w:rPr>
        <w:t>建设项目环境影响评价工作程序图</w:t>
      </w:r>
    </w:p>
    <w:p w14:paraId="48F54AED">
      <w:pPr>
        <w:pStyle w:val="26"/>
        <w:bidi w:val="0"/>
        <w:rPr>
          <w:rFonts w:hint="default"/>
          <w:lang w:val="en-US" w:eastAsia="zh-CN"/>
        </w:rPr>
      </w:pPr>
      <w:bookmarkStart w:id="3" w:name="_Toc18919"/>
      <w:r>
        <w:rPr>
          <w:rFonts w:hint="eastAsia"/>
          <w:lang w:val="en-US" w:eastAsia="zh-CN"/>
        </w:rPr>
        <w:t>分析判定相关情况</w:t>
      </w:r>
      <w:bookmarkEnd w:id="3"/>
    </w:p>
    <w:p w14:paraId="4147F670">
      <w:pPr>
        <w:pStyle w:val="27"/>
        <w:bidi w:val="0"/>
        <w:rPr>
          <w:rFonts w:hint="default"/>
          <w:lang w:val="en-US" w:eastAsia="zh-CN"/>
        </w:rPr>
      </w:pPr>
      <w:r>
        <w:rPr>
          <w:rFonts w:hint="eastAsia"/>
          <w:lang w:val="en-US" w:eastAsia="zh-CN"/>
        </w:rPr>
        <w:t>产业政策符合性分析</w:t>
      </w:r>
    </w:p>
    <w:p w14:paraId="7302FA8B">
      <w:pPr>
        <w:rPr>
          <w:rFonts w:hint="eastAsia"/>
          <w:lang w:val="en-US" w:eastAsia="zh-CN"/>
        </w:rPr>
      </w:pPr>
      <w:r>
        <w:rPr>
          <w:rFonts w:hint="eastAsia"/>
          <w:lang w:val="en-US" w:eastAsia="zh-CN"/>
        </w:rPr>
        <w:t>本项目为规模化养猪场，经查阅《产业结构调整指导目录（2024年本）》可知，本项目属于目录中第一类鼓励类中“一、农林牧渔业-14、现代畜牧业及水产生态健康养殖”。项目符合国家产业政策要求。</w:t>
      </w:r>
    </w:p>
    <w:p w14:paraId="45560F36">
      <w:pPr>
        <w:pStyle w:val="27"/>
        <w:bidi w:val="0"/>
        <w:rPr>
          <w:rFonts w:hint="eastAsia"/>
          <w:lang w:val="en-US" w:eastAsia="zh-CN"/>
        </w:rPr>
      </w:pPr>
      <w:r>
        <w:rPr>
          <w:rFonts w:hint="eastAsia"/>
        </w:rPr>
        <w:t>各相关规划符合性分析</w:t>
      </w:r>
    </w:p>
    <w:p w14:paraId="04DC2BEF">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（1）与《新疆生产建设兵团国民经济和社会发展第十四个五年规划和二〇三五年远景目标纲要》的符合性分析</w:t>
      </w:r>
    </w:p>
    <w:p w14:paraId="2726713D">
      <w:pPr>
        <w:rPr>
          <w:rFonts w:hint="eastAsia"/>
          <w:lang w:val="en-US" w:eastAsia="zh-CN"/>
        </w:rPr>
      </w:pPr>
      <w:r>
        <w:rPr>
          <w:rFonts w:hint="eastAsia"/>
          <w:lang w:val="en-US" w:eastAsia="zh-CN"/>
        </w:rPr>
        <w:t>《新疆生产建设兵团国民经济和社会发展第十四个五年规划和二〇三五年远景目标纲要》指出，大力发展畜牧业。坚持农牧结合，调整优化农区畜牧业，适度发展草原畜牧业。加快提升畜牧业综合生产能力，大力发展肉类和乳制品精深加工，加快标准化规模养殖基地建设，建设一批高标准现代畜牧业产业示范区。大力发展生猪、肉牛产业，实施奶业振兴行动，稳步推进肉羊增产，支持特色家禽养殖，因地制宜发展马、驴、兔、鹿等特色养殖。到2025年，力争标准化规模化养殖场比例达到80%。</w:t>
      </w:r>
    </w:p>
    <w:p w14:paraId="7D24D44C">
      <w:pPr>
        <w:rPr>
          <w:rFonts w:hint="eastAsia"/>
          <w:lang w:val="en-US" w:eastAsia="zh-CN"/>
        </w:rPr>
      </w:pPr>
      <w:r>
        <w:rPr>
          <w:rFonts w:hint="eastAsia"/>
          <w:lang w:val="en-US" w:eastAsia="zh-CN"/>
        </w:rPr>
        <w:t>生猪产业是畜牧业的支柱产业，本项目拟建成生猪养殖项目，实现标准化养殖，提高生猪供给，本项目采用厌氧发酵技术，采取资源化方式利用畜禽养殖粪便，符合《新疆生产建设兵团国民经济和社会发展第十四个五年规划和二〇三五年远景目标纲要》中的相关要求。</w:t>
      </w:r>
    </w:p>
    <w:p w14:paraId="547BBFC0">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（2）与《“十四五”全国畜牧兽医行业发展规划》符合性分析</w:t>
      </w:r>
    </w:p>
    <w:p w14:paraId="3A44C3A8">
      <w:pPr>
        <w:rPr>
          <w:rFonts w:hint="eastAsia"/>
          <w:lang w:val="en-US" w:eastAsia="zh-CN"/>
        </w:rPr>
      </w:pPr>
      <w:r>
        <w:rPr>
          <w:rFonts w:hint="eastAsia"/>
          <w:lang w:val="en-US" w:eastAsia="zh-CN"/>
        </w:rPr>
        <w:t>到2025年，全国畜牧业现代化建设取得重大进展，奶牛、生猪、家禽养殖率先基本实现现代化。产业质量效益和竞争力不断增强，畜牧业产值稳步增长，动物疫病防控体系更加健全，畜禽产品供应能力稳步提升，现代加工流通体系加快形成，绿色发展成效逐步显现。</w:t>
      </w:r>
    </w:p>
    <w:p w14:paraId="2E6FA593">
      <w:pPr>
        <w:rPr>
          <w:rFonts w:hint="eastAsia"/>
          <w:lang w:val="en-US" w:eastAsia="zh-CN"/>
        </w:rPr>
      </w:pPr>
      <w:r>
        <w:rPr>
          <w:rFonts w:hint="eastAsia"/>
          <w:lang w:val="en-US" w:eastAsia="zh-CN"/>
        </w:rPr>
        <w:t>产业结构和区域布局进一步优化，畜牧业综合生产能力和供应保障能力大幅提升，猪肉自给率保持在95%左右，牛羊肉自给率保持在85%左右，奶源自给率达到70%以上，禽肉和禽蛋保持基本自给。产品结构不断优化，优质、特色差异化产品供给持续增加。</w:t>
      </w:r>
    </w:p>
    <w:p w14:paraId="5B58707A">
      <w:pPr>
        <w:rPr>
          <w:rFonts w:hint="eastAsia"/>
          <w:lang w:val="en-US" w:eastAsia="zh-CN"/>
        </w:rPr>
      </w:pPr>
      <w:r>
        <w:rPr>
          <w:rFonts w:hint="eastAsia"/>
          <w:lang w:val="en-US" w:eastAsia="zh-CN"/>
        </w:rPr>
        <w:t>本项目属于标准化、规模化生猪养殖项目，符合《“十四五”全国畜牧兽医行业发展规划》相关要求。</w:t>
      </w:r>
    </w:p>
    <w:p w14:paraId="08F1C997">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（3）与关于印发《畜禽养殖场（小区）环境守法导则》的通知（环办〔2011〕89号）符合性分析</w:t>
      </w:r>
    </w:p>
    <w:p w14:paraId="6949732E">
      <w:pPr>
        <w:rPr>
          <w:rFonts w:hint="eastAsia"/>
          <w:lang w:val="en-US" w:eastAsia="zh-CN"/>
        </w:rPr>
      </w:pPr>
      <w:r>
        <w:rPr>
          <w:rFonts w:hint="eastAsia"/>
          <w:lang w:val="en-US" w:eastAsia="zh-CN"/>
        </w:rPr>
        <w:t>根据现场踏勘结果，本养殖场周围500m范围内无学校、医院、集中居住的居民区等环境敏感目标。项目区不占用农田，节约土地资源。本项目选定场址离居民区及村庄较远，并且靠近农业种植区，污水最终经过“格栅+集水池（沉砂）+固液分离+水解酸化+UASB+SBR+好氧塘储存”工艺处理后，委托129团农业发展中心定期清运处理，不外排；干粪收集入堆肥场经腐熟无害化后作为粪肥还田利用。项目区粪污处理池、集粪池、生活区及危废暂存间均布设于项目区常年主导风向侧风向。</w:t>
      </w:r>
    </w:p>
    <w:p w14:paraId="2651BF6E">
      <w:pPr>
        <w:rPr>
          <w:rFonts w:hint="eastAsia"/>
          <w:lang w:val="en-US" w:eastAsia="zh-CN"/>
        </w:rPr>
      </w:pPr>
      <w:r>
        <w:rPr>
          <w:rFonts w:hint="eastAsia"/>
          <w:lang w:val="en-US" w:eastAsia="zh-CN"/>
        </w:rPr>
        <w:t>综上所述，本项目的选址、平面布置及相关污粪处理方式符合《畜禽养殖场（小区）环境守法导则》相关要求。</w:t>
      </w:r>
    </w:p>
    <w:p w14:paraId="37B109E3">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（4）与《新疆生产建设兵团“十四五”生态环境保护规划》符合性分析</w:t>
      </w:r>
    </w:p>
    <w:p w14:paraId="262DE720">
      <w:pPr>
        <w:rPr>
          <w:rFonts w:hint="eastAsia"/>
          <w:lang w:val="en-US" w:eastAsia="zh-CN"/>
        </w:rPr>
      </w:pPr>
      <w:r>
        <w:rPr>
          <w:rFonts w:hint="eastAsia"/>
          <w:lang w:val="en-US" w:eastAsia="zh-CN"/>
        </w:rPr>
        <w:t>文件提出：推进养殖业清洁化和生态化发展。推广节水、节料等清洁养殖工艺和干清粪、微生物发酵等实用技术，实现畜禽粪污源头减量。严格规范兽药、饲料及饲料添加剂的生产和使用，严厉打击兽药生产企业违法违规生产禁用兽用药物行为。大力推进畜禽养殖废弃物资源化利用，推动规模化养殖场粪污处理基础设施设备配套建设。鼓励和引导社会资本参与畜禽粪污资源化利用，推动建立病死畜禽无害化集中处理体系。到2025年，畜禽粪污综合利用率达到80%以上。</w:t>
      </w:r>
    </w:p>
    <w:p w14:paraId="71CC50A8">
      <w:pPr>
        <w:rPr>
          <w:rFonts w:hint="eastAsia"/>
          <w:lang w:val="en-US" w:eastAsia="zh-CN"/>
        </w:rPr>
      </w:pPr>
      <w:r>
        <w:rPr>
          <w:rFonts w:hint="eastAsia"/>
          <w:lang w:val="en-US" w:eastAsia="zh-CN"/>
        </w:rPr>
        <w:t>本项目是规模化养殖项目，粪便全部综合利用，符合《新疆生产建设兵团“十四五”生态环境保护规划》中提出的清洁化发展，污染物实现综合利用和达标排放，因此，本项目符合《新疆生产建设兵团“十四五”生态环境保护规划》的要求。</w:t>
      </w:r>
    </w:p>
    <w:p w14:paraId="61A0D721">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（5）与《新疆维吾尔自治区畜牧业“十四五”发展规划》的符合性分析</w:t>
      </w:r>
    </w:p>
    <w:p w14:paraId="08102E95">
      <w:pPr>
        <w:rPr>
          <w:rFonts w:hint="eastAsia"/>
          <w:lang w:val="en-US" w:eastAsia="zh-CN"/>
        </w:rPr>
      </w:pPr>
      <w:r>
        <w:rPr>
          <w:rFonts w:hint="eastAsia"/>
          <w:lang w:val="en-US" w:eastAsia="zh-CN"/>
        </w:rPr>
        <w:t>规划中提出：积极推进产业集聚发展。充分发挥地方政府和生产经营主体作用，坚持规模化方向，扎实推进自治区畜牧业“五大振兴行动”，引导支持企业采取多种形式健全企农利益联结机制，推进标准化规模养殖。支持建设一批畜禽产业强镇、产业园和优势特色产业集群，构建梯次布局、协同推进的现代畜禽产业体系，形成“县有产业园、乡有规模养殖场、村有养殖示范户”的产业集聚带。继续开展畜禽养殖标准化示范创建，创建一批“畜禽良种化、养殖设施化、生产规范化、防疫制度化、粪污无害化”的国家级畜禽养殖标准化示范场，积极打造生产布局优化、资源利用高效、生态环境良好的养殖示范县（市），提高畜产品综合生产效益和规模化比重。</w:t>
      </w:r>
    </w:p>
    <w:p w14:paraId="7DD48142">
      <w:pPr>
        <w:rPr>
          <w:rFonts w:hint="eastAsia"/>
          <w:lang w:val="en-US" w:eastAsia="zh-CN"/>
        </w:rPr>
      </w:pPr>
      <w:r>
        <w:rPr>
          <w:rFonts w:hint="eastAsia"/>
          <w:lang w:val="en-US" w:eastAsia="zh-CN"/>
        </w:rPr>
        <w:t>持续推进畜禽粪污资源化利用。落实有机肥加工企业用地、用电、有机肥使用补贴及畜禽粪污资源化利用机具纳入农机购置补贴等优惠政策，构建畜禽粪肥还田利用全产业链，形成养殖、种植、粪肥加工企业等多方共赢的市场化机制。重点支持规模养殖场开展粪污全量收集还田、固体粪便堆肥还田、液体粪污肥料化和生物质能源开发利用确保全区畜禽粪污综合利用率达到国家要求。</w:t>
      </w:r>
    </w:p>
    <w:p w14:paraId="26412E4A">
      <w:pPr>
        <w:rPr>
          <w:rFonts w:hint="eastAsia"/>
          <w:lang w:val="en-US" w:eastAsia="zh-CN"/>
        </w:rPr>
      </w:pPr>
      <w:r>
        <w:rPr>
          <w:rFonts w:hint="eastAsia"/>
          <w:lang w:val="en-US" w:eastAsia="zh-CN"/>
        </w:rPr>
        <w:t>不断提高无害化集中处理能力。按照“统筹规划、属地负责，政府监管、市场运作，财政补助、保险联动”的原则，在畜禽养殖重点县、养殖集中区。推动各类养殖经营主体自行配套无害化处理设施设备，并采取高温湿化法、微生物发酵技术等工艺开展无害化处理，提高区域性无害化集中处理的综合能力。</w:t>
      </w:r>
    </w:p>
    <w:p w14:paraId="6C96C8AC">
      <w:pPr>
        <w:rPr>
          <w:rFonts w:hint="eastAsia"/>
          <w:lang w:val="en-US" w:eastAsia="zh-CN"/>
        </w:rPr>
      </w:pPr>
      <w:r>
        <w:rPr>
          <w:rFonts w:hint="eastAsia"/>
          <w:lang w:val="en-US" w:eastAsia="zh-CN"/>
        </w:rPr>
        <w:t>本项目位于第七师129团13连，可有效提升集约化养殖规模和水平，符合《新疆维吾尔自治区畜牧业“十四五”发展规划》中的相关要求。</w:t>
      </w:r>
    </w:p>
    <w:p w14:paraId="490C1195">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（6）土地利用规划的符合性分析</w:t>
      </w:r>
    </w:p>
    <w:p w14:paraId="549639C1">
      <w:pPr>
        <w:rPr>
          <w:rFonts w:hint="eastAsia"/>
          <w:lang w:val="en-US" w:eastAsia="zh-CN"/>
        </w:rPr>
      </w:pPr>
      <w:r>
        <w:rPr>
          <w:rFonts w:hint="eastAsia"/>
          <w:lang w:val="en-US" w:eastAsia="zh-CN"/>
        </w:rPr>
        <w:t>本项目所占地块属于第七师129团13连未利用地。通过现场踏勘，占地范围内无国家保护的野生珍稀动植物，项目用地性质符合第七师129团土地利用规划。</w:t>
      </w:r>
    </w:p>
    <w:p w14:paraId="7D97CFAD">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（7）与《新疆生产建设兵团主体功能区规划》的符合性分析</w:t>
      </w:r>
    </w:p>
    <w:p w14:paraId="3804196E">
      <w:pPr>
        <w:rPr>
          <w:rFonts w:hint="eastAsia"/>
          <w:lang w:val="en-US" w:eastAsia="zh-CN"/>
        </w:rPr>
      </w:pPr>
      <w:r>
        <w:rPr>
          <w:rFonts w:hint="eastAsia"/>
          <w:lang w:val="en-US" w:eastAsia="zh-CN"/>
        </w:rPr>
        <w:t>兵团的重点开发区分国家层面和兵团层面。国家级重点开发区域是天山北坡垦区，总面积3406.3平方公里，主要包括：乌鲁木齐－五家渠片区、石河子片区、奎屯片区、博乐－塔斯尔海片区、伊宁－可克达拉片区、哈密－黄田片区。兵团级重点开发区域是阿克苏－阿拉尔片区、库尔勒－铁门关片区以及点状分布的第三师、第十四师师部城区、喀什经济开发区兵团分区，总面积205.1平方公里。</w:t>
      </w:r>
    </w:p>
    <w:p w14:paraId="27DD939A">
      <w:pPr>
        <w:rPr>
          <w:rFonts w:hint="eastAsia"/>
          <w:lang w:val="en-US" w:eastAsia="zh-CN"/>
        </w:rPr>
      </w:pPr>
      <w:r>
        <w:rPr>
          <w:rFonts w:hint="eastAsia"/>
          <w:lang w:val="en-US" w:eastAsia="zh-CN"/>
        </w:rPr>
        <w:t>兵团的限制开发包括农产品主产区和重点生态功能区。农产品主产区全部为国家级，分为天山北坡农产品主产区和天山南坡农产品主产区，总面积4.9万平方公里。</w:t>
      </w:r>
    </w:p>
    <w:p w14:paraId="2E40983E">
      <w:pPr>
        <w:rPr>
          <w:rFonts w:hint="eastAsia"/>
          <w:lang w:val="en-US" w:eastAsia="zh-CN"/>
        </w:rPr>
      </w:pPr>
      <w:r>
        <w:rPr>
          <w:rFonts w:hint="eastAsia"/>
          <w:lang w:val="en-US" w:eastAsia="zh-CN"/>
        </w:rPr>
        <w:t>重点生态功能区也分为国家层面和兵团层面。国家级重点生态功能区是按照3个国家级重点生态功能区所覆盖的团场来划定的，总面积1.4万平方公里，主要包括：第二师（36、38团、且木支队）、第十师（183、187、188、181、182、185、186、189、190团、青河农场）、第三师（44、49、50、51、52、53、42、43、45、46、48团、莎车农场、叶城牧场、伽师总场、托云牧场、东风农场）、第十四师（47、224团、一牧场、牛山农场）。兵团级重点生态功能区是按照5个自治区级重点生态功能区所覆盖的团场来划定的，总面积0.7万平方公里，主要包括：第四师（78、79团）、第五师88团、第九师（161、170团、九师师部）、第十二师104团和静县部分区域、第十三师红星一牧场、淖毛湖农场。</w:t>
      </w:r>
    </w:p>
    <w:p w14:paraId="5E2022E1">
      <w:pPr>
        <w:rPr>
          <w:rFonts w:hint="eastAsia"/>
          <w:lang w:val="en-US" w:eastAsia="zh-CN"/>
        </w:rPr>
      </w:pPr>
      <w:r>
        <w:rPr>
          <w:rFonts w:hint="eastAsia"/>
          <w:lang w:val="en-US" w:eastAsia="zh-CN"/>
        </w:rPr>
        <w:t>兵团禁止开发区域分为国家层面和兵团层面。兵团国家级禁止开发区域是按照5个国家级禁止开发区域所覆盖的团场部分区域来划定的。总面积673.7平方公里，主要包括：罗布泊野骆驼自然保护区、托木尔峰自然保护区、西天山自然保护区、艾比湖湿地自然保护区、天山天池风景名胜区。兵团省级的禁止开发区域是按照1个自治区级禁止开发区域所覆盖到的团场部分区域来划定的，总面积147.4平方公里，主要包括：北鲵温泉自然保护区。</w:t>
      </w:r>
    </w:p>
    <w:p w14:paraId="4A868E72">
      <w:pPr>
        <w:rPr>
          <w:rFonts w:hint="eastAsia"/>
          <w:lang w:val="en-US" w:eastAsia="zh-CN"/>
        </w:rPr>
      </w:pPr>
      <w:r>
        <w:rPr>
          <w:rFonts w:hint="eastAsia"/>
          <w:lang w:val="en-US" w:eastAsia="zh-CN"/>
        </w:rPr>
        <w:t>本项目选址属于第七师胡杨河市129团13连，不属于文件中划定的禁止开发区域，符合《新疆生产建设兵团主体功能区规划》。</w:t>
      </w:r>
    </w:p>
    <w:p w14:paraId="15668CD1">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（8）与《“十四五”土壤、地下水和农村生态环境保护规划》的符合性分析</w:t>
      </w:r>
    </w:p>
    <w:p w14:paraId="5F2A67FA">
      <w:pPr>
        <w:rPr>
          <w:rFonts w:hint="eastAsia"/>
          <w:lang w:val="en-US" w:eastAsia="zh-CN"/>
        </w:rPr>
      </w:pPr>
      <w:r>
        <w:rPr>
          <w:rFonts w:hint="eastAsia"/>
          <w:lang w:val="en-US" w:eastAsia="zh-CN"/>
        </w:rPr>
        <w:t>《“十四五”土壤、地下水和农村生态环境保护规划》中提出以下要求：着力推进养殖业污染防治。加强畜禽粪污资源化利用。健全畜禽养殖场（户）粪污收集贮存配套设施，建立粪污资源化利用计划和台账。加快建设田间粪肥施用设施，鼓励采用覆土施肥、沟施及注射式深施等精细化施肥方式。促进粪肥科学适量施用，推动开展粪肥还田安全检测。培育壮大一批粪肥收运和田间施用社会化服务主体。畜牧大县编制实施畜禽养殖污染防治规划。到2025年，全国畜禽粪污综合利用率达到80%以上。</w:t>
      </w:r>
    </w:p>
    <w:p w14:paraId="27080E8B">
      <w:pPr>
        <w:rPr>
          <w:rFonts w:hint="eastAsia"/>
          <w:lang w:val="en-US" w:eastAsia="zh-CN"/>
        </w:rPr>
      </w:pPr>
      <w:r>
        <w:rPr>
          <w:rFonts w:hint="eastAsia"/>
          <w:lang w:val="en-US" w:eastAsia="zh-CN"/>
        </w:rPr>
        <w:t>加强畜禽养殖污染环境监管。落实畜禽规模养殖场环境影响评价及排污许可制度，依法规范畜禽养殖禁养区管理。推动畜禽规模养殖场配备视频监控设施，防止粪污偷运偷排。推动设有排污口的畜禽规模养殖场定期开展自行监测。依法严查环境违法行为。</w:t>
      </w:r>
    </w:p>
    <w:p w14:paraId="45D34A78">
      <w:pPr>
        <w:rPr>
          <w:rFonts w:hint="eastAsia"/>
          <w:lang w:val="en-US" w:eastAsia="zh-CN"/>
        </w:rPr>
      </w:pPr>
      <w:r>
        <w:rPr>
          <w:rFonts w:hint="eastAsia"/>
          <w:lang w:val="en-US" w:eastAsia="zh-CN"/>
        </w:rPr>
        <w:t>本项目养殖场粪污最终经过“干清粪、固液分离+厌氧发酵”处理后用于周围农田施肥，符合《“十四五”土壤、地下水和农村生态环境保护规划》中的相关要求。</w:t>
      </w:r>
    </w:p>
    <w:p w14:paraId="4FF90222">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（9）与《新疆维吾尔自治区大气污染防治条例》的相符性分析</w:t>
      </w:r>
    </w:p>
    <w:p w14:paraId="6DD4F2E4">
      <w:pPr>
        <w:rPr>
          <w:rFonts w:hint="eastAsia"/>
          <w:lang w:val="en-US" w:eastAsia="zh-CN"/>
        </w:rPr>
      </w:pPr>
      <w:r>
        <w:rPr>
          <w:rFonts w:hint="eastAsia"/>
          <w:lang w:val="en-US" w:eastAsia="zh-CN"/>
        </w:rPr>
        <w:t>《新疆维吾尔自治区大气污染防治条例》（新疆维吾尔自治区第十三届人民代表大会常务委员会公告（第15号））：本项目属“第五节农业和其他污染防治-第四十七条畜禽养殖场、养殖小区应当及时对畜禽粪便和尸体等进行收集、贮存、清运和无害化处理，根据养殖规模和污染防治需要，配套相应的净化装置和其他大气污染物防治设施。县（市、区）人民政府应当加强对畜禽养殖废弃物综合利用和无害化处理的宣传，建设畜禽粪便和尸体无害化集中处理设施，引导规模以下畜禽养殖者集中处置养殖废弃物，防止排放恶臭气体”。</w:t>
      </w:r>
    </w:p>
    <w:p w14:paraId="565E71FA">
      <w:pPr>
        <w:rPr>
          <w:rFonts w:hint="eastAsia"/>
          <w:lang w:val="en-US" w:eastAsia="zh-CN"/>
        </w:rPr>
      </w:pPr>
      <w:r>
        <w:rPr>
          <w:rFonts w:hint="eastAsia"/>
          <w:lang w:val="en-US" w:eastAsia="zh-CN"/>
        </w:rPr>
        <w:t>本项目养殖场粪污最终经过“干清粪、固液分离+厌氧发酵”处理后委托清运，病死猪委托有资质单位进行处理，符合《新疆维吾尔自治区大气污染防治条例》中的相关要求。</w:t>
      </w:r>
    </w:p>
    <w:p w14:paraId="2FABBDF4">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（10）与《新疆生产建设兵团水污染防治工作方案》的符合性分析</w:t>
      </w:r>
    </w:p>
    <w:p w14:paraId="561AE135">
      <w:pPr>
        <w:rPr>
          <w:rFonts w:hint="eastAsia"/>
          <w:lang w:val="en-US" w:eastAsia="zh-CN"/>
        </w:rPr>
      </w:pPr>
      <w:r>
        <w:rPr>
          <w:rFonts w:hint="eastAsia"/>
          <w:lang w:val="en-US" w:eastAsia="zh-CN"/>
        </w:rPr>
        <w:t>新疆维吾尔自治区人民政府2016年1月29日发布了《新疆维吾尔自治区水污染防治工作方案》（新政发〔2016〕21号），工作方案指出：“自2016年起，新建、改建、扩建规模化畜禽养殖场（小区）要实施干湿分流、粪便污水资源化利用。到2020年规模化养殖场配套建设粪污处理设施比例达到75%以上，畜禽粪便污水基本实现资源化利用。”</w:t>
      </w:r>
    </w:p>
    <w:p w14:paraId="60B7413F">
      <w:pPr>
        <w:rPr>
          <w:rFonts w:hint="eastAsia"/>
          <w:lang w:val="en-US" w:eastAsia="zh-CN"/>
        </w:rPr>
      </w:pPr>
      <w:r>
        <w:rPr>
          <w:rFonts w:hint="eastAsia"/>
          <w:lang w:val="en-US" w:eastAsia="zh-CN"/>
        </w:rPr>
        <w:t>本项目采用干清粪，粪污采用“格栅+集水池（沉砂）+固液分离+水解酸化+UASB+SBR+好氧塘储存”处理工艺、粪便堆肥制作有机肥用于农田施肥，污水经处理后委托清运，实现了资源化利用，符合《新疆维吾尔自治区水污染防治工作方案》的相关要求。</w:t>
      </w:r>
    </w:p>
    <w:p w14:paraId="72D278B4">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（11）与《国务院办公厅关于促进畜牧业高质量发展的意见》（国办发﹝2020﹞31号）符合性分析</w:t>
      </w:r>
    </w:p>
    <w:p w14:paraId="19236681">
      <w:pPr>
        <w:rPr>
          <w:rFonts w:hint="eastAsia"/>
          <w:lang w:val="en-US" w:eastAsia="zh-CN"/>
        </w:rPr>
      </w:pPr>
      <w:r>
        <w:rPr>
          <w:rFonts w:hint="eastAsia"/>
          <w:lang w:val="en-US" w:eastAsia="zh-CN"/>
        </w:rPr>
        <w:t>文件中要求：提高圈舍环境调控、精准饲喂、动物疫病监测、畜禽产品追溯等智能化水平。大力推进畜禽养殖废弃物资源化利用。支持符合条件的县推进畜禽粪污资源化利用，鼓励液体粪肥机械化施用。对畜禽粪污全部还田利用的养殖场（户）实行登记管理，不需申领排污许可证。完善畜禽粪污肥料化利用标准，支持农民合作社、家庭农场 等在种植业生产中施用粪肥。统筹推进病死猪牛羊禽等无害化处理，完善市场化运作模式，合理制定补助标准，完善保险联动机制。</w:t>
      </w:r>
    </w:p>
    <w:p w14:paraId="52623E4A">
      <w:pPr>
        <w:rPr>
          <w:rFonts w:hint="eastAsia"/>
          <w:lang w:val="en-US" w:eastAsia="zh-CN"/>
        </w:rPr>
      </w:pPr>
      <w:r>
        <w:rPr>
          <w:rFonts w:hint="eastAsia"/>
          <w:lang w:val="en-US" w:eastAsia="zh-CN"/>
        </w:rPr>
        <w:t>本项目建成后可实现标准化、集约化、规模化生猪养殖。项目圈舍、堆粪场均采取防渗措施，养殖场采用干清粪工艺，粪便经清理后，制作成有机肥用于农田施肥，污水发酵为液体有机肥用于农田灌溉，圈舍、堆粪场定期喷洒除臭剂；病死猪委托有资质单位进行处理；仅需实行排污登记管理，不需申领排污许可证。</w:t>
      </w:r>
    </w:p>
    <w:p w14:paraId="4E38C97A">
      <w:pPr>
        <w:rPr>
          <w:rFonts w:hint="eastAsia"/>
          <w:lang w:val="en-US" w:eastAsia="zh-CN"/>
        </w:rPr>
      </w:pPr>
      <w:r>
        <w:rPr>
          <w:rFonts w:hint="eastAsia"/>
          <w:lang w:val="en-US" w:eastAsia="zh-CN"/>
        </w:rPr>
        <w:t>综上所述，本项目符合《国务院办公厅关于促进畜牧业高质量发展的意见》（国办发﹝2020﹞3号）中的相关要求。</w:t>
      </w:r>
    </w:p>
    <w:p w14:paraId="2EB13761">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（12）与《自治区党委办公厅、自治区人民政府办公厅印发〈关于促进新疆畜牧业高质量发展的意见〉的通知》（新党办发〔2020〕7号）符合性分析</w:t>
      </w:r>
    </w:p>
    <w:p w14:paraId="066DABB3">
      <w:pPr>
        <w:rPr>
          <w:rFonts w:hint="eastAsia"/>
          <w:lang w:val="en-US" w:eastAsia="zh-CN"/>
        </w:rPr>
      </w:pPr>
      <w:r>
        <w:rPr>
          <w:rFonts w:hint="eastAsia"/>
          <w:lang w:val="en-US" w:eastAsia="zh-CN"/>
        </w:rPr>
        <w:t>《自治区党委办公厅、自治区人民政府办公厅印发〈关于促进新疆畜牧业高质量发展的意见〉的通知》文件中要求：深化畜牧业项目环评“放管服”改革，对年出栏生猪5000头（其他畜禽种类折合猪的养殖规模）及以上的畜禽养殖场、养殖小区（不含涉及环境敏感区的）建设项目开展环评告知承诺制改革试点。对畜禽养殖项目使用清洁燃料的环评审批不做硬性要求，按照宜煤则煤、宜气则气、宜电则电的原则，保证规模养殖场采暖需求；对规模以下畜禽养殖项目和不设置污水排放口的规模以上养殖项目，不要求申领排污许可证和取得总量指标；粪污经无害化处理用作肥料还田的，符合法律法规以及国家相关标准要求且不造成环境污染的，不属于排放污染物，不执行相关污染物排放标准和农田灌溉水质标准。</w:t>
      </w:r>
    </w:p>
    <w:p w14:paraId="032D74ED">
      <w:pPr>
        <w:rPr>
          <w:rFonts w:hint="eastAsia"/>
          <w:lang w:val="en-US" w:eastAsia="zh-CN"/>
        </w:rPr>
      </w:pPr>
      <w:r>
        <w:rPr>
          <w:rFonts w:hint="eastAsia"/>
          <w:lang w:val="en-US" w:eastAsia="zh-CN"/>
        </w:rPr>
        <w:t>本项目年出栏生猪10万头，养殖场粪污最终经过“干清粪、固液分离+厌氧发酵”处理后用委托清运，圈舍、堆粪场定期喷洒除臭剂；病死猪委托有资质单位进行处理；仅需实行排污登记管理，不需申领排污许可证。因此，本项目符合《自治区党委办公厅、自治区人民政府办公厅印发〈关于促进新疆畜牧业高质量发展的意见〉的通知》（新党办发〔2020〕7号）中的相关要求。</w:t>
      </w:r>
    </w:p>
    <w:p w14:paraId="01250EFB">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（13）与《关于促进生猪产业持续健康发展的意见》（农牧发〔2021〕24号）的符合性分析</w:t>
      </w:r>
    </w:p>
    <w:p w14:paraId="11BB38B0">
      <w:pPr>
        <w:rPr>
          <w:rFonts w:hint="eastAsia"/>
          <w:lang w:val="en-US" w:eastAsia="zh-CN"/>
        </w:rPr>
      </w:pPr>
      <w:r>
        <w:rPr>
          <w:rFonts w:hint="eastAsia"/>
          <w:lang w:val="en-US" w:eastAsia="zh-CN"/>
        </w:rPr>
        <w:t>《关于促进生猪产业持续健康发展的意见》指出，用5～10年时间，基本形成产出高效、产品安全、资源节约、环境友好、调控有效的生猪产业高质量发展新格局，产业竞争力大幅提升，疫病防控能力明显增强，政策保障体系基本完善，市场周期性波动得到有效缓解，猪肉供应安全保障能力持续增强，自给率保持在95%左右。保持能繁母猪合理存栏水平，“十四五”期间，全国能繁母猪存栏量稳定在4300万头左右、最低保有量不少于4000万头，后续根据猪肉消费和母猪繁殖率等变化动态调整。</w:t>
      </w:r>
    </w:p>
    <w:p w14:paraId="3418F708">
      <w:pPr>
        <w:rPr>
          <w:rFonts w:hint="eastAsia"/>
          <w:lang w:val="en-US" w:eastAsia="zh-CN"/>
        </w:rPr>
      </w:pPr>
      <w:r>
        <w:rPr>
          <w:rFonts w:hint="eastAsia"/>
          <w:lang w:val="en-US" w:eastAsia="zh-CN"/>
        </w:rPr>
        <w:t>本项目的建设极大提高了当地的生猪养殖量，为完善生猪养殖保障体系提供了强有力的支持，项目建成后，能够保持较高的出栏量与存栏量，能够保证生猪的市场供需平衡和繁殖能力，项目的建设符合《关于促进生猪产业持续健康发展的意见》的相关规定。</w:t>
      </w:r>
    </w:p>
    <w:p w14:paraId="4F863073">
      <w:pPr>
        <w:keepNext w:val="0"/>
        <w:keepLines w:val="0"/>
        <w:pageBreakBefore w:val="0"/>
        <w:widowControl w:val="0"/>
        <w:kinsoku/>
        <w:wordWrap/>
        <w:overflowPunct/>
        <w:topLinePunct w:val="0"/>
        <w:autoSpaceDE/>
        <w:autoSpaceDN/>
        <w:bidi w:val="0"/>
        <w:adjustRightInd/>
        <w:snapToGrid/>
        <w:textAlignment w:val="auto"/>
        <w:outlineLvl w:val="3"/>
        <w:rPr>
          <w:rFonts w:hint="eastAsia"/>
          <w:lang w:val="en-US" w:eastAsia="zh-CN"/>
        </w:rPr>
      </w:pPr>
      <w:r>
        <w:rPr>
          <w:rFonts w:hint="eastAsia"/>
          <w:lang w:val="en-US" w:eastAsia="zh-CN"/>
        </w:rPr>
        <w:t>（14）与《畜禽养殖业污染防治技术政策》（环发〔2010〕151号）符合性分析</w:t>
      </w:r>
    </w:p>
    <w:p w14:paraId="70C5F658">
      <w:pPr>
        <w:rPr>
          <w:rFonts w:hint="eastAsia"/>
          <w:lang w:val="en-US" w:eastAsia="zh-CN"/>
        </w:rPr>
      </w:pPr>
      <w:r>
        <w:rPr>
          <w:rFonts w:hint="eastAsia"/>
          <w:lang w:val="en-US" w:eastAsia="zh-CN"/>
        </w:rPr>
        <w:t>文件中要求：发展清洁养殖，重视圈舍结构、粪污清理、饲料配比等环节的环境保护要求：注重在养殖过程中降低资源耗损和污染负荷，实现源头减排，提高末端治理效率，实现稳定达标排放和“近零排放”；规模化畜禽养殖场排放的粪污应实行固液分离，粪便应与废水分开处理和处置；应逐步推行干清粪方式，最大限度地减少废水的产生和排放，降低废水的污染负荷；畜禽尸体应按照有关卫生防疫规定单独进行妥善处置。染疫畜禽及其排泄物、染疫畜禽产品，病死或者死因不明的畜禽尸体等污染物，应就地进行无害化处理；采取场所密闭、喷洒除臭剂等措施，减少恶臭气体扩散，降低恶臭气体对场区空气质量和周边居民生活的影响。</w:t>
      </w:r>
    </w:p>
    <w:p w14:paraId="04F00497">
      <w:pPr>
        <w:rPr>
          <w:rFonts w:hint="eastAsia"/>
          <w:lang w:val="en-US" w:eastAsia="zh-CN"/>
        </w:rPr>
      </w:pPr>
      <w:r>
        <w:rPr>
          <w:rFonts w:hint="eastAsia"/>
          <w:lang w:val="en-US" w:eastAsia="zh-CN"/>
        </w:rPr>
        <w:t>本项目圈舍、堆粪场均采取防渗措施，养殖场采用干清粪工艺，粪便经堆肥处理后，作为粪肥还田利用。圈舍、堆粪场定期喷洒除臭剂；病死猪委托有资质单位进行处理。项目距离周边居民区较远，恶臭气体对周边环境影响较小，符合《畜禽养殖业污染防治技术政策》（环发〔2010〕151号）中的相关要求。</w:t>
      </w:r>
    </w:p>
    <w:p w14:paraId="0F173D18">
      <w:pPr>
        <w:keepNext w:val="0"/>
        <w:keepLines w:val="0"/>
        <w:pageBreakBefore w:val="0"/>
        <w:widowControl w:val="0"/>
        <w:numPr>
          <w:ilvl w:val="0"/>
          <w:numId w:val="4"/>
        </w:numPr>
        <w:kinsoku/>
        <w:wordWrap/>
        <w:overflowPunct/>
        <w:topLinePunct w:val="0"/>
        <w:autoSpaceDE/>
        <w:autoSpaceDN/>
        <w:bidi w:val="0"/>
        <w:adjustRightInd/>
        <w:snapToGrid/>
        <w:textAlignment w:val="auto"/>
        <w:outlineLvl w:val="3"/>
      </w:pPr>
      <w:r>
        <w:t>与《畜禽规模养殖污染防治条例》（国务院令第643号）</w:t>
      </w:r>
      <w:r>
        <w:rPr>
          <w:rFonts w:hint="eastAsia"/>
          <w:lang w:val="en-US" w:eastAsia="zh-CN"/>
        </w:rPr>
        <w:t>的</w:t>
      </w:r>
      <w:r>
        <w:t>相符性分析</w:t>
      </w:r>
    </w:p>
    <w:p w14:paraId="71798242">
      <w:pPr>
        <w:bidi w:val="0"/>
        <w:rPr>
          <w:rFonts w:hint="default" w:eastAsia="宋体"/>
          <w:lang w:val="en-US" w:eastAsia="zh-CN"/>
        </w:rPr>
      </w:pPr>
      <w:r>
        <w:rPr>
          <w:rFonts w:hint="eastAsia"/>
          <w:lang w:val="en-US" w:eastAsia="zh-CN"/>
        </w:rPr>
        <w:t>本项目与</w:t>
      </w:r>
      <w:r>
        <w:t>《畜禽规模养殖污染防治条例》（国务院令第643号）</w:t>
      </w:r>
      <w:r>
        <w:rPr>
          <w:rFonts w:hint="eastAsia"/>
          <w:lang w:val="en-US" w:eastAsia="zh-CN"/>
        </w:rPr>
        <w:t>的</w:t>
      </w:r>
      <w:r>
        <w:t>相符性分析</w:t>
      </w:r>
      <w:r>
        <w:rPr>
          <w:rFonts w:hint="eastAsia"/>
          <w:lang w:val="en-US" w:eastAsia="zh-CN"/>
        </w:rPr>
        <w:t>具体见表1.3-1。</w:t>
      </w:r>
    </w:p>
    <w:p w14:paraId="3881157F">
      <w:pPr>
        <w:pStyle w:val="30"/>
        <w:bidi w:val="0"/>
      </w:pPr>
      <w:r>
        <w:t>表</w:t>
      </w:r>
      <w:r>
        <w:rPr>
          <w:rFonts w:hint="eastAsia"/>
        </w:rPr>
        <w:t>1</w:t>
      </w:r>
      <w:r>
        <w:t>.</w:t>
      </w:r>
      <w:r>
        <w:rPr>
          <w:rFonts w:hint="eastAsia"/>
        </w:rPr>
        <w:t>3</w:t>
      </w:r>
      <w:r>
        <w:t xml:space="preserve">-1 </w:t>
      </w:r>
      <w:r>
        <w:rPr>
          <w:rFonts w:hint="eastAsia"/>
          <w:lang w:val="en-US" w:eastAsia="zh-CN"/>
        </w:rPr>
        <w:t xml:space="preserve"> </w:t>
      </w:r>
      <w:r>
        <w:t xml:space="preserve"> 本项目与国务院令第643号符合性分析</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6"/>
        <w:gridCol w:w="4317"/>
        <w:gridCol w:w="3107"/>
        <w:gridCol w:w="568"/>
      </w:tblGrid>
      <w:tr w14:paraId="3DD4D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789" w:type="pct"/>
            <w:gridSpan w:val="2"/>
            <w:tcBorders>
              <w:bottom w:val="single" w:color="000000" w:sz="4" w:space="0"/>
            </w:tcBorders>
            <w:noWrap w:val="0"/>
            <w:tcMar>
              <w:top w:w="28" w:type="dxa"/>
              <w:left w:w="57" w:type="dxa"/>
              <w:bottom w:w="28" w:type="dxa"/>
              <w:right w:w="57" w:type="dxa"/>
            </w:tcMar>
            <w:vAlign w:val="center"/>
          </w:tcPr>
          <w:p w14:paraId="5357894E">
            <w:pPr>
              <w:pStyle w:val="19"/>
              <w:bidi w:val="0"/>
            </w:pPr>
            <w:r>
              <w:t>文件规定</w:t>
            </w:r>
          </w:p>
        </w:tc>
        <w:tc>
          <w:tcPr>
            <w:tcW w:w="1859" w:type="pct"/>
            <w:tcBorders>
              <w:bottom w:val="single" w:color="000000" w:sz="4" w:space="0"/>
            </w:tcBorders>
            <w:noWrap w:val="0"/>
            <w:tcMar>
              <w:top w:w="28" w:type="dxa"/>
              <w:left w:w="57" w:type="dxa"/>
              <w:bottom w:w="28" w:type="dxa"/>
              <w:right w:w="57" w:type="dxa"/>
            </w:tcMar>
            <w:vAlign w:val="center"/>
          </w:tcPr>
          <w:p w14:paraId="5D56AC8A">
            <w:pPr>
              <w:pStyle w:val="19"/>
              <w:bidi w:val="0"/>
            </w:pPr>
            <w:r>
              <w:t>本项目情况</w:t>
            </w:r>
          </w:p>
        </w:tc>
        <w:tc>
          <w:tcPr>
            <w:tcW w:w="351" w:type="pct"/>
            <w:tcBorders>
              <w:bottom w:val="single" w:color="000000" w:sz="4" w:space="0"/>
            </w:tcBorders>
            <w:noWrap w:val="0"/>
            <w:tcMar>
              <w:top w:w="28" w:type="dxa"/>
              <w:left w:w="57" w:type="dxa"/>
              <w:bottom w:w="28" w:type="dxa"/>
              <w:right w:w="57" w:type="dxa"/>
            </w:tcMar>
            <w:vAlign w:val="center"/>
          </w:tcPr>
          <w:p w14:paraId="527C926D">
            <w:pPr>
              <w:pStyle w:val="19"/>
              <w:bidi w:val="0"/>
            </w:pPr>
            <w:r>
              <w:t>符合 情况</w:t>
            </w:r>
          </w:p>
        </w:tc>
      </w:tr>
      <w:tr w14:paraId="506A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1" w:type="pct"/>
            <w:tcBorders>
              <w:top w:val="single" w:color="000000" w:sz="4" w:space="0"/>
              <w:bottom w:val="single" w:color="000000" w:sz="4" w:space="0"/>
            </w:tcBorders>
            <w:noWrap w:val="0"/>
            <w:tcMar>
              <w:top w:w="28" w:type="dxa"/>
              <w:left w:w="57" w:type="dxa"/>
              <w:bottom w:w="28" w:type="dxa"/>
              <w:right w:w="57" w:type="dxa"/>
            </w:tcMar>
            <w:textDirection w:val="tbRlV"/>
            <w:vAlign w:val="center"/>
          </w:tcPr>
          <w:p w14:paraId="49E6E934">
            <w:pPr>
              <w:pStyle w:val="19"/>
              <w:bidi w:val="0"/>
            </w:pPr>
            <w:r>
              <w:t>预防</w:t>
            </w:r>
          </w:p>
        </w:tc>
        <w:tc>
          <w:tcPr>
            <w:tcW w:w="2577" w:type="pct"/>
            <w:tcBorders>
              <w:top w:val="single" w:color="000000" w:sz="4" w:space="0"/>
              <w:bottom w:val="single" w:color="000000" w:sz="4" w:space="0"/>
            </w:tcBorders>
            <w:noWrap w:val="0"/>
            <w:tcMar>
              <w:top w:w="28" w:type="dxa"/>
              <w:left w:w="57" w:type="dxa"/>
              <w:bottom w:w="28" w:type="dxa"/>
              <w:right w:w="57" w:type="dxa"/>
            </w:tcMar>
            <w:vAlign w:val="center"/>
          </w:tcPr>
          <w:p w14:paraId="297F9F79">
            <w:pPr>
              <w:pStyle w:val="19"/>
              <w:bidi w:val="0"/>
            </w:pPr>
            <w:r>
              <w:t>1、禁止在下列区域内建设畜禽养殖场、养殖小 区：（一）饮用水水源保护区，风景名胜区；（二）自然保护区的核心区和缓冲区；（三）城镇居民区、文化教育科学研究区等人口集中区域；（四）</w:t>
            </w:r>
            <w:r>
              <w:rPr>
                <w:rFonts w:hint="eastAsia"/>
              </w:rPr>
              <w:t>法律法规</w:t>
            </w:r>
            <w:r>
              <w:t>规定的其他禁止养殖区域。</w:t>
            </w:r>
          </w:p>
          <w:p w14:paraId="7D8602CA">
            <w:pPr>
              <w:pStyle w:val="19"/>
              <w:bidi w:val="0"/>
            </w:pPr>
            <w:r>
              <w:t>2、新建、改建、扩建畜禽养殖场、养殖小区，应当符合畜牧业发展规划、畜禽养殖污染防治 规划，满足动物防疫条件，并进行环境影响评 价。对环境可能造成重大影响的大型畜禽养殖 场、养殖小区，应当编制环境影响报告书。</w:t>
            </w:r>
          </w:p>
          <w:p w14:paraId="4A35A750">
            <w:pPr>
              <w:pStyle w:val="19"/>
              <w:bidi w:val="0"/>
            </w:pPr>
            <w:r>
              <w:t>3、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14:paraId="3F23EFFE">
            <w:pPr>
              <w:pStyle w:val="19"/>
              <w:bidi w:val="0"/>
            </w:pPr>
            <w:r>
              <w:t>4、从事畜禽养殖活动，应当采取科学的饲养方 式和废弃物处理工艺等有效措施，减少畜禽养 殖废弃物的产生量和向环境的排放量。</w:t>
            </w:r>
          </w:p>
        </w:tc>
        <w:tc>
          <w:tcPr>
            <w:tcW w:w="1859" w:type="pct"/>
            <w:tcBorders>
              <w:top w:val="single" w:color="000000" w:sz="4" w:space="0"/>
              <w:bottom w:val="single" w:color="000000" w:sz="4" w:space="0"/>
            </w:tcBorders>
            <w:noWrap w:val="0"/>
            <w:tcMar>
              <w:top w:w="28" w:type="dxa"/>
              <w:left w:w="57" w:type="dxa"/>
              <w:bottom w:w="28" w:type="dxa"/>
              <w:right w:w="57" w:type="dxa"/>
            </w:tcMar>
            <w:vAlign w:val="center"/>
          </w:tcPr>
          <w:p w14:paraId="3AC0FEE2">
            <w:pPr>
              <w:pStyle w:val="19"/>
              <w:bidi w:val="0"/>
            </w:pPr>
            <w:r>
              <w:t>1、（一）本项目不处于生活饮用水水源保护区、风景名胜区；（二）不处于自然保护区的核心区及缓冲区。（三）本项目不处于城市和城镇居民区，包括文教科研区、医疗区、商业区、工业区、游览区等人口集中地区。（四）本项目不处于国家或地方</w:t>
            </w:r>
            <w:r>
              <w:rPr>
                <w:rFonts w:hint="eastAsia"/>
              </w:rPr>
              <w:t>法律法规</w:t>
            </w:r>
            <w:r>
              <w:t>规定需特殊保护的其他区域。</w:t>
            </w:r>
          </w:p>
          <w:p w14:paraId="4A30EDD6">
            <w:pPr>
              <w:pStyle w:val="19"/>
              <w:bidi w:val="0"/>
            </w:pPr>
            <w:r>
              <w:t>2、本项目已编制环境影响评价报告书。</w:t>
            </w:r>
          </w:p>
          <w:p w14:paraId="37FFFC3C">
            <w:pPr>
              <w:pStyle w:val="19"/>
              <w:bidi w:val="0"/>
            </w:pPr>
            <w:r>
              <w:t>3、本项目采用</w:t>
            </w:r>
            <w:r>
              <w:rPr>
                <w:rFonts w:hint="eastAsia"/>
              </w:rPr>
              <w:t>“</w:t>
            </w:r>
            <w:r>
              <w:rPr>
                <w:rFonts w:hint="eastAsia"/>
                <w:lang w:val="en-US" w:eastAsia="zh-CN"/>
              </w:rPr>
              <w:t>格栅+集水池（沉砂）+固液分离+水解酸化+UASB+SBR+好氧塘储存</w:t>
            </w:r>
            <w:r>
              <w:rPr>
                <w:rFonts w:hint="eastAsia"/>
              </w:rPr>
              <w:t>”</w:t>
            </w:r>
            <w:r>
              <w:t>处理工艺、粪便堆肥贮存。污水经处理后</w:t>
            </w:r>
            <w:r>
              <w:rPr>
                <w:rFonts w:hint="eastAsia"/>
                <w:lang w:eastAsia="zh-CN"/>
              </w:rPr>
              <w:t>委托清运</w:t>
            </w:r>
            <w:r>
              <w:t>，粪便堆肥制作有机肥</w:t>
            </w:r>
            <w:r>
              <w:rPr>
                <w:rFonts w:hint="eastAsia"/>
                <w:lang w:eastAsia="zh-CN"/>
              </w:rPr>
              <w:t>；</w:t>
            </w:r>
            <w:r>
              <w:t>病死猪</w:t>
            </w:r>
            <w:r>
              <w:rPr>
                <w:rFonts w:hint="eastAsia"/>
              </w:rPr>
              <w:t>委托有资质单位</w:t>
            </w:r>
            <w:r>
              <w:t>进行处理。</w:t>
            </w:r>
          </w:p>
          <w:p w14:paraId="0404947A">
            <w:pPr>
              <w:pStyle w:val="19"/>
              <w:bidi w:val="0"/>
            </w:pPr>
            <w:r>
              <w:t>4、本项目采用科学饲养方式，清粪工艺为干清粪工艺，粪便添加除臭剂，减少废气产生。</w:t>
            </w:r>
          </w:p>
        </w:tc>
        <w:tc>
          <w:tcPr>
            <w:tcW w:w="351" w:type="pct"/>
            <w:tcBorders>
              <w:top w:val="single" w:color="000000" w:sz="4" w:space="0"/>
              <w:bottom w:val="single" w:color="000000" w:sz="4" w:space="0"/>
            </w:tcBorders>
            <w:noWrap w:val="0"/>
            <w:tcMar>
              <w:top w:w="28" w:type="dxa"/>
              <w:left w:w="57" w:type="dxa"/>
              <w:bottom w:w="28" w:type="dxa"/>
              <w:right w:w="57" w:type="dxa"/>
            </w:tcMar>
            <w:vAlign w:val="center"/>
          </w:tcPr>
          <w:p w14:paraId="4AFE95E8">
            <w:pPr>
              <w:pStyle w:val="19"/>
              <w:bidi w:val="0"/>
            </w:pPr>
            <w:r>
              <w:t>符合</w:t>
            </w:r>
          </w:p>
        </w:tc>
      </w:tr>
      <w:tr w14:paraId="33697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1" w:type="pct"/>
            <w:tcBorders>
              <w:top w:val="single" w:color="000000" w:sz="4" w:space="0"/>
            </w:tcBorders>
            <w:noWrap w:val="0"/>
            <w:tcMar>
              <w:top w:w="28" w:type="dxa"/>
              <w:left w:w="57" w:type="dxa"/>
              <w:bottom w:w="28" w:type="dxa"/>
              <w:right w:w="57" w:type="dxa"/>
            </w:tcMar>
            <w:textDirection w:val="tbRlV"/>
            <w:vAlign w:val="center"/>
          </w:tcPr>
          <w:p w14:paraId="3FE1E7D8">
            <w:pPr>
              <w:pStyle w:val="19"/>
              <w:bidi w:val="0"/>
            </w:pPr>
            <w:r>
              <w:t>综合利用与治理</w:t>
            </w:r>
          </w:p>
        </w:tc>
        <w:tc>
          <w:tcPr>
            <w:tcW w:w="2577" w:type="pct"/>
            <w:tcBorders>
              <w:top w:val="single" w:color="000000" w:sz="4" w:space="0"/>
            </w:tcBorders>
            <w:noWrap w:val="0"/>
            <w:tcMar>
              <w:top w:w="28" w:type="dxa"/>
              <w:left w:w="57" w:type="dxa"/>
              <w:bottom w:w="28" w:type="dxa"/>
              <w:right w:w="57" w:type="dxa"/>
            </w:tcMar>
            <w:vAlign w:val="center"/>
          </w:tcPr>
          <w:p w14:paraId="64B2B5B3">
            <w:pPr>
              <w:pStyle w:val="19"/>
              <w:bidi w:val="0"/>
            </w:pPr>
            <w:r>
              <w:t>1、国家鼓励和支持采取粪肥还田、制取沼气、制造有机肥等方法，对畜禽养殖废弃物进行综合利用。</w:t>
            </w:r>
          </w:p>
          <w:p w14:paraId="03D8C945">
            <w:pPr>
              <w:pStyle w:val="19"/>
              <w:bidi w:val="0"/>
            </w:pPr>
            <w:r>
              <w:t>2、国家鼓励和支持采取种植和养殖相结合的方 式消纳利用畜禽养殖废弃物，促进畜禽粪便、污水等废弃物就地就近利用。</w:t>
            </w:r>
          </w:p>
          <w:p w14:paraId="58559EA4">
            <w:pPr>
              <w:pStyle w:val="19"/>
              <w:bidi w:val="0"/>
            </w:pPr>
            <w:r>
              <w:t>3、国家鼓励和支持沼气制取、有机肥生产等废 弃物综合利用以及沼渣沼液输送和施用、沼气 发电等相关配套设施建设。</w:t>
            </w:r>
          </w:p>
          <w:p w14:paraId="08135C59">
            <w:pPr>
              <w:pStyle w:val="19"/>
              <w:bidi w:val="0"/>
            </w:pPr>
            <w:r>
              <w:t>4、将畜禽粪便、污水、沼渣、沼液等用作肥料的，应当与土地的消纳能力相适应，并采取有效措施，消除可能引起传染病的微生物，防止污染环境和传播疫病。</w:t>
            </w:r>
          </w:p>
          <w:p w14:paraId="65BB8635">
            <w:pPr>
              <w:pStyle w:val="19"/>
              <w:bidi w:val="0"/>
            </w:pPr>
            <w:r>
              <w:t>5、从事畜禽养殖活动和畜禽养殖废弃物处理活 动，应当及时对畜禽粪便、畜禽尸体、污水等进行收集、贮存、清运，防止恶臭和畜禽养殖废弃物渗出、泄漏。</w:t>
            </w:r>
          </w:p>
          <w:p w14:paraId="22CDAA58">
            <w:pPr>
              <w:pStyle w:val="19"/>
              <w:bidi w:val="0"/>
            </w:pPr>
            <w:r>
              <w:t>6、向环境排放经过处理的畜禽养殖废弃物，应 当符合国家和地方规定的污染物排放标准和总 量控制指标。畜禽养殖废弃物未经处理，不得直接向环境排放。</w:t>
            </w:r>
          </w:p>
          <w:p w14:paraId="3B3EE8F6">
            <w:pPr>
              <w:pStyle w:val="19"/>
              <w:bidi w:val="0"/>
            </w:pPr>
            <w:r>
              <w:t>7、染疫畜禽以及染疫畜禽排泄物、染疫畜禽产 品、病死或者死因不明的畜禽尸体等病害畜禽 养殖废弃物，应当按照有关</w:t>
            </w:r>
            <w:r>
              <w:rPr>
                <w:rFonts w:hint="eastAsia"/>
              </w:rPr>
              <w:t>法律法规</w:t>
            </w:r>
            <w:r>
              <w:t>和国务院农牧主管部门的规定，进行深埋、化制、焚烧等无害化处理，不得随意处置。</w:t>
            </w:r>
          </w:p>
          <w:p w14:paraId="68DECCDF">
            <w:pPr>
              <w:pStyle w:val="19"/>
              <w:bidi w:val="0"/>
            </w:pPr>
            <w:r>
              <w:t>8、畜禽养殖场、养殖小区应当定期将畜禽养殖 品种、规模以及畜禽养殖废弃物的产生、排放和综合利用等情况，报县级人民政府环境保护主管部门备案。环境保护主管部门应当定期将备案情况抄送同级农牧主管部门。</w:t>
            </w:r>
          </w:p>
          <w:p w14:paraId="0C11F930">
            <w:pPr>
              <w:pStyle w:val="19"/>
              <w:bidi w:val="0"/>
            </w:pPr>
            <w:r>
              <w:t>9、畜牧业发展规划、土地利用总体规划、城乡规划调整以及划定禁止养殖区域，或者因对污染严重的畜禽养殖密集区域进行综合整治，确需关闭或者搬迁现有畜禽养殖场所，致使畜禽养殖者遭受经济损失的，由县级以上地方人民政府依法予以补偿。</w:t>
            </w:r>
          </w:p>
        </w:tc>
        <w:tc>
          <w:tcPr>
            <w:tcW w:w="1859" w:type="pct"/>
            <w:tcBorders>
              <w:top w:val="single" w:color="000000" w:sz="4" w:space="0"/>
            </w:tcBorders>
            <w:noWrap w:val="0"/>
            <w:tcMar>
              <w:top w:w="28" w:type="dxa"/>
              <w:left w:w="57" w:type="dxa"/>
              <w:bottom w:w="28" w:type="dxa"/>
              <w:right w:w="57" w:type="dxa"/>
            </w:tcMar>
            <w:vAlign w:val="center"/>
          </w:tcPr>
          <w:p w14:paraId="5AE940D7">
            <w:pPr>
              <w:pStyle w:val="19"/>
              <w:bidi w:val="0"/>
            </w:pPr>
            <w:r>
              <w:t>1、本项目粪便采用好氧堆肥的方法，制造有机肥，</w:t>
            </w:r>
            <w:r>
              <w:rPr>
                <w:rFonts w:hint="eastAsia"/>
                <w:lang w:val="en-US" w:eastAsia="zh-CN"/>
              </w:rPr>
              <w:t>还田</w:t>
            </w:r>
            <w:r>
              <w:t>。</w:t>
            </w:r>
          </w:p>
          <w:p w14:paraId="2460CC3A">
            <w:pPr>
              <w:pStyle w:val="19"/>
              <w:bidi w:val="0"/>
            </w:pPr>
            <w:r>
              <w:t>2、本项目考虑土地承载力，污水处理达标后，</w:t>
            </w:r>
            <w:r>
              <w:rPr>
                <w:rFonts w:hint="eastAsia"/>
                <w:lang w:val="en-US" w:eastAsia="zh-CN"/>
              </w:rPr>
              <w:t>委托清运</w:t>
            </w:r>
            <w:r>
              <w:t>。</w:t>
            </w:r>
          </w:p>
          <w:p w14:paraId="3E559BC2">
            <w:pPr>
              <w:pStyle w:val="19"/>
              <w:bidi w:val="0"/>
            </w:pPr>
            <w:r>
              <w:t>3、本项目粪便采用好氧堆肥制成有机肥</w:t>
            </w:r>
            <w:r>
              <w:rPr>
                <w:rFonts w:hint="eastAsia"/>
                <w:lang w:val="en-US" w:eastAsia="zh-CN"/>
              </w:rPr>
              <w:t>还田</w:t>
            </w:r>
            <w:r>
              <w:t>。</w:t>
            </w:r>
          </w:p>
          <w:p w14:paraId="00E5E68C">
            <w:pPr>
              <w:pStyle w:val="19"/>
              <w:bidi w:val="0"/>
            </w:pPr>
            <w:r>
              <w:t>4、本项目综合考虑土地的消纳能力，粪污水</w:t>
            </w:r>
            <w:r>
              <w:rPr>
                <w:rFonts w:hint="eastAsia"/>
                <w:lang w:eastAsia="zh-CN"/>
              </w:rPr>
              <w:t>委托清运</w:t>
            </w:r>
            <w:r>
              <w:t>，粪便制成有机肥</w:t>
            </w:r>
            <w:r>
              <w:rPr>
                <w:rFonts w:hint="eastAsia"/>
                <w:lang w:val="en-US" w:eastAsia="zh-CN"/>
              </w:rPr>
              <w:t>还田</w:t>
            </w:r>
            <w:r>
              <w:t>。</w:t>
            </w:r>
          </w:p>
          <w:p w14:paraId="02ECEA4C">
            <w:pPr>
              <w:pStyle w:val="19"/>
              <w:bidi w:val="0"/>
            </w:pPr>
            <w:r>
              <w:t>5、本项目粪污水通过管道及时收集，进入</w:t>
            </w:r>
            <w:r>
              <w:rPr>
                <w:rFonts w:hint="eastAsia"/>
              </w:rPr>
              <w:t>“</w:t>
            </w:r>
            <w:r>
              <w:rPr>
                <w:rFonts w:hint="eastAsia"/>
                <w:lang w:val="en-US" w:eastAsia="zh-CN"/>
              </w:rPr>
              <w:t>格栅+集水池（沉砂）+固液分离+水解酸化+UASB+SBR+好氧塘储存</w:t>
            </w:r>
            <w:r>
              <w:rPr>
                <w:rFonts w:hint="eastAsia"/>
              </w:rPr>
              <w:t>”</w:t>
            </w:r>
            <w:r>
              <w:t>处理，粪便采用漏缝板方式及时清理，各处理设施均采用了防渗、防漏措施。</w:t>
            </w:r>
          </w:p>
          <w:p w14:paraId="462B0665">
            <w:pPr>
              <w:pStyle w:val="19"/>
              <w:bidi w:val="0"/>
            </w:pPr>
            <w:r>
              <w:t>6、本项目废水、废气均达标排放，总量控制指标符合</w:t>
            </w:r>
            <w:r>
              <w:rPr>
                <w:rFonts w:hint="eastAsia"/>
                <w:lang w:val="en-US" w:eastAsia="zh-CN"/>
              </w:rPr>
              <w:t>五家渠市</w:t>
            </w:r>
            <w:r>
              <w:t>要求。</w:t>
            </w:r>
          </w:p>
          <w:p w14:paraId="46E28B2E">
            <w:pPr>
              <w:pStyle w:val="19"/>
              <w:bidi w:val="0"/>
            </w:pPr>
            <w:r>
              <w:t>7、病死猪</w:t>
            </w:r>
            <w:r>
              <w:rPr>
                <w:rFonts w:hint="eastAsia"/>
              </w:rPr>
              <w:t>委托有资质单位</w:t>
            </w:r>
            <w:r>
              <w:t>进行处理。</w:t>
            </w:r>
          </w:p>
          <w:p w14:paraId="26F70B6F">
            <w:pPr>
              <w:pStyle w:val="19"/>
              <w:bidi w:val="0"/>
            </w:pPr>
            <w:r>
              <w:t>8、本项目目前正编制环境影响评价文件，该文件将交由五家渠市生态环境局备案，之后会开展环保验收，报环保部门备案。</w:t>
            </w:r>
          </w:p>
          <w:p w14:paraId="36A7B23F">
            <w:pPr>
              <w:pStyle w:val="19"/>
              <w:bidi w:val="0"/>
            </w:pPr>
            <w:r>
              <w:t>9、本项目不在禁养区和限养区内，符合畜牧业发展规划，项目不在养殖密集区，本项目不在拆迁范围之内。</w:t>
            </w:r>
          </w:p>
        </w:tc>
        <w:tc>
          <w:tcPr>
            <w:tcW w:w="351" w:type="pct"/>
            <w:tcBorders>
              <w:top w:val="single" w:color="000000" w:sz="4" w:space="0"/>
            </w:tcBorders>
            <w:noWrap w:val="0"/>
            <w:tcMar>
              <w:top w:w="28" w:type="dxa"/>
              <w:left w:w="57" w:type="dxa"/>
              <w:bottom w:w="28" w:type="dxa"/>
              <w:right w:w="57" w:type="dxa"/>
            </w:tcMar>
            <w:vAlign w:val="center"/>
          </w:tcPr>
          <w:p w14:paraId="6FDE3163">
            <w:pPr>
              <w:pStyle w:val="19"/>
              <w:bidi w:val="0"/>
            </w:pPr>
            <w:r>
              <w:t>符合</w:t>
            </w:r>
          </w:p>
        </w:tc>
      </w:tr>
    </w:tbl>
    <w:p w14:paraId="19114BFA">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w:t>
      </w:r>
      <w:r>
        <w:rPr>
          <w:rFonts w:hint="eastAsia"/>
          <w:color w:val="000000"/>
          <w:highlight w:val="none"/>
        </w:rPr>
        <w:t>1</w:t>
      </w:r>
      <w:r>
        <w:rPr>
          <w:rFonts w:hint="eastAsia"/>
          <w:color w:val="000000"/>
          <w:highlight w:val="none"/>
          <w:lang w:val="en-US" w:eastAsia="zh-CN"/>
        </w:rPr>
        <w:t>6</w:t>
      </w:r>
      <w:r>
        <w:rPr>
          <w:color w:val="000000"/>
          <w:highlight w:val="none"/>
        </w:rPr>
        <w:t>）与《关于做好畜禽规模养殖项目环境影响评价管理工作的通知》（环办环评〔2018〕31号）的相符性分析</w:t>
      </w:r>
    </w:p>
    <w:p w14:paraId="07C85F0F">
      <w:pPr>
        <w:bidi w:val="0"/>
        <w:rPr>
          <w:rFonts w:hint="default" w:eastAsia="宋体"/>
          <w:lang w:val="en-US" w:eastAsia="zh-CN"/>
        </w:rPr>
      </w:pPr>
      <w:r>
        <w:rPr>
          <w:rFonts w:hint="eastAsia"/>
          <w:lang w:val="en-US" w:eastAsia="zh-CN"/>
        </w:rPr>
        <w:t>本项目与</w:t>
      </w:r>
      <w:r>
        <w:rPr>
          <w:color w:val="000000"/>
          <w:highlight w:val="none"/>
        </w:rPr>
        <w:t>《关于做好畜禽规模养殖项目环境影响评价管理工作的通知》（环办环评〔2018〕31号）的相符性分析</w:t>
      </w:r>
      <w:r>
        <w:rPr>
          <w:rFonts w:hint="eastAsia"/>
          <w:color w:val="000000"/>
          <w:highlight w:val="none"/>
          <w:lang w:val="en-US" w:eastAsia="zh-CN"/>
        </w:rPr>
        <w:t>具体见表1.3-2</w:t>
      </w:r>
    </w:p>
    <w:p w14:paraId="0C6EBB9A">
      <w:pPr>
        <w:pStyle w:val="30"/>
        <w:bidi w:val="0"/>
      </w:pPr>
      <w:r>
        <w:t>表</w:t>
      </w:r>
      <w:r>
        <w:rPr>
          <w:rFonts w:hint="eastAsia"/>
        </w:rPr>
        <w:t>1.3</w:t>
      </w:r>
      <w:r>
        <w:t xml:space="preserve">-2 </w:t>
      </w:r>
      <w:r>
        <w:rPr>
          <w:rFonts w:hint="eastAsia"/>
          <w:lang w:val="en-US" w:eastAsia="zh-CN"/>
        </w:rPr>
        <w:t xml:space="preserve"> </w:t>
      </w:r>
      <w:r>
        <w:t xml:space="preserve"> 本项目与环办环评〔2018〕31号符合性分析</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463"/>
        <w:gridCol w:w="2935"/>
        <w:gridCol w:w="1022"/>
      </w:tblGrid>
      <w:tr w14:paraId="176CF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68A47B6A">
            <w:pPr>
              <w:pStyle w:val="19"/>
              <w:bidi w:val="0"/>
            </w:pPr>
            <w:r>
              <w:t>文件规定</w:t>
            </w:r>
          </w:p>
        </w:tc>
        <w:tc>
          <w:tcPr>
            <w:tcW w:w="2935" w:type="dxa"/>
            <w:noWrap w:val="0"/>
            <w:tcMar>
              <w:top w:w="28" w:type="dxa"/>
              <w:left w:w="57" w:type="dxa"/>
              <w:bottom w:w="28" w:type="dxa"/>
              <w:right w:w="57" w:type="dxa"/>
            </w:tcMar>
            <w:vAlign w:val="center"/>
          </w:tcPr>
          <w:p w14:paraId="54E769B7">
            <w:pPr>
              <w:pStyle w:val="19"/>
              <w:bidi w:val="0"/>
            </w:pPr>
            <w:r>
              <w:t>本项目情况</w:t>
            </w:r>
          </w:p>
        </w:tc>
        <w:tc>
          <w:tcPr>
            <w:tcW w:w="1022" w:type="dxa"/>
            <w:noWrap w:val="0"/>
            <w:tcMar>
              <w:top w:w="28" w:type="dxa"/>
              <w:left w:w="57" w:type="dxa"/>
              <w:bottom w:w="28" w:type="dxa"/>
              <w:right w:w="57" w:type="dxa"/>
            </w:tcMar>
            <w:vAlign w:val="center"/>
          </w:tcPr>
          <w:p w14:paraId="032838E1">
            <w:pPr>
              <w:pStyle w:val="19"/>
              <w:bidi w:val="0"/>
            </w:pPr>
            <w:r>
              <w:t>符合情况</w:t>
            </w:r>
          </w:p>
        </w:tc>
      </w:tr>
      <w:tr w14:paraId="54EC1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7F648FCA">
            <w:pPr>
              <w:pStyle w:val="19"/>
              <w:bidi w:val="0"/>
            </w:pPr>
            <w: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w:t>
            </w:r>
            <w:r>
              <w:rPr>
                <w:rFonts w:hint="eastAsia"/>
              </w:rPr>
              <w:t>法律法规</w:t>
            </w:r>
            <w:r>
              <w:t>规定的禁止养殖区域。</w:t>
            </w:r>
          </w:p>
        </w:tc>
        <w:tc>
          <w:tcPr>
            <w:tcW w:w="2935" w:type="dxa"/>
            <w:noWrap w:val="0"/>
            <w:tcMar>
              <w:top w:w="28" w:type="dxa"/>
              <w:left w:w="57" w:type="dxa"/>
              <w:bottom w:w="28" w:type="dxa"/>
              <w:right w:w="57" w:type="dxa"/>
            </w:tcMar>
            <w:vAlign w:val="center"/>
          </w:tcPr>
          <w:p w14:paraId="36A8D9BB">
            <w:pPr>
              <w:pStyle w:val="19"/>
              <w:bidi w:val="0"/>
              <w:rPr>
                <w:rFonts w:hint="default" w:eastAsia="宋体"/>
                <w:lang w:val="en-US" w:eastAsia="zh-CN"/>
              </w:rPr>
            </w:pPr>
            <w:r>
              <w:t>项目养殖场500米范围内不涉及禁建区域，并且符合新疆生产建设兵团主体功能区规划及畜禽养殖污染防治规划</w:t>
            </w:r>
            <w:r>
              <w:rPr>
                <w:rFonts w:hint="eastAsia"/>
                <w:lang w:eastAsia="zh-CN"/>
              </w:rPr>
              <w:t>，</w:t>
            </w:r>
            <w:r>
              <w:rPr>
                <w:rFonts w:hint="eastAsia"/>
                <w:lang w:val="en-US" w:eastAsia="zh-CN"/>
              </w:rPr>
              <w:t>不在划定的禁养区范围内。</w:t>
            </w:r>
          </w:p>
        </w:tc>
        <w:tc>
          <w:tcPr>
            <w:tcW w:w="1022" w:type="dxa"/>
            <w:noWrap w:val="0"/>
            <w:tcMar>
              <w:top w:w="28" w:type="dxa"/>
              <w:left w:w="57" w:type="dxa"/>
              <w:bottom w:w="28" w:type="dxa"/>
              <w:right w:w="57" w:type="dxa"/>
            </w:tcMar>
            <w:vAlign w:val="center"/>
          </w:tcPr>
          <w:p w14:paraId="222F4B63">
            <w:pPr>
              <w:pStyle w:val="19"/>
              <w:bidi w:val="0"/>
            </w:pPr>
            <w:r>
              <w:t>符合</w:t>
            </w:r>
          </w:p>
        </w:tc>
      </w:tr>
      <w:tr w14:paraId="4E2C5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63021E96">
            <w:pPr>
              <w:pStyle w:val="19"/>
              <w:bidi w:val="0"/>
            </w:pPr>
            <w:r>
              <w:t>项目环评应以农业绿色发展为导向，优化工艺，通过采取优化饲料配方、提高饲养技术等措施，从源头减少粪污的产生量。鼓励采取干清粪方式，采取水泡粪</w:t>
            </w:r>
            <w:r>
              <w:rPr>
                <w:rFonts w:hint="eastAsia"/>
              </w:rPr>
              <w:t>工艺</w:t>
            </w:r>
            <w:r>
              <w:t>应最大限度降低用水量。场区应采取雨污分离措施，防止雨水进入粪污收集系统</w:t>
            </w:r>
          </w:p>
        </w:tc>
        <w:tc>
          <w:tcPr>
            <w:tcW w:w="2935" w:type="dxa"/>
            <w:noWrap w:val="0"/>
            <w:tcMar>
              <w:top w:w="28" w:type="dxa"/>
              <w:left w:w="57" w:type="dxa"/>
              <w:bottom w:w="28" w:type="dxa"/>
              <w:right w:w="57" w:type="dxa"/>
            </w:tcMar>
            <w:vAlign w:val="center"/>
          </w:tcPr>
          <w:p w14:paraId="12B10A7B">
            <w:pPr>
              <w:pStyle w:val="19"/>
              <w:bidi w:val="0"/>
            </w:pPr>
            <w:r>
              <w:t>本项目采用全价饲料，采用干清粪工艺，最大限度的减少用水量。</w:t>
            </w:r>
          </w:p>
        </w:tc>
        <w:tc>
          <w:tcPr>
            <w:tcW w:w="1022" w:type="dxa"/>
            <w:noWrap w:val="0"/>
            <w:tcMar>
              <w:top w:w="28" w:type="dxa"/>
              <w:left w:w="57" w:type="dxa"/>
              <w:bottom w:w="28" w:type="dxa"/>
              <w:right w:w="57" w:type="dxa"/>
            </w:tcMar>
            <w:vAlign w:val="center"/>
          </w:tcPr>
          <w:p w14:paraId="16C37E5A">
            <w:pPr>
              <w:pStyle w:val="19"/>
              <w:bidi w:val="0"/>
            </w:pPr>
            <w:r>
              <w:t>符合</w:t>
            </w:r>
          </w:p>
        </w:tc>
      </w:tr>
      <w:tr w14:paraId="45117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333A6B3B">
            <w:pPr>
              <w:pStyle w:val="19"/>
              <w:bidi w:val="0"/>
            </w:pPr>
            <w: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w:t>
            </w:r>
            <w:r>
              <w:rPr>
                <w:rFonts w:hint="eastAsia"/>
              </w:rPr>
              <w:t>“</w:t>
            </w:r>
            <w:r>
              <w:t>种养结合</w:t>
            </w:r>
            <w:r>
              <w:rPr>
                <w:rFonts w:hint="eastAsia"/>
              </w:rPr>
              <w:t>”</w:t>
            </w:r>
            <w:r>
              <w:t>绿色发展。</w:t>
            </w:r>
          </w:p>
        </w:tc>
        <w:tc>
          <w:tcPr>
            <w:tcW w:w="2935" w:type="dxa"/>
            <w:noWrap w:val="0"/>
            <w:tcMar>
              <w:top w:w="28" w:type="dxa"/>
              <w:left w:w="57" w:type="dxa"/>
              <w:bottom w:w="28" w:type="dxa"/>
              <w:right w:w="57" w:type="dxa"/>
            </w:tcMar>
            <w:vAlign w:val="center"/>
          </w:tcPr>
          <w:p w14:paraId="05C019BF">
            <w:pPr>
              <w:pStyle w:val="19"/>
              <w:bidi w:val="0"/>
            </w:pPr>
            <w:r>
              <w:t>粪污分离出的固形物送至</w:t>
            </w:r>
            <w:r>
              <w:rPr>
                <w:rFonts w:hint="eastAsia"/>
                <w:lang w:val="en-US" w:eastAsia="zh-CN"/>
              </w:rPr>
              <w:t>堆</w:t>
            </w:r>
            <w:r>
              <w:t>粪场生产有机肥基料，分离液经污水过</w:t>
            </w:r>
            <w:r>
              <w:rPr>
                <w:rFonts w:hint="eastAsia"/>
              </w:rPr>
              <w:t>“</w:t>
            </w:r>
            <w:r>
              <w:rPr>
                <w:rFonts w:hint="eastAsia"/>
                <w:lang w:val="en-US" w:eastAsia="zh-CN"/>
              </w:rPr>
              <w:t>格栅+集水池（沉砂）+固液分离+水解酸化+UASB+SBR+好氧塘储存</w:t>
            </w:r>
            <w:r>
              <w:rPr>
                <w:rFonts w:hint="eastAsia"/>
              </w:rPr>
              <w:t>”</w:t>
            </w:r>
            <w:r>
              <w:t>工艺处理后</w:t>
            </w:r>
            <w:r>
              <w:rPr>
                <w:rFonts w:hint="eastAsia"/>
                <w:lang w:val="en-US" w:eastAsia="zh-CN"/>
              </w:rPr>
              <w:t>委托清运</w:t>
            </w:r>
            <w:r>
              <w:t>。</w:t>
            </w:r>
          </w:p>
        </w:tc>
        <w:tc>
          <w:tcPr>
            <w:tcW w:w="1022" w:type="dxa"/>
            <w:noWrap w:val="0"/>
            <w:tcMar>
              <w:top w:w="28" w:type="dxa"/>
              <w:left w:w="57" w:type="dxa"/>
              <w:bottom w:w="28" w:type="dxa"/>
              <w:right w:w="57" w:type="dxa"/>
            </w:tcMar>
            <w:vAlign w:val="center"/>
          </w:tcPr>
          <w:p w14:paraId="695ED1F3">
            <w:pPr>
              <w:pStyle w:val="19"/>
              <w:bidi w:val="0"/>
            </w:pPr>
            <w:r>
              <w:t>符合</w:t>
            </w:r>
          </w:p>
        </w:tc>
      </w:tr>
      <w:tr w14:paraId="7424A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1476B2A4">
            <w:pPr>
              <w:pStyle w:val="19"/>
              <w:bidi w:val="0"/>
            </w:pPr>
            <w: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2935" w:type="dxa"/>
            <w:noWrap w:val="0"/>
            <w:tcMar>
              <w:top w:w="28" w:type="dxa"/>
              <w:left w:w="57" w:type="dxa"/>
              <w:bottom w:w="28" w:type="dxa"/>
              <w:right w:w="57" w:type="dxa"/>
            </w:tcMar>
            <w:vAlign w:val="center"/>
          </w:tcPr>
          <w:p w14:paraId="5FFE0980">
            <w:pPr>
              <w:pStyle w:val="19"/>
              <w:bidi w:val="0"/>
            </w:pPr>
            <w:r>
              <w:rPr>
                <w:rFonts w:hint="eastAsia"/>
              </w:rPr>
              <w:t>干湿分离车间</w:t>
            </w:r>
            <w:r>
              <w:t>采用封闭运行，并做好防渗。</w:t>
            </w:r>
            <w:r>
              <w:rPr>
                <w:rFonts w:hint="eastAsia"/>
                <w:lang w:val="en-US" w:eastAsia="zh-CN"/>
              </w:rPr>
              <w:t>氧化塘</w:t>
            </w:r>
            <w:r>
              <w:t>的容积足够满足本项目粪污处理需求，粪污分离出的固形物送至粪场生产有机肥基料，分离液经污水过</w:t>
            </w:r>
            <w:r>
              <w:rPr>
                <w:rFonts w:hint="eastAsia"/>
              </w:rPr>
              <w:t>“</w:t>
            </w:r>
            <w:r>
              <w:rPr>
                <w:rFonts w:hint="eastAsia"/>
                <w:lang w:val="en-US" w:eastAsia="zh-CN"/>
              </w:rPr>
              <w:t>格栅+集水池（沉砂）+固液分离+水解酸化+UASB+SBR+好氧塘储存</w:t>
            </w:r>
            <w:r>
              <w:rPr>
                <w:rFonts w:hint="eastAsia"/>
              </w:rPr>
              <w:t>”</w:t>
            </w:r>
            <w:r>
              <w:t>工艺处理后</w:t>
            </w:r>
            <w:r>
              <w:rPr>
                <w:rFonts w:hint="eastAsia"/>
                <w:lang w:val="en-US" w:eastAsia="zh-CN"/>
              </w:rPr>
              <w:t>委托清运</w:t>
            </w:r>
            <w:r>
              <w:t>。本项目将制定应急预案，并制定严格的环境风险防范措施</w:t>
            </w:r>
          </w:p>
        </w:tc>
        <w:tc>
          <w:tcPr>
            <w:tcW w:w="1022" w:type="dxa"/>
            <w:noWrap w:val="0"/>
            <w:tcMar>
              <w:top w:w="28" w:type="dxa"/>
              <w:left w:w="57" w:type="dxa"/>
              <w:bottom w:w="28" w:type="dxa"/>
              <w:right w:w="57" w:type="dxa"/>
            </w:tcMar>
            <w:vAlign w:val="center"/>
          </w:tcPr>
          <w:p w14:paraId="26DF89D1">
            <w:pPr>
              <w:pStyle w:val="19"/>
              <w:bidi w:val="0"/>
            </w:pPr>
            <w:r>
              <w:t>符合</w:t>
            </w:r>
          </w:p>
        </w:tc>
      </w:tr>
      <w:tr w14:paraId="0F615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1A047D30">
            <w:pPr>
              <w:pStyle w:val="19"/>
              <w:bidi w:val="0"/>
            </w:pPr>
            <w:r>
              <w:t>依据相关法律法规和技术规范，制定明确的病死畜 禽处理、处置方案，及时处理病死畜禽。针对畜禽规模养殖项目的恶臭影响，可采取控制饲养密度、改善舍内通风、及时清粪、采用除臭剂、集中收集处理等措施，确保项目恶臭污染物达标排放。</w:t>
            </w:r>
          </w:p>
        </w:tc>
        <w:tc>
          <w:tcPr>
            <w:tcW w:w="2935" w:type="dxa"/>
            <w:noWrap w:val="0"/>
            <w:tcMar>
              <w:top w:w="28" w:type="dxa"/>
              <w:left w:w="57" w:type="dxa"/>
              <w:bottom w:w="28" w:type="dxa"/>
              <w:right w:w="57" w:type="dxa"/>
            </w:tcMar>
            <w:vAlign w:val="center"/>
          </w:tcPr>
          <w:p w14:paraId="2342AF00">
            <w:pPr>
              <w:pStyle w:val="19"/>
              <w:bidi w:val="0"/>
              <w:rPr>
                <w:rFonts w:hint="eastAsia" w:eastAsia="宋体"/>
                <w:lang w:eastAsia="zh-CN"/>
              </w:rPr>
            </w:pPr>
            <w:r>
              <w:t>病死猪</w:t>
            </w:r>
            <w:r>
              <w:rPr>
                <w:rFonts w:hint="eastAsia"/>
              </w:rPr>
              <w:t>委托有资质单位</w:t>
            </w:r>
            <w:r>
              <w:t>进行处理，养殖项目产生的恶臭通过增加清粪频次；加强猪舍通排风、采用除臭剂，确保项目恶臭能够达标排放</w:t>
            </w:r>
            <w:r>
              <w:rPr>
                <w:rFonts w:hint="eastAsia"/>
                <w:lang w:eastAsia="zh-CN"/>
              </w:rPr>
              <w:t>。</w:t>
            </w:r>
          </w:p>
        </w:tc>
        <w:tc>
          <w:tcPr>
            <w:tcW w:w="1022" w:type="dxa"/>
            <w:noWrap w:val="0"/>
            <w:tcMar>
              <w:top w:w="28" w:type="dxa"/>
              <w:left w:w="57" w:type="dxa"/>
              <w:bottom w:w="28" w:type="dxa"/>
              <w:right w:w="57" w:type="dxa"/>
            </w:tcMar>
            <w:vAlign w:val="center"/>
          </w:tcPr>
          <w:p w14:paraId="2367E519">
            <w:pPr>
              <w:pStyle w:val="19"/>
              <w:bidi w:val="0"/>
            </w:pPr>
            <w:r>
              <w:t>符合</w:t>
            </w:r>
          </w:p>
        </w:tc>
      </w:tr>
    </w:tbl>
    <w:p w14:paraId="6A59E2B3">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（1</w:t>
      </w:r>
      <w:r>
        <w:rPr>
          <w:rFonts w:hint="eastAsia"/>
          <w:color w:val="000000"/>
          <w:highlight w:val="none"/>
          <w:lang w:val="en-US" w:eastAsia="zh-CN"/>
        </w:rPr>
        <w:t>7</w:t>
      </w:r>
      <w:r>
        <w:rPr>
          <w:color w:val="000000"/>
          <w:highlight w:val="none"/>
        </w:rPr>
        <w:t>）与《畜禽规模养殖场粪污资源化利用设施建设规范（试行）》的通知（农办牧〔2018〕2号）的符合性分析</w:t>
      </w:r>
    </w:p>
    <w:p w14:paraId="7DE089BE">
      <w:pPr>
        <w:pStyle w:val="2"/>
        <w:rPr>
          <w:rFonts w:hint="default" w:eastAsia="宋体"/>
          <w:lang w:val="en-US" w:eastAsia="zh-CN"/>
        </w:rPr>
      </w:pPr>
      <w:r>
        <w:rPr>
          <w:rFonts w:hint="eastAsia"/>
          <w:lang w:val="en-US" w:eastAsia="zh-CN"/>
        </w:rPr>
        <w:t>本项目</w:t>
      </w:r>
      <w:r>
        <w:rPr>
          <w:color w:val="000000"/>
          <w:highlight w:val="none"/>
        </w:rPr>
        <w:t>与《畜禽规模养殖场粪污资源化利用设施建设规范（试行）》的通知（农办牧〔2018〕2号）的符合性分析</w:t>
      </w:r>
      <w:r>
        <w:rPr>
          <w:rFonts w:hint="eastAsia"/>
          <w:color w:val="000000"/>
          <w:highlight w:val="none"/>
          <w:lang w:val="en-US" w:eastAsia="zh-CN"/>
        </w:rPr>
        <w:t>具体见表1.3-3。</w:t>
      </w:r>
    </w:p>
    <w:p w14:paraId="71BEBD77">
      <w:pPr>
        <w:pStyle w:val="30"/>
        <w:bidi w:val="0"/>
      </w:pPr>
      <w:r>
        <w:t>表</w:t>
      </w:r>
      <w:r>
        <w:rPr>
          <w:rFonts w:hint="eastAsia"/>
        </w:rPr>
        <w:t>1.3</w:t>
      </w:r>
      <w:r>
        <w:t>-</w:t>
      </w:r>
      <w:r>
        <w:rPr>
          <w:rFonts w:hint="eastAsia"/>
        </w:rPr>
        <w:t>3</w:t>
      </w:r>
      <w:r>
        <w:t xml:space="preserve">  </w:t>
      </w:r>
      <w:r>
        <w:rPr>
          <w:rFonts w:hint="eastAsia"/>
          <w:lang w:val="en-US" w:eastAsia="zh-CN"/>
        </w:rPr>
        <w:t xml:space="preserve"> </w:t>
      </w:r>
      <w:r>
        <w:t>与农办牧〔2018〕2号的符合性分析</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560"/>
        <w:gridCol w:w="2853"/>
        <w:gridCol w:w="1007"/>
      </w:tblGrid>
      <w:tr w14:paraId="214B6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7F138384">
            <w:pPr>
              <w:pStyle w:val="19"/>
              <w:bidi w:val="0"/>
            </w:pPr>
            <w:r>
              <w:t>文件规定</w:t>
            </w:r>
          </w:p>
        </w:tc>
        <w:tc>
          <w:tcPr>
            <w:tcW w:w="2853" w:type="dxa"/>
            <w:noWrap w:val="0"/>
            <w:tcMar>
              <w:top w:w="28" w:type="dxa"/>
              <w:left w:w="57" w:type="dxa"/>
              <w:bottom w:w="28" w:type="dxa"/>
              <w:right w:w="57" w:type="dxa"/>
            </w:tcMar>
            <w:vAlign w:val="center"/>
          </w:tcPr>
          <w:p w14:paraId="3B6483B5">
            <w:pPr>
              <w:pStyle w:val="19"/>
              <w:bidi w:val="0"/>
            </w:pPr>
            <w:r>
              <w:t>本项目情况</w:t>
            </w:r>
          </w:p>
        </w:tc>
        <w:tc>
          <w:tcPr>
            <w:tcW w:w="1007" w:type="dxa"/>
            <w:noWrap w:val="0"/>
            <w:tcMar>
              <w:top w:w="28" w:type="dxa"/>
              <w:left w:w="57" w:type="dxa"/>
              <w:bottom w:w="28" w:type="dxa"/>
              <w:right w:w="57" w:type="dxa"/>
            </w:tcMar>
            <w:vAlign w:val="center"/>
          </w:tcPr>
          <w:p w14:paraId="5D820FCC">
            <w:pPr>
              <w:pStyle w:val="19"/>
              <w:bidi w:val="0"/>
            </w:pPr>
            <w:r>
              <w:t>符合情况</w:t>
            </w:r>
          </w:p>
        </w:tc>
      </w:tr>
      <w:tr w14:paraId="035BF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6B989093">
            <w:pPr>
              <w:pStyle w:val="19"/>
              <w:bidi w:val="0"/>
            </w:pPr>
            <w:r>
              <w:t>畜禽规模养殖场粪污资源化利用应坚持农牧结合、种养平衡，按照资源化、减量化、无害化的原则，对源头减量、过程控制和末端利用各环节进行全程管理，提高粪污综合利用率和设施装备配套率。</w:t>
            </w:r>
          </w:p>
        </w:tc>
        <w:tc>
          <w:tcPr>
            <w:tcW w:w="2853" w:type="dxa"/>
            <w:noWrap w:val="0"/>
            <w:tcMar>
              <w:top w:w="28" w:type="dxa"/>
              <w:left w:w="57" w:type="dxa"/>
              <w:bottom w:w="28" w:type="dxa"/>
              <w:right w:w="57" w:type="dxa"/>
            </w:tcMar>
            <w:vAlign w:val="center"/>
          </w:tcPr>
          <w:p w14:paraId="662C7240">
            <w:pPr>
              <w:pStyle w:val="19"/>
              <w:bidi w:val="0"/>
            </w:pPr>
            <w:r>
              <w:rPr>
                <w:rFonts w:hint="eastAsia"/>
                <w:lang w:val="en-US" w:eastAsia="zh-CN"/>
              </w:rPr>
              <w:t>本</w:t>
            </w:r>
            <w:r>
              <w:t>项目产生的粪污经固液分离后，固体粪便经收集后送</w:t>
            </w:r>
            <w:r>
              <w:rPr>
                <w:rFonts w:hint="eastAsia"/>
              </w:rPr>
              <w:t>堆粪场</w:t>
            </w:r>
            <w:r>
              <w:t>生产有机肥基料，养殖废水和生活污水收集排入</w:t>
            </w:r>
            <w:r>
              <w:rPr>
                <w:rFonts w:hint="eastAsia"/>
                <w:lang w:val="en-US" w:eastAsia="zh-CN"/>
              </w:rPr>
              <w:t>污水处理系统处理，</w:t>
            </w:r>
            <w:r>
              <w:t>处理后</w:t>
            </w:r>
            <w:r>
              <w:rPr>
                <w:rFonts w:hint="eastAsia"/>
                <w:lang w:val="en-US" w:eastAsia="zh-CN"/>
              </w:rPr>
              <w:t>委托清运</w:t>
            </w:r>
            <w:r>
              <w:t>。</w:t>
            </w:r>
          </w:p>
        </w:tc>
        <w:tc>
          <w:tcPr>
            <w:tcW w:w="1007" w:type="dxa"/>
            <w:noWrap w:val="0"/>
            <w:tcMar>
              <w:top w:w="28" w:type="dxa"/>
              <w:left w:w="57" w:type="dxa"/>
              <w:bottom w:w="28" w:type="dxa"/>
              <w:right w:w="57" w:type="dxa"/>
            </w:tcMar>
            <w:vAlign w:val="center"/>
          </w:tcPr>
          <w:p w14:paraId="16B8D9CD">
            <w:pPr>
              <w:pStyle w:val="19"/>
              <w:bidi w:val="0"/>
            </w:pPr>
            <w:r>
              <w:t>符合</w:t>
            </w:r>
          </w:p>
        </w:tc>
      </w:tr>
      <w:tr w14:paraId="03AA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391EEF3B">
            <w:pPr>
              <w:pStyle w:val="19"/>
              <w:bidi w:val="0"/>
            </w:pPr>
            <w:r>
              <w:t>畜禽规模养殖场应根据养殖污染防治要求，建设与养殖规模相配套的粪污资源化利用设施设备，并确保正常运行。</w:t>
            </w:r>
          </w:p>
        </w:tc>
        <w:tc>
          <w:tcPr>
            <w:tcW w:w="2853" w:type="dxa"/>
            <w:noWrap w:val="0"/>
            <w:tcMar>
              <w:top w:w="28" w:type="dxa"/>
              <w:left w:w="57" w:type="dxa"/>
              <w:bottom w:w="28" w:type="dxa"/>
              <w:right w:w="57" w:type="dxa"/>
            </w:tcMar>
            <w:vAlign w:val="center"/>
          </w:tcPr>
          <w:p w14:paraId="0DC90245">
            <w:pPr>
              <w:pStyle w:val="19"/>
              <w:bidi w:val="0"/>
            </w:pPr>
            <w:r>
              <w:rPr>
                <w:rFonts w:hint="eastAsia"/>
                <w:lang w:eastAsia="zh-CN"/>
              </w:rPr>
              <w:t>本</w:t>
            </w:r>
            <w:r>
              <w:t>项目产生的粪污经固液分离后，固体粪便经收集后送</w:t>
            </w:r>
            <w:r>
              <w:rPr>
                <w:rFonts w:hint="eastAsia"/>
              </w:rPr>
              <w:t>堆粪场</w:t>
            </w:r>
            <w:r>
              <w:t>生产有机肥基料，养殖废水和生活污水收集排入</w:t>
            </w:r>
            <w:r>
              <w:rPr>
                <w:rFonts w:hint="eastAsia"/>
                <w:lang w:val="en-US" w:eastAsia="zh-CN"/>
              </w:rPr>
              <w:t>污水处理系统处理，</w:t>
            </w:r>
            <w:r>
              <w:t>处理后</w:t>
            </w:r>
            <w:r>
              <w:rPr>
                <w:rFonts w:hint="eastAsia"/>
                <w:lang w:val="en-US" w:eastAsia="zh-CN"/>
              </w:rPr>
              <w:t>委托清运</w:t>
            </w:r>
            <w:r>
              <w:t>。工艺可行，可确保正常运行。</w:t>
            </w:r>
          </w:p>
        </w:tc>
        <w:tc>
          <w:tcPr>
            <w:tcW w:w="1007" w:type="dxa"/>
            <w:noWrap w:val="0"/>
            <w:tcMar>
              <w:top w:w="28" w:type="dxa"/>
              <w:left w:w="57" w:type="dxa"/>
              <w:bottom w:w="28" w:type="dxa"/>
              <w:right w:w="57" w:type="dxa"/>
            </w:tcMar>
            <w:vAlign w:val="center"/>
          </w:tcPr>
          <w:p w14:paraId="0B890EE5">
            <w:pPr>
              <w:pStyle w:val="19"/>
              <w:bidi w:val="0"/>
            </w:pPr>
            <w:r>
              <w:t>符合</w:t>
            </w:r>
          </w:p>
        </w:tc>
      </w:tr>
      <w:tr w14:paraId="60321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5C04397F">
            <w:pPr>
              <w:pStyle w:val="19"/>
              <w:bidi w:val="0"/>
            </w:pPr>
            <w:r>
              <w:t>畜禽规模养殖场宜采用干清粪工艺。采用水泡粪工艺的，要控制用水量，减少粪污产生总量。鼓励水冲粪工艺改造为干清粪或水泡粪。不同畜种不同清粪工艺最高允许排水量按照</w:t>
            </w:r>
            <w:r>
              <w:rPr>
                <w:rFonts w:hint="eastAsia"/>
              </w:rPr>
              <w:t>GB18596-2001</w:t>
            </w:r>
            <w:r>
              <w:t>执行。</w:t>
            </w:r>
          </w:p>
        </w:tc>
        <w:tc>
          <w:tcPr>
            <w:tcW w:w="2853" w:type="dxa"/>
            <w:noWrap w:val="0"/>
            <w:tcMar>
              <w:top w:w="28" w:type="dxa"/>
              <w:left w:w="57" w:type="dxa"/>
              <w:bottom w:w="28" w:type="dxa"/>
              <w:right w:w="57" w:type="dxa"/>
            </w:tcMar>
            <w:vAlign w:val="center"/>
          </w:tcPr>
          <w:p w14:paraId="38639A39">
            <w:pPr>
              <w:pStyle w:val="19"/>
              <w:bidi w:val="0"/>
            </w:pPr>
            <w:r>
              <w:t>本项目采用干清粪工艺</w:t>
            </w:r>
          </w:p>
        </w:tc>
        <w:tc>
          <w:tcPr>
            <w:tcW w:w="1007" w:type="dxa"/>
            <w:noWrap w:val="0"/>
            <w:tcMar>
              <w:top w:w="28" w:type="dxa"/>
              <w:left w:w="57" w:type="dxa"/>
              <w:bottom w:w="28" w:type="dxa"/>
              <w:right w:w="57" w:type="dxa"/>
            </w:tcMar>
            <w:vAlign w:val="center"/>
          </w:tcPr>
          <w:p w14:paraId="21BD6DB9">
            <w:pPr>
              <w:pStyle w:val="19"/>
              <w:bidi w:val="0"/>
            </w:pPr>
            <w:r>
              <w:t>符合</w:t>
            </w:r>
          </w:p>
        </w:tc>
      </w:tr>
      <w:tr w14:paraId="0D669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75A8CAB8">
            <w:pPr>
              <w:pStyle w:val="19"/>
              <w:bidi w:val="0"/>
            </w:pPr>
            <w:r>
              <w:t>畜禽规模养殖场应及时对粪污进行收集、贮存，粪污暂存池（场）应满足防渗、防雨、防溢流等要求。固体粪便暂存池（场）的设计按照</w:t>
            </w:r>
            <w:r>
              <w:rPr>
                <w:rFonts w:hint="eastAsia"/>
              </w:rPr>
              <w:t>GB/T 27622-2011</w:t>
            </w:r>
            <w:r>
              <w:t>执行。污水暂存池的设计按照</w:t>
            </w:r>
            <w:r>
              <w:rPr>
                <w:rFonts w:hint="eastAsia"/>
              </w:rPr>
              <w:t>GB/T 26624-2011</w:t>
            </w:r>
            <w:r>
              <w:t>执行。</w:t>
            </w:r>
          </w:p>
        </w:tc>
        <w:tc>
          <w:tcPr>
            <w:tcW w:w="2853" w:type="dxa"/>
            <w:noWrap w:val="0"/>
            <w:tcMar>
              <w:top w:w="28" w:type="dxa"/>
              <w:left w:w="57" w:type="dxa"/>
              <w:bottom w:w="28" w:type="dxa"/>
              <w:right w:w="57" w:type="dxa"/>
            </w:tcMar>
            <w:vAlign w:val="center"/>
          </w:tcPr>
          <w:p w14:paraId="7D83F1D7">
            <w:pPr>
              <w:pStyle w:val="19"/>
              <w:bidi w:val="0"/>
              <w:rPr>
                <w:rFonts w:hint="eastAsia" w:eastAsia="宋体"/>
                <w:lang w:eastAsia="zh-CN"/>
              </w:rPr>
            </w:pPr>
            <w:r>
              <w:rPr>
                <w:rFonts w:hint="eastAsia"/>
              </w:rPr>
              <w:t>堆</w:t>
            </w:r>
            <w:r>
              <w:rPr>
                <w:rFonts w:hint="eastAsia"/>
                <w:lang w:val="en-US" w:eastAsia="zh-CN"/>
              </w:rPr>
              <w:t>肥</w:t>
            </w:r>
            <w:r>
              <w:rPr>
                <w:rFonts w:hint="eastAsia"/>
              </w:rPr>
              <w:t>场</w:t>
            </w:r>
            <w:r>
              <w:t>为封闭运行，均可满足防渗、防雨、防溢流要求</w:t>
            </w:r>
            <w:r>
              <w:rPr>
                <w:rFonts w:hint="eastAsia"/>
                <w:lang w:eastAsia="zh-CN"/>
              </w:rPr>
              <w:t>。</w:t>
            </w:r>
          </w:p>
        </w:tc>
        <w:tc>
          <w:tcPr>
            <w:tcW w:w="1007" w:type="dxa"/>
            <w:noWrap w:val="0"/>
            <w:tcMar>
              <w:top w:w="28" w:type="dxa"/>
              <w:left w:w="57" w:type="dxa"/>
              <w:bottom w:w="28" w:type="dxa"/>
              <w:right w:w="57" w:type="dxa"/>
            </w:tcMar>
            <w:vAlign w:val="center"/>
          </w:tcPr>
          <w:p w14:paraId="19A98A98">
            <w:pPr>
              <w:pStyle w:val="19"/>
              <w:bidi w:val="0"/>
            </w:pPr>
            <w:r>
              <w:t>符合</w:t>
            </w:r>
          </w:p>
        </w:tc>
      </w:tr>
      <w:tr w14:paraId="1D646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0C77AB45">
            <w:pPr>
              <w:pStyle w:val="19"/>
              <w:bidi w:val="0"/>
            </w:pPr>
            <w:r>
              <w:t>规模养殖场干清粪或固液分离后的固体粪便可采用堆肥、沤肥、生产垫料等方式进行处理利用。固体粪便堆肥（生产垫料）宜采用条垛式、槽式、发酵仓、强制通风静态垛等好氧工艺，或其他适用技术，同时配套必要的混合、输送、搅拌、供氧等设施设备。</w:t>
            </w:r>
          </w:p>
        </w:tc>
        <w:tc>
          <w:tcPr>
            <w:tcW w:w="2853" w:type="dxa"/>
            <w:noWrap w:val="0"/>
            <w:tcMar>
              <w:top w:w="28" w:type="dxa"/>
              <w:left w:w="57" w:type="dxa"/>
              <w:bottom w:w="28" w:type="dxa"/>
              <w:right w:w="57" w:type="dxa"/>
            </w:tcMar>
            <w:vAlign w:val="center"/>
          </w:tcPr>
          <w:p w14:paraId="16777FF0">
            <w:pPr>
              <w:pStyle w:val="19"/>
              <w:bidi w:val="0"/>
              <w:rPr>
                <w:rFonts w:hint="eastAsia" w:eastAsia="宋体"/>
                <w:lang w:eastAsia="zh-CN"/>
              </w:rPr>
            </w:pPr>
            <w:r>
              <w:t>项目采用干清粪工艺，猪粪收集后送</w:t>
            </w:r>
            <w:r>
              <w:rPr>
                <w:rFonts w:hint="eastAsia"/>
              </w:rPr>
              <w:t>堆粪场</w:t>
            </w:r>
            <w:r>
              <w:t>好氧发酵生产有机肥基料</w:t>
            </w:r>
            <w:r>
              <w:rPr>
                <w:rFonts w:hint="eastAsia"/>
                <w:lang w:eastAsia="zh-CN"/>
              </w:rPr>
              <w:t>。</w:t>
            </w:r>
          </w:p>
        </w:tc>
        <w:tc>
          <w:tcPr>
            <w:tcW w:w="1007" w:type="dxa"/>
            <w:noWrap w:val="0"/>
            <w:tcMar>
              <w:top w:w="28" w:type="dxa"/>
              <w:left w:w="57" w:type="dxa"/>
              <w:bottom w:w="28" w:type="dxa"/>
              <w:right w:w="57" w:type="dxa"/>
            </w:tcMar>
            <w:vAlign w:val="center"/>
          </w:tcPr>
          <w:p w14:paraId="19CB02C0">
            <w:pPr>
              <w:pStyle w:val="19"/>
              <w:bidi w:val="0"/>
            </w:pPr>
            <w:r>
              <w:t>符合</w:t>
            </w:r>
          </w:p>
        </w:tc>
      </w:tr>
      <w:tr w14:paraId="682AB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7E04E02E">
            <w:pPr>
              <w:pStyle w:val="19"/>
              <w:bidi w:val="0"/>
            </w:pPr>
            <w:r>
              <w:t>堆肥、沤肥、沼肥、肥水等还田利用的，依据畜禽养殖粪污土地承载力测算技术指南合理确定配套农田面积。</w:t>
            </w:r>
          </w:p>
        </w:tc>
        <w:tc>
          <w:tcPr>
            <w:tcW w:w="2853" w:type="dxa"/>
            <w:noWrap w:val="0"/>
            <w:tcMar>
              <w:top w:w="28" w:type="dxa"/>
              <w:left w:w="57" w:type="dxa"/>
              <w:bottom w:w="28" w:type="dxa"/>
              <w:right w:w="57" w:type="dxa"/>
            </w:tcMar>
            <w:vAlign w:val="center"/>
          </w:tcPr>
          <w:p w14:paraId="3033029C">
            <w:pPr>
              <w:pStyle w:val="19"/>
              <w:bidi w:val="0"/>
              <w:rPr>
                <w:rFonts w:hint="eastAsia" w:eastAsia="宋体"/>
                <w:lang w:eastAsia="zh-CN"/>
              </w:rPr>
            </w:pPr>
            <w:r>
              <w:t>已按照畜禽养殖粪污土地承载力测算技术指南计算配套农田面积</w:t>
            </w:r>
            <w:r>
              <w:rPr>
                <w:rFonts w:hint="eastAsia"/>
                <w:lang w:eastAsia="zh-CN"/>
              </w:rPr>
              <w:t>。</w:t>
            </w:r>
          </w:p>
        </w:tc>
        <w:tc>
          <w:tcPr>
            <w:tcW w:w="1007" w:type="dxa"/>
            <w:noWrap w:val="0"/>
            <w:tcMar>
              <w:top w:w="28" w:type="dxa"/>
              <w:left w:w="57" w:type="dxa"/>
              <w:bottom w:w="28" w:type="dxa"/>
              <w:right w:w="57" w:type="dxa"/>
            </w:tcMar>
            <w:vAlign w:val="center"/>
          </w:tcPr>
          <w:p w14:paraId="2965748B">
            <w:pPr>
              <w:pStyle w:val="19"/>
              <w:bidi w:val="0"/>
            </w:pPr>
            <w:r>
              <w:t>符合</w:t>
            </w:r>
          </w:p>
        </w:tc>
      </w:tr>
      <w:tr w14:paraId="0C524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016D3321">
            <w:pPr>
              <w:pStyle w:val="19"/>
              <w:bidi w:val="0"/>
            </w:pPr>
            <w:r>
              <w:t>固体粪便、污水和沼液贮存设施建设要求按照</w:t>
            </w:r>
            <w:r>
              <w:rPr>
                <w:rFonts w:hint="eastAsia"/>
              </w:rPr>
              <w:t>GB/T 26622-2011</w:t>
            </w:r>
            <w:r>
              <w:t>、</w:t>
            </w:r>
            <w:r>
              <w:rPr>
                <w:rFonts w:hint="eastAsia"/>
              </w:rPr>
              <w:t>GB/T 26624-2011</w:t>
            </w:r>
            <w:r>
              <w:t>和</w:t>
            </w:r>
            <w:r>
              <w:rPr>
                <w:rFonts w:hint="eastAsia"/>
              </w:rPr>
              <w:t>NY/T 2374-2013</w:t>
            </w:r>
            <w:r>
              <w:t>执行。</w:t>
            </w:r>
          </w:p>
        </w:tc>
        <w:tc>
          <w:tcPr>
            <w:tcW w:w="2853" w:type="dxa"/>
            <w:noWrap w:val="0"/>
            <w:tcMar>
              <w:top w:w="28" w:type="dxa"/>
              <w:left w:w="57" w:type="dxa"/>
              <w:bottom w:w="28" w:type="dxa"/>
              <w:right w:w="57" w:type="dxa"/>
            </w:tcMar>
            <w:vAlign w:val="center"/>
          </w:tcPr>
          <w:p w14:paraId="0F22325D">
            <w:pPr>
              <w:pStyle w:val="19"/>
              <w:bidi w:val="0"/>
              <w:rPr>
                <w:rFonts w:hint="eastAsia" w:eastAsia="宋体"/>
                <w:lang w:eastAsia="zh-CN"/>
              </w:rPr>
            </w:pPr>
            <w:r>
              <w:t>猪粪、污水贮存设施建设按</w:t>
            </w:r>
            <w:r>
              <w:rPr>
                <w:rFonts w:hint="eastAsia"/>
              </w:rPr>
              <w:t>GB/T26622-2011</w:t>
            </w:r>
            <w:r>
              <w:t>、</w:t>
            </w:r>
            <w:r>
              <w:rPr>
                <w:rFonts w:hint="eastAsia"/>
              </w:rPr>
              <w:t>GB/T26624-2011</w:t>
            </w:r>
            <w:r>
              <w:t>执行</w:t>
            </w:r>
            <w:r>
              <w:rPr>
                <w:rFonts w:hint="eastAsia"/>
                <w:lang w:eastAsia="zh-CN"/>
              </w:rPr>
              <w:t>。</w:t>
            </w:r>
          </w:p>
        </w:tc>
        <w:tc>
          <w:tcPr>
            <w:tcW w:w="1007" w:type="dxa"/>
            <w:noWrap w:val="0"/>
            <w:tcMar>
              <w:top w:w="28" w:type="dxa"/>
              <w:left w:w="57" w:type="dxa"/>
              <w:bottom w:w="28" w:type="dxa"/>
              <w:right w:w="57" w:type="dxa"/>
            </w:tcMar>
            <w:vAlign w:val="center"/>
          </w:tcPr>
          <w:p w14:paraId="069FF9F6">
            <w:pPr>
              <w:pStyle w:val="19"/>
              <w:bidi w:val="0"/>
            </w:pPr>
            <w:r>
              <w:t>符合</w:t>
            </w:r>
          </w:p>
        </w:tc>
      </w:tr>
    </w:tbl>
    <w:p w14:paraId="1EA4B82D">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mc:AlternateContent>
          <mc:Choice Requires="wps">
            <w:drawing>
              <wp:anchor distT="0" distB="0" distL="114300" distR="114300" simplePos="0" relativeHeight="251659264" behindDoc="0" locked="0" layoutInCell="0" allowOverlap="1">
                <wp:simplePos x="0" y="0"/>
                <wp:positionH relativeFrom="page">
                  <wp:posOffset>1143000</wp:posOffset>
                </wp:positionH>
                <wp:positionV relativeFrom="page">
                  <wp:posOffset>752475</wp:posOffset>
                </wp:positionV>
                <wp:extent cx="5276215" cy="9525"/>
                <wp:effectExtent l="0" t="0" r="0" b="0"/>
                <wp:wrapNone/>
                <wp:docPr id="58" name="矩形 58"/>
                <wp:cNvGraphicFramePr/>
                <a:graphic xmlns:a="http://schemas.openxmlformats.org/drawingml/2006/main">
                  <a:graphicData uri="http://schemas.microsoft.com/office/word/2010/wordprocessingShape">
                    <wps:wsp>
                      <wps:cNvSpPr/>
                      <wps:spPr>
                        <a:xfrm>
                          <a:off x="0" y="0"/>
                          <a:ext cx="5276215" cy="9525"/>
                        </a:xfrm>
                        <a:prstGeom prst="rect">
                          <a:avLst/>
                        </a:prstGeom>
                        <a:solidFill>
                          <a:srgbClr val="622423"/>
                        </a:solidFill>
                        <a:ln>
                          <a:noFill/>
                        </a:ln>
                        <a:effectLst/>
                      </wps:spPr>
                      <wps:bodyPr vert="horz" wrap="square" anchor="t" anchorCtr="0" upright="1"/>
                    </wps:wsp>
                  </a:graphicData>
                </a:graphic>
              </wp:anchor>
            </w:drawing>
          </mc:Choice>
          <mc:Fallback>
            <w:pict>
              <v:rect id="_x0000_s1026" o:spid="_x0000_s1026" o:spt="1" style="position:absolute;left:0pt;margin-left:90pt;margin-top:59.25pt;height:0.75pt;width:415.45pt;mso-position-horizontal-relative:page;mso-position-vertical-relative:page;z-index:251659264;mso-width-relative:page;mso-height-relative:page;" fillcolor="#622423" filled="t" stroked="f" coordsize="21600,21600" o:allowincell="f" o:gfxdata="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1f2xT1wAAAAwBAAAPAAAAAAAAAAEAIAAA&#10;ACIAAABkcnMvZG93bnJldi54bWxQSwECFAAUAAAACACHTuJASTvN3NQBAACgAwAADgAAAAAAAAAB&#10;ACAAAAAmAQAAZHJzL2Uyb0RvYy54bWxQSwUGAAAAAAYABgBZAQAAbAUAAAAA&#10;">
                <v:fill on="t" focussize="0,0"/>
                <v:stroke on="f"/>
                <v:imagedata o:title=""/>
                <o:lock v:ext="edit" aspectratio="f"/>
              </v:rect>
            </w:pict>
          </mc:Fallback>
        </mc:AlternateContent>
      </w:r>
      <w:r>
        <w:rPr>
          <w:color w:val="000000"/>
          <w:highlight w:val="none"/>
        </w:rPr>
        <w:t>（</w:t>
      </w:r>
      <w:r>
        <w:rPr>
          <w:rFonts w:hint="eastAsia"/>
          <w:color w:val="000000"/>
          <w:highlight w:val="none"/>
          <w:lang w:val="en-US" w:eastAsia="zh-CN"/>
        </w:rPr>
        <w:t>18</w:t>
      </w:r>
      <w:r>
        <w:rPr>
          <w:color w:val="000000"/>
          <w:highlight w:val="none"/>
        </w:rPr>
        <w:t>）与《关于进一步加强畜禽养殖污染防治工作的通知》（环水体〔2016〕144号）的符合性分析</w:t>
      </w:r>
    </w:p>
    <w:p w14:paraId="198B8AEB">
      <w:pPr>
        <w:pStyle w:val="2"/>
        <w:rPr>
          <w:rFonts w:hint="default" w:eastAsia="宋体"/>
          <w:lang w:val="en-US" w:eastAsia="zh-CN"/>
        </w:rPr>
      </w:pPr>
      <w:r>
        <w:rPr>
          <w:rFonts w:hint="eastAsia"/>
          <w:lang w:val="en-US" w:eastAsia="zh-CN"/>
        </w:rPr>
        <w:t>本项目</w:t>
      </w:r>
      <w:r>
        <w:rPr>
          <w:color w:val="000000"/>
          <w:highlight w:val="none"/>
        </w:rPr>
        <w:t>与《关于进一步加强畜禽养殖污染防治工作的通知》（环水体〔2016〕144号）的符合性分析</w:t>
      </w:r>
      <w:r>
        <w:rPr>
          <w:rFonts w:hint="eastAsia"/>
          <w:color w:val="000000"/>
          <w:highlight w:val="none"/>
          <w:lang w:val="en-US" w:eastAsia="zh-CN"/>
        </w:rPr>
        <w:t>具体见表1.3-4。</w:t>
      </w:r>
    </w:p>
    <w:p w14:paraId="6D8CE3FD">
      <w:pPr>
        <w:pStyle w:val="30"/>
        <w:bidi w:val="0"/>
      </w:pPr>
      <w:r>
        <w:t>表</w:t>
      </w:r>
      <w:r>
        <w:rPr>
          <w:rFonts w:hint="eastAsia"/>
        </w:rPr>
        <w:t>1.3</w:t>
      </w:r>
      <w:r>
        <w:t>-</w:t>
      </w:r>
      <w:r>
        <w:rPr>
          <w:rFonts w:hint="eastAsia"/>
        </w:rPr>
        <w:t>4</w:t>
      </w:r>
      <w:r>
        <w:t xml:space="preserve"> </w:t>
      </w:r>
      <w:r>
        <w:rPr>
          <w:rFonts w:hint="eastAsia"/>
          <w:lang w:val="en-US" w:eastAsia="zh-CN"/>
        </w:rPr>
        <w:t xml:space="preserve"> </w:t>
      </w:r>
      <w:r>
        <w:t xml:space="preserve"> 项目与（环水体〔2016〕144号）的符合性分析</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84"/>
        <w:gridCol w:w="2746"/>
        <w:gridCol w:w="990"/>
      </w:tblGrid>
      <w:tr w14:paraId="582D4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781" w:type="pct"/>
            <w:tcBorders>
              <w:bottom w:val="single" w:color="000000" w:sz="4" w:space="0"/>
            </w:tcBorders>
            <w:noWrap w:val="0"/>
            <w:tcMar>
              <w:top w:w="28" w:type="dxa"/>
              <w:left w:w="57" w:type="dxa"/>
              <w:bottom w:w="28" w:type="dxa"/>
              <w:right w:w="57" w:type="dxa"/>
            </w:tcMar>
            <w:vAlign w:val="center"/>
          </w:tcPr>
          <w:p w14:paraId="0F01F9F7">
            <w:pPr>
              <w:pStyle w:val="19"/>
              <w:bidi w:val="0"/>
            </w:pPr>
            <w:r>
              <w:t>文件规定</w:t>
            </w:r>
          </w:p>
        </w:tc>
        <w:tc>
          <w:tcPr>
            <w:tcW w:w="1630" w:type="pct"/>
            <w:tcBorders>
              <w:bottom w:val="single" w:color="000000" w:sz="4" w:space="0"/>
            </w:tcBorders>
            <w:noWrap w:val="0"/>
            <w:tcMar>
              <w:top w:w="28" w:type="dxa"/>
              <w:left w:w="57" w:type="dxa"/>
              <w:bottom w:w="28" w:type="dxa"/>
              <w:right w:w="57" w:type="dxa"/>
            </w:tcMar>
            <w:vAlign w:val="center"/>
          </w:tcPr>
          <w:p w14:paraId="27879A6A">
            <w:pPr>
              <w:pStyle w:val="19"/>
              <w:bidi w:val="0"/>
            </w:pPr>
            <w:r>
              <w:t>本项目情况</w:t>
            </w:r>
          </w:p>
        </w:tc>
        <w:tc>
          <w:tcPr>
            <w:tcW w:w="588" w:type="pct"/>
            <w:tcBorders>
              <w:bottom w:val="single" w:color="000000" w:sz="4" w:space="0"/>
            </w:tcBorders>
            <w:noWrap w:val="0"/>
            <w:tcMar>
              <w:top w:w="28" w:type="dxa"/>
              <w:left w:w="57" w:type="dxa"/>
              <w:bottom w:w="28" w:type="dxa"/>
              <w:right w:w="57" w:type="dxa"/>
            </w:tcMar>
            <w:vAlign w:val="center"/>
          </w:tcPr>
          <w:p w14:paraId="65678BA2">
            <w:pPr>
              <w:pStyle w:val="19"/>
              <w:bidi w:val="0"/>
            </w:pPr>
            <w:r>
              <w:t>符合情况</w:t>
            </w:r>
          </w:p>
        </w:tc>
      </w:tr>
      <w:tr w14:paraId="47296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781" w:type="pct"/>
            <w:tcBorders>
              <w:top w:val="single" w:color="000000" w:sz="4" w:space="0"/>
              <w:bottom w:val="single" w:color="000000" w:sz="4" w:space="0"/>
            </w:tcBorders>
            <w:noWrap w:val="0"/>
            <w:tcMar>
              <w:top w:w="28" w:type="dxa"/>
              <w:left w:w="57" w:type="dxa"/>
              <w:bottom w:w="28" w:type="dxa"/>
              <w:right w:w="57" w:type="dxa"/>
            </w:tcMar>
            <w:vAlign w:val="center"/>
          </w:tcPr>
          <w:p w14:paraId="2EA3C7DE">
            <w:pPr>
              <w:pStyle w:val="19"/>
              <w:bidi w:val="0"/>
            </w:pPr>
            <w:r>
              <w:t>着力加强规划引导，各地要积极推动将养殖场用地、配套的污染防治与综合利用设施用地纳入当地土地利用规划，落实用地指标，按照农用地管理。要按照环境保护部、农业部印发的《畜禽养殖禁养区划定技术指南》的要求，科学合理划定禁止建设养殖场的区域（以下简称禁养区），防止盲目扩大禁养区范围。禁养区划定后，各地环保、农牧部门应当积极配合县级以上地方政府，依照《水污染防治法》《条例》等</w:t>
            </w:r>
            <w:r>
              <w:rPr>
                <w:rFonts w:hint="eastAsia"/>
              </w:rPr>
              <w:t>法律</w:t>
            </w:r>
            <w:r>
              <w:t>的规定，在2017年底前完成确需关闭或搬迁的养殖场、养殖小区的关闭和搬迁。</w:t>
            </w:r>
          </w:p>
        </w:tc>
        <w:tc>
          <w:tcPr>
            <w:tcW w:w="1630" w:type="pct"/>
            <w:tcBorders>
              <w:top w:val="single" w:color="000000" w:sz="4" w:space="0"/>
              <w:bottom w:val="single" w:color="000000" w:sz="4" w:space="0"/>
            </w:tcBorders>
            <w:noWrap w:val="0"/>
            <w:tcMar>
              <w:top w:w="28" w:type="dxa"/>
              <w:left w:w="57" w:type="dxa"/>
              <w:bottom w:w="28" w:type="dxa"/>
              <w:right w:w="57" w:type="dxa"/>
            </w:tcMar>
            <w:vAlign w:val="center"/>
          </w:tcPr>
          <w:p w14:paraId="617D8C0C">
            <w:pPr>
              <w:pStyle w:val="19"/>
              <w:bidi w:val="0"/>
            </w:pPr>
            <w:r>
              <w:t>本项目位于</w:t>
            </w:r>
            <w:r>
              <w:rPr>
                <w:rFonts w:hint="eastAsia"/>
                <w:lang w:val="en-US" w:eastAsia="zh-CN"/>
              </w:rPr>
              <w:t>第七师129</w:t>
            </w:r>
            <w:r>
              <w:rPr>
                <w:rFonts w:hint="eastAsia"/>
              </w:rPr>
              <w:t>团</w:t>
            </w:r>
            <w:r>
              <w:rPr>
                <w:rFonts w:hint="eastAsia"/>
                <w:lang w:val="en-US" w:eastAsia="zh-CN"/>
              </w:rPr>
              <w:t>13连</w:t>
            </w:r>
            <w:r>
              <w:t>，不属于</w:t>
            </w:r>
            <w:r>
              <w:rPr>
                <w:rFonts w:hint="eastAsia"/>
                <w:lang w:val="en-US" w:eastAsia="zh-CN"/>
              </w:rPr>
              <w:t>第七师</w:t>
            </w:r>
            <w:r>
              <w:t>畜禽养殖禁养区和限养区划定范围内，项目选址符合要求。</w:t>
            </w:r>
          </w:p>
        </w:tc>
        <w:tc>
          <w:tcPr>
            <w:tcW w:w="588" w:type="pct"/>
            <w:tcBorders>
              <w:top w:val="single" w:color="000000" w:sz="4" w:space="0"/>
              <w:bottom w:val="single" w:color="000000" w:sz="4" w:space="0"/>
            </w:tcBorders>
            <w:noWrap w:val="0"/>
            <w:tcMar>
              <w:top w:w="28" w:type="dxa"/>
              <w:left w:w="57" w:type="dxa"/>
              <w:bottom w:w="28" w:type="dxa"/>
              <w:right w:w="57" w:type="dxa"/>
            </w:tcMar>
            <w:vAlign w:val="center"/>
          </w:tcPr>
          <w:p w14:paraId="54914825">
            <w:pPr>
              <w:pStyle w:val="19"/>
              <w:bidi w:val="0"/>
            </w:pPr>
            <w:r>
              <w:t>符合</w:t>
            </w:r>
          </w:p>
        </w:tc>
      </w:tr>
      <w:tr w14:paraId="52538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781" w:type="pct"/>
            <w:tcBorders>
              <w:top w:val="single" w:color="000000" w:sz="4" w:space="0"/>
              <w:bottom w:val="single" w:color="000000" w:sz="4" w:space="0"/>
            </w:tcBorders>
            <w:noWrap w:val="0"/>
            <w:tcMar>
              <w:top w:w="28" w:type="dxa"/>
              <w:left w:w="57" w:type="dxa"/>
              <w:bottom w:w="28" w:type="dxa"/>
              <w:right w:w="57" w:type="dxa"/>
            </w:tcMar>
            <w:vAlign w:val="center"/>
          </w:tcPr>
          <w:p w14:paraId="027FE3C7">
            <w:pPr>
              <w:pStyle w:val="19"/>
              <w:bidi w:val="0"/>
            </w:pPr>
            <w:r>
              <w:t>严格落实环境影响评价制度，各地环保部门要认真按照《建设项目环境影响评价分类管理名录》的要求，指导和督促新建、改建和扩建养殖场依法开展环境影响评价，应当根据畜禽养殖特点、环境承载能力及周边需肥状况，以废弃物综合利用为防治污染的根本途径，重点论证项目选址的科学性、养殖数量的合理性、污染防治措施的经济性和可行性，切实提高污染治理水平。</w:t>
            </w:r>
          </w:p>
        </w:tc>
        <w:tc>
          <w:tcPr>
            <w:tcW w:w="1630" w:type="pct"/>
            <w:tcBorders>
              <w:top w:val="single" w:color="000000" w:sz="4" w:space="0"/>
              <w:bottom w:val="single" w:color="000000" w:sz="4" w:space="0"/>
            </w:tcBorders>
            <w:noWrap w:val="0"/>
            <w:tcMar>
              <w:top w:w="28" w:type="dxa"/>
              <w:left w:w="57" w:type="dxa"/>
              <w:bottom w:w="28" w:type="dxa"/>
              <w:right w:w="57" w:type="dxa"/>
            </w:tcMar>
            <w:vAlign w:val="center"/>
          </w:tcPr>
          <w:p w14:paraId="46E22AF3">
            <w:pPr>
              <w:pStyle w:val="19"/>
              <w:bidi w:val="0"/>
            </w:pPr>
            <w:r>
              <w:t>本项目依法开展了环境影响评价工作，已编制环境影响报告书，并根据周边环境特点及环境承载能力及需肥情况，制定了废弃物综合利用途径，项目粪污水采用</w:t>
            </w:r>
            <w:r>
              <w:rPr>
                <w:rFonts w:hint="eastAsia"/>
              </w:rPr>
              <w:t>“</w:t>
            </w:r>
            <w:r>
              <w:rPr>
                <w:rFonts w:hint="eastAsia"/>
                <w:lang w:val="en-US" w:eastAsia="zh-CN"/>
              </w:rPr>
              <w:t>格栅+集水池（沉砂）+固液分离+水解酸化+UASB+SBR+好氧塘储存</w:t>
            </w:r>
            <w:r>
              <w:rPr>
                <w:rFonts w:hint="eastAsia"/>
              </w:rPr>
              <w:t>”</w:t>
            </w:r>
            <w:r>
              <w:t>处理后</w:t>
            </w:r>
            <w:r>
              <w:rPr>
                <w:rFonts w:hint="eastAsia"/>
                <w:lang w:val="en-US" w:eastAsia="zh-CN"/>
              </w:rPr>
              <w:t>委托清运</w:t>
            </w:r>
            <w:r>
              <w:t>，猪粪采取了好氧堆肥的方式</w:t>
            </w:r>
            <w:r>
              <w:rPr>
                <w:rFonts w:hint="eastAsia"/>
                <w:lang w:val="en-US" w:eastAsia="zh-CN"/>
              </w:rPr>
              <w:t>无害化后还田</w:t>
            </w:r>
            <w:r>
              <w:t>，实现了资源化利用。</w:t>
            </w:r>
          </w:p>
        </w:tc>
        <w:tc>
          <w:tcPr>
            <w:tcW w:w="588" w:type="pct"/>
            <w:tcBorders>
              <w:top w:val="single" w:color="000000" w:sz="4" w:space="0"/>
              <w:bottom w:val="single" w:color="000000" w:sz="4" w:space="0"/>
            </w:tcBorders>
            <w:noWrap w:val="0"/>
            <w:tcMar>
              <w:top w:w="28" w:type="dxa"/>
              <w:left w:w="57" w:type="dxa"/>
              <w:bottom w:w="28" w:type="dxa"/>
              <w:right w:w="57" w:type="dxa"/>
            </w:tcMar>
            <w:vAlign w:val="center"/>
          </w:tcPr>
          <w:p w14:paraId="617329AB">
            <w:pPr>
              <w:pStyle w:val="19"/>
              <w:bidi w:val="0"/>
            </w:pPr>
            <w:r>
              <w:t>符合</w:t>
            </w:r>
          </w:p>
        </w:tc>
      </w:tr>
      <w:tr w14:paraId="37155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781" w:type="pct"/>
            <w:tcBorders>
              <w:top w:val="single" w:color="000000" w:sz="4" w:space="0"/>
              <w:bottom w:val="single" w:color="000000" w:sz="4" w:space="0"/>
            </w:tcBorders>
            <w:noWrap w:val="0"/>
            <w:tcMar>
              <w:top w:w="28" w:type="dxa"/>
              <w:left w:w="57" w:type="dxa"/>
              <w:bottom w:w="28" w:type="dxa"/>
              <w:right w:w="57" w:type="dxa"/>
            </w:tcMar>
            <w:vAlign w:val="center"/>
          </w:tcPr>
          <w:p w14:paraId="28EC6598">
            <w:pPr>
              <w:pStyle w:val="19"/>
              <w:bidi w:val="0"/>
            </w:pPr>
            <w:r>
              <w:t>努力做好病死畜禽无害化处理，各地要认真落实《条例》和《国务院办公厅关于建立病死畜禽无害化处理机制的意见》（国办发〔2014〕47号），逐步强化生产经营者主体责任。因地制宜、科学规划，加强病死畜禽无害化处理设施建设，健全病死畜禽收集处理体系，采取</w:t>
            </w:r>
            <w:r>
              <w:rPr>
                <w:rFonts w:hint="eastAsia"/>
              </w:rPr>
              <w:t>“</w:t>
            </w:r>
            <w:r>
              <w:t>以奖代补、先建后补</w:t>
            </w:r>
            <w:r>
              <w:rPr>
                <w:rFonts w:hint="eastAsia"/>
              </w:rPr>
              <w:t>”</w:t>
            </w:r>
            <w:r>
              <w:t>等方式，动员社会力量参与。处理设施应优先采用化制、发酵等既能实现无害化处理又能资源化利用的工艺技术，提高处理产物利用价值，推动实现处理产物资源化利用。</w:t>
            </w:r>
          </w:p>
        </w:tc>
        <w:tc>
          <w:tcPr>
            <w:tcW w:w="1630" w:type="pct"/>
            <w:tcBorders>
              <w:top w:val="single" w:color="000000" w:sz="4" w:space="0"/>
              <w:bottom w:val="single" w:color="000000" w:sz="4" w:space="0"/>
            </w:tcBorders>
            <w:noWrap w:val="0"/>
            <w:tcMar>
              <w:top w:w="28" w:type="dxa"/>
              <w:left w:w="57" w:type="dxa"/>
              <w:bottom w:w="28" w:type="dxa"/>
              <w:right w:w="57" w:type="dxa"/>
            </w:tcMar>
            <w:vAlign w:val="center"/>
          </w:tcPr>
          <w:p w14:paraId="2D8CFE92">
            <w:pPr>
              <w:pStyle w:val="19"/>
              <w:bidi w:val="0"/>
              <w:rPr>
                <w:rFonts w:hint="eastAsia" w:eastAsia="宋体"/>
                <w:lang w:eastAsia="zh-CN"/>
              </w:rPr>
            </w:pPr>
            <w:r>
              <w:rPr>
                <w:rFonts w:hint="eastAsia"/>
              </w:rPr>
              <w:t>本项目</w:t>
            </w:r>
            <w:r>
              <w:t>病死猪</w:t>
            </w:r>
            <w:r>
              <w:rPr>
                <w:rFonts w:hint="eastAsia"/>
              </w:rPr>
              <w:t>委托有资质单位</w:t>
            </w:r>
            <w:r>
              <w:t>进行处理</w:t>
            </w:r>
            <w:r>
              <w:rPr>
                <w:rFonts w:hint="eastAsia"/>
                <w:lang w:eastAsia="zh-CN"/>
              </w:rPr>
              <w:t>。</w:t>
            </w:r>
          </w:p>
        </w:tc>
        <w:tc>
          <w:tcPr>
            <w:tcW w:w="588" w:type="pct"/>
            <w:tcBorders>
              <w:top w:val="single" w:color="000000" w:sz="4" w:space="0"/>
              <w:bottom w:val="single" w:color="000000" w:sz="4" w:space="0"/>
            </w:tcBorders>
            <w:noWrap w:val="0"/>
            <w:tcMar>
              <w:top w:w="28" w:type="dxa"/>
              <w:left w:w="57" w:type="dxa"/>
              <w:bottom w:w="28" w:type="dxa"/>
              <w:right w:w="57" w:type="dxa"/>
            </w:tcMar>
            <w:vAlign w:val="center"/>
          </w:tcPr>
          <w:p w14:paraId="2D936C22">
            <w:pPr>
              <w:pStyle w:val="19"/>
              <w:bidi w:val="0"/>
            </w:pPr>
            <w:r>
              <w:t>符合</w:t>
            </w:r>
          </w:p>
        </w:tc>
      </w:tr>
    </w:tbl>
    <w:p w14:paraId="10819891">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mc:AlternateContent>
          <mc:Choice Requires="wps">
            <w:drawing>
              <wp:anchor distT="0" distB="0" distL="114300" distR="114300" simplePos="0" relativeHeight="251660288" behindDoc="0" locked="0" layoutInCell="0" allowOverlap="1">
                <wp:simplePos x="0" y="0"/>
                <wp:positionH relativeFrom="page">
                  <wp:posOffset>1143000</wp:posOffset>
                </wp:positionH>
                <wp:positionV relativeFrom="page">
                  <wp:posOffset>752475</wp:posOffset>
                </wp:positionV>
                <wp:extent cx="5276215" cy="9525"/>
                <wp:effectExtent l="0" t="0" r="0" b="0"/>
                <wp:wrapNone/>
                <wp:docPr id="51" name="矩形 51"/>
                <wp:cNvGraphicFramePr/>
                <a:graphic xmlns:a="http://schemas.openxmlformats.org/drawingml/2006/main">
                  <a:graphicData uri="http://schemas.microsoft.com/office/word/2010/wordprocessingShape">
                    <wps:wsp>
                      <wps:cNvSpPr/>
                      <wps:spPr>
                        <a:xfrm>
                          <a:off x="0" y="0"/>
                          <a:ext cx="5276215" cy="9525"/>
                        </a:xfrm>
                        <a:prstGeom prst="rect">
                          <a:avLst/>
                        </a:prstGeom>
                        <a:solidFill>
                          <a:srgbClr val="622423"/>
                        </a:solidFill>
                        <a:ln>
                          <a:noFill/>
                        </a:ln>
                        <a:effectLst/>
                      </wps:spPr>
                      <wps:bodyPr vert="horz" wrap="square" anchor="t" anchorCtr="0" upright="1"/>
                    </wps:wsp>
                  </a:graphicData>
                </a:graphic>
              </wp:anchor>
            </w:drawing>
          </mc:Choice>
          <mc:Fallback>
            <w:pict>
              <v:rect id="_x0000_s1026" o:spid="_x0000_s1026" o:spt="1" style="position:absolute;left:0pt;margin-left:90pt;margin-top:59.25pt;height:0.75pt;width:415.45pt;mso-position-horizontal-relative:page;mso-position-vertical-relative:page;z-index:251660288;mso-width-relative:page;mso-height-relative:page;" fillcolor="#622423" filled="t" stroked="f" coordsize="21600,21600" o:allowincell="f" o:gfxdata="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X9sU9cAAAAMAQAADwAAAAAAAAABACAA&#10;AAAiAAAAZHJzL2Rvd25yZXYueG1sUEsBAhQAFAAAAAgAh07iQIrHyqfVAQAAoAMAAA4AAAAAAAAA&#10;AQAgAAAAJgEAAGRycy9lMm9Eb2MueG1sUEsFBgAAAAAGAAYAWQEAAG0FAAAAAA==&#10;">
                <v:fill on="t" focussize="0,0"/>
                <v:stroke on="f"/>
                <v:imagedata o:title=""/>
                <o:lock v:ext="edit" aspectratio="f"/>
              </v:rect>
            </w:pict>
          </mc:Fallback>
        </mc:AlternateContent>
      </w:r>
      <w:r>
        <w:rPr>
          <w:color w:val="000000"/>
          <w:highlight w:val="none"/>
        </w:rPr>
        <w:t>（</w:t>
      </w:r>
      <w:r>
        <w:rPr>
          <w:rFonts w:hint="eastAsia"/>
          <w:color w:val="000000"/>
          <w:highlight w:val="none"/>
          <w:lang w:val="en-US" w:eastAsia="zh-CN"/>
        </w:rPr>
        <w:t>19</w:t>
      </w:r>
      <w:r>
        <w:rPr>
          <w:color w:val="000000"/>
          <w:highlight w:val="none"/>
        </w:rPr>
        <w:t>）与《畜禽粪便无害化处理技术规范》</w:t>
      </w:r>
      <w:r>
        <w:rPr>
          <w:rFonts w:hint="eastAsia"/>
          <w:color w:val="000000"/>
          <w:highlight w:val="none"/>
        </w:rPr>
        <w:t>（GB/T36195-2018）符</w:t>
      </w:r>
      <w:r>
        <w:rPr>
          <w:color w:val="000000"/>
          <w:highlight w:val="none"/>
        </w:rPr>
        <w:t>合性分析</w:t>
      </w:r>
    </w:p>
    <w:p w14:paraId="28578DDE">
      <w:pPr>
        <w:ind w:firstLine="480" w:firstLineChars="200"/>
        <w:rPr>
          <w:color w:val="000000"/>
          <w:highlight w:val="none"/>
        </w:rPr>
      </w:pPr>
      <w:r>
        <w:rPr>
          <w:color w:val="000000"/>
          <w:highlight w:val="none"/>
        </w:rPr>
        <w:t>本项目采用好氧发酵工艺对猪粪进行无害化处理，处理后使猪粪发酵制成肥料。对照《畜禽粪便无害化处理技术规范》（GB/T36195-2018），本项目猪粪处理工艺、效果及处理设施建设要求与该规范相符性分析详见表</w:t>
      </w:r>
      <w:r>
        <w:rPr>
          <w:rFonts w:hint="eastAsia"/>
          <w:color w:val="000000"/>
          <w:highlight w:val="none"/>
        </w:rPr>
        <w:t>1.3</w:t>
      </w:r>
      <w:r>
        <w:rPr>
          <w:color w:val="000000"/>
          <w:highlight w:val="none"/>
        </w:rPr>
        <w:t>-</w:t>
      </w:r>
      <w:r>
        <w:rPr>
          <w:rFonts w:hint="eastAsia"/>
          <w:color w:val="000000"/>
          <w:highlight w:val="none"/>
        </w:rPr>
        <w:t>5</w:t>
      </w:r>
      <w:r>
        <w:rPr>
          <w:color w:val="000000"/>
          <w:highlight w:val="none"/>
        </w:rPr>
        <w:t>。</w:t>
      </w:r>
    </w:p>
    <w:p w14:paraId="3625CB64">
      <w:pPr>
        <w:pStyle w:val="30"/>
        <w:bidi w:val="0"/>
      </w:pPr>
      <w:r>
        <w:t>表</w:t>
      </w:r>
      <w:r>
        <w:rPr>
          <w:rFonts w:hint="eastAsia"/>
        </w:rPr>
        <w:t>1.3-5</w:t>
      </w:r>
      <w:r>
        <w:t xml:space="preserve">  </w:t>
      </w:r>
      <w:r>
        <w:rPr>
          <w:rFonts w:hint="eastAsia"/>
          <w:lang w:val="en-US" w:eastAsia="zh-CN"/>
        </w:rPr>
        <w:t xml:space="preserve"> </w:t>
      </w:r>
      <w:r>
        <w:t>与</w:t>
      </w:r>
      <w:r>
        <w:rPr>
          <w:rFonts w:hint="eastAsia"/>
        </w:rPr>
        <w:t>GB/T36195-2018</w:t>
      </w:r>
      <w:r>
        <w:t>的符合性分析</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6"/>
        <w:gridCol w:w="3938"/>
        <w:gridCol w:w="3063"/>
        <w:gridCol w:w="990"/>
      </w:tblGrid>
      <w:tr w14:paraId="2A84A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592" w:type="pct"/>
            <w:gridSpan w:val="2"/>
            <w:tcBorders>
              <w:bottom w:val="single" w:color="000000" w:sz="4" w:space="0"/>
            </w:tcBorders>
            <w:noWrap w:val="0"/>
            <w:tcMar>
              <w:top w:w="28" w:type="dxa"/>
              <w:left w:w="57" w:type="dxa"/>
              <w:bottom w:w="28" w:type="dxa"/>
              <w:right w:w="57" w:type="dxa"/>
            </w:tcMar>
            <w:vAlign w:val="center"/>
          </w:tcPr>
          <w:p w14:paraId="1875F767">
            <w:pPr>
              <w:pStyle w:val="19"/>
              <w:bidi w:val="0"/>
            </w:pPr>
            <w:r>
              <w:t>文件规定</w:t>
            </w:r>
          </w:p>
        </w:tc>
        <w:tc>
          <w:tcPr>
            <w:tcW w:w="1819" w:type="pct"/>
            <w:tcBorders>
              <w:bottom w:val="single" w:color="000000" w:sz="4" w:space="0"/>
            </w:tcBorders>
            <w:noWrap w:val="0"/>
            <w:tcMar>
              <w:top w:w="28" w:type="dxa"/>
              <w:left w:w="57" w:type="dxa"/>
              <w:bottom w:w="28" w:type="dxa"/>
              <w:right w:w="57" w:type="dxa"/>
            </w:tcMar>
            <w:vAlign w:val="center"/>
          </w:tcPr>
          <w:p w14:paraId="3289FE54">
            <w:pPr>
              <w:pStyle w:val="19"/>
              <w:bidi w:val="0"/>
            </w:pPr>
            <w:r>
              <w:t>本项目情况</w:t>
            </w:r>
          </w:p>
        </w:tc>
        <w:tc>
          <w:tcPr>
            <w:tcW w:w="588" w:type="pct"/>
            <w:tcBorders>
              <w:bottom w:val="single" w:color="000000" w:sz="4" w:space="0"/>
            </w:tcBorders>
            <w:noWrap w:val="0"/>
            <w:tcMar>
              <w:top w:w="28" w:type="dxa"/>
              <w:left w:w="57" w:type="dxa"/>
              <w:bottom w:w="28" w:type="dxa"/>
              <w:right w:w="57" w:type="dxa"/>
            </w:tcMar>
            <w:vAlign w:val="center"/>
          </w:tcPr>
          <w:p w14:paraId="77B36BA7">
            <w:pPr>
              <w:pStyle w:val="19"/>
              <w:bidi w:val="0"/>
            </w:pPr>
            <w:r>
              <w:t>符合情况</w:t>
            </w:r>
          </w:p>
        </w:tc>
      </w:tr>
      <w:tr w14:paraId="71A42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253" w:type="pct"/>
            <w:tcBorders>
              <w:top w:val="single" w:color="000000" w:sz="4" w:space="0"/>
            </w:tcBorders>
            <w:noWrap w:val="0"/>
            <w:tcMar>
              <w:top w:w="28" w:type="dxa"/>
              <w:left w:w="57" w:type="dxa"/>
              <w:bottom w:w="28" w:type="dxa"/>
              <w:right w:w="57" w:type="dxa"/>
            </w:tcMar>
            <w:textDirection w:val="tbRlV"/>
            <w:vAlign w:val="center"/>
          </w:tcPr>
          <w:p w14:paraId="32461DF6">
            <w:pPr>
              <w:pStyle w:val="19"/>
              <w:bidi w:val="0"/>
            </w:pPr>
            <w:r>
              <w:t>处理原则</w:t>
            </w:r>
          </w:p>
        </w:tc>
        <w:tc>
          <w:tcPr>
            <w:tcW w:w="2339" w:type="pct"/>
            <w:tcBorders>
              <w:top w:val="single" w:color="000000" w:sz="4" w:space="0"/>
            </w:tcBorders>
            <w:noWrap w:val="0"/>
            <w:tcMar>
              <w:top w:w="28" w:type="dxa"/>
              <w:left w:w="57" w:type="dxa"/>
              <w:bottom w:w="28" w:type="dxa"/>
              <w:right w:w="57" w:type="dxa"/>
            </w:tcMar>
            <w:vAlign w:val="center"/>
          </w:tcPr>
          <w:p w14:paraId="4CA821DD">
            <w:pPr>
              <w:pStyle w:val="19"/>
              <w:bidi w:val="0"/>
            </w:pPr>
            <w:r>
              <w:t>1、畜禽养殖场或养殖小区应采用先进的工艺、技术与设备、改善管理、综合利用等措施，从源头削减污染量。2、畜禽粪便处理应坚持综合利用的原则，实现粪便的资源化。3、畜禽养殖场和养殖小区必须建立配套的粪便无害化处理设施或处理（置）机制。4、畜禽养殖场、养殖小区或畜禽粪便处理场应严格执行国家有关的</w:t>
            </w:r>
            <w:r>
              <w:rPr>
                <w:rFonts w:hint="eastAsia"/>
              </w:rPr>
              <w:t>法律法规</w:t>
            </w:r>
            <w:r>
              <w:t>和标准，畜禽粪便经过处理达到无害化指标或有关排放标准后才能施用和排放。</w:t>
            </w:r>
          </w:p>
        </w:tc>
        <w:tc>
          <w:tcPr>
            <w:tcW w:w="1819" w:type="pct"/>
            <w:tcBorders>
              <w:top w:val="single" w:color="000000" w:sz="4" w:space="0"/>
            </w:tcBorders>
            <w:noWrap w:val="0"/>
            <w:tcMar>
              <w:top w:w="28" w:type="dxa"/>
              <w:left w:w="57" w:type="dxa"/>
              <w:bottom w:w="28" w:type="dxa"/>
              <w:right w:w="57" w:type="dxa"/>
            </w:tcMar>
            <w:vAlign w:val="center"/>
          </w:tcPr>
          <w:p w14:paraId="56498F64">
            <w:pPr>
              <w:pStyle w:val="19"/>
              <w:bidi w:val="0"/>
            </w:pPr>
            <w:r>
              <w:t>本项目采用好氧发酵工艺对猪粪进行无害化处理，处理后使猪粪发酵制成肥料。符合第3条必须建立配套的粪便无害化处理设施，同时从源头消减猪粪量，实现了猪粪的资源化综合利用，同时本项目猪粪处理后可满足《</w:t>
            </w:r>
            <w:r>
              <w:rPr>
                <w:rFonts w:hint="eastAsia"/>
              </w:rPr>
              <w:t>畜禽养殖业污染物排放标准</w:t>
            </w:r>
            <w:r>
              <w:t>》（GB18596-2001）表6中畜禽养殖业废渣无害化环境标准。</w:t>
            </w:r>
          </w:p>
        </w:tc>
        <w:tc>
          <w:tcPr>
            <w:tcW w:w="588" w:type="pct"/>
            <w:tcBorders>
              <w:top w:val="single" w:color="000000" w:sz="4" w:space="0"/>
            </w:tcBorders>
            <w:noWrap w:val="0"/>
            <w:tcMar>
              <w:top w:w="28" w:type="dxa"/>
              <w:left w:w="57" w:type="dxa"/>
              <w:bottom w:w="28" w:type="dxa"/>
              <w:right w:w="57" w:type="dxa"/>
            </w:tcMar>
            <w:vAlign w:val="center"/>
          </w:tcPr>
          <w:p w14:paraId="11D786DB">
            <w:pPr>
              <w:pStyle w:val="19"/>
              <w:bidi w:val="0"/>
            </w:pPr>
            <w:r>
              <w:t>符合</w:t>
            </w:r>
          </w:p>
        </w:tc>
      </w:tr>
      <w:tr w14:paraId="32FCA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53" w:type="pct"/>
            <w:noWrap w:val="0"/>
            <w:tcMar>
              <w:top w:w="28" w:type="dxa"/>
              <w:left w:w="57" w:type="dxa"/>
              <w:bottom w:w="28" w:type="dxa"/>
              <w:right w:w="57" w:type="dxa"/>
            </w:tcMar>
            <w:textDirection w:val="tbRlV"/>
            <w:vAlign w:val="center"/>
          </w:tcPr>
          <w:p w14:paraId="574415DC">
            <w:pPr>
              <w:pStyle w:val="19"/>
              <w:bidi w:val="0"/>
            </w:pPr>
            <w:r>
              <w:t>处理场地的要求</w:t>
            </w:r>
          </w:p>
        </w:tc>
        <w:tc>
          <w:tcPr>
            <w:tcW w:w="2339" w:type="pct"/>
            <w:noWrap w:val="0"/>
            <w:tcMar>
              <w:top w:w="28" w:type="dxa"/>
              <w:left w:w="57" w:type="dxa"/>
              <w:bottom w:w="28" w:type="dxa"/>
              <w:right w:w="57" w:type="dxa"/>
            </w:tcMar>
            <w:vAlign w:val="center"/>
          </w:tcPr>
          <w:p w14:paraId="5EEFE6E9">
            <w:pPr>
              <w:pStyle w:val="19"/>
              <w:bidi w:val="0"/>
            </w:pPr>
            <w:r>
              <w:t>禁止在下列区域内建设育禽粪便处理场：1、生活饮用水水源保护区、风景名胜区、自然保护区的核心区及缓冲区；2、城市和城镇居民区，包括文教科研区、医疗区、商业区、工业区、游览区等人口袋中地区；3、县级人民政府依法划定的禁养区域；4、国家或地方</w:t>
            </w:r>
            <w:r>
              <w:rPr>
                <w:rFonts w:hint="eastAsia"/>
              </w:rPr>
              <w:t>法律法规</w:t>
            </w:r>
            <w:r>
              <w:t>规定需特殊保护的其他区域。</w:t>
            </w:r>
          </w:p>
        </w:tc>
        <w:tc>
          <w:tcPr>
            <w:tcW w:w="1819" w:type="pct"/>
            <w:noWrap w:val="0"/>
            <w:tcMar>
              <w:top w:w="28" w:type="dxa"/>
              <w:left w:w="57" w:type="dxa"/>
              <w:bottom w:w="28" w:type="dxa"/>
              <w:right w:w="57" w:type="dxa"/>
            </w:tcMar>
            <w:vAlign w:val="center"/>
          </w:tcPr>
          <w:p w14:paraId="198AE6FD">
            <w:pPr>
              <w:pStyle w:val="19"/>
              <w:bidi w:val="0"/>
            </w:pPr>
            <w:r>
              <w:t>1、本项目不处于生活饮用水水源保护区、风景名胜区、自然保护区的核心区及缓冲区。2、本项目不处于城市和城镇居民区，包括文教科研区、医疗区、商业区、工业区、游览区等人口集中地区。3、本项目选址不属于五家渠划定的禁养区和限养区。4、本项目不处于国家或地方</w:t>
            </w:r>
            <w:r>
              <w:rPr>
                <w:rFonts w:hint="eastAsia"/>
              </w:rPr>
              <w:t>法律法规</w:t>
            </w:r>
            <w:r>
              <w:t>规定需特殊保护的其他区域。</w:t>
            </w:r>
          </w:p>
        </w:tc>
        <w:tc>
          <w:tcPr>
            <w:tcW w:w="588" w:type="pct"/>
            <w:noWrap w:val="0"/>
            <w:tcMar>
              <w:top w:w="28" w:type="dxa"/>
              <w:left w:w="57" w:type="dxa"/>
              <w:bottom w:w="28" w:type="dxa"/>
              <w:right w:w="57" w:type="dxa"/>
            </w:tcMar>
            <w:vAlign w:val="center"/>
          </w:tcPr>
          <w:p w14:paraId="60417018">
            <w:pPr>
              <w:pStyle w:val="19"/>
              <w:bidi w:val="0"/>
            </w:pPr>
            <w:r>
              <w:t>符合</w:t>
            </w:r>
          </w:p>
        </w:tc>
      </w:tr>
      <w:tr w14:paraId="46DA5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253" w:type="pct"/>
            <w:noWrap w:val="0"/>
            <w:tcMar>
              <w:top w:w="28" w:type="dxa"/>
              <w:left w:w="57" w:type="dxa"/>
              <w:bottom w:w="28" w:type="dxa"/>
              <w:right w:w="57" w:type="dxa"/>
            </w:tcMar>
            <w:textDirection w:val="tbRlV"/>
            <w:vAlign w:val="center"/>
          </w:tcPr>
          <w:p w14:paraId="4DD227F0">
            <w:pPr>
              <w:pStyle w:val="19"/>
              <w:bidi w:val="0"/>
            </w:pPr>
            <w:r>
              <w:t>粪便的收集</w:t>
            </w:r>
          </w:p>
        </w:tc>
        <w:tc>
          <w:tcPr>
            <w:tcW w:w="2339" w:type="pct"/>
            <w:noWrap w:val="0"/>
            <w:tcMar>
              <w:top w:w="28" w:type="dxa"/>
              <w:left w:w="57" w:type="dxa"/>
              <w:bottom w:w="28" w:type="dxa"/>
              <w:right w:w="57" w:type="dxa"/>
            </w:tcMar>
            <w:vAlign w:val="center"/>
          </w:tcPr>
          <w:p w14:paraId="09011387">
            <w:pPr>
              <w:pStyle w:val="19"/>
              <w:bidi w:val="0"/>
            </w:pPr>
            <w:r>
              <w:t>1、新建、扩建和改建畜禽养殖场和养殖小区应采用先进的清粪工艺，避免畜禽粪便与冲洗等其他污水混合，减少污染物排放量。2、畜禽粪便收集、运输过程中必须采取防扬散、防流失、防渗漏等环境污染</w:t>
            </w:r>
            <w:r>
              <w:rPr>
                <w:rFonts w:hint="eastAsia"/>
              </w:rPr>
              <w:t>防治措施</w:t>
            </w:r>
            <w:r>
              <w:t>。</w:t>
            </w:r>
          </w:p>
        </w:tc>
        <w:tc>
          <w:tcPr>
            <w:tcW w:w="1819" w:type="pct"/>
            <w:noWrap w:val="0"/>
            <w:tcMar>
              <w:top w:w="28" w:type="dxa"/>
              <w:left w:w="57" w:type="dxa"/>
              <w:bottom w:w="28" w:type="dxa"/>
              <w:right w:w="57" w:type="dxa"/>
            </w:tcMar>
            <w:vAlign w:val="center"/>
          </w:tcPr>
          <w:p w14:paraId="288A9BDF">
            <w:pPr>
              <w:pStyle w:val="19"/>
              <w:bidi w:val="0"/>
            </w:pPr>
            <w:r>
              <w:t>1、本项目养殖场采用干清粪工艺。2、本项目畜禽粪便收集、运输过程中均采取了防扬散、防流失、防渗漏等环境污染</w:t>
            </w:r>
            <w:r>
              <w:rPr>
                <w:rFonts w:hint="eastAsia"/>
              </w:rPr>
              <w:t>防治措施</w:t>
            </w:r>
            <w:r>
              <w:t>。</w:t>
            </w:r>
          </w:p>
        </w:tc>
        <w:tc>
          <w:tcPr>
            <w:tcW w:w="588" w:type="pct"/>
            <w:noWrap w:val="0"/>
            <w:tcMar>
              <w:top w:w="28" w:type="dxa"/>
              <w:left w:w="57" w:type="dxa"/>
              <w:bottom w:w="28" w:type="dxa"/>
              <w:right w:w="57" w:type="dxa"/>
            </w:tcMar>
            <w:vAlign w:val="center"/>
          </w:tcPr>
          <w:p w14:paraId="350025C6">
            <w:pPr>
              <w:pStyle w:val="19"/>
              <w:bidi w:val="0"/>
            </w:pPr>
            <w:r>
              <w:t>符合</w:t>
            </w:r>
          </w:p>
        </w:tc>
      </w:tr>
      <w:tr w14:paraId="0C314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253" w:type="pct"/>
            <w:noWrap w:val="0"/>
            <w:tcMar>
              <w:top w:w="28" w:type="dxa"/>
              <w:left w:w="57" w:type="dxa"/>
              <w:bottom w:w="28" w:type="dxa"/>
              <w:right w:w="57" w:type="dxa"/>
            </w:tcMar>
            <w:textDirection w:val="tbRlV"/>
            <w:vAlign w:val="center"/>
          </w:tcPr>
          <w:p w14:paraId="59F36B1C">
            <w:pPr>
              <w:pStyle w:val="19"/>
              <w:bidi w:val="0"/>
            </w:pPr>
            <w:r>
              <w:t>粪便的贮存</w:t>
            </w:r>
          </w:p>
        </w:tc>
        <w:tc>
          <w:tcPr>
            <w:tcW w:w="2339" w:type="pct"/>
            <w:noWrap w:val="0"/>
            <w:tcMar>
              <w:top w:w="28" w:type="dxa"/>
              <w:left w:w="57" w:type="dxa"/>
              <w:bottom w:w="28" w:type="dxa"/>
              <w:right w:w="57" w:type="dxa"/>
            </w:tcMar>
            <w:vAlign w:val="center"/>
          </w:tcPr>
          <w:p w14:paraId="22CC6F07">
            <w:pPr>
              <w:pStyle w:val="19"/>
              <w:bidi w:val="0"/>
            </w:pPr>
            <w:r>
              <w:t>1、畜禽养殖场产生的畜禽粪便应设置专门的贮存设施。2、畜禽粪便贮存设施位置必须距离地表水400m以上。3、畜禽粪便贮存设施应设置明显标志和围栏等防护措施，保证人畜安全。4、畜禽粪便贮存设施必须进行防渗处理，防止污染地下水。5、畜禽粪便贮存设施应采取防雨（水）措施。6、贮存过程中不应产生二次污染，其恶臭及污染物排放应符合</w:t>
            </w:r>
            <w:r>
              <w:rPr>
                <w:rFonts w:hint="eastAsia"/>
              </w:rPr>
              <w:t>GB18596-2001</w:t>
            </w:r>
            <w:r>
              <w:t>的规定。</w:t>
            </w:r>
          </w:p>
        </w:tc>
        <w:tc>
          <w:tcPr>
            <w:tcW w:w="1819" w:type="pct"/>
            <w:noWrap w:val="0"/>
            <w:tcMar>
              <w:top w:w="28" w:type="dxa"/>
              <w:left w:w="57" w:type="dxa"/>
              <w:bottom w:w="28" w:type="dxa"/>
              <w:right w:w="57" w:type="dxa"/>
            </w:tcMar>
            <w:vAlign w:val="center"/>
          </w:tcPr>
          <w:p w14:paraId="5EC11DA9">
            <w:pPr>
              <w:pStyle w:val="19"/>
              <w:bidi w:val="0"/>
            </w:pPr>
            <w:r>
              <w:t>1、本项目</w:t>
            </w:r>
            <w:r>
              <w:rPr>
                <w:rFonts w:hint="eastAsia"/>
              </w:rPr>
              <w:t>采用好氧堆粪场</w:t>
            </w:r>
            <w:r>
              <w:t>发酵成有机肥用于周边农田。2、本项目周边500m范围内无地表水。3、本项目</w:t>
            </w:r>
            <w:r>
              <w:rPr>
                <w:rFonts w:hint="eastAsia"/>
              </w:rPr>
              <w:t>堆粪场</w:t>
            </w:r>
            <w:r>
              <w:t>设置明显标志，采用</w:t>
            </w:r>
            <w:r>
              <w:rPr>
                <w:rFonts w:hint="eastAsia"/>
                <w:lang w:val="en-US" w:eastAsia="zh-CN"/>
              </w:rPr>
              <w:t>半</w:t>
            </w:r>
            <w:r>
              <w:t>封闭运行等防护措施，保证人畜安全。5、本项目</w:t>
            </w:r>
            <w:r>
              <w:rPr>
                <w:rFonts w:hint="eastAsia"/>
              </w:rPr>
              <w:t>堆粪场</w:t>
            </w:r>
            <w:r>
              <w:t>拟进行严格防渗处理，防止污染地下水。6、本项目</w:t>
            </w:r>
            <w:r>
              <w:rPr>
                <w:rFonts w:hint="eastAsia"/>
              </w:rPr>
              <w:t>堆粪场</w:t>
            </w:r>
            <w:r>
              <w:t>采用</w:t>
            </w:r>
            <w:r>
              <w:rPr>
                <w:rFonts w:hint="eastAsia"/>
                <w:lang w:val="en-US" w:eastAsia="zh-CN"/>
              </w:rPr>
              <w:t>半</w:t>
            </w:r>
            <w:r>
              <w:t>封闭运行，为不露天建筑，采取防雨（水）措施。7、经工程分析可知，本项目猪粪处理设施恶臭污染物排放满足</w:t>
            </w:r>
            <w:r>
              <w:rPr>
                <w:rFonts w:hint="eastAsia"/>
              </w:rPr>
              <w:t>GB18596-2001</w:t>
            </w:r>
            <w:r>
              <w:t>的规定。</w:t>
            </w:r>
          </w:p>
        </w:tc>
        <w:tc>
          <w:tcPr>
            <w:tcW w:w="588" w:type="pct"/>
            <w:noWrap w:val="0"/>
            <w:tcMar>
              <w:top w:w="28" w:type="dxa"/>
              <w:left w:w="57" w:type="dxa"/>
              <w:bottom w:w="28" w:type="dxa"/>
              <w:right w:w="57" w:type="dxa"/>
            </w:tcMar>
            <w:vAlign w:val="center"/>
          </w:tcPr>
          <w:p w14:paraId="374850B1">
            <w:pPr>
              <w:pStyle w:val="19"/>
              <w:bidi w:val="0"/>
            </w:pPr>
            <w:r>
              <w:t>符合</w:t>
            </w:r>
          </w:p>
        </w:tc>
      </w:tr>
      <w:tr w14:paraId="2B997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53" w:type="pct"/>
            <w:noWrap w:val="0"/>
            <w:tcMar>
              <w:top w:w="28" w:type="dxa"/>
              <w:left w:w="57" w:type="dxa"/>
              <w:bottom w:w="28" w:type="dxa"/>
              <w:right w:w="57" w:type="dxa"/>
            </w:tcMar>
            <w:textDirection w:val="tbRlV"/>
            <w:vAlign w:val="center"/>
          </w:tcPr>
          <w:p w14:paraId="59BF1CE6">
            <w:pPr>
              <w:pStyle w:val="19"/>
              <w:bidi w:val="0"/>
            </w:pPr>
            <w:r>
              <w:t>粪便的处理</w:t>
            </w:r>
          </w:p>
        </w:tc>
        <w:tc>
          <w:tcPr>
            <w:tcW w:w="2339" w:type="pct"/>
            <w:noWrap w:val="0"/>
            <w:tcMar>
              <w:top w:w="28" w:type="dxa"/>
              <w:left w:w="57" w:type="dxa"/>
              <w:bottom w:w="28" w:type="dxa"/>
              <w:right w:w="57" w:type="dxa"/>
            </w:tcMar>
            <w:vAlign w:val="center"/>
          </w:tcPr>
          <w:p w14:paraId="2A2A9836">
            <w:pPr>
              <w:pStyle w:val="19"/>
              <w:bidi w:val="0"/>
            </w:pPr>
            <w:r>
              <w:t>1、畜禽粪便经过堆肥处理后必须达到以下卫生学要求：蛔虫卵死亡率≥95%；粪大肠菌群数≤105个/kg；有效地控制苍蝇孪生，堆体周围没有活的蛆蝠、蛹或新羽化的成蝇。2、畜禽固体粪便宜采用条垛式、机械强化槽式和密闭仓式堆肥技术进行无害化处理，其堆体温度维持50℃以上的时间不少于7d，或45℃以上不少于14d。</w:t>
            </w:r>
          </w:p>
        </w:tc>
        <w:tc>
          <w:tcPr>
            <w:tcW w:w="1819" w:type="pct"/>
            <w:noWrap w:val="0"/>
            <w:tcMar>
              <w:top w:w="28" w:type="dxa"/>
              <w:left w:w="57" w:type="dxa"/>
              <w:bottom w:w="28" w:type="dxa"/>
              <w:right w:w="57" w:type="dxa"/>
            </w:tcMar>
            <w:vAlign w:val="center"/>
          </w:tcPr>
          <w:p w14:paraId="772459A1">
            <w:pPr>
              <w:pStyle w:val="19"/>
              <w:bidi w:val="0"/>
            </w:pPr>
            <w:r>
              <w:t>1、本项目猪粪无害化处理后可满足蛔虫卵死亡率≥95%、粪大肠菌群数≤105个/kg，可有效地控制苍蝇</w:t>
            </w:r>
            <w:r>
              <w:rPr>
                <w:rFonts w:hint="eastAsia"/>
              </w:rPr>
              <w:t>滋</w:t>
            </w:r>
            <w:r>
              <w:t>生，保证堆体周围没有活的蛆蝠、蛹或新羽化的成蝇。2、本项目猪粪采用自然堆肥及机械翻堆相结合的方式对粪污进行处理，堆肥温度为55℃</w:t>
            </w:r>
            <w:r>
              <w:rPr>
                <w:rFonts w:hint="eastAsia"/>
              </w:rPr>
              <w:t>，</w:t>
            </w:r>
            <w:r>
              <w:t>堆肥时间不少于7d。</w:t>
            </w:r>
          </w:p>
        </w:tc>
        <w:tc>
          <w:tcPr>
            <w:tcW w:w="588" w:type="pct"/>
            <w:noWrap w:val="0"/>
            <w:tcMar>
              <w:top w:w="28" w:type="dxa"/>
              <w:left w:w="57" w:type="dxa"/>
              <w:bottom w:w="28" w:type="dxa"/>
              <w:right w:w="57" w:type="dxa"/>
            </w:tcMar>
            <w:vAlign w:val="center"/>
          </w:tcPr>
          <w:p w14:paraId="2D9D7751">
            <w:pPr>
              <w:pStyle w:val="19"/>
              <w:bidi w:val="0"/>
            </w:pPr>
            <w:r>
              <w:t>符合</w:t>
            </w:r>
          </w:p>
        </w:tc>
      </w:tr>
    </w:tbl>
    <w:p w14:paraId="17D65DFC">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w:t>
      </w:r>
      <w:r>
        <w:rPr>
          <w:rFonts w:hint="eastAsia"/>
          <w:color w:val="000000"/>
          <w:highlight w:val="none"/>
          <w:lang w:val="en-US" w:eastAsia="zh-CN"/>
        </w:rPr>
        <w:t>20</w:t>
      </w:r>
      <w:r>
        <w:rPr>
          <w:color w:val="000000"/>
          <w:highlight w:val="none"/>
        </w:rPr>
        <w:t>）与《规模畜禽养殖场污染防治最佳可行技术指南（试行）》</w:t>
      </w:r>
      <w:r>
        <w:rPr>
          <w:rFonts w:hint="eastAsia"/>
          <w:color w:val="000000"/>
          <w:highlight w:val="none"/>
        </w:rPr>
        <w:t>（HJ-BAT-10-2013）符</w:t>
      </w:r>
      <w:r>
        <w:rPr>
          <w:color w:val="000000"/>
          <w:highlight w:val="none"/>
        </w:rPr>
        <w:t>合性分</w:t>
      </w:r>
      <w:bookmarkStart w:id="4" w:name="_Toc20922"/>
      <w:r>
        <w:rPr>
          <w:color w:val="000000"/>
          <w:highlight w:val="none"/>
        </w:rPr>
        <w:t>析</w:t>
      </w:r>
      <w:bookmarkEnd w:id="4"/>
    </w:p>
    <w:p w14:paraId="3F7B67C7">
      <w:pPr>
        <w:pStyle w:val="2"/>
        <w:rPr>
          <w:rFonts w:hint="default" w:eastAsia="宋体"/>
          <w:lang w:val="en-US" w:eastAsia="zh-CN"/>
        </w:rPr>
      </w:pPr>
      <w:r>
        <w:rPr>
          <w:rFonts w:hint="eastAsia"/>
          <w:lang w:val="en-US" w:eastAsia="zh-CN"/>
        </w:rPr>
        <w:t>本项目与</w:t>
      </w:r>
      <w:r>
        <w:rPr>
          <w:color w:val="000000"/>
          <w:highlight w:val="none"/>
        </w:rPr>
        <w:t>《规模畜禽养殖场污染防治最佳可行技术指南（试行）》</w:t>
      </w:r>
      <w:r>
        <w:rPr>
          <w:rFonts w:hint="eastAsia"/>
          <w:color w:val="000000"/>
          <w:highlight w:val="none"/>
        </w:rPr>
        <w:t>（HJ-BAT-10-2013）符</w:t>
      </w:r>
      <w:r>
        <w:rPr>
          <w:color w:val="000000"/>
          <w:highlight w:val="none"/>
        </w:rPr>
        <w:t>合性分析</w:t>
      </w:r>
      <w:r>
        <w:rPr>
          <w:rFonts w:hint="eastAsia"/>
          <w:color w:val="000000"/>
          <w:highlight w:val="none"/>
          <w:lang w:val="en-US" w:eastAsia="zh-CN"/>
        </w:rPr>
        <w:t>具体见表1.3-6。</w:t>
      </w:r>
    </w:p>
    <w:p w14:paraId="1B102FC4">
      <w:pPr>
        <w:pStyle w:val="30"/>
        <w:bidi w:val="0"/>
      </w:pPr>
      <w:r>
        <w:t>表</w:t>
      </w:r>
      <w:r>
        <w:rPr>
          <w:rFonts w:hint="eastAsia"/>
        </w:rPr>
        <w:t>1.3-6</w:t>
      </w:r>
      <w:r>
        <w:rPr>
          <w:rFonts w:hint="eastAsia"/>
          <w:lang w:val="en-US" w:eastAsia="zh-CN"/>
        </w:rPr>
        <w:t xml:space="preserve"> </w:t>
      </w:r>
      <w:r>
        <w:t xml:space="preserve">  与</w:t>
      </w:r>
      <w:r>
        <w:rPr>
          <w:rFonts w:hint="eastAsia"/>
        </w:rPr>
        <w:t>（HJ-BAT-10-2013）</w:t>
      </w:r>
      <w:r>
        <w:t>符合性分析</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3"/>
        <w:gridCol w:w="4443"/>
        <w:gridCol w:w="2577"/>
        <w:gridCol w:w="587"/>
      </w:tblGrid>
      <w:tr w14:paraId="37881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13" w:type="dxa"/>
            <w:noWrap w:val="0"/>
            <w:tcMar>
              <w:top w:w="28" w:type="dxa"/>
              <w:left w:w="57" w:type="dxa"/>
              <w:bottom w:w="28" w:type="dxa"/>
              <w:right w:w="57" w:type="dxa"/>
            </w:tcMar>
            <w:vAlign w:val="center"/>
          </w:tcPr>
          <w:p w14:paraId="6EA59685">
            <w:pPr>
              <w:pStyle w:val="19"/>
              <w:bidi w:val="0"/>
            </w:pPr>
            <w:r>
              <w:t>可行技术类别</w:t>
            </w:r>
          </w:p>
        </w:tc>
        <w:tc>
          <w:tcPr>
            <w:tcW w:w="4443" w:type="dxa"/>
            <w:noWrap w:val="0"/>
            <w:tcMar>
              <w:top w:w="28" w:type="dxa"/>
              <w:left w:w="57" w:type="dxa"/>
              <w:bottom w:w="28" w:type="dxa"/>
              <w:right w:w="57" w:type="dxa"/>
            </w:tcMar>
            <w:vAlign w:val="center"/>
          </w:tcPr>
          <w:p w14:paraId="0458E322">
            <w:pPr>
              <w:pStyle w:val="19"/>
              <w:bidi w:val="0"/>
            </w:pPr>
            <w:r>
              <w:t>文件规定</w:t>
            </w:r>
          </w:p>
        </w:tc>
        <w:tc>
          <w:tcPr>
            <w:tcW w:w="2577" w:type="dxa"/>
            <w:noWrap w:val="0"/>
            <w:tcMar>
              <w:top w:w="28" w:type="dxa"/>
              <w:left w:w="57" w:type="dxa"/>
              <w:bottom w:w="28" w:type="dxa"/>
              <w:right w:w="57" w:type="dxa"/>
            </w:tcMar>
            <w:vAlign w:val="center"/>
          </w:tcPr>
          <w:p w14:paraId="48BC68A4">
            <w:pPr>
              <w:pStyle w:val="19"/>
              <w:bidi w:val="0"/>
            </w:pPr>
            <w:r>
              <w:t>本项目情况</w:t>
            </w:r>
          </w:p>
        </w:tc>
        <w:tc>
          <w:tcPr>
            <w:tcW w:w="587" w:type="dxa"/>
            <w:noWrap w:val="0"/>
            <w:tcMar>
              <w:top w:w="28" w:type="dxa"/>
              <w:left w:w="57" w:type="dxa"/>
              <w:bottom w:w="28" w:type="dxa"/>
              <w:right w:w="57" w:type="dxa"/>
            </w:tcMar>
            <w:vAlign w:val="center"/>
          </w:tcPr>
          <w:p w14:paraId="4B826A99">
            <w:pPr>
              <w:pStyle w:val="19"/>
              <w:bidi w:val="0"/>
            </w:pPr>
            <w:r>
              <w:t>符合情况</w:t>
            </w:r>
          </w:p>
        </w:tc>
      </w:tr>
      <w:tr w14:paraId="41933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13" w:type="dxa"/>
            <w:noWrap w:val="0"/>
            <w:tcMar>
              <w:top w:w="28" w:type="dxa"/>
              <w:left w:w="57" w:type="dxa"/>
              <w:bottom w:w="28" w:type="dxa"/>
              <w:right w:w="57" w:type="dxa"/>
            </w:tcMar>
            <w:vAlign w:val="center"/>
          </w:tcPr>
          <w:p w14:paraId="67ACB141">
            <w:pPr>
              <w:pStyle w:val="19"/>
              <w:bidi w:val="0"/>
            </w:pPr>
            <w:r>
              <w:t>畜禽养殖污染预防技术</w:t>
            </w:r>
          </w:p>
        </w:tc>
        <w:tc>
          <w:tcPr>
            <w:tcW w:w="4443" w:type="dxa"/>
            <w:noWrap w:val="0"/>
            <w:tcMar>
              <w:top w:w="28" w:type="dxa"/>
              <w:left w:w="57" w:type="dxa"/>
              <w:bottom w:w="28" w:type="dxa"/>
              <w:right w:w="57" w:type="dxa"/>
            </w:tcMar>
            <w:vAlign w:val="center"/>
          </w:tcPr>
          <w:p w14:paraId="6145C309">
            <w:pPr>
              <w:pStyle w:val="19"/>
              <w:bidi w:val="0"/>
            </w:pPr>
            <w:r>
              <w:t>①畜禽养殖污染预防技术。畜禽科学饲喂技术采用培育优良品种、科学饲养、科学配料、</w:t>
            </w:r>
            <w:r>
              <w:rPr>
                <w:rFonts w:hint="eastAsia"/>
                <w:lang w:eastAsia="zh-CN"/>
              </w:rPr>
              <w:t>采取</w:t>
            </w:r>
            <w:r>
              <w:t>无公害绿色添加剂等措施，并利用高新技术改变饲料品质及物理形态，提高畜禽饲料的利用率，降低畜禽排泄物中氮的含量及恶臭气体的排放。②干清粪技术。③病死畜禽尸体的处理与处置，采用厌氧发酵技术的养殖场可采用高温灭菌方法，将畜禽尸体破碎后进入沼气发酵反应器。对未采用厌氧发酵技术的大型养殖场或在养殖密集区的大型养殖场应集中设置焚烧设施，同时焚烧产生的烟气应采取有效的净化措施，防止烟尘、一氧化碳、恶臭等对周围大气环境的污染。不具备上述条件的养殖场应设置安全填埋井。</w:t>
            </w:r>
          </w:p>
        </w:tc>
        <w:tc>
          <w:tcPr>
            <w:tcW w:w="2577" w:type="dxa"/>
            <w:noWrap w:val="0"/>
            <w:tcMar>
              <w:top w:w="28" w:type="dxa"/>
              <w:left w:w="57" w:type="dxa"/>
              <w:bottom w:w="28" w:type="dxa"/>
              <w:right w:w="57" w:type="dxa"/>
            </w:tcMar>
            <w:vAlign w:val="center"/>
          </w:tcPr>
          <w:p w14:paraId="5538F68A">
            <w:pPr>
              <w:pStyle w:val="19"/>
              <w:bidi w:val="0"/>
            </w:pPr>
            <w:r>
              <w:t>①本项目采用养殖技术成熟、科学，通过优化饲料配方、提高管理水平等减少环境污染。</w:t>
            </w:r>
          </w:p>
          <w:p w14:paraId="598CAD10">
            <w:pPr>
              <w:pStyle w:val="19"/>
              <w:bidi w:val="0"/>
            </w:pPr>
            <w:r>
              <w:t>②本项目采用干清粪工艺。</w:t>
            </w:r>
          </w:p>
          <w:p w14:paraId="5908AC50">
            <w:pPr>
              <w:pStyle w:val="19"/>
              <w:bidi w:val="0"/>
            </w:pPr>
            <w:r>
              <w:t>③</w:t>
            </w:r>
            <w:r>
              <w:rPr>
                <w:rFonts w:hint="eastAsia"/>
              </w:rPr>
              <w:t>本项目</w:t>
            </w:r>
            <w:r>
              <w:t>病死猪</w:t>
            </w:r>
            <w:r>
              <w:rPr>
                <w:rFonts w:hint="eastAsia"/>
              </w:rPr>
              <w:t>委托有资质单位</w:t>
            </w:r>
            <w:r>
              <w:t>进行处理。</w:t>
            </w:r>
          </w:p>
        </w:tc>
        <w:tc>
          <w:tcPr>
            <w:tcW w:w="587" w:type="dxa"/>
            <w:noWrap w:val="0"/>
            <w:tcMar>
              <w:top w:w="28" w:type="dxa"/>
              <w:left w:w="57" w:type="dxa"/>
              <w:bottom w:w="28" w:type="dxa"/>
              <w:right w:w="57" w:type="dxa"/>
            </w:tcMar>
            <w:vAlign w:val="center"/>
          </w:tcPr>
          <w:p w14:paraId="03E3AC1C">
            <w:pPr>
              <w:pStyle w:val="19"/>
              <w:bidi w:val="0"/>
            </w:pPr>
            <w:r>
              <w:t>符合</w:t>
            </w:r>
          </w:p>
        </w:tc>
      </w:tr>
      <w:tr w14:paraId="368B2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13" w:type="dxa"/>
            <w:noWrap w:val="0"/>
            <w:tcMar>
              <w:top w:w="28" w:type="dxa"/>
              <w:left w:w="57" w:type="dxa"/>
              <w:bottom w:w="28" w:type="dxa"/>
              <w:right w:w="57" w:type="dxa"/>
            </w:tcMar>
            <w:vAlign w:val="center"/>
          </w:tcPr>
          <w:p w14:paraId="3F727F8C">
            <w:pPr>
              <w:pStyle w:val="19"/>
              <w:bidi w:val="0"/>
            </w:pPr>
            <w:r>
              <w:t>臭气污染控制技术</w:t>
            </w:r>
          </w:p>
        </w:tc>
        <w:tc>
          <w:tcPr>
            <w:tcW w:w="4443" w:type="dxa"/>
            <w:noWrap w:val="0"/>
            <w:tcMar>
              <w:top w:w="28" w:type="dxa"/>
              <w:left w:w="57" w:type="dxa"/>
              <w:bottom w:w="28" w:type="dxa"/>
              <w:right w:w="57" w:type="dxa"/>
            </w:tcMar>
            <w:vAlign w:val="center"/>
          </w:tcPr>
          <w:p w14:paraId="3FFFB79A">
            <w:pPr>
              <w:pStyle w:val="19"/>
              <w:bidi w:val="0"/>
            </w:pPr>
            <w:r>
              <w:t>向养殖场区和粪污处理厂（站）投加或喷洒化学除臭剂防止臭气的产生。可采用双氧水、次氯酸钠、臭氧等不含重金属的化学氧化剂。</w:t>
            </w:r>
          </w:p>
        </w:tc>
        <w:tc>
          <w:tcPr>
            <w:tcW w:w="2577" w:type="dxa"/>
            <w:noWrap w:val="0"/>
            <w:tcMar>
              <w:top w:w="28" w:type="dxa"/>
              <w:left w:w="57" w:type="dxa"/>
              <w:bottom w:w="28" w:type="dxa"/>
              <w:right w:w="57" w:type="dxa"/>
            </w:tcMar>
            <w:vAlign w:val="center"/>
          </w:tcPr>
          <w:p w14:paraId="417A0FE6">
            <w:pPr>
              <w:pStyle w:val="19"/>
              <w:bidi w:val="0"/>
            </w:pPr>
            <w:r>
              <w:t>本项目圈舍、</w:t>
            </w:r>
            <w:r>
              <w:rPr>
                <w:rFonts w:hint="eastAsia"/>
              </w:rPr>
              <w:t>干湿分离车间</w:t>
            </w:r>
            <w:r>
              <w:t>全封闭，</w:t>
            </w:r>
            <w:r>
              <w:rPr>
                <w:rFonts w:hint="eastAsia"/>
              </w:rPr>
              <w:t>堆粪场</w:t>
            </w:r>
            <w:r>
              <w:t>进行了</w:t>
            </w:r>
            <w:r>
              <w:rPr>
                <w:rFonts w:hint="eastAsia"/>
                <w:lang w:val="en-US" w:eastAsia="zh-CN"/>
              </w:rPr>
              <w:t>半封闭，</w:t>
            </w:r>
            <w:r>
              <w:t>并采取喷洒化学除臭剂防止臭气产生。</w:t>
            </w:r>
          </w:p>
        </w:tc>
        <w:tc>
          <w:tcPr>
            <w:tcW w:w="587" w:type="dxa"/>
            <w:noWrap w:val="0"/>
            <w:tcMar>
              <w:top w:w="28" w:type="dxa"/>
              <w:left w:w="57" w:type="dxa"/>
              <w:bottom w:w="28" w:type="dxa"/>
              <w:right w:w="57" w:type="dxa"/>
            </w:tcMar>
            <w:vAlign w:val="center"/>
          </w:tcPr>
          <w:p w14:paraId="209E353B">
            <w:pPr>
              <w:pStyle w:val="19"/>
              <w:bidi w:val="0"/>
            </w:pPr>
            <w:r>
              <w:t>符合</w:t>
            </w:r>
          </w:p>
        </w:tc>
      </w:tr>
      <w:tr w14:paraId="49BF5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13" w:type="dxa"/>
            <w:noWrap w:val="0"/>
            <w:tcMar>
              <w:top w:w="28" w:type="dxa"/>
              <w:left w:w="57" w:type="dxa"/>
              <w:bottom w:w="28" w:type="dxa"/>
              <w:right w:w="57" w:type="dxa"/>
            </w:tcMar>
            <w:vAlign w:val="center"/>
          </w:tcPr>
          <w:p w14:paraId="554B7703">
            <w:pPr>
              <w:pStyle w:val="19"/>
              <w:bidi w:val="0"/>
            </w:pPr>
            <w:r>
              <w:t>粪便堆肥发酵技术</w:t>
            </w:r>
          </w:p>
        </w:tc>
        <w:tc>
          <w:tcPr>
            <w:tcW w:w="4443" w:type="dxa"/>
            <w:noWrap w:val="0"/>
            <w:tcMar>
              <w:top w:w="28" w:type="dxa"/>
              <w:left w:w="57" w:type="dxa"/>
              <w:bottom w:w="28" w:type="dxa"/>
              <w:right w:w="57" w:type="dxa"/>
            </w:tcMar>
            <w:vAlign w:val="center"/>
          </w:tcPr>
          <w:p w14:paraId="03A1DD95">
            <w:pPr>
              <w:pStyle w:val="19"/>
              <w:bidi w:val="0"/>
            </w:pPr>
            <w:r>
              <w:t>自然堆肥是指在自然条件下将粪便</w:t>
            </w:r>
            <w:r>
              <w:rPr>
                <w:rFonts w:hint="eastAsia"/>
                <w:lang w:eastAsia="zh-CN"/>
              </w:rPr>
              <w:t>拌匀</w:t>
            </w:r>
            <w:r>
              <w:t>摊晒，降低物料含水率，同时在好氧菌的作用下进行发酵腐熟。</w:t>
            </w:r>
          </w:p>
        </w:tc>
        <w:tc>
          <w:tcPr>
            <w:tcW w:w="2577" w:type="dxa"/>
            <w:noWrap w:val="0"/>
            <w:tcMar>
              <w:top w:w="28" w:type="dxa"/>
              <w:left w:w="57" w:type="dxa"/>
              <w:bottom w:w="28" w:type="dxa"/>
              <w:right w:w="57" w:type="dxa"/>
            </w:tcMar>
            <w:vAlign w:val="center"/>
          </w:tcPr>
          <w:p w14:paraId="0EF109E8">
            <w:pPr>
              <w:pStyle w:val="19"/>
              <w:bidi w:val="0"/>
              <w:rPr>
                <w:rFonts w:hint="eastAsia" w:eastAsia="宋体"/>
                <w:lang w:eastAsia="zh-CN"/>
              </w:rPr>
            </w:pPr>
            <w:r>
              <w:t>本项目产生的粪污经固液分离后，固体粪便经收集后送</w:t>
            </w:r>
            <w:r>
              <w:rPr>
                <w:rFonts w:hint="eastAsia"/>
              </w:rPr>
              <w:t>堆粪场</w:t>
            </w:r>
            <w:r>
              <w:t>生产有机肥基料，采用自然堆肥及机械翻堆相结合的方式对粪污进行处理，堆肥温度为55℃</w:t>
            </w:r>
            <w:r>
              <w:rPr>
                <w:rFonts w:hint="eastAsia"/>
              </w:rPr>
              <w:t>，</w:t>
            </w:r>
            <w:r>
              <w:t>堆肥时间不少于7d</w:t>
            </w:r>
            <w:r>
              <w:rPr>
                <w:rFonts w:hint="eastAsia"/>
                <w:lang w:eastAsia="zh-CN"/>
              </w:rPr>
              <w:t>。</w:t>
            </w:r>
          </w:p>
        </w:tc>
        <w:tc>
          <w:tcPr>
            <w:tcW w:w="587" w:type="dxa"/>
            <w:noWrap w:val="0"/>
            <w:tcMar>
              <w:top w:w="28" w:type="dxa"/>
              <w:left w:w="57" w:type="dxa"/>
              <w:bottom w:w="28" w:type="dxa"/>
              <w:right w:w="57" w:type="dxa"/>
            </w:tcMar>
            <w:vAlign w:val="center"/>
          </w:tcPr>
          <w:p w14:paraId="174DC585">
            <w:pPr>
              <w:pStyle w:val="19"/>
              <w:bidi w:val="0"/>
            </w:pPr>
            <w:r>
              <w:t>符合</w:t>
            </w:r>
          </w:p>
        </w:tc>
      </w:tr>
    </w:tbl>
    <w:p w14:paraId="0B6A7EAF">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w:t>
      </w:r>
      <w:r>
        <w:rPr>
          <w:rFonts w:hint="eastAsia"/>
          <w:color w:val="000000"/>
          <w:highlight w:val="none"/>
        </w:rPr>
        <w:t>2</w:t>
      </w:r>
      <w:r>
        <w:rPr>
          <w:rFonts w:hint="eastAsia"/>
          <w:color w:val="000000"/>
          <w:highlight w:val="none"/>
          <w:lang w:val="en-US" w:eastAsia="zh-CN"/>
        </w:rPr>
        <w:t>1</w:t>
      </w:r>
      <w:r>
        <w:rPr>
          <w:color w:val="000000"/>
          <w:highlight w:val="none"/>
        </w:rPr>
        <w:t>）与《畜禽养殖业污染防治技术规范》（HJ/T81-2001）符合性分析</w:t>
      </w:r>
    </w:p>
    <w:p w14:paraId="63FFCD9E">
      <w:pPr>
        <w:pStyle w:val="2"/>
        <w:rPr>
          <w:rFonts w:hint="default" w:eastAsia="宋体"/>
          <w:lang w:val="en-US" w:eastAsia="zh-CN"/>
        </w:rPr>
      </w:pPr>
      <w:r>
        <w:rPr>
          <w:rFonts w:hint="eastAsia"/>
          <w:lang w:val="en-US" w:eastAsia="zh-CN"/>
        </w:rPr>
        <w:t>本项目与</w:t>
      </w:r>
      <w:r>
        <w:rPr>
          <w:color w:val="000000"/>
          <w:highlight w:val="none"/>
        </w:rPr>
        <w:t>《畜禽养殖业污染防治技术规范》（HJ/T81-2001）符合性分析</w:t>
      </w:r>
      <w:r>
        <w:rPr>
          <w:rFonts w:hint="eastAsia"/>
          <w:color w:val="000000"/>
          <w:highlight w:val="none"/>
          <w:lang w:val="en-US" w:eastAsia="zh-CN"/>
        </w:rPr>
        <w:t>具体见表1.3-7。</w:t>
      </w:r>
    </w:p>
    <w:p w14:paraId="60600B21">
      <w:pPr>
        <w:pStyle w:val="30"/>
        <w:bidi w:val="0"/>
      </w:pPr>
      <w:r>
        <w:t>表</w:t>
      </w:r>
      <w:r>
        <w:rPr>
          <w:rFonts w:hint="eastAsia"/>
        </w:rPr>
        <w:t>1.3-7</w:t>
      </w:r>
      <w:r>
        <w:t xml:space="preserve"> </w:t>
      </w:r>
      <w:r>
        <w:rPr>
          <w:rFonts w:hint="eastAsia"/>
          <w:lang w:val="en-US" w:eastAsia="zh-CN"/>
        </w:rPr>
        <w:t xml:space="preserve"> </w:t>
      </w:r>
      <w:r>
        <w:t xml:space="preserve"> 与《畜禽养殖业污染防治技术规范》</w:t>
      </w:r>
      <w:r>
        <w:rPr>
          <w:rFonts w:hint="eastAsia"/>
        </w:rPr>
        <w:t>（HJ/T 81-2001）符</w:t>
      </w:r>
      <w:r>
        <w:t>合性分析</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6"/>
        <w:gridCol w:w="4728"/>
        <w:gridCol w:w="2694"/>
        <w:gridCol w:w="569"/>
      </w:tblGrid>
      <w:tr w14:paraId="214E3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3061" w:type="pct"/>
            <w:gridSpan w:val="2"/>
            <w:tcBorders>
              <w:bottom w:val="single" w:color="000000" w:sz="4" w:space="0"/>
            </w:tcBorders>
            <w:noWrap w:val="0"/>
            <w:tcMar>
              <w:top w:w="28" w:type="dxa"/>
              <w:left w:w="57" w:type="dxa"/>
              <w:bottom w:w="28" w:type="dxa"/>
              <w:right w:w="57" w:type="dxa"/>
            </w:tcMar>
            <w:vAlign w:val="center"/>
          </w:tcPr>
          <w:p w14:paraId="244FA3CC">
            <w:pPr>
              <w:pStyle w:val="19"/>
              <w:bidi w:val="0"/>
            </w:pPr>
            <w:r>
              <w:t>文件规定</w:t>
            </w:r>
          </w:p>
        </w:tc>
        <w:tc>
          <w:tcPr>
            <w:tcW w:w="1600" w:type="pct"/>
            <w:tcBorders>
              <w:bottom w:val="single" w:color="000000" w:sz="4" w:space="0"/>
            </w:tcBorders>
            <w:noWrap w:val="0"/>
            <w:tcMar>
              <w:top w:w="28" w:type="dxa"/>
              <w:left w:w="57" w:type="dxa"/>
              <w:bottom w:w="28" w:type="dxa"/>
              <w:right w:w="57" w:type="dxa"/>
            </w:tcMar>
            <w:vAlign w:val="center"/>
          </w:tcPr>
          <w:p w14:paraId="55D77A92">
            <w:pPr>
              <w:pStyle w:val="19"/>
              <w:bidi w:val="0"/>
            </w:pPr>
            <w:r>
              <w:t>本项目情况</w:t>
            </w:r>
          </w:p>
        </w:tc>
        <w:tc>
          <w:tcPr>
            <w:tcW w:w="338" w:type="pct"/>
            <w:tcBorders>
              <w:bottom w:val="single" w:color="000000" w:sz="4" w:space="0"/>
            </w:tcBorders>
            <w:noWrap w:val="0"/>
            <w:tcMar>
              <w:top w:w="28" w:type="dxa"/>
              <w:left w:w="57" w:type="dxa"/>
              <w:bottom w:w="28" w:type="dxa"/>
              <w:right w:w="57" w:type="dxa"/>
            </w:tcMar>
            <w:vAlign w:val="center"/>
          </w:tcPr>
          <w:p w14:paraId="043E2D77">
            <w:pPr>
              <w:pStyle w:val="19"/>
              <w:bidi w:val="0"/>
            </w:pPr>
            <w:r>
              <w:t>符合情况</w:t>
            </w:r>
          </w:p>
        </w:tc>
      </w:tr>
      <w:tr w14:paraId="623E8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253" w:type="pct"/>
            <w:vMerge w:val="restart"/>
            <w:tcBorders>
              <w:top w:val="single" w:color="000000" w:sz="4" w:space="0"/>
              <w:bottom w:val="nil"/>
            </w:tcBorders>
            <w:noWrap w:val="0"/>
            <w:tcMar>
              <w:top w:w="28" w:type="dxa"/>
              <w:left w:w="57" w:type="dxa"/>
              <w:bottom w:w="28" w:type="dxa"/>
              <w:right w:w="57" w:type="dxa"/>
            </w:tcMar>
            <w:textDirection w:val="tbRlV"/>
            <w:vAlign w:val="center"/>
          </w:tcPr>
          <w:p w14:paraId="338C04B4">
            <w:pPr>
              <w:pStyle w:val="19"/>
              <w:bidi w:val="0"/>
            </w:pPr>
            <w:r>
              <w:t>技术原则</w:t>
            </w:r>
          </w:p>
        </w:tc>
        <w:tc>
          <w:tcPr>
            <w:tcW w:w="2808" w:type="pct"/>
            <w:tcBorders>
              <w:top w:val="single" w:color="000000" w:sz="4" w:space="0"/>
            </w:tcBorders>
            <w:noWrap w:val="0"/>
            <w:tcMar>
              <w:top w:w="28" w:type="dxa"/>
              <w:left w:w="57" w:type="dxa"/>
              <w:bottom w:w="28" w:type="dxa"/>
              <w:right w:w="57" w:type="dxa"/>
            </w:tcMar>
            <w:vAlign w:val="center"/>
          </w:tcPr>
          <w:p w14:paraId="7B1BBDCD">
            <w:pPr>
              <w:pStyle w:val="19"/>
              <w:bidi w:val="0"/>
            </w:pPr>
            <w:r>
              <w:t>畜禽养殖场的建设应坚持农牧结合、种养平衡的原则，根据本场区土地（包括与其他法人签约承诺消纳本场区产生粪便污水的土地）对畜禽粪便的消纳能力，确定新建畜禽养殖场的养殖规模。</w:t>
            </w:r>
          </w:p>
        </w:tc>
        <w:tc>
          <w:tcPr>
            <w:tcW w:w="1600" w:type="pct"/>
            <w:tcBorders>
              <w:top w:val="single" w:color="000000" w:sz="4" w:space="0"/>
            </w:tcBorders>
            <w:noWrap w:val="0"/>
            <w:tcMar>
              <w:top w:w="28" w:type="dxa"/>
              <w:left w:w="57" w:type="dxa"/>
              <w:bottom w:w="28" w:type="dxa"/>
              <w:right w:w="57" w:type="dxa"/>
            </w:tcMar>
            <w:vAlign w:val="center"/>
          </w:tcPr>
          <w:p w14:paraId="57F4ACCA">
            <w:pPr>
              <w:pStyle w:val="19"/>
              <w:bidi w:val="0"/>
              <w:rPr>
                <w:rFonts w:hint="default"/>
                <w:lang w:val="en-US" w:eastAsia="zh-CN"/>
              </w:rPr>
            </w:pPr>
            <w:r>
              <w:rPr>
                <w:rFonts w:hint="eastAsia"/>
                <w:lang w:val="en-US" w:eastAsia="zh-CN"/>
              </w:rPr>
              <w:t>建设单位</w:t>
            </w:r>
            <w:r>
              <w:t>已</w:t>
            </w:r>
            <w:r>
              <w:rPr>
                <w:rFonts w:hint="eastAsia"/>
                <w:lang w:val="en-US" w:eastAsia="zh-CN"/>
              </w:rPr>
              <w:t>与129团农业发展中心</w:t>
            </w:r>
            <w:r>
              <w:t>签订的粪污水</w:t>
            </w:r>
            <w:r>
              <w:rPr>
                <w:rFonts w:hint="eastAsia"/>
                <w:lang w:val="en-US" w:eastAsia="zh-CN"/>
              </w:rPr>
              <w:t>清运</w:t>
            </w:r>
            <w:r>
              <w:t>协议能够满足项目粪污水</w:t>
            </w:r>
            <w:r>
              <w:rPr>
                <w:rFonts w:hint="eastAsia"/>
                <w:lang w:val="en-US" w:eastAsia="zh-CN"/>
              </w:rPr>
              <w:t>清运</w:t>
            </w:r>
            <w:r>
              <w:t>的需求</w:t>
            </w:r>
            <w:r>
              <w:rPr>
                <w:rFonts w:hint="eastAsia"/>
                <w:highlight w:val="none"/>
                <w:lang w:eastAsia="zh-CN"/>
              </w:rPr>
              <w:t>，</w:t>
            </w:r>
            <w:r>
              <w:rPr>
                <w:rFonts w:hint="eastAsia"/>
                <w:highlight w:val="none"/>
                <w:lang w:val="en-US" w:eastAsia="zh-CN"/>
              </w:rPr>
              <w:t>详见附件7。</w:t>
            </w:r>
          </w:p>
        </w:tc>
        <w:tc>
          <w:tcPr>
            <w:tcW w:w="338" w:type="pct"/>
            <w:tcBorders>
              <w:top w:val="single" w:color="000000" w:sz="4" w:space="0"/>
            </w:tcBorders>
            <w:noWrap w:val="0"/>
            <w:tcMar>
              <w:top w:w="28" w:type="dxa"/>
              <w:left w:w="57" w:type="dxa"/>
              <w:bottom w:w="28" w:type="dxa"/>
              <w:right w:w="57" w:type="dxa"/>
            </w:tcMar>
            <w:vAlign w:val="center"/>
          </w:tcPr>
          <w:p w14:paraId="6ACE5D08">
            <w:pPr>
              <w:pStyle w:val="19"/>
              <w:bidi w:val="0"/>
            </w:pPr>
            <w:r>
              <w:t>符合</w:t>
            </w:r>
          </w:p>
        </w:tc>
      </w:tr>
      <w:tr w14:paraId="57754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253" w:type="pct"/>
            <w:vMerge w:val="continue"/>
            <w:tcBorders>
              <w:top w:val="nil"/>
            </w:tcBorders>
            <w:noWrap w:val="0"/>
            <w:tcMar>
              <w:top w:w="28" w:type="dxa"/>
              <w:left w:w="57" w:type="dxa"/>
              <w:bottom w:w="28" w:type="dxa"/>
              <w:right w:w="57" w:type="dxa"/>
            </w:tcMar>
            <w:textDirection w:val="tbRlV"/>
            <w:vAlign w:val="center"/>
          </w:tcPr>
          <w:p w14:paraId="40DD2355">
            <w:pPr>
              <w:pStyle w:val="19"/>
              <w:bidi w:val="0"/>
            </w:pPr>
          </w:p>
        </w:tc>
        <w:tc>
          <w:tcPr>
            <w:tcW w:w="2808" w:type="pct"/>
            <w:noWrap w:val="0"/>
            <w:tcMar>
              <w:top w:w="28" w:type="dxa"/>
              <w:left w:w="57" w:type="dxa"/>
              <w:bottom w:w="28" w:type="dxa"/>
              <w:right w:w="57" w:type="dxa"/>
            </w:tcMar>
            <w:vAlign w:val="center"/>
          </w:tcPr>
          <w:p w14:paraId="10DD170C">
            <w:pPr>
              <w:pStyle w:val="19"/>
              <w:bidi w:val="0"/>
            </w:pPr>
            <w:r>
              <w:t>对于无相应消纳土地的养殖场，必须配套建立具有相应加工（处理）能力的粪便</w:t>
            </w:r>
            <w:r>
              <w:rPr>
                <w:rFonts w:hint="eastAsia"/>
              </w:rPr>
              <w:t>黑膜池</w:t>
            </w:r>
            <w:r>
              <w:t>或处理（置）机制。</w:t>
            </w:r>
          </w:p>
        </w:tc>
        <w:tc>
          <w:tcPr>
            <w:tcW w:w="1600" w:type="pct"/>
            <w:noWrap w:val="0"/>
            <w:tcMar>
              <w:top w:w="28" w:type="dxa"/>
              <w:left w:w="57" w:type="dxa"/>
              <w:bottom w:w="28" w:type="dxa"/>
              <w:right w:w="57" w:type="dxa"/>
            </w:tcMar>
            <w:vAlign w:val="center"/>
          </w:tcPr>
          <w:p w14:paraId="00888FC4">
            <w:pPr>
              <w:pStyle w:val="19"/>
              <w:bidi w:val="0"/>
            </w:pPr>
            <w:r>
              <w:t>项目配套有粪便处理系统，产出的有机肥</w:t>
            </w:r>
            <w:r>
              <w:rPr>
                <w:rFonts w:hint="eastAsia"/>
                <w:lang w:val="en-US" w:eastAsia="zh-CN"/>
              </w:rPr>
              <w:t>还田</w:t>
            </w:r>
            <w:r>
              <w:t>，污水处理后全部</w:t>
            </w:r>
            <w:r>
              <w:rPr>
                <w:rFonts w:hint="eastAsia"/>
                <w:lang w:val="en-US" w:eastAsia="zh-CN"/>
              </w:rPr>
              <w:t>委托清运</w:t>
            </w:r>
            <w:r>
              <w:t>。</w:t>
            </w:r>
          </w:p>
        </w:tc>
        <w:tc>
          <w:tcPr>
            <w:tcW w:w="338" w:type="pct"/>
            <w:noWrap w:val="0"/>
            <w:tcMar>
              <w:top w:w="28" w:type="dxa"/>
              <w:left w:w="57" w:type="dxa"/>
              <w:bottom w:w="28" w:type="dxa"/>
              <w:right w:w="57" w:type="dxa"/>
            </w:tcMar>
            <w:vAlign w:val="center"/>
          </w:tcPr>
          <w:p w14:paraId="230A2513">
            <w:pPr>
              <w:pStyle w:val="19"/>
              <w:bidi w:val="0"/>
            </w:pPr>
            <w:r>
              <w:t>符合</w:t>
            </w:r>
          </w:p>
        </w:tc>
      </w:tr>
      <w:tr w14:paraId="0AF2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253" w:type="pct"/>
            <w:vMerge w:val="restart"/>
            <w:tcBorders>
              <w:bottom w:val="nil"/>
            </w:tcBorders>
            <w:noWrap w:val="0"/>
            <w:tcMar>
              <w:top w:w="28" w:type="dxa"/>
              <w:left w:w="57" w:type="dxa"/>
              <w:bottom w:w="28" w:type="dxa"/>
              <w:right w:w="57" w:type="dxa"/>
            </w:tcMar>
            <w:textDirection w:val="tbRlV"/>
            <w:vAlign w:val="center"/>
          </w:tcPr>
          <w:p w14:paraId="15F30082">
            <w:pPr>
              <w:pStyle w:val="19"/>
              <w:bidi w:val="0"/>
            </w:pPr>
            <w:r>
              <w:t>选址要求</w:t>
            </w:r>
          </w:p>
        </w:tc>
        <w:tc>
          <w:tcPr>
            <w:tcW w:w="2808" w:type="pct"/>
            <w:noWrap w:val="0"/>
            <w:tcMar>
              <w:top w:w="28" w:type="dxa"/>
              <w:left w:w="57" w:type="dxa"/>
              <w:bottom w:w="28" w:type="dxa"/>
              <w:right w:w="57" w:type="dxa"/>
            </w:tcMar>
            <w:vAlign w:val="center"/>
          </w:tcPr>
          <w:p w14:paraId="662185CA">
            <w:pPr>
              <w:pStyle w:val="19"/>
              <w:bidi w:val="0"/>
            </w:pPr>
            <w:r>
              <w:t>禁止在下列区域内建设畜禽养殖场：①生活饮用水水源保护区、风景名胜区、自然保护区的核心区及缓冲区；②城市和城镇居民区，包括文教科研区、医疗区、商业区、工业区、游览区等人口集中地区；③县级人民政府依法划定的禁养区域；④国家或地方</w:t>
            </w:r>
            <w:r>
              <w:rPr>
                <w:rFonts w:hint="eastAsia"/>
              </w:rPr>
              <w:t>法律法规</w:t>
            </w:r>
            <w:r>
              <w:t>规定需特殊保护的其它区域。</w:t>
            </w:r>
          </w:p>
        </w:tc>
        <w:tc>
          <w:tcPr>
            <w:tcW w:w="1600" w:type="pct"/>
            <w:noWrap w:val="0"/>
            <w:tcMar>
              <w:top w:w="28" w:type="dxa"/>
              <w:left w:w="57" w:type="dxa"/>
              <w:bottom w:w="28" w:type="dxa"/>
              <w:right w:w="57" w:type="dxa"/>
            </w:tcMar>
            <w:vAlign w:val="center"/>
          </w:tcPr>
          <w:p w14:paraId="1CE2DEDC">
            <w:pPr>
              <w:pStyle w:val="19"/>
              <w:bidi w:val="0"/>
            </w:pPr>
            <w:r>
              <w:t>项目不位于生活饮用水水源保护区、风景名胜区、自然保护区的核心区及缓冲区，不位于城市和城镇居民区，不位于禁养区域、限养区域</w:t>
            </w:r>
            <w:r>
              <w:rPr>
                <w:rFonts w:hint="eastAsia"/>
              </w:rPr>
              <w:t>和其他</w:t>
            </w:r>
            <w:r>
              <w:t>需要特殊保护区域。</w:t>
            </w:r>
          </w:p>
        </w:tc>
        <w:tc>
          <w:tcPr>
            <w:tcW w:w="338" w:type="pct"/>
            <w:noWrap w:val="0"/>
            <w:tcMar>
              <w:top w:w="28" w:type="dxa"/>
              <w:left w:w="57" w:type="dxa"/>
              <w:bottom w:w="28" w:type="dxa"/>
              <w:right w:w="57" w:type="dxa"/>
            </w:tcMar>
            <w:vAlign w:val="center"/>
          </w:tcPr>
          <w:p w14:paraId="59AC8994">
            <w:pPr>
              <w:pStyle w:val="19"/>
              <w:bidi w:val="0"/>
            </w:pPr>
            <w:r>
              <w:t>符合</w:t>
            </w:r>
          </w:p>
        </w:tc>
      </w:tr>
      <w:tr w14:paraId="6E371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253" w:type="pct"/>
            <w:vMerge w:val="continue"/>
            <w:tcBorders>
              <w:top w:val="nil"/>
            </w:tcBorders>
            <w:noWrap w:val="0"/>
            <w:tcMar>
              <w:top w:w="28" w:type="dxa"/>
              <w:left w:w="57" w:type="dxa"/>
              <w:bottom w:w="28" w:type="dxa"/>
              <w:right w:w="57" w:type="dxa"/>
            </w:tcMar>
            <w:textDirection w:val="tbRlV"/>
            <w:vAlign w:val="center"/>
          </w:tcPr>
          <w:p w14:paraId="03B196C9">
            <w:pPr>
              <w:pStyle w:val="19"/>
              <w:bidi w:val="0"/>
            </w:pPr>
          </w:p>
        </w:tc>
        <w:tc>
          <w:tcPr>
            <w:tcW w:w="2808" w:type="pct"/>
            <w:noWrap w:val="0"/>
            <w:tcMar>
              <w:top w:w="28" w:type="dxa"/>
              <w:left w:w="57" w:type="dxa"/>
              <w:bottom w:w="28" w:type="dxa"/>
              <w:right w:w="57" w:type="dxa"/>
            </w:tcMar>
            <w:vAlign w:val="center"/>
          </w:tcPr>
          <w:p w14:paraId="0426723F">
            <w:pPr>
              <w:pStyle w:val="19"/>
              <w:bidi w:val="0"/>
            </w:pPr>
            <w:r>
              <w:t>新建改建、扩建的畜禽养殖场选址应避开3．1规定的禁建区域，在禁建区域附近建设的，应设在3．1规定的禁建区域常年主导风向的下风向或侧风向处，场界与禁建区域边界的最小距离不得小于500m。</w:t>
            </w:r>
          </w:p>
        </w:tc>
        <w:tc>
          <w:tcPr>
            <w:tcW w:w="1600" w:type="pct"/>
            <w:noWrap w:val="0"/>
            <w:tcMar>
              <w:top w:w="28" w:type="dxa"/>
              <w:left w:w="57" w:type="dxa"/>
              <w:bottom w:w="28" w:type="dxa"/>
              <w:right w:w="57" w:type="dxa"/>
            </w:tcMar>
            <w:vAlign w:val="center"/>
          </w:tcPr>
          <w:p w14:paraId="66580300">
            <w:pPr>
              <w:pStyle w:val="19"/>
              <w:bidi w:val="0"/>
            </w:pPr>
            <w:r>
              <w:t>项目养殖场500米范围内不涉及禁建区域。</w:t>
            </w:r>
          </w:p>
        </w:tc>
        <w:tc>
          <w:tcPr>
            <w:tcW w:w="338" w:type="pct"/>
            <w:noWrap w:val="0"/>
            <w:tcMar>
              <w:top w:w="28" w:type="dxa"/>
              <w:left w:w="57" w:type="dxa"/>
              <w:bottom w:w="28" w:type="dxa"/>
              <w:right w:w="57" w:type="dxa"/>
            </w:tcMar>
            <w:vAlign w:val="center"/>
          </w:tcPr>
          <w:p w14:paraId="6FE049EA">
            <w:pPr>
              <w:pStyle w:val="19"/>
              <w:bidi w:val="0"/>
            </w:pPr>
            <w:r>
              <w:t>符合</w:t>
            </w:r>
          </w:p>
        </w:tc>
      </w:tr>
      <w:tr w14:paraId="5D56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253" w:type="pct"/>
            <w:vMerge w:val="restart"/>
            <w:tcBorders>
              <w:bottom w:val="nil"/>
            </w:tcBorders>
            <w:noWrap w:val="0"/>
            <w:tcMar>
              <w:top w:w="28" w:type="dxa"/>
              <w:left w:w="57" w:type="dxa"/>
              <w:bottom w:w="28" w:type="dxa"/>
              <w:right w:w="57" w:type="dxa"/>
            </w:tcMar>
            <w:textDirection w:val="tbRlV"/>
            <w:vAlign w:val="center"/>
          </w:tcPr>
          <w:p w14:paraId="3C852DBE">
            <w:pPr>
              <w:pStyle w:val="19"/>
              <w:bidi w:val="0"/>
            </w:pPr>
            <w:r>
              <w:t>厂区布局与清粪工艺</w:t>
            </w:r>
          </w:p>
        </w:tc>
        <w:tc>
          <w:tcPr>
            <w:tcW w:w="2808" w:type="pct"/>
            <w:noWrap w:val="0"/>
            <w:tcMar>
              <w:top w:w="28" w:type="dxa"/>
              <w:left w:w="57" w:type="dxa"/>
              <w:bottom w:w="28" w:type="dxa"/>
              <w:right w:w="57" w:type="dxa"/>
            </w:tcMar>
            <w:vAlign w:val="center"/>
          </w:tcPr>
          <w:p w14:paraId="0E807B04">
            <w:pPr>
              <w:pStyle w:val="19"/>
              <w:bidi w:val="0"/>
            </w:pPr>
            <w:r>
              <w:t>新建、改建、扩建的畜禽养殖场应实现生产区、生活管理区的隔离，粪便</w:t>
            </w:r>
            <w:r>
              <w:rPr>
                <w:rFonts w:hint="eastAsia"/>
              </w:rPr>
              <w:t>黑膜池</w:t>
            </w:r>
            <w:r>
              <w:t>和禽畜尸体焚烧炉应设在养殖场的生产区、生活管理区的常年主导风向的下风向或侧风向处。</w:t>
            </w:r>
          </w:p>
        </w:tc>
        <w:tc>
          <w:tcPr>
            <w:tcW w:w="1600" w:type="pct"/>
            <w:noWrap w:val="0"/>
            <w:tcMar>
              <w:top w:w="28" w:type="dxa"/>
              <w:left w:w="57" w:type="dxa"/>
              <w:bottom w:w="28" w:type="dxa"/>
              <w:right w:w="57" w:type="dxa"/>
            </w:tcMar>
            <w:vAlign w:val="center"/>
          </w:tcPr>
          <w:p w14:paraId="5520F584">
            <w:pPr>
              <w:pStyle w:val="19"/>
              <w:bidi w:val="0"/>
            </w:pPr>
            <w:r>
              <w:t>项目场区平面布局实现了生产区、生活区、粪污区的隔离；粪污处理系统设置在生产区和生活区的侧风向。</w:t>
            </w:r>
          </w:p>
        </w:tc>
        <w:tc>
          <w:tcPr>
            <w:tcW w:w="338" w:type="pct"/>
            <w:noWrap w:val="0"/>
            <w:tcMar>
              <w:top w:w="28" w:type="dxa"/>
              <w:left w:w="57" w:type="dxa"/>
              <w:bottom w:w="28" w:type="dxa"/>
              <w:right w:w="57" w:type="dxa"/>
            </w:tcMar>
            <w:vAlign w:val="center"/>
          </w:tcPr>
          <w:p w14:paraId="1FF05A1C">
            <w:pPr>
              <w:pStyle w:val="19"/>
              <w:bidi w:val="0"/>
            </w:pPr>
            <w:r>
              <w:t>符合</w:t>
            </w:r>
          </w:p>
        </w:tc>
      </w:tr>
      <w:tr w14:paraId="68DB8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253" w:type="pct"/>
            <w:vMerge w:val="continue"/>
            <w:tcBorders>
              <w:top w:val="nil"/>
            </w:tcBorders>
            <w:noWrap w:val="0"/>
            <w:tcMar>
              <w:top w:w="28" w:type="dxa"/>
              <w:left w:w="57" w:type="dxa"/>
              <w:bottom w:w="28" w:type="dxa"/>
              <w:right w:w="57" w:type="dxa"/>
            </w:tcMar>
            <w:textDirection w:val="tbRlV"/>
            <w:vAlign w:val="center"/>
          </w:tcPr>
          <w:p w14:paraId="1CD41996">
            <w:pPr>
              <w:pStyle w:val="19"/>
              <w:bidi w:val="0"/>
            </w:pPr>
          </w:p>
        </w:tc>
        <w:tc>
          <w:tcPr>
            <w:tcW w:w="2808" w:type="pct"/>
            <w:noWrap w:val="0"/>
            <w:tcMar>
              <w:top w:w="28" w:type="dxa"/>
              <w:left w:w="57" w:type="dxa"/>
              <w:bottom w:w="28" w:type="dxa"/>
              <w:right w:w="57" w:type="dxa"/>
            </w:tcMar>
            <w:vAlign w:val="center"/>
          </w:tcPr>
          <w:p w14:paraId="6197B359">
            <w:pPr>
              <w:pStyle w:val="19"/>
              <w:bidi w:val="0"/>
            </w:pPr>
            <w:r>
              <w:t>新、改、扩建的畜禽养殖场应采取干清粪工艺，采取有效措施将粪及时、单独清出，不可与尿、污水混合排出，并将产生的粪渣及时运至贮存或处理场所，实现日产日清。采用水冲粪、水泡粪等湿法清粪工艺的养殖场，要逐步改为干法清粪工艺。</w:t>
            </w:r>
          </w:p>
        </w:tc>
        <w:tc>
          <w:tcPr>
            <w:tcW w:w="1600" w:type="pct"/>
            <w:tcBorders>
              <w:bottom w:val="single" w:color="auto" w:sz="4" w:space="0"/>
            </w:tcBorders>
            <w:noWrap w:val="0"/>
            <w:tcMar>
              <w:top w:w="28" w:type="dxa"/>
              <w:left w:w="57" w:type="dxa"/>
              <w:bottom w:w="28" w:type="dxa"/>
              <w:right w:w="57" w:type="dxa"/>
            </w:tcMar>
            <w:vAlign w:val="center"/>
          </w:tcPr>
          <w:p w14:paraId="710A5224">
            <w:pPr>
              <w:pStyle w:val="19"/>
              <w:bidi w:val="0"/>
            </w:pPr>
            <w:r>
              <w:t>项目采用干清粪的清粪工艺。</w:t>
            </w:r>
          </w:p>
        </w:tc>
        <w:tc>
          <w:tcPr>
            <w:tcW w:w="338" w:type="pct"/>
            <w:tcBorders>
              <w:bottom w:val="single" w:color="auto" w:sz="4" w:space="0"/>
            </w:tcBorders>
            <w:noWrap w:val="0"/>
            <w:tcMar>
              <w:top w:w="28" w:type="dxa"/>
              <w:left w:w="57" w:type="dxa"/>
              <w:bottom w:w="28" w:type="dxa"/>
              <w:right w:w="57" w:type="dxa"/>
            </w:tcMar>
            <w:vAlign w:val="center"/>
          </w:tcPr>
          <w:p w14:paraId="6D9FCC0B">
            <w:pPr>
              <w:pStyle w:val="19"/>
              <w:bidi w:val="0"/>
            </w:pPr>
            <w:r>
              <w:t>符合</w:t>
            </w:r>
          </w:p>
        </w:tc>
      </w:tr>
      <w:tr w14:paraId="5C219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253" w:type="pct"/>
            <w:vMerge w:val="restart"/>
            <w:tcBorders>
              <w:bottom w:val="nil"/>
            </w:tcBorders>
            <w:noWrap w:val="0"/>
            <w:tcMar>
              <w:top w:w="28" w:type="dxa"/>
              <w:left w:w="57" w:type="dxa"/>
              <w:bottom w:w="28" w:type="dxa"/>
              <w:right w:w="57" w:type="dxa"/>
            </w:tcMar>
            <w:textDirection w:val="tbRlV"/>
            <w:vAlign w:val="center"/>
          </w:tcPr>
          <w:p w14:paraId="4999A718">
            <w:pPr>
              <w:pStyle w:val="19"/>
              <w:bidi w:val="0"/>
            </w:pPr>
            <w:r>
              <w:t>畜禽粪便贮存</w:t>
            </w:r>
          </w:p>
        </w:tc>
        <w:tc>
          <w:tcPr>
            <w:tcW w:w="2808" w:type="pct"/>
            <w:tcBorders>
              <w:right w:val="single" w:color="auto" w:sz="4" w:space="0"/>
            </w:tcBorders>
            <w:noWrap w:val="0"/>
            <w:tcMar>
              <w:top w:w="28" w:type="dxa"/>
              <w:left w:w="57" w:type="dxa"/>
              <w:bottom w:w="28" w:type="dxa"/>
              <w:right w:w="57" w:type="dxa"/>
            </w:tcMar>
            <w:vAlign w:val="center"/>
          </w:tcPr>
          <w:p w14:paraId="282D6031">
            <w:pPr>
              <w:pStyle w:val="19"/>
              <w:bidi w:val="0"/>
            </w:pPr>
            <w:r>
              <w:t>畜禽养殖场产生的畜禽粪便应设置专门的贮存设施，其恶臭及污染物排放应符合《畜禽养殖业污染物排放标准》（GB18596-2001）。</w:t>
            </w:r>
          </w:p>
        </w:tc>
        <w:tc>
          <w:tcPr>
            <w:tcW w:w="1600" w:type="pct"/>
            <w:vMerge w:val="restar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DDB9EE0">
            <w:pPr>
              <w:pStyle w:val="19"/>
              <w:bidi w:val="0"/>
            </w:pPr>
            <w:r>
              <w:t>项目设有粪场用于储存固液分离粪便，恶臭污染物排放符合《畜禽养殖业污染物排放标准》（GB18596-2001）中表7标准要求限值；粪场500米范围内没有功能地表水体，并且不位于生产区和生活区上风向；粪场采取了有效的防渗措施；项目粪便堆肥发酵生产的有机肥</w:t>
            </w:r>
            <w:r>
              <w:rPr>
                <w:rFonts w:hint="eastAsia"/>
                <w:lang w:val="en-US" w:eastAsia="zh-CN"/>
              </w:rPr>
              <w:t>还田</w:t>
            </w:r>
            <w:r>
              <w:t>，不在场区贮存，储存量满足施肥间隔时间的要求；项目</w:t>
            </w:r>
            <w:r>
              <w:rPr>
                <w:rFonts w:hint="eastAsia"/>
              </w:rPr>
              <w:t>堆粪场</w:t>
            </w:r>
            <w:r>
              <w:t>为</w:t>
            </w:r>
            <w:r>
              <w:rPr>
                <w:rFonts w:hint="eastAsia"/>
                <w:lang w:val="en-US" w:eastAsia="zh-CN"/>
              </w:rPr>
              <w:t>半</w:t>
            </w:r>
            <w:r>
              <w:t>封闭运行，</w:t>
            </w:r>
            <w:r>
              <w:rPr>
                <w:rFonts w:hint="eastAsia"/>
                <w:lang w:val="en-US" w:eastAsia="zh-CN"/>
              </w:rPr>
              <w:t>能</w:t>
            </w:r>
            <w:r>
              <w:t>防止雨水进入。</w:t>
            </w:r>
          </w:p>
        </w:tc>
        <w:tc>
          <w:tcPr>
            <w:tcW w:w="338" w:type="pct"/>
            <w:vMerge w:val="restar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1ECB4B6">
            <w:pPr>
              <w:pStyle w:val="19"/>
              <w:bidi w:val="0"/>
            </w:pPr>
            <w:r>
              <w:t>符合</w:t>
            </w:r>
          </w:p>
        </w:tc>
      </w:tr>
      <w:tr w14:paraId="26EC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53" w:type="pct"/>
            <w:vMerge w:val="continue"/>
            <w:tcBorders>
              <w:top w:val="nil"/>
              <w:bottom w:val="nil"/>
            </w:tcBorders>
            <w:noWrap w:val="0"/>
            <w:tcMar>
              <w:top w:w="28" w:type="dxa"/>
              <w:left w:w="57" w:type="dxa"/>
              <w:bottom w:w="28" w:type="dxa"/>
              <w:right w:w="57" w:type="dxa"/>
            </w:tcMar>
            <w:textDirection w:val="tbRlV"/>
            <w:vAlign w:val="center"/>
          </w:tcPr>
          <w:p w14:paraId="3EB55F45">
            <w:pPr>
              <w:pStyle w:val="19"/>
              <w:bidi w:val="0"/>
            </w:pPr>
          </w:p>
        </w:tc>
        <w:tc>
          <w:tcPr>
            <w:tcW w:w="2808" w:type="pct"/>
            <w:tcBorders>
              <w:right w:val="single" w:color="auto" w:sz="4" w:space="0"/>
            </w:tcBorders>
            <w:noWrap w:val="0"/>
            <w:tcMar>
              <w:top w:w="28" w:type="dxa"/>
              <w:left w:w="57" w:type="dxa"/>
              <w:bottom w:w="28" w:type="dxa"/>
              <w:right w:w="57" w:type="dxa"/>
            </w:tcMar>
            <w:vAlign w:val="center"/>
          </w:tcPr>
          <w:p w14:paraId="570DA5BE">
            <w:pPr>
              <w:pStyle w:val="19"/>
              <w:bidi w:val="0"/>
            </w:pPr>
            <w:r>
              <w:t>粪便贮存设施的位置必须远离各类功能地表水体（距离不得小于400m），并应设在养殖场生产及生活管理区的常年主导风向的下风向或侧风向处。</w:t>
            </w:r>
          </w:p>
        </w:tc>
        <w:tc>
          <w:tcPr>
            <w:tcW w:w="1600" w:type="pct"/>
            <w:vMerge w:val="continue"/>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CE36269">
            <w:pPr>
              <w:pStyle w:val="19"/>
              <w:bidi w:val="0"/>
            </w:pPr>
          </w:p>
        </w:tc>
        <w:tc>
          <w:tcPr>
            <w:tcW w:w="338" w:type="pct"/>
            <w:vMerge w:val="continue"/>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11138CFD">
            <w:pPr>
              <w:pStyle w:val="19"/>
              <w:bidi w:val="0"/>
            </w:pPr>
          </w:p>
        </w:tc>
      </w:tr>
      <w:tr w14:paraId="543D7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53" w:type="pct"/>
            <w:vMerge w:val="continue"/>
            <w:tcBorders>
              <w:top w:val="nil"/>
              <w:bottom w:val="nil"/>
            </w:tcBorders>
            <w:noWrap w:val="0"/>
            <w:tcMar>
              <w:top w:w="28" w:type="dxa"/>
              <w:left w:w="57" w:type="dxa"/>
              <w:bottom w:w="28" w:type="dxa"/>
              <w:right w:w="57" w:type="dxa"/>
            </w:tcMar>
            <w:textDirection w:val="tbRlV"/>
            <w:vAlign w:val="center"/>
          </w:tcPr>
          <w:p w14:paraId="3D81EA36">
            <w:pPr>
              <w:pStyle w:val="19"/>
              <w:bidi w:val="0"/>
            </w:pPr>
          </w:p>
        </w:tc>
        <w:tc>
          <w:tcPr>
            <w:tcW w:w="2808" w:type="pct"/>
            <w:tcBorders>
              <w:right w:val="single" w:color="auto" w:sz="4" w:space="0"/>
            </w:tcBorders>
            <w:noWrap w:val="0"/>
            <w:tcMar>
              <w:top w:w="28" w:type="dxa"/>
              <w:left w:w="57" w:type="dxa"/>
              <w:bottom w:w="28" w:type="dxa"/>
              <w:right w:w="57" w:type="dxa"/>
            </w:tcMar>
            <w:vAlign w:val="center"/>
          </w:tcPr>
          <w:p w14:paraId="5242465A">
            <w:pPr>
              <w:pStyle w:val="19"/>
              <w:bidi w:val="0"/>
            </w:pPr>
            <w:r>
              <w:t>贮存设施应采取有效的防渗处理工艺，防止畜禽粪便污染地下水。粪便贮存设施应采取设置顶盖等防止降雨（水）进入的措施。</w:t>
            </w:r>
          </w:p>
        </w:tc>
        <w:tc>
          <w:tcPr>
            <w:tcW w:w="1600" w:type="pct"/>
            <w:vMerge w:val="continue"/>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75660BD9">
            <w:pPr>
              <w:pStyle w:val="19"/>
              <w:bidi w:val="0"/>
            </w:pPr>
          </w:p>
        </w:tc>
        <w:tc>
          <w:tcPr>
            <w:tcW w:w="338" w:type="pct"/>
            <w:vMerge w:val="continue"/>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74726625">
            <w:pPr>
              <w:pStyle w:val="19"/>
              <w:bidi w:val="0"/>
            </w:pPr>
          </w:p>
        </w:tc>
      </w:tr>
      <w:tr w14:paraId="339EA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53" w:type="pct"/>
            <w:vMerge w:val="restart"/>
            <w:tcBorders>
              <w:top w:val="nil"/>
              <w:bottom w:val="nil"/>
            </w:tcBorders>
            <w:noWrap w:val="0"/>
            <w:tcMar>
              <w:top w:w="28" w:type="dxa"/>
              <w:left w:w="57" w:type="dxa"/>
              <w:bottom w:w="28" w:type="dxa"/>
              <w:right w:w="57" w:type="dxa"/>
            </w:tcMar>
            <w:textDirection w:val="tbRlV"/>
            <w:vAlign w:val="center"/>
          </w:tcPr>
          <w:p w14:paraId="55055749">
            <w:pPr>
              <w:pStyle w:val="19"/>
              <w:bidi w:val="0"/>
            </w:pPr>
            <w:r>
              <w:t>污水的处理</w:t>
            </w:r>
          </w:p>
        </w:tc>
        <w:tc>
          <w:tcPr>
            <w:tcW w:w="2808" w:type="pct"/>
            <w:tcBorders>
              <w:right w:val="single" w:color="auto" w:sz="4" w:space="0"/>
            </w:tcBorders>
            <w:noWrap w:val="0"/>
            <w:tcMar>
              <w:top w:w="28" w:type="dxa"/>
              <w:left w:w="57" w:type="dxa"/>
              <w:bottom w:w="28" w:type="dxa"/>
              <w:right w:w="57" w:type="dxa"/>
            </w:tcMar>
            <w:vAlign w:val="center"/>
          </w:tcPr>
          <w:p w14:paraId="3655D117">
            <w:pPr>
              <w:pStyle w:val="19"/>
              <w:bidi w:val="0"/>
            </w:pPr>
            <w:r>
              <w:t>畜禽养殖过程中产生的污水应坚持种养结合的原则，经无害化处理后尽量充分还田，实现污水资源化利用。</w:t>
            </w:r>
          </w:p>
        </w:tc>
        <w:tc>
          <w:tcPr>
            <w:tcW w:w="1600"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D13166F">
            <w:pPr>
              <w:pStyle w:val="19"/>
              <w:bidi w:val="0"/>
            </w:pPr>
            <w:r>
              <w:t>项目污水全部经</w:t>
            </w:r>
            <w:r>
              <w:rPr>
                <w:rFonts w:hint="eastAsia"/>
              </w:rPr>
              <w:t>“</w:t>
            </w:r>
            <w:r>
              <w:rPr>
                <w:rFonts w:hint="eastAsia"/>
                <w:lang w:val="en-US" w:eastAsia="zh-CN"/>
              </w:rPr>
              <w:t>格栅+集水池（沉砂）+固液分离+水解酸化+UASB+SBR+好氧塘储存</w:t>
            </w:r>
            <w:r>
              <w:rPr>
                <w:rFonts w:hint="eastAsia"/>
              </w:rPr>
              <w:t>”</w:t>
            </w:r>
            <w:r>
              <w:t>处理后</w:t>
            </w:r>
            <w:r>
              <w:rPr>
                <w:rFonts w:hint="eastAsia"/>
                <w:lang w:val="en-US" w:eastAsia="zh-CN"/>
              </w:rPr>
              <w:t>委托清运</w:t>
            </w:r>
            <w:r>
              <w:t>。</w:t>
            </w:r>
          </w:p>
        </w:tc>
        <w:tc>
          <w:tcPr>
            <w:tcW w:w="33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2D69B32">
            <w:pPr>
              <w:pStyle w:val="19"/>
              <w:bidi w:val="0"/>
            </w:pPr>
            <w:r>
              <w:t>符合</w:t>
            </w:r>
          </w:p>
        </w:tc>
      </w:tr>
      <w:tr w14:paraId="5006B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53" w:type="pct"/>
            <w:vMerge w:val="continue"/>
            <w:tcBorders>
              <w:top w:val="nil"/>
              <w:bottom w:val="nil"/>
            </w:tcBorders>
            <w:noWrap w:val="0"/>
            <w:tcMar>
              <w:top w:w="28" w:type="dxa"/>
              <w:left w:w="57" w:type="dxa"/>
              <w:bottom w:w="28" w:type="dxa"/>
              <w:right w:w="57" w:type="dxa"/>
            </w:tcMar>
            <w:textDirection w:val="tbRlV"/>
            <w:vAlign w:val="center"/>
          </w:tcPr>
          <w:p w14:paraId="52A83F07">
            <w:pPr>
              <w:pStyle w:val="19"/>
              <w:bidi w:val="0"/>
            </w:pPr>
          </w:p>
        </w:tc>
        <w:tc>
          <w:tcPr>
            <w:tcW w:w="2808" w:type="pct"/>
            <w:tcBorders>
              <w:right w:val="single" w:color="auto" w:sz="4" w:space="0"/>
            </w:tcBorders>
            <w:noWrap w:val="0"/>
            <w:tcMar>
              <w:top w:w="28" w:type="dxa"/>
              <w:left w:w="57" w:type="dxa"/>
              <w:bottom w:w="28" w:type="dxa"/>
              <w:right w:w="57" w:type="dxa"/>
            </w:tcMar>
            <w:vAlign w:val="center"/>
          </w:tcPr>
          <w:p w14:paraId="689C5D4C">
            <w:pPr>
              <w:pStyle w:val="19"/>
              <w:bidi w:val="0"/>
            </w:pPr>
            <w:r>
              <w:t>在畜禽养殖场与还田利用的农田之间应建立有效的污水输送网络，通过车载或管道形式将处理（置）后的污水输送至农田，要加强管理，严格控制污水输送沿途的弃、撒和跑、冒、滴、漏。</w:t>
            </w:r>
          </w:p>
        </w:tc>
        <w:tc>
          <w:tcPr>
            <w:tcW w:w="1600"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7F97962E">
            <w:pPr>
              <w:pStyle w:val="19"/>
              <w:bidi w:val="0"/>
            </w:pPr>
            <w:r>
              <w:t>项目粪污水经</w:t>
            </w:r>
            <w:r>
              <w:rPr>
                <w:rFonts w:hint="eastAsia"/>
              </w:rPr>
              <w:t>“</w:t>
            </w:r>
            <w:r>
              <w:rPr>
                <w:rFonts w:hint="eastAsia"/>
                <w:lang w:val="en-US" w:eastAsia="zh-CN"/>
              </w:rPr>
              <w:t>格栅+集水池（沉砂）+固液分离+水解酸化+UASB+SBR+好氧塘储存</w:t>
            </w:r>
            <w:r>
              <w:rPr>
                <w:rFonts w:hint="eastAsia"/>
              </w:rPr>
              <w:t>”</w:t>
            </w:r>
            <w:r>
              <w:t>处理后</w:t>
            </w:r>
            <w:r>
              <w:rPr>
                <w:rFonts w:hint="eastAsia"/>
                <w:lang w:val="en-US" w:eastAsia="zh-CN"/>
              </w:rPr>
              <w:t>委托清运</w:t>
            </w:r>
            <w:r>
              <w:t>。</w:t>
            </w:r>
          </w:p>
        </w:tc>
        <w:tc>
          <w:tcPr>
            <w:tcW w:w="33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0F762D3A">
            <w:pPr>
              <w:pStyle w:val="19"/>
              <w:bidi w:val="0"/>
            </w:pPr>
            <w:r>
              <w:t>符合</w:t>
            </w:r>
          </w:p>
        </w:tc>
      </w:tr>
      <w:tr w14:paraId="77C3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53" w:type="pct"/>
            <w:vMerge w:val="continue"/>
            <w:tcBorders>
              <w:top w:val="nil"/>
            </w:tcBorders>
            <w:noWrap w:val="0"/>
            <w:tcMar>
              <w:top w:w="28" w:type="dxa"/>
              <w:left w:w="57" w:type="dxa"/>
              <w:bottom w:w="28" w:type="dxa"/>
              <w:right w:w="57" w:type="dxa"/>
            </w:tcMar>
            <w:textDirection w:val="tbRlV"/>
            <w:vAlign w:val="center"/>
          </w:tcPr>
          <w:p w14:paraId="647453ED">
            <w:pPr>
              <w:pStyle w:val="19"/>
              <w:bidi w:val="0"/>
            </w:pPr>
          </w:p>
        </w:tc>
        <w:tc>
          <w:tcPr>
            <w:tcW w:w="2808" w:type="pct"/>
            <w:tcBorders>
              <w:right w:val="single" w:color="auto" w:sz="4" w:space="0"/>
            </w:tcBorders>
            <w:noWrap w:val="0"/>
            <w:tcMar>
              <w:top w:w="28" w:type="dxa"/>
              <w:left w:w="57" w:type="dxa"/>
              <w:bottom w:w="28" w:type="dxa"/>
              <w:right w:w="57" w:type="dxa"/>
            </w:tcMar>
            <w:vAlign w:val="center"/>
          </w:tcPr>
          <w:p w14:paraId="5147538F">
            <w:pPr>
              <w:pStyle w:val="19"/>
              <w:bidi w:val="0"/>
            </w:pPr>
            <w:r>
              <w:t>污水的净化处理应根据养殖种养、养殖规模、清粪方式和当地的自然地理条件，选择合理、适用的污水处理工艺和路线，尽可能采用自然生物处理方法，达到回用标准或排放标准。</w:t>
            </w:r>
          </w:p>
        </w:tc>
        <w:tc>
          <w:tcPr>
            <w:tcW w:w="1600"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23427E30">
            <w:pPr>
              <w:pStyle w:val="19"/>
              <w:bidi w:val="0"/>
            </w:pPr>
            <w:r>
              <w:t>本项目采用</w:t>
            </w:r>
            <w:r>
              <w:rPr>
                <w:rFonts w:hint="eastAsia"/>
              </w:rPr>
              <w:t>“</w:t>
            </w:r>
            <w:r>
              <w:rPr>
                <w:rFonts w:hint="eastAsia"/>
                <w:lang w:val="en-US" w:eastAsia="zh-CN"/>
              </w:rPr>
              <w:t>格栅+集水池（沉砂）+固液分离+水解酸化+UASB+SBR+好氧塘储存</w:t>
            </w:r>
            <w:r>
              <w:rPr>
                <w:rFonts w:hint="eastAsia"/>
              </w:rPr>
              <w:t>”</w:t>
            </w:r>
            <w:r>
              <w:t>处理工艺，与养殖规模、清粪工艺、当地自然地理条件相适应，能够达标。</w:t>
            </w:r>
          </w:p>
        </w:tc>
        <w:tc>
          <w:tcPr>
            <w:tcW w:w="33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1EB18D08">
            <w:pPr>
              <w:pStyle w:val="19"/>
              <w:bidi w:val="0"/>
            </w:pPr>
            <w:r>
              <w:t>符合</w:t>
            </w:r>
          </w:p>
        </w:tc>
      </w:tr>
    </w:tbl>
    <w:p w14:paraId="04F1CF59">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w:t>
      </w:r>
      <w:r>
        <w:rPr>
          <w:rFonts w:hint="eastAsia"/>
          <w:color w:val="000000"/>
          <w:highlight w:val="none"/>
        </w:rPr>
        <w:t>2</w:t>
      </w:r>
      <w:r>
        <w:rPr>
          <w:rFonts w:hint="eastAsia"/>
          <w:color w:val="000000"/>
          <w:highlight w:val="none"/>
          <w:lang w:val="en-US" w:eastAsia="zh-CN"/>
        </w:rPr>
        <w:t>2</w:t>
      </w:r>
      <w:r>
        <w:rPr>
          <w:color w:val="000000"/>
          <w:highlight w:val="none"/>
        </w:rPr>
        <w:t>）与《畜禽养殖业污染治理工程技术规范》（HJ497-2009）符合性分析</w:t>
      </w:r>
    </w:p>
    <w:p w14:paraId="3CB8CD7F">
      <w:pPr>
        <w:pStyle w:val="2"/>
        <w:rPr>
          <w:rFonts w:hint="default" w:eastAsia="宋体"/>
          <w:lang w:val="en-US" w:eastAsia="zh-CN"/>
        </w:rPr>
      </w:pPr>
      <w:r>
        <w:rPr>
          <w:rFonts w:hint="eastAsia"/>
          <w:lang w:val="en-US" w:eastAsia="zh-CN"/>
        </w:rPr>
        <w:t>本项目与</w:t>
      </w:r>
      <w:r>
        <w:rPr>
          <w:color w:val="000000"/>
          <w:highlight w:val="none"/>
        </w:rPr>
        <w:t>《畜禽养殖业污染治理工程技术规范》（HJ497-2009）符合性分析</w:t>
      </w:r>
      <w:r>
        <w:rPr>
          <w:rFonts w:hint="eastAsia"/>
          <w:color w:val="000000"/>
          <w:highlight w:val="none"/>
          <w:lang w:val="en-US" w:eastAsia="zh-CN"/>
        </w:rPr>
        <w:t>具体见表1.3-8。</w:t>
      </w:r>
    </w:p>
    <w:p w14:paraId="51EE8807">
      <w:pPr>
        <w:pStyle w:val="30"/>
        <w:bidi w:val="0"/>
      </w:pPr>
      <w:r>
        <w:t>表</w:t>
      </w:r>
      <w:r>
        <w:rPr>
          <w:rFonts w:hint="eastAsia"/>
        </w:rPr>
        <w:t>1.3-8</w:t>
      </w:r>
      <w:r>
        <w:t xml:space="preserve">  </w:t>
      </w:r>
      <w:r>
        <w:rPr>
          <w:rFonts w:hint="eastAsia"/>
          <w:lang w:val="en-US" w:eastAsia="zh-CN"/>
        </w:rPr>
        <w:t xml:space="preserve"> </w:t>
      </w:r>
      <w:r>
        <w:t>与《畜禽养殖业污染治理工程技术规范》</w:t>
      </w:r>
      <w:r>
        <w:rPr>
          <w:rFonts w:hint="eastAsia"/>
        </w:rPr>
        <w:t>（HJ497-2009）</w:t>
      </w:r>
      <w:r>
        <w:t>符合性分析</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001"/>
        <w:gridCol w:w="2443"/>
        <w:gridCol w:w="973"/>
      </w:tblGrid>
      <w:tr w14:paraId="7D4BB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970" w:type="pct"/>
            <w:tcBorders>
              <w:bottom w:val="single" w:color="000000" w:sz="4" w:space="0"/>
            </w:tcBorders>
            <w:noWrap w:val="0"/>
            <w:tcMar>
              <w:top w:w="28" w:type="dxa"/>
              <w:left w:w="57" w:type="dxa"/>
              <w:bottom w:w="28" w:type="dxa"/>
              <w:right w:w="57" w:type="dxa"/>
            </w:tcMar>
            <w:vAlign w:val="center"/>
          </w:tcPr>
          <w:p w14:paraId="1539E5B2">
            <w:pPr>
              <w:pStyle w:val="19"/>
              <w:bidi w:val="0"/>
            </w:pPr>
            <w:r>
              <w:t>文件规定</w:t>
            </w:r>
          </w:p>
        </w:tc>
        <w:tc>
          <w:tcPr>
            <w:tcW w:w="1451" w:type="pct"/>
            <w:tcBorders>
              <w:bottom w:val="single" w:color="000000" w:sz="4" w:space="0"/>
            </w:tcBorders>
            <w:noWrap w:val="0"/>
            <w:tcMar>
              <w:top w:w="28" w:type="dxa"/>
              <w:left w:w="57" w:type="dxa"/>
              <w:bottom w:w="28" w:type="dxa"/>
              <w:right w:w="57" w:type="dxa"/>
            </w:tcMar>
            <w:vAlign w:val="center"/>
          </w:tcPr>
          <w:p w14:paraId="5186B3F8">
            <w:pPr>
              <w:pStyle w:val="19"/>
              <w:bidi w:val="0"/>
            </w:pPr>
            <w:r>
              <w:t>本项目情况</w:t>
            </w:r>
          </w:p>
        </w:tc>
        <w:tc>
          <w:tcPr>
            <w:tcW w:w="577" w:type="pct"/>
            <w:tcBorders>
              <w:bottom w:val="single" w:color="000000" w:sz="4" w:space="0"/>
            </w:tcBorders>
            <w:noWrap w:val="0"/>
            <w:tcMar>
              <w:top w:w="28" w:type="dxa"/>
              <w:left w:w="57" w:type="dxa"/>
              <w:bottom w:w="28" w:type="dxa"/>
              <w:right w:w="57" w:type="dxa"/>
            </w:tcMar>
            <w:vAlign w:val="center"/>
          </w:tcPr>
          <w:p w14:paraId="6033A7D1">
            <w:pPr>
              <w:pStyle w:val="19"/>
              <w:bidi w:val="0"/>
            </w:pPr>
            <w:r>
              <w:t>符合情况</w:t>
            </w:r>
          </w:p>
        </w:tc>
      </w:tr>
      <w:tr w14:paraId="43F99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970" w:type="pct"/>
            <w:tcBorders>
              <w:top w:val="single" w:color="000000" w:sz="4" w:space="0"/>
            </w:tcBorders>
            <w:noWrap w:val="0"/>
            <w:tcMar>
              <w:top w:w="28" w:type="dxa"/>
              <w:left w:w="57" w:type="dxa"/>
              <w:bottom w:w="28" w:type="dxa"/>
              <w:right w:w="57" w:type="dxa"/>
            </w:tcMar>
            <w:vAlign w:val="center"/>
          </w:tcPr>
          <w:p w14:paraId="6EFD4ACD">
            <w:pPr>
              <w:pStyle w:val="19"/>
              <w:bidi w:val="0"/>
            </w:pPr>
            <w:r>
              <w:t>畜禽养殖业污染治理应从源头控制，严格执行雨污分离，通过优化饲料配方、提高饲养技术、提高管理水平、改善畜舍结构和通风供暖工艺、改进清粪工艺等措施减少养殖场环境污染。</w:t>
            </w:r>
          </w:p>
        </w:tc>
        <w:tc>
          <w:tcPr>
            <w:tcW w:w="1451" w:type="pct"/>
            <w:tcBorders>
              <w:top w:val="single" w:color="000000" w:sz="4" w:space="0"/>
            </w:tcBorders>
            <w:noWrap w:val="0"/>
            <w:tcMar>
              <w:top w:w="28" w:type="dxa"/>
              <w:left w:w="57" w:type="dxa"/>
              <w:bottom w:w="28" w:type="dxa"/>
              <w:right w:w="57" w:type="dxa"/>
            </w:tcMar>
            <w:vAlign w:val="center"/>
          </w:tcPr>
          <w:p w14:paraId="60EE0346">
            <w:pPr>
              <w:pStyle w:val="19"/>
              <w:bidi w:val="0"/>
            </w:pPr>
            <w:r>
              <w:t>本项目通过优化饲料配方、提高管理水平、干清粪工艺等减少环境污染。</w:t>
            </w:r>
          </w:p>
        </w:tc>
        <w:tc>
          <w:tcPr>
            <w:tcW w:w="577" w:type="pct"/>
            <w:tcBorders>
              <w:top w:val="single" w:color="000000" w:sz="4" w:space="0"/>
            </w:tcBorders>
            <w:noWrap w:val="0"/>
            <w:tcMar>
              <w:top w:w="28" w:type="dxa"/>
              <w:left w:w="57" w:type="dxa"/>
              <w:bottom w:w="28" w:type="dxa"/>
              <w:right w:w="57" w:type="dxa"/>
            </w:tcMar>
            <w:vAlign w:val="center"/>
          </w:tcPr>
          <w:p w14:paraId="6EA125DD">
            <w:pPr>
              <w:pStyle w:val="19"/>
              <w:bidi w:val="0"/>
            </w:pPr>
            <w:r>
              <w:t>符合</w:t>
            </w:r>
          </w:p>
        </w:tc>
      </w:tr>
      <w:tr w14:paraId="22A43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2970" w:type="pct"/>
            <w:noWrap w:val="0"/>
            <w:tcMar>
              <w:top w:w="28" w:type="dxa"/>
              <w:left w:w="57" w:type="dxa"/>
              <w:bottom w:w="28" w:type="dxa"/>
              <w:right w:w="57" w:type="dxa"/>
            </w:tcMar>
            <w:vAlign w:val="center"/>
          </w:tcPr>
          <w:p w14:paraId="720F2504">
            <w:pPr>
              <w:pStyle w:val="19"/>
              <w:bidi w:val="0"/>
            </w:pPr>
            <w:r>
              <w:t>畜禽养殖业污染治理应按照资源化、减量化、无害化的原则，以综合利用为出发点，提高资源化利用率。畜禽粪污资源化时应经无害化处理后方可还田利用，无害化处理应满足下列要求：①液态畜禽粪污宜采用厌氧工艺进行无害化处理。②固体畜禽粪便宜采用好氧堆肥技术进行无害化处理。③无害化处理后的卫生学指标应符合</w:t>
            </w:r>
            <w:r>
              <w:rPr>
                <w:rFonts w:hint="eastAsia"/>
              </w:rPr>
              <w:t>GB 7959-2012</w:t>
            </w:r>
            <w:r>
              <w:t>的有关规定。</w:t>
            </w:r>
          </w:p>
        </w:tc>
        <w:tc>
          <w:tcPr>
            <w:tcW w:w="1451" w:type="pct"/>
            <w:noWrap w:val="0"/>
            <w:tcMar>
              <w:top w:w="28" w:type="dxa"/>
              <w:left w:w="57" w:type="dxa"/>
              <w:bottom w:w="28" w:type="dxa"/>
              <w:right w:w="57" w:type="dxa"/>
            </w:tcMar>
            <w:vAlign w:val="center"/>
          </w:tcPr>
          <w:p w14:paraId="09403DD8">
            <w:pPr>
              <w:pStyle w:val="19"/>
              <w:bidi w:val="0"/>
            </w:pPr>
            <w:r>
              <w:t>本项目粪污经</w:t>
            </w:r>
            <w:r>
              <w:rPr>
                <w:rFonts w:hint="eastAsia"/>
              </w:rPr>
              <w:t>“</w:t>
            </w:r>
            <w:r>
              <w:rPr>
                <w:rFonts w:hint="eastAsia"/>
                <w:lang w:val="en-US" w:eastAsia="zh-CN"/>
              </w:rPr>
              <w:t>格栅+集水池（沉砂）+固液分离+水解酸化+UASB+SBR+好氧塘储存</w:t>
            </w:r>
            <w:r>
              <w:rPr>
                <w:rFonts w:hint="eastAsia"/>
              </w:rPr>
              <w:t>”</w:t>
            </w:r>
            <w:r>
              <w:t>处理后</w:t>
            </w:r>
            <w:r>
              <w:rPr>
                <w:rFonts w:hint="eastAsia"/>
                <w:lang w:val="en-US" w:eastAsia="zh-CN"/>
              </w:rPr>
              <w:t>委托清运</w:t>
            </w:r>
            <w:r>
              <w:t>；病死猪</w:t>
            </w:r>
            <w:r>
              <w:rPr>
                <w:rFonts w:hint="eastAsia"/>
              </w:rPr>
              <w:t>委托有资质单位</w:t>
            </w:r>
            <w:r>
              <w:t>进行处理。</w:t>
            </w:r>
          </w:p>
        </w:tc>
        <w:tc>
          <w:tcPr>
            <w:tcW w:w="577" w:type="pct"/>
            <w:noWrap w:val="0"/>
            <w:tcMar>
              <w:top w:w="28" w:type="dxa"/>
              <w:left w:w="57" w:type="dxa"/>
              <w:bottom w:w="28" w:type="dxa"/>
              <w:right w:w="57" w:type="dxa"/>
            </w:tcMar>
            <w:vAlign w:val="center"/>
          </w:tcPr>
          <w:p w14:paraId="5B1187B8">
            <w:pPr>
              <w:pStyle w:val="19"/>
              <w:bidi w:val="0"/>
            </w:pPr>
            <w:r>
              <w:t>符合</w:t>
            </w:r>
          </w:p>
        </w:tc>
      </w:tr>
      <w:tr w14:paraId="62509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2970" w:type="pct"/>
            <w:noWrap w:val="0"/>
            <w:tcMar>
              <w:top w:w="28" w:type="dxa"/>
              <w:left w:w="57" w:type="dxa"/>
              <w:bottom w:w="28" w:type="dxa"/>
              <w:right w:w="57" w:type="dxa"/>
            </w:tcMar>
            <w:vAlign w:val="center"/>
          </w:tcPr>
          <w:p w14:paraId="2D05EB8C">
            <w:pPr>
              <w:pStyle w:val="19"/>
              <w:bidi w:val="0"/>
            </w:pPr>
            <w:r>
              <w:t>畜禽养殖业污染治理工程应采取</w:t>
            </w:r>
            <w:r>
              <w:rPr>
                <w:rFonts w:hint="eastAsia"/>
                <w:lang w:eastAsia="zh-CN"/>
              </w:rPr>
              <w:t>防止</w:t>
            </w:r>
            <w:r>
              <w:t>二次污染措施</w:t>
            </w:r>
          </w:p>
          <w:p w14:paraId="3B4016F4">
            <w:pPr>
              <w:pStyle w:val="19"/>
              <w:bidi w:val="0"/>
            </w:pPr>
            <w:r>
              <w:t>的措施，废水、废气、废渣、噪声及其他污染物的排放应符合相应的国家或地方排放标准。</w:t>
            </w:r>
          </w:p>
        </w:tc>
        <w:tc>
          <w:tcPr>
            <w:tcW w:w="1451" w:type="pct"/>
            <w:noWrap w:val="0"/>
            <w:tcMar>
              <w:top w:w="28" w:type="dxa"/>
              <w:left w:w="57" w:type="dxa"/>
              <w:bottom w:w="28" w:type="dxa"/>
              <w:right w:w="57" w:type="dxa"/>
            </w:tcMar>
            <w:vAlign w:val="center"/>
          </w:tcPr>
          <w:p w14:paraId="5B9503F3">
            <w:pPr>
              <w:pStyle w:val="19"/>
              <w:bidi w:val="0"/>
            </w:pPr>
            <w:r>
              <w:t>在落实报告书提出的污染治理措施的情况下，项目废水、废气、废渣、噪声及其他污染物的排放可达到相应的国家或地方排放标准。</w:t>
            </w:r>
          </w:p>
        </w:tc>
        <w:tc>
          <w:tcPr>
            <w:tcW w:w="577" w:type="pct"/>
            <w:noWrap w:val="0"/>
            <w:tcMar>
              <w:top w:w="28" w:type="dxa"/>
              <w:left w:w="57" w:type="dxa"/>
              <w:bottom w:w="28" w:type="dxa"/>
              <w:right w:w="57" w:type="dxa"/>
            </w:tcMar>
            <w:vAlign w:val="center"/>
          </w:tcPr>
          <w:p w14:paraId="033F8762">
            <w:pPr>
              <w:pStyle w:val="19"/>
              <w:bidi w:val="0"/>
            </w:pPr>
            <w:r>
              <w:t>符合</w:t>
            </w:r>
          </w:p>
        </w:tc>
      </w:tr>
    </w:tbl>
    <w:p w14:paraId="097CFE2B">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w:t>
      </w:r>
      <w:r>
        <w:rPr>
          <w:rFonts w:hint="eastAsia"/>
          <w:color w:val="000000"/>
          <w:highlight w:val="none"/>
        </w:rPr>
        <w:t>2</w:t>
      </w:r>
      <w:r>
        <w:rPr>
          <w:rFonts w:hint="eastAsia"/>
          <w:color w:val="000000"/>
          <w:highlight w:val="none"/>
          <w:lang w:val="en-US" w:eastAsia="zh-CN"/>
        </w:rPr>
        <w:t>3</w:t>
      </w:r>
      <w:r>
        <w:rPr>
          <w:color w:val="000000"/>
          <w:highlight w:val="none"/>
        </w:rPr>
        <w:t>）与《</w:t>
      </w:r>
      <w:r>
        <w:rPr>
          <w:rFonts w:hint="eastAsia"/>
          <w:color w:val="000000"/>
          <w:highlight w:val="none"/>
        </w:rPr>
        <w:t>动物防疫条件审查办法</w:t>
      </w:r>
      <w:r>
        <w:rPr>
          <w:color w:val="000000"/>
          <w:highlight w:val="none"/>
        </w:rPr>
        <w:t>》</w:t>
      </w:r>
      <w:r>
        <w:rPr>
          <w:rFonts w:hint="eastAsia"/>
          <w:color w:val="000000"/>
          <w:highlight w:val="none"/>
        </w:rPr>
        <w:t>（农业农村部令</w:t>
      </w:r>
      <w:r>
        <w:rPr>
          <w:color w:val="000000"/>
          <w:highlight w:val="none"/>
        </w:rPr>
        <w:t>2022</w:t>
      </w:r>
      <w:r>
        <w:rPr>
          <w:rFonts w:hint="eastAsia"/>
          <w:color w:val="000000"/>
          <w:highlight w:val="none"/>
        </w:rPr>
        <w:t>年第</w:t>
      </w:r>
      <w:r>
        <w:rPr>
          <w:color w:val="000000"/>
          <w:highlight w:val="none"/>
        </w:rPr>
        <w:t>3</w:t>
      </w:r>
      <w:r>
        <w:rPr>
          <w:rFonts w:hint="eastAsia"/>
          <w:color w:val="000000"/>
          <w:highlight w:val="none"/>
        </w:rPr>
        <w:t>号）</w:t>
      </w:r>
      <w:r>
        <w:rPr>
          <w:color w:val="000000"/>
          <w:highlight w:val="none"/>
        </w:rPr>
        <w:t>符合性分析</w:t>
      </w:r>
    </w:p>
    <w:p w14:paraId="3C4642DF">
      <w:pPr>
        <w:rPr>
          <w:rFonts w:hint="default" w:eastAsia="宋体"/>
          <w:lang w:val="en-US" w:eastAsia="zh-CN"/>
        </w:rPr>
      </w:pPr>
      <w:r>
        <w:rPr>
          <w:rFonts w:hint="eastAsia"/>
          <w:lang w:val="en-US" w:eastAsia="zh-CN"/>
        </w:rPr>
        <w:t>本项目与</w:t>
      </w:r>
      <w:r>
        <w:rPr>
          <w:color w:val="000000"/>
          <w:highlight w:val="none"/>
        </w:rPr>
        <w:t>《</w:t>
      </w:r>
      <w:r>
        <w:rPr>
          <w:rFonts w:hint="eastAsia"/>
          <w:color w:val="000000"/>
          <w:highlight w:val="none"/>
        </w:rPr>
        <w:t>动物防疫条件审查办法</w:t>
      </w:r>
      <w:r>
        <w:rPr>
          <w:color w:val="000000"/>
          <w:highlight w:val="none"/>
        </w:rPr>
        <w:t>》</w:t>
      </w:r>
      <w:r>
        <w:rPr>
          <w:rFonts w:hint="eastAsia"/>
          <w:color w:val="000000"/>
          <w:highlight w:val="none"/>
        </w:rPr>
        <w:t>（农业农村部令</w:t>
      </w:r>
      <w:r>
        <w:rPr>
          <w:color w:val="000000"/>
          <w:highlight w:val="none"/>
        </w:rPr>
        <w:t>2022</w:t>
      </w:r>
      <w:r>
        <w:rPr>
          <w:rFonts w:hint="eastAsia"/>
          <w:color w:val="000000"/>
          <w:highlight w:val="none"/>
        </w:rPr>
        <w:t>年第</w:t>
      </w:r>
      <w:r>
        <w:rPr>
          <w:color w:val="000000"/>
          <w:highlight w:val="none"/>
        </w:rPr>
        <w:t>3</w:t>
      </w:r>
      <w:r>
        <w:rPr>
          <w:rFonts w:hint="eastAsia"/>
          <w:color w:val="000000"/>
          <w:highlight w:val="none"/>
        </w:rPr>
        <w:t>号）</w:t>
      </w:r>
      <w:r>
        <w:rPr>
          <w:color w:val="000000"/>
          <w:highlight w:val="none"/>
        </w:rPr>
        <w:t>符合性分析</w:t>
      </w:r>
      <w:r>
        <w:rPr>
          <w:rFonts w:hint="eastAsia"/>
          <w:color w:val="000000"/>
          <w:highlight w:val="none"/>
          <w:lang w:val="en-US" w:eastAsia="zh-CN"/>
        </w:rPr>
        <w:t>具体见表1.3-9。</w:t>
      </w:r>
    </w:p>
    <w:p w14:paraId="1C95585B">
      <w:pPr>
        <w:pStyle w:val="30"/>
        <w:bidi w:val="0"/>
      </w:pPr>
      <w:r>
        <w:t>表</w:t>
      </w:r>
      <w:r>
        <w:rPr>
          <w:rFonts w:hint="eastAsia"/>
        </w:rPr>
        <w:t>1.3-</w:t>
      </w:r>
      <w:r>
        <w:rPr>
          <w:rFonts w:hint="eastAsia"/>
          <w:lang w:val="en-US" w:eastAsia="zh-CN"/>
        </w:rPr>
        <w:t>9</w:t>
      </w:r>
      <w:r>
        <w:t xml:space="preserve">  </w:t>
      </w:r>
      <w:r>
        <w:rPr>
          <w:rFonts w:hint="eastAsia"/>
          <w:lang w:val="en-US" w:eastAsia="zh-CN"/>
        </w:rPr>
        <w:t xml:space="preserve"> </w:t>
      </w:r>
      <w:r>
        <w:t>与</w:t>
      </w:r>
      <w:r>
        <w:rPr>
          <w:rFonts w:hint="eastAsia"/>
        </w:rPr>
        <w:t>《动物防疫条件审查办法》</w:t>
      </w:r>
      <w:r>
        <w:t>符合性分析</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73"/>
        <w:gridCol w:w="3289"/>
        <w:gridCol w:w="955"/>
      </w:tblGrid>
      <w:tr w14:paraId="0C116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478" w:type="pct"/>
            <w:tcBorders>
              <w:bottom w:val="single" w:color="000000" w:sz="4" w:space="0"/>
            </w:tcBorders>
            <w:noWrap w:val="0"/>
            <w:tcMar>
              <w:top w:w="28" w:type="dxa"/>
              <w:left w:w="57" w:type="dxa"/>
              <w:bottom w:w="28" w:type="dxa"/>
              <w:right w:w="57" w:type="dxa"/>
            </w:tcMar>
            <w:vAlign w:val="center"/>
          </w:tcPr>
          <w:p w14:paraId="386E99F9">
            <w:pPr>
              <w:pStyle w:val="19"/>
              <w:bidi w:val="0"/>
            </w:pPr>
            <w:r>
              <w:t>文件规定</w:t>
            </w:r>
          </w:p>
        </w:tc>
        <w:tc>
          <w:tcPr>
            <w:tcW w:w="1953" w:type="pct"/>
            <w:tcBorders>
              <w:bottom w:val="single" w:color="000000" w:sz="4" w:space="0"/>
            </w:tcBorders>
            <w:noWrap w:val="0"/>
            <w:tcMar>
              <w:top w:w="28" w:type="dxa"/>
              <w:left w:w="57" w:type="dxa"/>
              <w:bottom w:w="28" w:type="dxa"/>
              <w:right w:w="57" w:type="dxa"/>
            </w:tcMar>
            <w:vAlign w:val="center"/>
          </w:tcPr>
          <w:p w14:paraId="489C8DFE">
            <w:pPr>
              <w:pStyle w:val="19"/>
              <w:bidi w:val="0"/>
            </w:pPr>
            <w:r>
              <w:t>本项目情况</w:t>
            </w:r>
          </w:p>
        </w:tc>
        <w:tc>
          <w:tcPr>
            <w:tcW w:w="567" w:type="pct"/>
            <w:tcBorders>
              <w:bottom w:val="single" w:color="000000" w:sz="4" w:space="0"/>
            </w:tcBorders>
            <w:noWrap w:val="0"/>
            <w:tcMar>
              <w:top w:w="28" w:type="dxa"/>
              <w:left w:w="57" w:type="dxa"/>
              <w:bottom w:w="28" w:type="dxa"/>
              <w:right w:w="57" w:type="dxa"/>
            </w:tcMar>
            <w:vAlign w:val="center"/>
          </w:tcPr>
          <w:p w14:paraId="7A86BA27">
            <w:pPr>
              <w:pStyle w:val="19"/>
              <w:bidi w:val="0"/>
            </w:pPr>
            <w:r>
              <w:t>符合情况</w:t>
            </w:r>
          </w:p>
        </w:tc>
      </w:tr>
      <w:tr w14:paraId="2861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78" w:type="pct"/>
            <w:tcBorders>
              <w:top w:val="single" w:color="000000" w:sz="4" w:space="0"/>
              <w:bottom w:val="single" w:color="000000" w:sz="4" w:space="0"/>
            </w:tcBorders>
            <w:noWrap w:val="0"/>
            <w:tcMar>
              <w:top w:w="28" w:type="dxa"/>
              <w:left w:w="57" w:type="dxa"/>
              <w:bottom w:w="28" w:type="dxa"/>
              <w:right w:w="57" w:type="dxa"/>
            </w:tcMar>
            <w:vAlign w:val="center"/>
          </w:tcPr>
          <w:p w14:paraId="5D90C3F8">
            <w:pPr>
              <w:pStyle w:val="19"/>
              <w:bidi w:val="0"/>
              <w:rPr>
                <w:rFonts w:hint="eastAsia"/>
              </w:rPr>
            </w:pPr>
            <w:r>
              <w:rPr>
                <w:rFonts w:hint="eastAsia"/>
              </w:rPr>
              <w:t>动物饲养场、动物隔离场所、动物屠宰加工场所以及动物和动物产品无害化处理场所，应当符合本办法规定的动物防疫条件，并取得动物防疫条件合格证。</w:t>
            </w:r>
          </w:p>
        </w:tc>
        <w:tc>
          <w:tcPr>
            <w:tcW w:w="1953" w:type="pct"/>
            <w:tcBorders>
              <w:top w:val="single" w:color="000000" w:sz="4" w:space="0"/>
              <w:bottom w:val="single" w:color="000000" w:sz="4" w:space="0"/>
            </w:tcBorders>
            <w:noWrap w:val="0"/>
            <w:tcMar>
              <w:top w:w="28" w:type="dxa"/>
              <w:left w:w="57" w:type="dxa"/>
              <w:bottom w:w="28" w:type="dxa"/>
              <w:right w:w="57" w:type="dxa"/>
            </w:tcMar>
            <w:vAlign w:val="center"/>
          </w:tcPr>
          <w:p w14:paraId="14B22705">
            <w:pPr>
              <w:pStyle w:val="19"/>
              <w:bidi w:val="0"/>
              <w:rPr>
                <w:rFonts w:hint="eastAsia" w:eastAsia="宋体"/>
                <w:lang w:val="en-US" w:eastAsia="zh-CN"/>
              </w:rPr>
            </w:pPr>
            <w:r>
              <w:rPr>
                <w:rFonts w:hint="eastAsia"/>
                <w:lang w:val="en-US" w:eastAsia="zh-CN"/>
              </w:rPr>
              <w:t>本项目设计符合</w:t>
            </w:r>
            <w:r>
              <w:rPr>
                <w:rFonts w:hint="eastAsia"/>
              </w:rPr>
              <w:t>本办法规定的动物防疫条件</w:t>
            </w:r>
            <w:r>
              <w:rPr>
                <w:rFonts w:hint="eastAsia"/>
                <w:lang w:eastAsia="zh-CN"/>
              </w:rPr>
              <w:t>，</w:t>
            </w:r>
            <w:r>
              <w:rPr>
                <w:rFonts w:hint="eastAsia"/>
                <w:lang w:val="en-US" w:eastAsia="zh-CN"/>
              </w:rPr>
              <w:t>待</w:t>
            </w:r>
            <w:r>
              <w:rPr>
                <w:rFonts w:hint="eastAsia"/>
              </w:rPr>
              <w:t>建设竣工后，向县级地方人民政府兽医主管部门提出申请</w:t>
            </w:r>
            <w:r>
              <w:rPr>
                <w:rFonts w:hint="eastAsia"/>
                <w:lang w:eastAsia="zh-CN"/>
              </w:rPr>
              <w:t>，</w:t>
            </w:r>
            <w:r>
              <w:rPr>
                <w:rFonts w:hint="eastAsia"/>
              </w:rPr>
              <w:t>取得动物防疫条件合格证</w:t>
            </w:r>
            <w:r>
              <w:rPr>
                <w:rFonts w:hint="eastAsia"/>
                <w:lang w:eastAsia="zh-CN"/>
              </w:rPr>
              <w:t>。</w:t>
            </w:r>
          </w:p>
        </w:tc>
        <w:tc>
          <w:tcPr>
            <w:tcW w:w="567" w:type="pct"/>
            <w:tcBorders>
              <w:top w:val="single" w:color="000000" w:sz="4" w:space="0"/>
              <w:bottom w:val="single" w:color="000000" w:sz="4" w:space="0"/>
            </w:tcBorders>
            <w:noWrap w:val="0"/>
            <w:tcMar>
              <w:top w:w="28" w:type="dxa"/>
              <w:left w:w="57" w:type="dxa"/>
              <w:bottom w:w="28" w:type="dxa"/>
              <w:right w:w="57" w:type="dxa"/>
            </w:tcMar>
            <w:vAlign w:val="center"/>
          </w:tcPr>
          <w:p w14:paraId="00C3AB83">
            <w:pPr>
              <w:pStyle w:val="19"/>
              <w:bidi w:val="0"/>
            </w:pPr>
            <w:r>
              <w:t>符合</w:t>
            </w:r>
          </w:p>
        </w:tc>
      </w:tr>
      <w:tr w14:paraId="7D12F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78" w:type="pct"/>
            <w:tcBorders>
              <w:top w:val="single" w:color="000000" w:sz="4" w:space="0"/>
              <w:bottom w:val="single" w:color="000000" w:sz="4" w:space="0"/>
            </w:tcBorders>
            <w:noWrap w:val="0"/>
            <w:tcMar>
              <w:top w:w="28" w:type="dxa"/>
              <w:left w:w="57" w:type="dxa"/>
              <w:bottom w:w="28" w:type="dxa"/>
              <w:right w:w="57" w:type="dxa"/>
            </w:tcMar>
            <w:vAlign w:val="center"/>
          </w:tcPr>
          <w:p w14:paraId="32F27C9A">
            <w:pPr>
              <w:pStyle w:val="19"/>
              <w:bidi w:val="0"/>
            </w:pPr>
            <w:r>
              <w:rPr>
                <w:rFonts w:hint="eastAsia"/>
              </w:rPr>
              <w:t>动物饲养场、动物隔离场所、动物屠宰加工场所以及动物和动物产品无害化处理场所应当符合下列条件：（一）各场所之间，各场所与动物诊疗场所、居民生活区、生活饮用水水源地、学校、医院等公共场所之间保持必要的距离；（二）场区周围建有围墙等隔离设施；场区出入口处设置运输车辆消毒通道或者消毒池，并单独设置人员消毒通道；生产经营区与生活办公区分开，并有隔离设施；生产经营区入口处设置人员更衣消毒室；（三）配备与其生产经营规模相适应的执业兽医或者动物防疫技术人员；（四）配备与其生产经营规模相适应的污水、污物处理设施，清洗消毒设施设备，以及必要的防鼠、防鸟、防虫设施设备；（五）建立隔离消毒、购销台账、日常巡查等动物防疫制度。</w:t>
            </w:r>
          </w:p>
        </w:tc>
        <w:tc>
          <w:tcPr>
            <w:tcW w:w="1953" w:type="pct"/>
            <w:tcBorders>
              <w:top w:val="single" w:color="000000" w:sz="4" w:space="0"/>
              <w:bottom w:val="single" w:color="000000" w:sz="4" w:space="0"/>
            </w:tcBorders>
            <w:noWrap w:val="0"/>
            <w:tcMar>
              <w:top w:w="28" w:type="dxa"/>
              <w:left w:w="57" w:type="dxa"/>
              <w:bottom w:w="28" w:type="dxa"/>
              <w:right w:w="57" w:type="dxa"/>
            </w:tcMar>
            <w:vAlign w:val="center"/>
          </w:tcPr>
          <w:p w14:paraId="372F68A8">
            <w:pPr>
              <w:pStyle w:val="19"/>
              <w:bidi w:val="0"/>
            </w:pPr>
            <w:r>
              <w:rPr>
                <w:rFonts w:hint="eastAsia"/>
                <w:lang w:val="en-US" w:eastAsia="zh-CN"/>
              </w:rPr>
              <w:t>本项目</w:t>
            </w:r>
            <w:r>
              <w:rPr>
                <w:rFonts w:hint="eastAsia"/>
              </w:rPr>
              <w:t>各场所之间，各场所与动物诊疗场所、居民生活区、生活饮用水水源地、学校、医院等公共场所之间保持</w:t>
            </w:r>
            <w:r>
              <w:rPr>
                <w:rFonts w:hint="eastAsia"/>
                <w:lang w:eastAsia="zh-CN"/>
              </w:rPr>
              <w:t>了</w:t>
            </w:r>
            <w:r>
              <w:rPr>
                <w:rFonts w:hint="eastAsia"/>
              </w:rPr>
              <w:t>必要的距离；</w:t>
            </w:r>
            <w:r>
              <w:rPr>
                <w:rFonts w:hint="eastAsia"/>
                <w:lang w:val="en-US" w:eastAsia="zh-CN"/>
              </w:rPr>
              <w:t>设计中</w:t>
            </w:r>
            <w:r>
              <w:rPr>
                <w:rFonts w:hint="eastAsia"/>
              </w:rPr>
              <w:t>场区周围建有围墙等隔离设施；场区出入口处设置</w:t>
            </w:r>
            <w:r>
              <w:rPr>
                <w:rFonts w:hint="eastAsia"/>
                <w:lang w:eastAsia="zh-CN"/>
              </w:rPr>
              <w:t>了</w:t>
            </w:r>
            <w:r>
              <w:rPr>
                <w:rFonts w:hint="eastAsia"/>
              </w:rPr>
              <w:t>运输车辆消毒通道或者消毒池，并设置</w:t>
            </w:r>
            <w:r>
              <w:rPr>
                <w:rFonts w:hint="eastAsia"/>
                <w:lang w:eastAsia="zh-CN"/>
              </w:rPr>
              <w:t>了</w:t>
            </w:r>
            <w:r>
              <w:rPr>
                <w:rFonts w:hint="eastAsia"/>
              </w:rPr>
              <w:t>人员消毒通道；生产经营区与生活办公区分开，并有隔离设施；生产经营区入口处设置人员更衣消毒室；</w:t>
            </w:r>
            <w:r>
              <w:rPr>
                <w:rFonts w:hint="eastAsia"/>
                <w:lang w:val="en-US" w:eastAsia="zh-CN"/>
              </w:rPr>
              <w:t>预计</w:t>
            </w:r>
            <w:r>
              <w:rPr>
                <w:rFonts w:hint="eastAsia"/>
              </w:rPr>
              <w:t>配备与其生产经营规模相适应的</w:t>
            </w:r>
            <w:r>
              <w:rPr>
                <w:rFonts w:hint="eastAsia"/>
                <w:lang w:val="en-US" w:eastAsia="zh-CN"/>
              </w:rPr>
              <w:t>污水处理系统</w:t>
            </w:r>
            <w:r>
              <w:rPr>
                <w:rFonts w:hint="eastAsia"/>
              </w:rPr>
              <w:t>，清洗消毒设施设备，以及必要的防鼠、防鸟、防虫设施设备；</w:t>
            </w:r>
            <w:r>
              <w:rPr>
                <w:rFonts w:hint="eastAsia"/>
                <w:lang w:val="en-US" w:eastAsia="zh-CN"/>
              </w:rPr>
              <w:t>预计</w:t>
            </w:r>
            <w:r>
              <w:rPr>
                <w:rFonts w:hint="eastAsia"/>
              </w:rPr>
              <w:t>建立隔离消毒、购销台账、日常巡查等动物防疫制度。</w:t>
            </w:r>
          </w:p>
        </w:tc>
        <w:tc>
          <w:tcPr>
            <w:tcW w:w="567" w:type="pct"/>
            <w:tcBorders>
              <w:top w:val="single" w:color="000000" w:sz="4" w:space="0"/>
              <w:bottom w:val="single" w:color="000000" w:sz="4" w:space="0"/>
            </w:tcBorders>
            <w:noWrap w:val="0"/>
            <w:tcMar>
              <w:top w:w="28" w:type="dxa"/>
              <w:left w:w="57" w:type="dxa"/>
              <w:bottom w:w="28" w:type="dxa"/>
              <w:right w:w="57" w:type="dxa"/>
            </w:tcMar>
            <w:vAlign w:val="center"/>
          </w:tcPr>
          <w:p w14:paraId="5A71CA28">
            <w:pPr>
              <w:pStyle w:val="19"/>
              <w:bidi w:val="0"/>
            </w:pPr>
            <w:r>
              <w:t>符合</w:t>
            </w:r>
          </w:p>
        </w:tc>
      </w:tr>
      <w:tr w14:paraId="4CEDE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78" w:type="pct"/>
            <w:tcBorders>
              <w:top w:val="single" w:color="000000" w:sz="4" w:space="0"/>
              <w:bottom w:val="single" w:color="000000" w:sz="4" w:space="0"/>
            </w:tcBorders>
            <w:noWrap w:val="0"/>
            <w:tcMar>
              <w:top w:w="28" w:type="dxa"/>
              <w:left w:w="57" w:type="dxa"/>
              <w:bottom w:w="28" w:type="dxa"/>
              <w:right w:w="57" w:type="dxa"/>
            </w:tcMar>
            <w:vAlign w:val="center"/>
          </w:tcPr>
          <w:p w14:paraId="1C89461D">
            <w:pPr>
              <w:pStyle w:val="19"/>
              <w:bidi w:val="0"/>
              <w:rPr>
                <w:rFonts w:hint="eastAsia"/>
              </w:rPr>
            </w:pPr>
            <w:r>
              <w:rPr>
                <w:rFonts w:hint="eastAsia"/>
              </w:rPr>
              <w:t>动物饲养场除符合本办法第六条规定外，还应当符合下列条件：（一）设置配备疫苗冷藏冷冻设备、消毒和诊疗等防疫设备的兽医室；（二）生产区清洁道、污染道分设；具有相对独立的动物隔离舍；（三）配备符合国家规定的病死动物和病害动物产品无害化处理设施设备或者冷藏冷冻等暂存设施设备；（四）建立免疫、用药、检疫申报、疫情报告、无害化处理、畜禽标识及养殖档案管理等动物防疫制度。</w:t>
            </w:r>
          </w:p>
          <w:p w14:paraId="612B2F2B">
            <w:pPr>
              <w:pStyle w:val="19"/>
              <w:bidi w:val="0"/>
            </w:pPr>
            <w:r>
              <w:rPr>
                <w:rFonts w:hint="eastAsia"/>
              </w:rPr>
              <w:t>禽类饲养场内的孵化间与养殖区之间应当设置隔离设施，并配备种蛋熏蒸消毒设施，孵化间的流程应当单向，不得交叉或者回流。畜禽场除符合本条第一款、第二款规定外，还应当有国家规定的动物疫病的净化制度；有动物精液、卵、胚胎采集等生产需要的，应当设置独立的区域。</w:t>
            </w:r>
          </w:p>
        </w:tc>
        <w:tc>
          <w:tcPr>
            <w:tcW w:w="1953" w:type="pct"/>
            <w:tcBorders>
              <w:top w:val="single" w:color="000000" w:sz="4" w:space="0"/>
              <w:bottom w:val="single" w:color="000000" w:sz="4" w:space="0"/>
            </w:tcBorders>
            <w:noWrap w:val="0"/>
            <w:tcMar>
              <w:top w:w="28" w:type="dxa"/>
              <w:left w:w="57" w:type="dxa"/>
              <w:bottom w:w="28" w:type="dxa"/>
              <w:right w:w="57" w:type="dxa"/>
            </w:tcMar>
            <w:vAlign w:val="center"/>
          </w:tcPr>
          <w:p w14:paraId="12D5276D">
            <w:pPr>
              <w:pStyle w:val="19"/>
              <w:bidi w:val="0"/>
              <w:rPr>
                <w:rFonts w:hint="eastAsia" w:eastAsia="宋体"/>
                <w:lang w:eastAsia="zh-CN"/>
              </w:rPr>
            </w:pPr>
            <w:r>
              <w:rPr>
                <w:rFonts w:hint="eastAsia"/>
                <w:lang w:val="en-US" w:eastAsia="zh-CN"/>
              </w:rPr>
              <w:t>本项目</w:t>
            </w:r>
            <w:r>
              <w:rPr>
                <w:rFonts w:hint="eastAsia"/>
              </w:rPr>
              <w:t>每年可育肥生猪</w:t>
            </w:r>
            <w:r>
              <w:rPr>
                <w:rFonts w:hint="eastAsia"/>
                <w:lang w:val="en-US" w:eastAsia="zh-CN"/>
              </w:rPr>
              <w:t>10万头</w:t>
            </w:r>
            <w:r>
              <w:rPr>
                <w:rFonts w:hint="eastAsia"/>
                <w:lang w:eastAsia="zh-CN"/>
              </w:rPr>
              <w:t>，</w:t>
            </w:r>
            <w:r>
              <w:rPr>
                <w:rFonts w:hint="eastAsia"/>
                <w:lang w:val="en-US" w:eastAsia="zh-CN"/>
              </w:rPr>
              <w:t>育肥猪均外购，买来时已全部打好疫苗，无需疫苗冷藏设备，消毒防疫设备存储在库房中，</w:t>
            </w:r>
            <w:r>
              <w:rPr>
                <w:rFonts w:hint="eastAsia"/>
              </w:rPr>
              <w:t>具有相对独立的动物隔离舍</w:t>
            </w:r>
            <w:r>
              <w:rPr>
                <w:rFonts w:hint="eastAsia"/>
                <w:lang w:eastAsia="zh-CN"/>
              </w:rPr>
              <w:t>，</w:t>
            </w:r>
            <w:r>
              <w:rPr>
                <w:rFonts w:hint="eastAsia"/>
              </w:rPr>
              <w:t>病死猪委托有资质单位进行处理。</w:t>
            </w:r>
            <w:r>
              <w:rPr>
                <w:rFonts w:hint="eastAsia"/>
                <w:lang w:val="en-US" w:eastAsia="zh-CN"/>
              </w:rPr>
              <w:t>预计</w:t>
            </w:r>
            <w:r>
              <w:rPr>
                <w:rFonts w:hint="eastAsia"/>
              </w:rPr>
              <w:t>建立畜禽标识及养殖档案管理等动物防疫制度</w:t>
            </w:r>
            <w:r>
              <w:rPr>
                <w:rFonts w:hint="eastAsia"/>
                <w:lang w:eastAsia="zh-CN"/>
              </w:rPr>
              <w:t>。</w:t>
            </w:r>
          </w:p>
        </w:tc>
        <w:tc>
          <w:tcPr>
            <w:tcW w:w="567" w:type="pct"/>
            <w:tcBorders>
              <w:top w:val="single" w:color="000000" w:sz="4" w:space="0"/>
              <w:bottom w:val="single" w:color="000000" w:sz="4" w:space="0"/>
            </w:tcBorders>
            <w:noWrap w:val="0"/>
            <w:tcMar>
              <w:top w:w="28" w:type="dxa"/>
              <w:left w:w="57" w:type="dxa"/>
              <w:bottom w:w="28" w:type="dxa"/>
              <w:right w:w="57" w:type="dxa"/>
            </w:tcMar>
            <w:vAlign w:val="center"/>
          </w:tcPr>
          <w:p w14:paraId="2BF8559E">
            <w:pPr>
              <w:pStyle w:val="19"/>
              <w:bidi w:val="0"/>
            </w:pPr>
            <w:r>
              <w:t>符合</w:t>
            </w:r>
          </w:p>
        </w:tc>
      </w:tr>
      <w:tr w14:paraId="58A5E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78" w:type="pct"/>
            <w:tcBorders>
              <w:top w:val="single" w:color="000000" w:sz="4" w:space="0"/>
              <w:bottom w:val="single" w:color="000000" w:sz="4" w:space="0"/>
            </w:tcBorders>
            <w:noWrap w:val="0"/>
            <w:tcMar>
              <w:top w:w="28" w:type="dxa"/>
              <w:left w:w="57" w:type="dxa"/>
              <w:bottom w:w="28" w:type="dxa"/>
              <w:right w:w="57" w:type="dxa"/>
            </w:tcMar>
            <w:vAlign w:val="center"/>
          </w:tcPr>
          <w:p w14:paraId="5B306101">
            <w:pPr>
              <w:pStyle w:val="19"/>
              <w:bidi w:val="0"/>
            </w:pPr>
            <w:r>
              <w:rPr>
                <w:rFonts w:hint="eastAsia"/>
              </w:rPr>
              <w:t>开办动物饲养场、动物隔离场所、动物屠宰加工场所以及动物和动物产品无害化处理场所，应当向县级人民政府农业农村主管部门提交选址需求。县级人民政府农业农村主管部门依据评估办法，结合场所周边的天然屏障、人工屏障、饲养环境、动物分布等情况，以及动物疫病发生、流行和控制等因素，实施综合评估，确定本办法第六条第一项要求的距离，确认选址。前款规定的评估办法由省级人民政府农业农村主管部门依据《中华人民共和国畜牧法》、《中华人民共和国动物防疫法》等法律法规和本办法制定。</w:t>
            </w:r>
          </w:p>
        </w:tc>
        <w:tc>
          <w:tcPr>
            <w:tcW w:w="1953" w:type="pct"/>
            <w:tcBorders>
              <w:top w:val="single" w:color="000000" w:sz="4" w:space="0"/>
              <w:bottom w:val="single" w:color="000000" w:sz="4" w:space="0"/>
            </w:tcBorders>
            <w:noWrap w:val="0"/>
            <w:tcMar>
              <w:top w:w="28" w:type="dxa"/>
              <w:left w:w="57" w:type="dxa"/>
              <w:bottom w:w="28" w:type="dxa"/>
              <w:right w:w="57" w:type="dxa"/>
            </w:tcMar>
            <w:vAlign w:val="center"/>
          </w:tcPr>
          <w:p w14:paraId="1CE6930C">
            <w:pPr>
              <w:pStyle w:val="19"/>
              <w:bidi w:val="0"/>
              <w:rPr>
                <w:rFonts w:hint="default"/>
                <w:lang w:val="en-US" w:eastAsia="zh-CN"/>
              </w:rPr>
            </w:pPr>
            <w:r>
              <w:rPr>
                <w:rFonts w:hint="eastAsia"/>
                <w:lang w:val="en-US" w:eastAsia="zh-CN"/>
              </w:rPr>
              <w:t>本项目用地为租赁新疆生产建设兵团第七师129团13连21.8667公顷土地，使用期限为15年（2023年12月25日-2038年12月24日），并取得了129团设施农用地备字〔2023〕67号文件。</w:t>
            </w:r>
          </w:p>
        </w:tc>
        <w:tc>
          <w:tcPr>
            <w:tcW w:w="567" w:type="pct"/>
            <w:tcBorders>
              <w:top w:val="single" w:color="000000" w:sz="4" w:space="0"/>
              <w:bottom w:val="single" w:color="000000" w:sz="4" w:space="0"/>
            </w:tcBorders>
            <w:noWrap w:val="0"/>
            <w:tcMar>
              <w:top w:w="28" w:type="dxa"/>
              <w:left w:w="57" w:type="dxa"/>
              <w:bottom w:w="28" w:type="dxa"/>
              <w:right w:w="57" w:type="dxa"/>
            </w:tcMar>
            <w:vAlign w:val="center"/>
          </w:tcPr>
          <w:p w14:paraId="47D11102">
            <w:pPr>
              <w:pStyle w:val="19"/>
              <w:bidi w:val="0"/>
            </w:pPr>
            <w:r>
              <w:t>符合</w:t>
            </w:r>
          </w:p>
        </w:tc>
      </w:tr>
      <w:tr w14:paraId="1F0CA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78" w:type="pct"/>
            <w:tcBorders>
              <w:top w:val="single" w:color="000000" w:sz="4" w:space="0"/>
            </w:tcBorders>
            <w:noWrap w:val="0"/>
            <w:tcMar>
              <w:top w:w="28" w:type="dxa"/>
              <w:left w:w="57" w:type="dxa"/>
              <w:bottom w:w="28" w:type="dxa"/>
              <w:right w:w="57" w:type="dxa"/>
            </w:tcMar>
            <w:vAlign w:val="center"/>
          </w:tcPr>
          <w:p w14:paraId="10E8155A">
            <w:pPr>
              <w:pStyle w:val="19"/>
              <w:bidi w:val="0"/>
              <w:rPr>
                <w:rFonts w:hint="eastAsia"/>
              </w:rPr>
            </w:pPr>
            <w:r>
              <w:rPr>
                <w:rFonts w:hint="eastAsia"/>
              </w:rPr>
              <w:t>患有人畜共患传染病的人员不得在本办法第二条所列场所直接从事动物疫病检测、检验、协助检疫、诊疗以及易感染动物的饲养、屠宰、经营、隔离等活动。</w:t>
            </w:r>
          </w:p>
        </w:tc>
        <w:tc>
          <w:tcPr>
            <w:tcW w:w="1953" w:type="pct"/>
            <w:tcBorders>
              <w:top w:val="single" w:color="000000" w:sz="4" w:space="0"/>
            </w:tcBorders>
            <w:noWrap w:val="0"/>
            <w:tcMar>
              <w:top w:w="28" w:type="dxa"/>
              <w:left w:w="57" w:type="dxa"/>
              <w:bottom w:w="28" w:type="dxa"/>
              <w:right w:w="57" w:type="dxa"/>
            </w:tcMar>
            <w:vAlign w:val="center"/>
          </w:tcPr>
          <w:p w14:paraId="29286958">
            <w:pPr>
              <w:pStyle w:val="19"/>
              <w:bidi w:val="0"/>
              <w:rPr>
                <w:rFonts w:hint="eastAsia" w:eastAsia="宋体"/>
                <w:lang w:val="en-US" w:eastAsia="zh-CN"/>
              </w:rPr>
            </w:pPr>
            <w:r>
              <w:rPr>
                <w:rFonts w:hint="eastAsia"/>
                <w:lang w:val="en-US" w:eastAsia="zh-CN"/>
              </w:rPr>
              <w:t>本项目招收工作人员时招收持有健康证或体检没有</w:t>
            </w:r>
            <w:r>
              <w:rPr>
                <w:rFonts w:hint="eastAsia"/>
              </w:rPr>
              <w:t>患有人畜共患传染病的人员</w:t>
            </w:r>
            <w:r>
              <w:rPr>
                <w:rFonts w:hint="eastAsia"/>
                <w:lang w:eastAsia="zh-CN"/>
              </w:rPr>
              <w:t>。</w:t>
            </w:r>
          </w:p>
        </w:tc>
        <w:tc>
          <w:tcPr>
            <w:tcW w:w="567" w:type="pct"/>
            <w:tcBorders>
              <w:top w:val="single" w:color="000000" w:sz="4" w:space="0"/>
            </w:tcBorders>
            <w:noWrap w:val="0"/>
            <w:tcMar>
              <w:top w:w="28" w:type="dxa"/>
              <w:left w:w="57" w:type="dxa"/>
              <w:bottom w:w="28" w:type="dxa"/>
              <w:right w:w="57" w:type="dxa"/>
            </w:tcMar>
            <w:vAlign w:val="center"/>
          </w:tcPr>
          <w:p w14:paraId="1728654E">
            <w:pPr>
              <w:pStyle w:val="19"/>
              <w:bidi w:val="0"/>
            </w:pPr>
            <w:r>
              <w:t>符合</w:t>
            </w:r>
          </w:p>
        </w:tc>
      </w:tr>
    </w:tbl>
    <w:p w14:paraId="248966CD">
      <w:pPr>
        <w:keepNext w:val="0"/>
        <w:keepLines w:val="0"/>
        <w:pageBreakBefore w:val="0"/>
        <w:widowControl w:val="0"/>
        <w:kinsoku/>
        <w:wordWrap/>
        <w:overflowPunct/>
        <w:topLinePunct w:val="0"/>
        <w:autoSpaceDE/>
        <w:autoSpaceDN/>
        <w:bidi w:val="0"/>
        <w:adjustRightInd/>
        <w:snapToGrid/>
        <w:textAlignment w:val="auto"/>
        <w:outlineLvl w:val="3"/>
        <w:rPr>
          <w:color w:val="000000"/>
          <w:highlight w:val="none"/>
        </w:rPr>
      </w:pPr>
      <w:r>
        <w:rPr>
          <w:color w:val="000000"/>
          <w:highlight w:val="none"/>
        </w:rPr>
        <w:t>（</w:t>
      </w:r>
      <w:r>
        <w:rPr>
          <w:rFonts w:hint="eastAsia"/>
          <w:color w:val="000000"/>
          <w:highlight w:val="none"/>
        </w:rPr>
        <w:t>2</w:t>
      </w:r>
      <w:r>
        <w:rPr>
          <w:rFonts w:hint="eastAsia"/>
          <w:color w:val="000000"/>
          <w:highlight w:val="none"/>
          <w:lang w:val="en-US" w:eastAsia="zh-CN"/>
        </w:rPr>
        <w:t>4</w:t>
      </w:r>
      <w:r>
        <w:rPr>
          <w:color w:val="000000"/>
          <w:highlight w:val="none"/>
        </w:rPr>
        <w:t>）与《</w:t>
      </w:r>
      <w:r>
        <w:rPr>
          <w:rFonts w:hint="eastAsia"/>
          <w:color w:val="000000"/>
          <w:kern w:val="0"/>
          <w:sz w:val="24"/>
          <w:szCs w:val="24"/>
          <w:highlight w:val="none"/>
        </w:rPr>
        <w:t>新疆维吾尔自治区环境保护条例</w:t>
      </w:r>
      <w:r>
        <w:rPr>
          <w:color w:val="000000"/>
          <w:highlight w:val="none"/>
        </w:rPr>
        <w:t>》符合性分析</w:t>
      </w:r>
    </w:p>
    <w:p w14:paraId="58AF0CA8">
      <w:pPr>
        <w:pStyle w:val="2"/>
        <w:rPr>
          <w:rFonts w:hint="default" w:eastAsia="宋体"/>
          <w:lang w:val="en-US" w:eastAsia="zh-CN"/>
        </w:rPr>
      </w:pPr>
      <w:r>
        <w:rPr>
          <w:rFonts w:hint="eastAsia"/>
          <w:lang w:val="en-US" w:eastAsia="zh-CN"/>
        </w:rPr>
        <w:t>本项目与</w:t>
      </w:r>
      <w:r>
        <w:rPr>
          <w:color w:val="000000"/>
          <w:highlight w:val="none"/>
        </w:rPr>
        <w:t>《</w:t>
      </w:r>
      <w:r>
        <w:rPr>
          <w:rFonts w:hint="eastAsia"/>
          <w:color w:val="000000"/>
          <w:kern w:val="0"/>
          <w:sz w:val="24"/>
          <w:szCs w:val="24"/>
          <w:highlight w:val="none"/>
        </w:rPr>
        <w:t>新疆维吾尔自治区环境保护条例</w:t>
      </w:r>
      <w:r>
        <w:rPr>
          <w:color w:val="000000"/>
          <w:highlight w:val="none"/>
        </w:rPr>
        <w:t>》符合性分析</w:t>
      </w:r>
      <w:r>
        <w:rPr>
          <w:rFonts w:hint="eastAsia"/>
          <w:color w:val="000000"/>
          <w:highlight w:val="none"/>
          <w:lang w:val="en-US" w:eastAsia="zh-CN"/>
        </w:rPr>
        <w:t>具体见表1.3-10。</w:t>
      </w:r>
    </w:p>
    <w:p w14:paraId="0AECD12C">
      <w:pPr>
        <w:pStyle w:val="30"/>
        <w:bidi w:val="0"/>
      </w:pPr>
      <w:r>
        <w:t>表</w:t>
      </w:r>
      <w:r>
        <w:rPr>
          <w:rFonts w:hint="eastAsia"/>
        </w:rPr>
        <w:t>1.3-</w:t>
      </w:r>
      <w:r>
        <w:rPr>
          <w:rFonts w:hint="eastAsia"/>
          <w:lang w:val="en-US" w:eastAsia="zh-CN"/>
        </w:rPr>
        <w:t>10</w:t>
      </w:r>
      <w:r>
        <w:t xml:space="preserve">  </w:t>
      </w:r>
      <w:r>
        <w:rPr>
          <w:rFonts w:hint="eastAsia"/>
          <w:lang w:val="en-US" w:eastAsia="zh-CN"/>
        </w:rPr>
        <w:t xml:space="preserve"> </w:t>
      </w:r>
      <w:r>
        <w:t>与</w:t>
      </w:r>
      <w:r>
        <w:rPr>
          <w:rFonts w:hint="eastAsia"/>
        </w:rPr>
        <w:t>《新疆维吾尔自治区环境保护条例》</w:t>
      </w:r>
      <w:r>
        <w:t>符合性分析</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26"/>
        <w:gridCol w:w="3228"/>
        <w:gridCol w:w="864"/>
      </w:tblGrid>
      <w:tr w14:paraId="1B12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569" w:type="pct"/>
            <w:tcBorders>
              <w:bottom w:val="single" w:color="000000" w:sz="4" w:space="0"/>
            </w:tcBorders>
            <w:noWrap w:val="0"/>
            <w:tcMar>
              <w:top w:w="28" w:type="dxa"/>
              <w:left w:w="57" w:type="dxa"/>
              <w:bottom w:w="28" w:type="dxa"/>
              <w:right w:w="57" w:type="dxa"/>
            </w:tcMar>
            <w:vAlign w:val="center"/>
          </w:tcPr>
          <w:p w14:paraId="55118AF2">
            <w:pPr>
              <w:pStyle w:val="19"/>
              <w:bidi w:val="0"/>
            </w:pPr>
            <w:r>
              <w:t>文件规定</w:t>
            </w:r>
          </w:p>
        </w:tc>
        <w:tc>
          <w:tcPr>
            <w:tcW w:w="1917" w:type="pct"/>
            <w:tcBorders>
              <w:bottom w:val="single" w:color="000000" w:sz="4" w:space="0"/>
            </w:tcBorders>
            <w:noWrap w:val="0"/>
            <w:tcMar>
              <w:top w:w="28" w:type="dxa"/>
              <w:left w:w="57" w:type="dxa"/>
              <w:bottom w:w="28" w:type="dxa"/>
              <w:right w:w="57" w:type="dxa"/>
            </w:tcMar>
            <w:vAlign w:val="center"/>
          </w:tcPr>
          <w:p w14:paraId="19700A39">
            <w:pPr>
              <w:pStyle w:val="19"/>
              <w:bidi w:val="0"/>
            </w:pPr>
            <w:r>
              <w:t>本项目情况</w:t>
            </w:r>
          </w:p>
        </w:tc>
        <w:tc>
          <w:tcPr>
            <w:tcW w:w="513" w:type="pct"/>
            <w:tcBorders>
              <w:bottom w:val="single" w:color="000000" w:sz="4" w:space="0"/>
            </w:tcBorders>
            <w:noWrap w:val="0"/>
            <w:tcMar>
              <w:top w:w="28" w:type="dxa"/>
              <w:left w:w="57" w:type="dxa"/>
              <w:bottom w:w="28" w:type="dxa"/>
              <w:right w:w="57" w:type="dxa"/>
            </w:tcMar>
            <w:vAlign w:val="center"/>
          </w:tcPr>
          <w:p w14:paraId="61173C75">
            <w:pPr>
              <w:pStyle w:val="19"/>
              <w:bidi w:val="0"/>
            </w:pPr>
            <w:r>
              <w:t>符合情况</w:t>
            </w:r>
          </w:p>
        </w:tc>
      </w:tr>
      <w:tr w14:paraId="47D08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569" w:type="pct"/>
            <w:tcBorders>
              <w:top w:val="single" w:color="000000" w:sz="4" w:space="0"/>
              <w:bottom w:val="single" w:color="000000" w:sz="4" w:space="0"/>
            </w:tcBorders>
            <w:noWrap w:val="0"/>
            <w:tcMar>
              <w:top w:w="28" w:type="dxa"/>
              <w:left w:w="57" w:type="dxa"/>
              <w:bottom w:w="28" w:type="dxa"/>
              <w:right w:w="57" w:type="dxa"/>
            </w:tcMar>
            <w:vAlign w:val="center"/>
          </w:tcPr>
          <w:p w14:paraId="5A950BF3">
            <w:pPr>
              <w:pStyle w:val="19"/>
              <w:bidi w:val="0"/>
              <w:rPr>
                <w:rFonts w:hint="eastAsia"/>
              </w:rPr>
            </w:pPr>
            <w:r>
              <w:rPr>
                <w:rFonts w:hint="eastAsia"/>
              </w:rPr>
              <w:t>建设对环境有影响的项目，应当依法进行环境影响评价。建设单位应当在开工建设前向有审批权的环境保护主管部门报批建设项目环境影响评价报告书、报告表。</w:t>
            </w:r>
          </w:p>
        </w:tc>
        <w:tc>
          <w:tcPr>
            <w:tcW w:w="1917" w:type="pct"/>
            <w:tcBorders>
              <w:top w:val="single" w:color="000000" w:sz="4" w:space="0"/>
              <w:bottom w:val="single" w:color="000000" w:sz="4" w:space="0"/>
            </w:tcBorders>
            <w:noWrap w:val="0"/>
            <w:tcMar>
              <w:top w:w="28" w:type="dxa"/>
              <w:left w:w="57" w:type="dxa"/>
              <w:bottom w:w="28" w:type="dxa"/>
              <w:right w:w="57" w:type="dxa"/>
            </w:tcMar>
            <w:vAlign w:val="center"/>
          </w:tcPr>
          <w:p w14:paraId="395C6EB1">
            <w:pPr>
              <w:pStyle w:val="19"/>
              <w:bidi w:val="0"/>
              <w:rPr>
                <w:rFonts w:hint="eastAsia" w:eastAsia="宋体"/>
                <w:lang w:eastAsia="zh-CN"/>
              </w:rPr>
            </w:pPr>
            <w:r>
              <w:rPr>
                <w:rFonts w:hint="eastAsia"/>
              </w:rPr>
              <w:t>本项目依法开展了环境影响评价工作，已编制环境影响报告书</w:t>
            </w:r>
            <w:r>
              <w:rPr>
                <w:rFonts w:hint="eastAsia"/>
                <w:lang w:eastAsia="zh-CN"/>
              </w:rPr>
              <w:t>。</w:t>
            </w:r>
          </w:p>
        </w:tc>
        <w:tc>
          <w:tcPr>
            <w:tcW w:w="513" w:type="pct"/>
            <w:tcBorders>
              <w:top w:val="single" w:color="000000" w:sz="4" w:space="0"/>
              <w:bottom w:val="single" w:color="000000" w:sz="4" w:space="0"/>
            </w:tcBorders>
            <w:noWrap w:val="0"/>
            <w:tcMar>
              <w:top w:w="28" w:type="dxa"/>
              <w:left w:w="57" w:type="dxa"/>
              <w:bottom w:w="28" w:type="dxa"/>
              <w:right w:w="57" w:type="dxa"/>
            </w:tcMar>
            <w:vAlign w:val="center"/>
          </w:tcPr>
          <w:p w14:paraId="7BD601CA">
            <w:pPr>
              <w:pStyle w:val="19"/>
              <w:bidi w:val="0"/>
            </w:pPr>
            <w:r>
              <w:t>符合</w:t>
            </w:r>
          </w:p>
        </w:tc>
      </w:tr>
      <w:tr w14:paraId="66273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569" w:type="pct"/>
            <w:tcBorders>
              <w:top w:val="single" w:color="000000" w:sz="4" w:space="0"/>
              <w:bottom w:val="single" w:color="000000" w:sz="4" w:space="0"/>
            </w:tcBorders>
            <w:noWrap w:val="0"/>
            <w:tcMar>
              <w:top w:w="28" w:type="dxa"/>
              <w:left w:w="57" w:type="dxa"/>
              <w:bottom w:w="28" w:type="dxa"/>
              <w:right w:w="57" w:type="dxa"/>
            </w:tcMar>
            <w:vAlign w:val="center"/>
          </w:tcPr>
          <w:p w14:paraId="69D8065B">
            <w:pPr>
              <w:pStyle w:val="19"/>
              <w:bidi w:val="0"/>
              <w:rPr>
                <w:rFonts w:hint="eastAsia"/>
              </w:rPr>
            </w:pPr>
            <w:r>
              <w:rPr>
                <w:rFonts w:hint="eastAsia"/>
              </w:rPr>
              <w:t>畜禽养殖场、养殖小区应当根据养殖规模和污染防治需要，建设相应的畜禽粪便、污水贮存、污水处理和畜禽尸体处理等综合利用和无害化处理设施;采取科学饲养方式和废弃物处理工艺等有效措施，防止环境污染。禁止在饮用水水源保护区、风景名胜区、自然保护区的核心区和缓冲区、城镇居民区、文化教育科学研究区等人口集中区域以及法律、法规规定的其他禁止养殖区域建设畜禽养殖场、养殖小区。</w:t>
            </w:r>
          </w:p>
        </w:tc>
        <w:tc>
          <w:tcPr>
            <w:tcW w:w="1917" w:type="pct"/>
            <w:tcBorders>
              <w:top w:val="single" w:color="000000" w:sz="4" w:space="0"/>
              <w:bottom w:val="single" w:color="000000" w:sz="4" w:space="0"/>
            </w:tcBorders>
            <w:noWrap w:val="0"/>
            <w:tcMar>
              <w:top w:w="28" w:type="dxa"/>
              <w:left w:w="57" w:type="dxa"/>
              <w:bottom w:w="28" w:type="dxa"/>
              <w:right w:w="57" w:type="dxa"/>
            </w:tcMar>
            <w:vAlign w:val="center"/>
          </w:tcPr>
          <w:p w14:paraId="3B6DE7A3">
            <w:pPr>
              <w:pStyle w:val="19"/>
              <w:bidi w:val="0"/>
              <w:rPr>
                <w:rFonts w:hint="eastAsia"/>
                <w:lang w:eastAsia="zh-CN"/>
              </w:rPr>
            </w:pPr>
            <w:r>
              <w:rPr>
                <w:rFonts w:hint="eastAsia"/>
              </w:rPr>
              <w:t>本项目粪污经“</w:t>
            </w:r>
            <w:r>
              <w:rPr>
                <w:rFonts w:hint="eastAsia"/>
                <w:lang w:val="en-US" w:eastAsia="zh-CN"/>
              </w:rPr>
              <w:t>格栅+集水池（沉砂）+固液分离+水解酸化+UASB+SBR+好氧塘储存</w:t>
            </w:r>
            <w:r>
              <w:rPr>
                <w:rFonts w:hint="eastAsia"/>
              </w:rPr>
              <w:t>”处理后</w:t>
            </w:r>
            <w:r>
              <w:rPr>
                <w:rFonts w:hint="eastAsia"/>
                <w:lang w:val="en-US" w:eastAsia="zh-CN"/>
              </w:rPr>
              <w:t>委托清运</w:t>
            </w:r>
            <w:r>
              <w:rPr>
                <w:rFonts w:hint="eastAsia"/>
              </w:rPr>
              <w:t>；病死猪委托有资质单位进行处理。采用养殖技术成熟、科学，通过优化饲料配方、提高管理水平等减少环境污染。不位于生活饮用水水源保护区、风景名胜区、自然保护区的核心区及缓冲区，不位于城市和城镇居民区，不位于禁养区域、限养区域和其他需要特殊保护的区域</w:t>
            </w:r>
            <w:r>
              <w:rPr>
                <w:rFonts w:hint="eastAsia"/>
                <w:lang w:eastAsia="zh-CN"/>
              </w:rPr>
              <w:t>。</w:t>
            </w:r>
          </w:p>
        </w:tc>
        <w:tc>
          <w:tcPr>
            <w:tcW w:w="513" w:type="pct"/>
            <w:tcBorders>
              <w:top w:val="single" w:color="000000" w:sz="4" w:space="0"/>
              <w:bottom w:val="single" w:color="000000" w:sz="4" w:space="0"/>
            </w:tcBorders>
            <w:noWrap w:val="0"/>
            <w:tcMar>
              <w:top w:w="28" w:type="dxa"/>
              <w:left w:w="57" w:type="dxa"/>
              <w:bottom w:w="28" w:type="dxa"/>
              <w:right w:w="57" w:type="dxa"/>
            </w:tcMar>
            <w:vAlign w:val="center"/>
          </w:tcPr>
          <w:p w14:paraId="0D237A5B">
            <w:pPr>
              <w:pStyle w:val="19"/>
              <w:bidi w:val="0"/>
            </w:pPr>
            <w:r>
              <w:t>符合</w:t>
            </w:r>
          </w:p>
        </w:tc>
      </w:tr>
    </w:tbl>
    <w:p w14:paraId="7C4FFD71">
      <w:pPr>
        <w:keepNext w:val="0"/>
        <w:keepLines w:val="0"/>
        <w:pageBreakBefore w:val="0"/>
        <w:widowControl w:val="0"/>
        <w:kinsoku/>
        <w:wordWrap/>
        <w:overflowPunct/>
        <w:topLinePunct w:val="0"/>
        <w:autoSpaceDE/>
        <w:autoSpaceDN/>
        <w:bidi w:val="0"/>
        <w:adjustRightInd/>
        <w:snapToGrid/>
        <w:textAlignment w:val="auto"/>
        <w:outlineLvl w:val="3"/>
        <w:rPr>
          <w:rFonts w:hint="eastAsia" w:ascii="Times New Roman" w:hAnsi="Times New Roman" w:eastAsia="宋体" w:cs="宋体"/>
          <w:color w:val="000000"/>
          <w:highlight w:val="none"/>
        </w:rPr>
      </w:pPr>
      <w:r>
        <w:rPr>
          <w:rFonts w:hint="eastAsia" w:ascii="Times New Roman" w:hAnsi="Times New Roman" w:eastAsia="宋体" w:cs="宋体"/>
          <w:color w:val="000000"/>
          <w:highlight w:val="none"/>
        </w:rPr>
        <w:t>（2</w:t>
      </w:r>
      <w:r>
        <w:rPr>
          <w:rFonts w:hint="eastAsia" w:ascii="Times New Roman" w:hAnsi="Times New Roman" w:eastAsia="宋体" w:cs="宋体"/>
          <w:color w:val="000000"/>
          <w:highlight w:val="none"/>
          <w:lang w:val="en-US" w:eastAsia="zh-CN"/>
        </w:rPr>
        <w:t>5</w:t>
      </w:r>
      <w:r>
        <w:rPr>
          <w:rFonts w:hint="eastAsia" w:ascii="Times New Roman" w:hAnsi="Times New Roman" w:eastAsia="宋体" w:cs="宋体"/>
          <w:color w:val="000000"/>
          <w:highlight w:val="none"/>
        </w:rPr>
        <w:t>）与《关于进一步明确畜禽粪污还田利用要求强化养殖污染监管的通知》（农办牧〔2020〕23号）符合性分析</w:t>
      </w:r>
    </w:p>
    <w:p w14:paraId="76CB4B24">
      <w:pPr>
        <w:pStyle w:val="2"/>
        <w:rPr>
          <w:rFonts w:hint="default" w:eastAsia="宋体"/>
          <w:lang w:val="en-US" w:eastAsia="zh-CN"/>
        </w:rPr>
      </w:pPr>
      <w:r>
        <w:rPr>
          <w:rFonts w:hint="eastAsia"/>
          <w:lang w:val="en-US" w:eastAsia="zh-CN"/>
        </w:rPr>
        <w:t>本项目与</w:t>
      </w:r>
      <w:r>
        <w:rPr>
          <w:rFonts w:hint="eastAsia" w:ascii="Times New Roman" w:hAnsi="Times New Roman" w:eastAsia="宋体" w:cs="宋体"/>
          <w:color w:val="000000"/>
          <w:highlight w:val="none"/>
        </w:rPr>
        <w:t>《关于进一步明确畜禽粪污还田利用要求强化养殖污染监管的通知》（农办牧〔2020〕23号）符合性分析</w:t>
      </w:r>
      <w:r>
        <w:rPr>
          <w:rFonts w:hint="eastAsia" w:ascii="Times New Roman" w:hAnsi="Times New Roman" w:eastAsia="宋体" w:cs="宋体"/>
          <w:color w:val="000000"/>
          <w:highlight w:val="none"/>
          <w:lang w:val="en-US" w:eastAsia="zh-CN"/>
        </w:rPr>
        <w:t>具体见表1.3-11。</w:t>
      </w:r>
    </w:p>
    <w:p w14:paraId="3E6A695E">
      <w:pPr>
        <w:pStyle w:val="30"/>
        <w:bidi w:val="0"/>
      </w:pPr>
      <w:r>
        <w:t>表</w:t>
      </w:r>
      <w:r>
        <w:rPr>
          <w:rFonts w:hint="eastAsia"/>
        </w:rPr>
        <w:t>1.3-</w:t>
      </w:r>
      <w:r>
        <w:rPr>
          <w:rFonts w:hint="eastAsia"/>
          <w:lang w:val="en-US" w:eastAsia="zh-CN"/>
        </w:rPr>
        <w:t>11</w:t>
      </w:r>
      <w:r>
        <w:t xml:space="preserve">  </w:t>
      </w:r>
      <w:r>
        <w:rPr>
          <w:rFonts w:hint="eastAsia"/>
          <w:lang w:val="en-US" w:eastAsia="zh-CN"/>
        </w:rPr>
        <w:t>与农办牧〔2020〕23号符合</w:t>
      </w:r>
      <w:r>
        <w:t>性分析</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547"/>
        <w:gridCol w:w="3166"/>
        <w:gridCol w:w="704"/>
      </w:tblGrid>
      <w:tr w14:paraId="23201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701" w:type="pct"/>
            <w:tcBorders>
              <w:bottom w:val="single" w:color="000000" w:sz="4" w:space="0"/>
            </w:tcBorders>
            <w:noWrap w:val="0"/>
            <w:tcMar>
              <w:top w:w="28" w:type="dxa"/>
              <w:left w:w="57" w:type="dxa"/>
              <w:bottom w:w="28" w:type="dxa"/>
              <w:right w:w="57" w:type="dxa"/>
            </w:tcMar>
            <w:vAlign w:val="center"/>
          </w:tcPr>
          <w:p w14:paraId="7A56BF15">
            <w:pPr>
              <w:pStyle w:val="19"/>
              <w:bidi w:val="0"/>
            </w:pPr>
            <w:r>
              <w:t>文件规定</w:t>
            </w:r>
          </w:p>
        </w:tc>
        <w:tc>
          <w:tcPr>
            <w:tcW w:w="1880" w:type="pct"/>
            <w:tcBorders>
              <w:bottom w:val="single" w:color="000000" w:sz="4" w:space="0"/>
            </w:tcBorders>
            <w:noWrap w:val="0"/>
            <w:tcMar>
              <w:top w:w="28" w:type="dxa"/>
              <w:left w:w="57" w:type="dxa"/>
              <w:bottom w:w="28" w:type="dxa"/>
              <w:right w:w="57" w:type="dxa"/>
            </w:tcMar>
            <w:vAlign w:val="center"/>
          </w:tcPr>
          <w:p w14:paraId="1884C02F">
            <w:pPr>
              <w:pStyle w:val="19"/>
              <w:bidi w:val="0"/>
            </w:pPr>
            <w:r>
              <w:t>本项目情况</w:t>
            </w:r>
          </w:p>
        </w:tc>
        <w:tc>
          <w:tcPr>
            <w:tcW w:w="418" w:type="pct"/>
            <w:tcBorders>
              <w:bottom w:val="single" w:color="000000" w:sz="4" w:space="0"/>
            </w:tcBorders>
            <w:noWrap w:val="0"/>
            <w:tcMar>
              <w:top w:w="28" w:type="dxa"/>
              <w:left w:w="57" w:type="dxa"/>
              <w:bottom w:w="28" w:type="dxa"/>
              <w:right w:w="57" w:type="dxa"/>
            </w:tcMar>
            <w:vAlign w:val="center"/>
          </w:tcPr>
          <w:p w14:paraId="107196F5">
            <w:pPr>
              <w:pStyle w:val="19"/>
              <w:bidi w:val="0"/>
            </w:pPr>
            <w:r>
              <w:t>符合情况</w:t>
            </w:r>
          </w:p>
        </w:tc>
      </w:tr>
      <w:tr w14:paraId="2CCAA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701" w:type="pct"/>
            <w:tcBorders>
              <w:top w:val="single" w:color="000000" w:sz="4" w:space="0"/>
              <w:bottom w:val="single" w:color="000000" w:sz="4" w:space="0"/>
            </w:tcBorders>
            <w:noWrap w:val="0"/>
            <w:tcMar>
              <w:top w:w="28" w:type="dxa"/>
              <w:left w:w="57" w:type="dxa"/>
              <w:bottom w:w="28" w:type="dxa"/>
              <w:right w:w="57" w:type="dxa"/>
            </w:tcMar>
            <w:vAlign w:val="center"/>
          </w:tcPr>
          <w:p w14:paraId="105A7B4B">
            <w:pPr>
              <w:pStyle w:val="19"/>
              <w:bidi w:val="0"/>
              <w:rPr>
                <w:rFonts w:hint="eastAsia"/>
              </w:rPr>
            </w:pPr>
            <w:r>
              <w:rPr>
                <w:rFonts w:hint="eastAsia"/>
              </w:rPr>
              <w:t>鼓励畜禽粪污还田利用。国家支持畜禽养殖场户建设畜禽粪污无害化处理和资源化利用设施，鼓励采取粪肥还田、制取沼气、生产有机肥等方式进行资源化利用。</w:t>
            </w:r>
          </w:p>
        </w:tc>
        <w:tc>
          <w:tcPr>
            <w:tcW w:w="1880" w:type="pct"/>
            <w:tcBorders>
              <w:top w:val="single" w:color="000000" w:sz="4" w:space="0"/>
              <w:bottom w:val="single" w:color="000000" w:sz="4" w:space="0"/>
            </w:tcBorders>
            <w:noWrap w:val="0"/>
            <w:tcMar>
              <w:top w:w="28" w:type="dxa"/>
              <w:left w:w="57" w:type="dxa"/>
              <w:bottom w:w="28" w:type="dxa"/>
              <w:right w:w="57" w:type="dxa"/>
            </w:tcMar>
            <w:vAlign w:val="center"/>
          </w:tcPr>
          <w:p w14:paraId="0E367DF4">
            <w:pPr>
              <w:pStyle w:val="19"/>
              <w:bidi w:val="0"/>
              <w:rPr>
                <w:rFonts w:hint="default" w:eastAsia="宋体"/>
                <w:lang w:val="en-US" w:eastAsia="zh-CN"/>
              </w:rPr>
            </w:pPr>
            <w:r>
              <w:rPr>
                <w:rFonts w:hint="eastAsia"/>
                <w:lang w:val="en-US" w:eastAsia="zh-CN"/>
              </w:rPr>
              <w:t>本项目</w:t>
            </w:r>
            <w:r>
              <w:rPr>
                <w:rFonts w:hint="eastAsia"/>
              </w:rPr>
              <w:t>粪肥</w:t>
            </w:r>
            <w:r>
              <w:rPr>
                <w:rFonts w:hint="eastAsia"/>
                <w:lang w:val="en-US" w:eastAsia="zh-CN"/>
              </w:rPr>
              <w:t>全部还田</w:t>
            </w:r>
          </w:p>
        </w:tc>
        <w:tc>
          <w:tcPr>
            <w:tcW w:w="418" w:type="pct"/>
            <w:tcBorders>
              <w:top w:val="single" w:color="000000" w:sz="4" w:space="0"/>
              <w:bottom w:val="single" w:color="000000" w:sz="4" w:space="0"/>
            </w:tcBorders>
            <w:noWrap w:val="0"/>
            <w:tcMar>
              <w:top w:w="28" w:type="dxa"/>
              <w:left w:w="57" w:type="dxa"/>
              <w:bottom w:w="28" w:type="dxa"/>
              <w:right w:w="57" w:type="dxa"/>
            </w:tcMar>
            <w:vAlign w:val="center"/>
          </w:tcPr>
          <w:p w14:paraId="7B5E9223">
            <w:pPr>
              <w:pStyle w:val="19"/>
              <w:bidi w:val="0"/>
              <w:rPr>
                <w:rFonts w:hint="eastAsia"/>
              </w:rPr>
            </w:pPr>
            <w:r>
              <w:rPr>
                <w:rFonts w:hint="eastAsia"/>
              </w:rPr>
              <w:t>符合</w:t>
            </w:r>
          </w:p>
        </w:tc>
      </w:tr>
      <w:tr w14:paraId="55BE3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701" w:type="pct"/>
            <w:tcBorders>
              <w:top w:val="single" w:color="000000" w:sz="4" w:space="0"/>
              <w:bottom w:val="single" w:color="000000" w:sz="4" w:space="0"/>
            </w:tcBorders>
            <w:noWrap w:val="0"/>
            <w:tcMar>
              <w:top w:w="28" w:type="dxa"/>
              <w:left w:w="57" w:type="dxa"/>
              <w:bottom w:w="28" w:type="dxa"/>
              <w:right w:w="57" w:type="dxa"/>
            </w:tcMar>
            <w:vAlign w:val="center"/>
          </w:tcPr>
          <w:p w14:paraId="19DED221">
            <w:pPr>
              <w:pStyle w:val="19"/>
              <w:bidi w:val="0"/>
              <w:rPr>
                <w:rFonts w:hint="eastAsia"/>
                <w:lang w:val="en-US" w:eastAsia="zh-CN"/>
              </w:rPr>
            </w:pPr>
            <w:r>
              <w:rPr>
                <w:rFonts w:hint="eastAsia"/>
                <w:lang w:val="en-US" w:eastAsia="zh-CN"/>
              </w:rPr>
              <w:t>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1880" w:type="pct"/>
            <w:tcBorders>
              <w:top w:val="single" w:color="000000" w:sz="4" w:space="0"/>
              <w:bottom w:val="single" w:color="000000" w:sz="4" w:space="0"/>
            </w:tcBorders>
            <w:noWrap w:val="0"/>
            <w:tcMar>
              <w:top w:w="28" w:type="dxa"/>
              <w:left w:w="57" w:type="dxa"/>
              <w:bottom w:w="28" w:type="dxa"/>
              <w:right w:w="57" w:type="dxa"/>
            </w:tcMar>
            <w:vAlign w:val="center"/>
          </w:tcPr>
          <w:p w14:paraId="0AB43C91">
            <w:pPr>
              <w:pStyle w:val="19"/>
              <w:bidi w:val="0"/>
              <w:rPr>
                <w:rFonts w:hint="default"/>
                <w:lang w:val="en-US" w:eastAsia="zh-CN"/>
              </w:rPr>
            </w:pPr>
            <w:r>
              <w:rPr>
                <w:rFonts w:hint="eastAsia"/>
                <w:lang w:val="en-US" w:eastAsia="zh-CN"/>
              </w:rPr>
              <w:t>本项目粪污经无害化处理后符合《畜禽粪便无害化处理技术规范》（GB/T36195）和《畜禽粪便还田技术规范》（GB/T25246）后委托129团农业发展中心定期清运，</w:t>
            </w:r>
            <w:r>
              <w:rPr>
                <w:rFonts w:hint="eastAsia"/>
                <w:highlight w:val="none"/>
                <w:lang w:val="en-US" w:eastAsia="zh-CN"/>
              </w:rPr>
              <w:t>已签订了清运协议，详见附件7。</w:t>
            </w:r>
          </w:p>
        </w:tc>
        <w:tc>
          <w:tcPr>
            <w:tcW w:w="418" w:type="pct"/>
            <w:tcBorders>
              <w:top w:val="single" w:color="000000" w:sz="4" w:space="0"/>
              <w:bottom w:val="single" w:color="000000" w:sz="4" w:space="0"/>
            </w:tcBorders>
            <w:noWrap w:val="0"/>
            <w:tcMar>
              <w:top w:w="28" w:type="dxa"/>
              <w:left w:w="57" w:type="dxa"/>
              <w:bottom w:w="28" w:type="dxa"/>
              <w:right w:w="57" w:type="dxa"/>
            </w:tcMar>
            <w:vAlign w:val="center"/>
          </w:tcPr>
          <w:p w14:paraId="1E47E6A6">
            <w:pPr>
              <w:pStyle w:val="19"/>
              <w:bidi w:val="0"/>
              <w:rPr>
                <w:rFonts w:hint="eastAsia"/>
              </w:rPr>
            </w:pPr>
            <w:r>
              <w:rPr>
                <w:rFonts w:hint="eastAsia"/>
              </w:rPr>
              <w:t>符合</w:t>
            </w:r>
          </w:p>
        </w:tc>
      </w:tr>
      <w:tr w14:paraId="55B39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701" w:type="pct"/>
            <w:tcBorders>
              <w:top w:val="single" w:color="000000" w:sz="4" w:space="0"/>
              <w:bottom w:val="single" w:color="000000" w:sz="4" w:space="0"/>
            </w:tcBorders>
            <w:noWrap w:val="0"/>
            <w:tcMar>
              <w:top w:w="28" w:type="dxa"/>
              <w:left w:w="57" w:type="dxa"/>
              <w:bottom w:w="28" w:type="dxa"/>
              <w:right w:w="57" w:type="dxa"/>
            </w:tcMar>
            <w:vAlign w:val="center"/>
          </w:tcPr>
          <w:p w14:paraId="495612D8">
            <w:pPr>
              <w:pStyle w:val="19"/>
              <w:bidi w:val="0"/>
              <w:rPr>
                <w:rFonts w:hint="eastAsia"/>
              </w:rPr>
            </w:pPr>
            <w:r>
              <w:rPr>
                <w:rFonts w:hint="eastAsia"/>
              </w:rPr>
              <w:t>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tc>
        <w:tc>
          <w:tcPr>
            <w:tcW w:w="1880" w:type="pct"/>
            <w:tcBorders>
              <w:top w:val="single" w:color="000000" w:sz="4" w:space="0"/>
              <w:bottom w:val="single" w:color="000000" w:sz="4" w:space="0"/>
            </w:tcBorders>
            <w:noWrap w:val="0"/>
            <w:tcMar>
              <w:top w:w="28" w:type="dxa"/>
              <w:left w:w="57" w:type="dxa"/>
              <w:bottom w:w="28" w:type="dxa"/>
              <w:right w:w="57" w:type="dxa"/>
            </w:tcMar>
            <w:vAlign w:val="center"/>
          </w:tcPr>
          <w:p w14:paraId="6EB461B2">
            <w:pPr>
              <w:pStyle w:val="19"/>
              <w:bidi w:val="0"/>
              <w:rPr>
                <w:rFonts w:hint="eastAsia"/>
                <w:highlight w:val="none"/>
                <w:lang w:val="en-US" w:eastAsia="zh-CN"/>
              </w:rPr>
            </w:pPr>
            <w:r>
              <w:rPr>
                <w:rFonts w:hint="eastAsia"/>
                <w:highlight w:val="none"/>
                <w:lang w:val="en-US" w:eastAsia="zh-CN"/>
              </w:rPr>
              <w:t>本项目堆肥场设计平面占地40m×70m，按粪堆高度4.5m计算，可堆放12600m</w:t>
            </w:r>
            <w:r>
              <w:rPr>
                <w:rFonts w:hint="eastAsia"/>
                <w:highlight w:val="none"/>
                <w:vertAlign w:val="superscript"/>
                <w:lang w:val="en-US" w:eastAsia="zh-CN"/>
              </w:rPr>
              <w:t>3</w:t>
            </w:r>
            <w:r>
              <w:rPr>
                <w:rFonts w:hint="eastAsia"/>
                <w:highlight w:val="none"/>
                <w:lang w:val="en-US" w:eastAsia="zh-CN"/>
              </w:rPr>
              <w:t>的粪污。可满足本项目粪便、沼渣的储存容纳。</w:t>
            </w:r>
          </w:p>
        </w:tc>
        <w:tc>
          <w:tcPr>
            <w:tcW w:w="418" w:type="pct"/>
            <w:tcBorders>
              <w:top w:val="single" w:color="000000" w:sz="4" w:space="0"/>
              <w:bottom w:val="single" w:color="000000" w:sz="4" w:space="0"/>
            </w:tcBorders>
            <w:noWrap w:val="0"/>
            <w:tcMar>
              <w:top w:w="28" w:type="dxa"/>
              <w:left w:w="57" w:type="dxa"/>
              <w:bottom w:w="28" w:type="dxa"/>
              <w:right w:w="57" w:type="dxa"/>
            </w:tcMar>
            <w:vAlign w:val="center"/>
          </w:tcPr>
          <w:p w14:paraId="04E177C1">
            <w:pPr>
              <w:pStyle w:val="19"/>
              <w:bidi w:val="0"/>
              <w:rPr>
                <w:rFonts w:hint="eastAsia"/>
              </w:rPr>
            </w:pPr>
            <w:r>
              <w:rPr>
                <w:rFonts w:hint="eastAsia"/>
              </w:rPr>
              <w:t>符合</w:t>
            </w:r>
          </w:p>
        </w:tc>
      </w:tr>
      <w:tr w14:paraId="1BEE1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701" w:type="pct"/>
            <w:tcBorders>
              <w:top w:val="single" w:color="000000" w:sz="4" w:space="0"/>
              <w:bottom w:val="single" w:color="000000" w:sz="4" w:space="0"/>
            </w:tcBorders>
            <w:noWrap w:val="0"/>
            <w:tcMar>
              <w:top w:w="28" w:type="dxa"/>
              <w:left w:w="57" w:type="dxa"/>
              <w:bottom w:w="28" w:type="dxa"/>
              <w:right w:w="57" w:type="dxa"/>
            </w:tcMar>
            <w:vAlign w:val="center"/>
          </w:tcPr>
          <w:p w14:paraId="739021C7">
            <w:pPr>
              <w:pStyle w:val="19"/>
              <w:bidi w:val="0"/>
              <w:rPr>
                <w:rFonts w:hint="eastAsia"/>
              </w:rPr>
            </w:pPr>
            <w:r>
              <w:rPr>
                <w:rFonts w:hint="eastAsia"/>
              </w:rPr>
              <w:t>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tc>
        <w:tc>
          <w:tcPr>
            <w:tcW w:w="1880" w:type="pct"/>
            <w:tcBorders>
              <w:top w:val="single" w:color="000000" w:sz="4" w:space="0"/>
              <w:bottom w:val="single" w:color="000000" w:sz="4" w:space="0"/>
            </w:tcBorders>
            <w:noWrap w:val="0"/>
            <w:tcMar>
              <w:top w:w="28" w:type="dxa"/>
              <w:left w:w="57" w:type="dxa"/>
              <w:bottom w:w="28" w:type="dxa"/>
              <w:right w:w="57" w:type="dxa"/>
            </w:tcMar>
            <w:vAlign w:val="center"/>
          </w:tcPr>
          <w:p w14:paraId="2DDCD228">
            <w:pPr>
              <w:pStyle w:val="19"/>
              <w:bidi w:val="0"/>
              <w:rPr>
                <w:rFonts w:hint="eastAsia"/>
                <w:highlight w:val="none"/>
              </w:rPr>
            </w:pPr>
            <w:r>
              <w:rPr>
                <w:rFonts w:hint="eastAsia"/>
                <w:highlight w:val="none"/>
                <w:lang w:val="en-US" w:eastAsia="zh-CN"/>
              </w:rPr>
              <w:t>根据《畜禽粪污土地承载力测算技术指南》，本项目粪污委托129团农业发展中心清运，本项目已签订了清运协议，详见附件7。</w:t>
            </w:r>
          </w:p>
        </w:tc>
        <w:tc>
          <w:tcPr>
            <w:tcW w:w="418" w:type="pct"/>
            <w:tcBorders>
              <w:top w:val="single" w:color="000000" w:sz="4" w:space="0"/>
              <w:bottom w:val="single" w:color="000000" w:sz="4" w:space="0"/>
            </w:tcBorders>
            <w:noWrap w:val="0"/>
            <w:tcMar>
              <w:top w:w="28" w:type="dxa"/>
              <w:left w:w="57" w:type="dxa"/>
              <w:bottom w:w="28" w:type="dxa"/>
              <w:right w:w="57" w:type="dxa"/>
            </w:tcMar>
            <w:vAlign w:val="center"/>
          </w:tcPr>
          <w:p w14:paraId="49D31182">
            <w:pPr>
              <w:pStyle w:val="19"/>
              <w:bidi w:val="0"/>
              <w:rPr>
                <w:rFonts w:hint="eastAsia"/>
              </w:rPr>
            </w:pPr>
            <w:r>
              <w:rPr>
                <w:rFonts w:hint="eastAsia"/>
              </w:rPr>
              <w:t>符合</w:t>
            </w:r>
          </w:p>
        </w:tc>
      </w:tr>
    </w:tbl>
    <w:p w14:paraId="33B98FDA">
      <w:pPr>
        <w:keepNext w:val="0"/>
        <w:keepLines w:val="0"/>
        <w:pageBreakBefore w:val="0"/>
        <w:widowControl w:val="0"/>
        <w:kinsoku/>
        <w:wordWrap/>
        <w:overflowPunct/>
        <w:topLinePunct w:val="0"/>
        <w:autoSpaceDE/>
        <w:autoSpaceDN/>
        <w:bidi w:val="0"/>
        <w:adjustRightInd/>
        <w:snapToGrid/>
        <w:textAlignment w:val="auto"/>
        <w:outlineLvl w:val="3"/>
      </w:pPr>
      <w:r>
        <w:rPr>
          <w:rFonts w:hint="eastAsia"/>
          <w:lang w:val="en-US" w:eastAsia="zh-CN"/>
        </w:rPr>
        <w:t>（26）与</w:t>
      </w:r>
      <w:r>
        <w:rPr>
          <w:rFonts w:hint="eastAsia"/>
        </w:rPr>
        <w:t>《第七师胡杨河市“三线一单”生态环境分区管控方案》符合性分析</w:t>
      </w:r>
    </w:p>
    <w:p w14:paraId="6221FD8C">
      <w:pPr>
        <w:ind w:firstLine="480"/>
      </w:pPr>
      <w:r>
        <w:rPr>
          <w:rFonts w:hint="eastAsia" w:ascii="宋体" w:hAnsi="宋体" w:cs="宋体"/>
        </w:rPr>
        <w:t>①</w:t>
      </w:r>
      <w:r>
        <w:rPr>
          <w:rFonts w:hint="eastAsia"/>
        </w:rPr>
        <w:t>生态保护红线</w:t>
      </w:r>
    </w:p>
    <w:p w14:paraId="25BD8E74">
      <w:pPr>
        <w:ind w:firstLine="480"/>
      </w:pPr>
      <w:r>
        <w:rPr>
          <w:rFonts w:hint="eastAsia"/>
        </w:rPr>
        <w:t>第七师胡杨河市生态保护红线</w:t>
      </w:r>
      <w:r>
        <w:t>主要为各类法定保护地和评估确定的极重要</w:t>
      </w:r>
      <w:r>
        <w:rPr>
          <w:rFonts w:hint="eastAsia"/>
        </w:rPr>
        <w:t>、极敏感区</w:t>
      </w:r>
      <w:r>
        <w:t>，生态</w:t>
      </w:r>
      <w:r>
        <w:rPr>
          <w:rFonts w:hint="eastAsia"/>
        </w:rPr>
        <w:t>保护</w:t>
      </w:r>
      <w:r>
        <w:t>红线面积587.57平方公里</w:t>
      </w:r>
      <w:r>
        <w:rPr>
          <w:rFonts w:hint="eastAsia"/>
        </w:rPr>
        <w:t>，本项目</w:t>
      </w:r>
      <w:r>
        <w:rPr>
          <w:rFonts w:hint="eastAsia"/>
          <w:lang w:val="en-US" w:eastAsia="zh-CN"/>
        </w:rPr>
        <w:t>选址</w:t>
      </w:r>
      <w:r>
        <w:rPr>
          <w:rFonts w:hint="eastAsia"/>
        </w:rPr>
        <w:t>位于</w:t>
      </w:r>
      <w:r>
        <w:rPr>
          <w:rFonts w:hint="eastAsia"/>
          <w:lang w:val="en-US" w:eastAsia="zh-CN"/>
        </w:rPr>
        <w:t>第七师胡杨河市129团13连的未利用地</w:t>
      </w:r>
      <w:r>
        <w:rPr>
          <w:rFonts w:hint="eastAsia"/>
        </w:rPr>
        <w:t>，不涉及生态保护红线范围。</w:t>
      </w:r>
    </w:p>
    <w:p w14:paraId="290A7449">
      <w:pPr>
        <w:ind w:firstLine="480"/>
      </w:pPr>
      <w:r>
        <w:rPr>
          <w:rFonts w:hint="eastAsia" w:ascii="宋体" w:hAnsi="宋体" w:cs="宋体"/>
        </w:rPr>
        <w:t>②</w:t>
      </w:r>
      <w:r>
        <w:rPr>
          <w:rFonts w:hint="eastAsia"/>
        </w:rPr>
        <w:t>环境质量底线</w:t>
      </w:r>
    </w:p>
    <w:p w14:paraId="1E20E682">
      <w:pPr>
        <w:ind w:firstLine="480"/>
      </w:pPr>
      <w:r>
        <w:t>根据《方案》中的要求，师市河流、湖库、水源地水质总体保持稳定，饮用水安全保障水平持续提升，水生态环境状况继续好转。奎屯河老龙口断面和黄沟二库断面水质保持Ⅱ类标准，奎屯河大桥断面、白杨河乌尔禾断面和古尔图河柳沟水库断面水质保持Ⅲ类标准，泉沟水库、奎屯水库、车排子水库和柳沟水库断面水质保持Ⅲ类标准。环境空气质量稳步提升，重污染天数持续减少。土壤环境质量保持稳定，农用地和建设用地土壤环境安全得到有效保障，土壤环境风险得到有效管控。受污染耕地安全利用率达到93%以上，污染地块安全利用率达到93%以上。</w:t>
      </w:r>
    </w:p>
    <w:p w14:paraId="743B5831">
      <w:pPr>
        <w:ind w:firstLine="480"/>
      </w:pPr>
      <w:r>
        <w:rPr>
          <w:rFonts w:hint="eastAsia"/>
        </w:rPr>
        <w:t>本项目粪污经“</w:t>
      </w:r>
      <w:r>
        <w:rPr>
          <w:rFonts w:hint="eastAsia"/>
          <w:lang w:val="en-US" w:eastAsia="zh-CN"/>
        </w:rPr>
        <w:t>格栅+集水池（沉砂）+固液分离+水解酸化+UASB+SBR+好氧塘储存</w:t>
      </w:r>
      <w:r>
        <w:rPr>
          <w:rFonts w:hint="eastAsia"/>
        </w:rPr>
        <w:t>”处理后</w:t>
      </w:r>
      <w:r>
        <w:rPr>
          <w:rFonts w:hint="eastAsia"/>
          <w:lang w:eastAsia="zh-CN"/>
        </w:rPr>
        <w:t>委托清运</w:t>
      </w:r>
      <w:r>
        <w:rPr>
          <w:rFonts w:hint="eastAsia"/>
        </w:rPr>
        <w:t>，且项目区周围无上述地表水体分布，与地表水不发生水力联系，不会对周围地表水产生影响；本项目废气处理措施符合相关排污许可申请与核发技术规范中推荐的污染防治措施，可实现达标排放，对环境空气影响较小；本项目占地属于</w:t>
      </w:r>
      <w:r>
        <w:rPr>
          <w:rFonts w:hint="eastAsia"/>
          <w:lang w:val="en-US" w:eastAsia="zh-CN"/>
        </w:rPr>
        <w:t>第七师129团13连</w:t>
      </w:r>
      <w:r>
        <w:rPr>
          <w:rFonts w:hint="eastAsia"/>
        </w:rPr>
        <w:t>的</w:t>
      </w:r>
      <w:r>
        <w:rPr>
          <w:rFonts w:hint="eastAsia"/>
          <w:lang w:val="en-US" w:eastAsia="zh-CN"/>
        </w:rPr>
        <w:t>未利</w:t>
      </w:r>
      <w:r>
        <w:rPr>
          <w:rFonts w:hint="eastAsia"/>
        </w:rPr>
        <w:t>用地，不占用农用地。综上所述，本项目建设符合环境质量底线要求。</w:t>
      </w:r>
    </w:p>
    <w:p w14:paraId="3870DE53">
      <w:pPr>
        <w:ind w:firstLine="480"/>
      </w:pPr>
      <w:r>
        <w:rPr>
          <w:rFonts w:hint="eastAsia" w:ascii="宋体" w:hAnsi="宋体" w:cs="宋体"/>
        </w:rPr>
        <w:t>③</w:t>
      </w:r>
      <w:r>
        <w:rPr>
          <w:rFonts w:hint="eastAsia"/>
        </w:rPr>
        <w:t>资源利用上线</w:t>
      </w:r>
    </w:p>
    <w:p w14:paraId="0844E032">
      <w:pPr>
        <w:ind w:firstLine="480"/>
      </w:pPr>
      <w:r>
        <w:rPr>
          <w:rFonts w:hint="eastAsia"/>
        </w:rPr>
        <w:t>文件要求，项目所在地应</w:t>
      </w:r>
      <w:r>
        <w:t>强化节约集约利用，持续提升资源能源利用效率，水资源、土地资源、能源消耗达到国家、兵团下达的总量和强度控制目标，地下水超采得到严格控制。加快低碳发展，积极推动低碳试点建设，发挥低碳试点示范引领作用。</w:t>
      </w:r>
    </w:p>
    <w:p w14:paraId="74106715">
      <w:pPr>
        <w:ind w:firstLine="480"/>
      </w:pPr>
      <w:r>
        <w:rPr>
          <w:rFonts w:hint="eastAsia"/>
        </w:rPr>
        <w:t>本项目</w:t>
      </w:r>
      <w:r>
        <w:rPr>
          <w:rFonts w:hint="eastAsia"/>
          <w:lang w:val="en-US" w:eastAsia="zh-CN"/>
        </w:rPr>
        <w:t>供水、供电均由129团13连供水管网和电网接入</w:t>
      </w:r>
      <w:r>
        <w:rPr>
          <w:rFonts w:hint="eastAsia"/>
        </w:rPr>
        <w:t>，不开采地下水</w:t>
      </w:r>
      <w:r>
        <w:rPr>
          <w:rFonts w:hint="eastAsia"/>
          <w:lang w:eastAsia="zh-CN"/>
        </w:rPr>
        <w:t>；</w:t>
      </w:r>
      <w:r>
        <w:rPr>
          <w:rFonts w:hint="eastAsia"/>
          <w:lang w:val="en-US" w:eastAsia="zh-CN"/>
        </w:rPr>
        <w:t>本项目设置2台生物质锅炉，用以供暖，</w:t>
      </w:r>
      <w:r>
        <w:rPr>
          <w:rFonts w:hint="eastAsia"/>
        </w:rPr>
        <w:t>不新增用煤量。综上所述，本项目建设不会突破资源利用上线。</w:t>
      </w:r>
    </w:p>
    <w:p w14:paraId="00E366DD">
      <w:pPr>
        <w:ind w:firstLine="480"/>
      </w:pPr>
      <w:r>
        <w:rPr>
          <w:rFonts w:hint="eastAsia" w:ascii="宋体" w:hAnsi="宋体" w:cs="宋体"/>
        </w:rPr>
        <w:t>④</w:t>
      </w:r>
      <w:r>
        <w:rPr>
          <w:rFonts w:hint="eastAsia"/>
        </w:rPr>
        <w:t>生态环境准入清单</w:t>
      </w:r>
    </w:p>
    <w:p w14:paraId="45869C0C">
      <w:pPr>
        <w:ind w:firstLine="480"/>
        <w:rPr>
          <w:rFonts w:hint="eastAsia"/>
          <w:lang w:val="en-US" w:eastAsia="zh-CN"/>
        </w:rPr>
      </w:pPr>
      <w:r>
        <w:rPr>
          <w:rFonts w:hint="eastAsia"/>
        </w:rPr>
        <w:t>本项目位于</w:t>
      </w:r>
      <w:r>
        <w:rPr>
          <w:rFonts w:hint="eastAsia"/>
          <w:lang w:val="en-US" w:eastAsia="zh-CN"/>
        </w:rPr>
        <w:t>第七师129团13连的未利用地</w:t>
      </w:r>
      <w:r>
        <w:rPr>
          <w:rFonts w:hint="eastAsia"/>
        </w:rPr>
        <w:t>，根据《第七师胡杨河市生态环境准入清单》文件，</w:t>
      </w:r>
      <w:r>
        <w:rPr>
          <w:rFonts w:hint="eastAsia"/>
          <w:lang w:val="en-US" w:eastAsia="zh-CN"/>
        </w:rPr>
        <w:t>本项目选址</w:t>
      </w:r>
      <w:r>
        <w:rPr>
          <w:rFonts w:hint="eastAsia"/>
        </w:rPr>
        <w:t>属于</w:t>
      </w:r>
      <w:r>
        <w:rPr>
          <w:rFonts w:hint="eastAsia"/>
          <w:lang w:val="en-US" w:eastAsia="zh-CN"/>
        </w:rPr>
        <w:t>130团中的一般</w:t>
      </w:r>
      <w:r>
        <w:rPr>
          <w:rFonts w:hint="eastAsia"/>
        </w:rPr>
        <w:t>管控单元，</w:t>
      </w:r>
      <w:r>
        <w:rPr>
          <w:rFonts w:hint="eastAsia"/>
          <w:lang w:val="en-US" w:eastAsia="zh-CN"/>
        </w:rPr>
        <w:t>具体要求见表1.3-12。</w:t>
      </w:r>
    </w:p>
    <w:p w14:paraId="24E75156">
      <w:pPr>
        <w:rPr>
          <w:rFonts w:hint="eastAsia"/>
          <w:lang w:val="en-US" w:eastAsia="zh-CN"/>
        </w:rPr>
      </w:pPr>
    </w:p>
    <w:p w14:paraId="091001CA">
      <w:pPr>
        <w:rPr>
          <w:rFonts w:hint="eastAsia"/>
          <w:lang w:val="en-US" w:eastAsia="zh-CN"/>
        </w:rPr>
        <w:sectPr>
          <w:footerReference r:id="rId7" w:type="default"/>
          <w:pgSz w:w="11906" w:h="16838"/>
          <w:pgMar w:top="1440" w:right="1800" w:bottom="1440" w:left="1800" w:header="794" w:footer="737" w:gutter="0"/>
          <w:pgBorders>
            <w:top w:val="none" w:sz="0" w:space="0"/>
            <w:left w:val="none" w:sz="0" w:space="0"/>
            <w:bottom w:val="none" w:sz="0" w:space="0"/>
            <w:right w:val="none" w:sz="0" w:space="0"/>
          </w:pgBorders>
          <w:pgNumType w:fmt="numberInDash" w:start="1"/>
          <w:cols w:space="720" w:num="1"/>
          <w:docGrid w:type="lines" w:linePitch="312" w:charSpace="0"/>
        </w:sectPr>
      </w:pPr>
    </w:p>
    <w:p w14:paraId="3F479D81">
      <w:pPr>
        <w:pStyle w:val="30"/>
        <w:bidi w:val="0"/>
        <w:rPr>
          <w:rFonts w:hint="default"/>
          <w:lang w:val="en-US" w:eastAsia="zh-CN"/>
        </w:rPr>
      </w:pPr>
      <w:r>
        <w:rPr>
          <w:rFonts w:hint="eastAsia"/>
          <w:lang w:val="en-US" w:eastAsia="zh-CN"/>
        </w:rPr>
        <w:t>表1.3-12   与《第七师胡杨河市生态环境准入清单》符合性分析表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780"/>
        <w:gridCol w:w="471"/>
        <w:gridCol w:w="496"/>
        <w:gridCol w:w="723"/>
        <w:gridCol w:w="2068"/>
        <w:gridCol w:w="4170"/>
        <w:gridCol w:w="2685"/>
        <w:gridCol w:w="1724"/>
      </w:tblGrid>
      <w:tr w14:paraId="0F11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72" w:type="pct"/>
            <w:vMerge w:val="restart"/>
            <w:noWrap w:val="0"/>
            <w:vAlign w:val="center"/>
          </w:tcPr>
          <w:p w14:paraId="4E762A9B">
            <w:pPr>
              <w:pStyle w:val="19"/>
              <w:bidi w:val="0"/>
              <w:jc w:val="center"/>
              <w:rPr>
                <w:rFonts w:hint="default"/>
                <w:lang w:val="en-US" w:eastAsia="zh-CN"/>
              </w:rPr>
            </w:pPr>
            <w:r>
              <w:rPr>
                <w:rFonts w:hint="eastAsia"/>
                <w:lang w:val="en-US" w:eastAsia="zh-CN"/>
              </w:rPr>
              <w:t>环境管控单元代码</w:t>
            </w:r>
          </w:p>
        </w:tc>
        <w:tc>
          <w:tcPr>
            <w:tcW w:w="275" w:type="pct"/>
            <w:vMerge w:val="restart"/>
            <w:noWrap w:val="0"/>
            <w:vAlign w:val="center"/>
          </w:tcPr>
          <w:p w14:paraId="03C0ADD3">
            <w:pPr>
              <w:pStyle w:val="19"/>
              <w:bidi w:val="0"/>
              <w:jc w:val="center"/>
              <w:rPr>
                <w:rFonts w:hint="default"/>
                <w:lang w:val="en-US" w:eastAsia="zh-CN"/>
              </w:rPr>
            </w:pPr>
            <w:r>
              <w:rPr>
                <w:rFonts w:hint="eastAsia"/>
                <w:lang w:val="en-US" w:eastAsia="zh-CN"/>
              </w:rPr>
              <w:t>单元名称</w:t>
            </w:r>
          </w:p>
        </w:tc>
        <w:tc>
          <w:tcPr>
            <w:tcW w:w="341" w:type="pct"/>
            <w:gridSpan w:val="2"/>
            <w:noWrap w:val="0"/>
            <w:vAlign w:val="center"/>
          </w:tcPr>
          <w:p w14:paraId="2C5750D7">
            <w:pPr>
              <w:pStyle w:val="19"/>
              <w:bidi w:val="0"/>
              <w:jc w:val="center"/>
              <w:rPr>
                <w:rFonts w:hint="eastAsia"/>
                <w:lang w:val="en-US" w:eastAsia="zh-CN"/>
              </w:rPr>
            </w:pPr>
            <w:r>
              <w:rPr>
                <w:rFonts w:hint="eastAsia"/>
                <w:lang w:val="en-US" w:eastAsia="zh-CN"/>
              </w:rPr>
              <w:t>行政区划</w:t>
            </w:r>
          </w:p>
        </w:tc>
        <w:tc>
          <w:tcPr>
            <w:tcW w:w="255" w:type="pct"/>
            <w:vMerge w:val="restart"/>
            <w:noWrap w:val="0"/>
            <w:vAlign w:val="center"/>
          </w:tcPr>
          <w:p w14:paraId="15D7C07C">
            <w:pPr>
              <w:pStyle w:val="19"/>
              <w:bidi w:val="0"/>
              <w:jc w:val="center"/>
              <w:rPr>
                <w:rFonts w:hint="default"/>
                <w:lang w:val="en-US" w:eastAsia="zh-CN"/>
              </w:rPr>
            </w:pPr>
            <w:r>
              <w:rPr>
                <w:rFonts w:hint="eastAsia"/>
                <w:lang w:val="en-US" w:eastAsia="zh-CN"/>
              </w:rPr>
              <w:t>管控单元分类</w:t>
            </w:r>
          </w:p>
        </w:tc>
        <w:tc>
          <w:tcPr>
            <w:tcW w:w="729" w:type="pct"/>
            <w:vMerge w:val="restart"/>
            <w:noWrap w:val="0"/>
            <w:vAlign w:val="center"/>
          </w:tcPr>
          <w:p w14:paraId="35A1F488">
            <w:pPr>
              <w:pStyle w:val="19"/>
              <w:bidi w:val="0"/>
              <w:jc w:val="center"/>
              <w:rPr>
                <w:rFonts w:hint="default"/>
                <w:lang w:val="en-US" w:eastAsia="zh-CN"/>
              </w:rPr>
            </w:pPr>
            <w:r>
              <w:rPr>
                <w:rFonts w:hint="eastAsia"/>
                <w:lang w:val="en-US" w:eastAsia="zh-CN"/>
              </w:rPr>
              <w:t>空间布局约束</w:t>
            </w:r>
          </w:p>
        </w:tc>
        <w:tc>
          <w:tcPr>
            <w:tcW w:w="1471" w:type="pct"/>
            <w:vMerge w:val="restart"/>
            <w:noWrap w:val="0"/>
            <w:vAlign w:val="center"/>
          </w:tcPr>
          <w:p w14:paraId="60FC3618">
            <w:pPr>
              <w:pStyle w:val="19"/>
              <w:bidi w:val="0"/>
              <w:jc w:val="center"/>
              <w:rPr>
                <w:rFonts w:hint="default"/>
                <w:lang w:val="en-US" w:eastAsia="zh-CN"/>
              </w:rPr>
            </w:pPr>
            <w:r>
              <w:rPr>
                <w:rFonts w:hint="eastAsia"/>
                <w:lang w:val="en-US" w:eastAsia="zh-CN"/>
              </w:rPr>
              <w:t>污染物排放管控</w:t>
            </w:r>
          </w:p>
        </w:tc>
        <w:tc>
          <w:tcPr>
            <w:tcW w:w="947" w:type="pct"/>
            <w:vMerge w:val="restart"/>
            <w:noWrap w:val="0"/>
            <w:vAlign w:val="center"/>
          </w:tcPr>
          <w:p w14:paraId="081C63D5">
            <w:pPr>
              <w:pStyle w:val="19"/>
              <w:bidi w:val="0"/>
              <w:jc w:val="center"/>
              <w:rPr>
                <w:rFonts w:hint="default"/>
                <w:lang w:val="en-US" w:eastAsia="zh-CN"/>
              </w:rPr>
            </w:pPr>
            <w:r>
              <w:rPr>
                <w:rFonts w:hint="eastAsia"/>
                <w:lang w:val="en-US" w:eastAsia="zh-CN"/>
              </w:rPr>
              <w:t>环境风险防控</w:t>
            </w:r>
          </w:p>
        </w:tc>
        <w:tc>
          <w:tcPr>
            <w:tcW w:w="608" w:type="pct"/>
            <w:vMerge w:val="restart"/>
            <w:noWrap w:val="0"/>
            <w:vAlign w:val="center"/>
          </w:tcPr>
          <w:p w14:paraId="4835D0BC">
            <w:pPr>
              <w:pStyle w:val="19"/>
              <w:bidi w:val="0"/>
              <w:jc w:val="center"/>
              <w:rPr>
                <w:rFonts w:hint="default"/>
                <w:lang w:val="en-US" w:eastAsia="zh-CN"/>
              </w:rPr>
            </w:pPr>
            <w:r>
              <w:rPr>
                <w:rFonts w:hint="eastAsia"/>
                <w:lang w:val="en-US" w:eastAsia="zh-CN"/>
              </w:rPr>
              <w:t>资源利用效率</w:t>
            </w:r>
          </w:p>
        </w:tc>
      </w:tr>
      <w:tr w14:paraId="3C04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72" w:type="pct"/>
            <w:vMerge w:val="continue"/>
            <w:noWrap w:val="0"/>
            <w:vAlign w:val="center"/>
          </w:tcPr>
          <w:p w14:paraId="5CED7012">
            <w:pPr>
              <w:pStyle w:val="19"/>
              <w:bidi w:val="0"/>
              <w:jc w:val="center"/>
            </w:pPr>
          </w:p>
        </w:tc>
        <w:tc>
          <w:tcPr>
            <w:tcW w:w="275" w:type="pct"/>
            <w:vMerge w:val="continue"/>
            <w:noWrap w:val="0"/>
            <w:vAlign w:val="center"/>
          </w:tcPr>
          <w:p w14:paraId="38124368">
            <w:pPr>
              <w:pStyle w:val="19"/>
              <w:bidi w:val="0"/>
              <w:jc w:val="center"/>
            </w:pPr>
          </w:p>
        </w:tc>
        <w:tc>
          <w:tcPr>
            <w:tcW w:w="166" w:type="pct"/>
            <w:noWrap w:val="0"/>
            <w:vAlign w:val="center"/>
          </w:tcPr>
          <w:p w14:paraId="2C449680">
            <w:pPr>
              <w:pStyle w:val="19"/>
              <w:bidi w:val="0"/>
              <w:jc w:val="center"/>
              <w:rPr>
                <w:rFonts w:hint="default"/>
                <w:lang w:val="en-US" w:eastAsia="zh-CN"/>
              </w:rPr>
            </w:pPr>
            <w:r>
              <w:rPr>
                <w:rFonts w:hint="eastAsia"/>
                <w:lang w:val="en-US" w:eastAsia="zh-CN"/>
              </w:rPr>
              <w:t>师</w:t>
            </w:r>
          </w:p>
        </w:tc>
        <w:tc>
          <w:tcPr>
            <w:tcW w:w="174" w:type="pct"/>
            <w:noWrap w:val="0"/>
            <w:vAlign w:val="center"/>
          </w:tcPr>
          <w:p w14:paraId="519BE258">
            <w:pPr>
              <w:pStyle w:val="19"/>
              <w:bidi w:val="0"/>
              <w:jc w:val="center"/>
              <w:rPr>
                <w:rFonts w:hint="default"/>
                <w:lang w:val="en-US" w:eastAsia="zh-CN"/>
              </w:rPr>
            </w:pPr>
            <w:r>
              <w:rPr>
                <w:rFonts w:hint="eastAsia"/>
                <w:lang w:val="en-US" w:eastAsia="zh-CN"/>
              </w:rPr>
              <w:t>团场</w:t>
            </w:r>
          </w:p>
        </w:tc>
        <w:tc>
          <w:tcPr>
            <w:tcW w:w="255" w:type="pct"/>
            <w:vMerge w:val="continue"/>
            <w:noWrap w:val="0"/>
            <w:vAlign w:val="center"/>
          </w:tcPr>
          <w:p w14:paraId="2EE766CF">
            <w:pPr>
              <w:pStyle w:val="19"/>
              <w:bidi w:val="0"/>
              <w:jc w:val="center"/>
              <w:rPr>
                <w:rFonts w:hint="eastAsia"/>
                <w:lang w:val="en-US" w:eastAsia="zh-CN"/>
              </w:rPr>
            </w:pPr>
          </w:p>
        </w:tc>
        <w:tc>
          <w:tcPr>
            <w:tcW w:w="729" w:type="pct"/>
            <w:vMerge w:val="continue"/>
            <w:noWrap w:val="0"/>
            <w:vAlign w:val="center"/>
          </w:tcPr>
          <w:p w14:paraId="3356D0CF">
            <w:pPr>
              <w:pStyle w:val="19"/>
              <w:bidi w:val="0"/>
              <w:jc w:val="center"/>
              <w:rPr>
                <w:rFonts w:hint="eastAsia"/>
                <w:lang w:val="en-US" w:eastAsia="zh-CN"/>
              </w:rPr>
            </w:pPr>
          </w:p>
        </w:tc>
        <w:tc>
          <w:tcPr>
            <w:tcW w:w="1471" w:type="pct"/>
            <w:vMerge w:val="continue"/>
            <w:noWrap w:val="0"/>
            <w:vAlign w:val="center"/>
          </w:tcPr>
          <w:p w14:paraId="2F626F84">
            <w:pPr>
              <w:pStyle w:val="19"/>
              <w:bidi w:val="0"/>
              <w:jc w:val="center"/>
              <w:rPr>
                <w:rFonts w:hint="eastAsia"/>
                <w:lang w:val="en-US" w:eastAsia="zh-CN"/>
              </w:rPr>
            </w:pPr>
          </w:p>
        </w:tc>
        <w:tc>
          <w:tcPr>
            <w:tcW w:w="947" w:type="pct"/>
            <w:vMerge w:val="continue"/>
            <w:noWrap w:val="0"/>
            <w:vAlign w:val="center"/>
          </w:tcPr>
          <w:p w14:paraId="4E3A1252">
            <w:pPr>
              <w:pStyle w:val="19"/>
              <w:bidi w:val="0"/>
              <w:jc w:val="center"/>
              <w:rPr>
                <w:rFonts w:hint="eastAsia"/>
                <w:lang w:val="en-US" w:eastAsia="zh-CN"/>
              </w:rPr>
            </w:pPr>
          </w:p>
        </w:tc>
        <w:tc>
          <w:tcPr>
            <w:tcW w:w="608" w:type="pct"/>
            <w:vMerge w:val="continue"/>
            <w:noWrap w:val="0"/>
            <w:vAlign w:val="center"/>
          </w:tcPr>
          <w:p w14:paraId="6D1633EE">
            <w:pPr>
              <w:pStyle w:val="19"/>
              <w:bidi w:val="0"/>
              <w:jc w:val="center"/>
              <w:rPr>
                <w:rFonts w:hint="eastAsia"/>
                <w:lang w:val="en-US" w:eastAsia="zh-CN"/>
              </w:rPr>
            </w:pPr>
          </w:p>
        </w:tc>
      </w:tr>
      <w:tr w14:paraId="1BB1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noWrap w:val="0"/>
            <w:vAlign w:val="center"/>
          </w:tcPr>
          <w:p w14:paraId="40C88E0D">
            <w:pPr>
              <w:pStyle w:val="19"/>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t>ZH65770730001</w:t>
            </w:r>
          </w:p>
        </w:tc>
        <w:tc>
          <w:tcPr>
            <w:tcW w:w="275" w:type="pct"/>
            <w:noWrap w:val="0"/>
            <w:vAlign w:val="center"/>
          </w:tcPr>
          <w:p w14:paraId="0F726517">
            <w:pPr>
              <w:pStyle w:val="19"/>
              <w:bidi w:val="0"/>
              <w:jc w:val="center"/>
              <w:rPr>
                <w:rFonts w:hint="eastAsia"/>
                <w:lang w:val="en-US" w:eastAsia="zh-CN"/>
              </w:rPr>
            </w:pPr>
            <w:r>
              <w:t>129团一般管控单元</w:t>
            </w:r>
          </w:p>
        </w:tc>
        <w:tc>
          <w:tcPr>
            <w:tcW w:w="166" w:type="pct"/>
            <w:noWrap w:val="0"/>
            <w:vAlign w:val="center"/>
          </w:tcPr>
          <w:p w14:paraId="44B462E9">
            <w:pPr>
              <w:pStyle w:val="19"/>
              <w:bidi w:val="0"/>
              <w:jc w:val="center"/>
              <w:rPr>
                <w:rFonts w:hint="eastAsia"/>
                <w:lang w:val="en-US" w:eastAsia="zh-CN"/>
              </w:rPr>
            </w:pPr>
            <w:r>
              <w:t>第七师</w:t>
            </w:r>
          </w:p>
        </w:tc>
        <w:tc>
          <w:tcPr>
            <w:tcW w:w="174" w:type="pct"/>
            <w:noWrap w:val="0"/>
            <w:vAlign w:val="center"/>
          </w:tcPr>
          <w:p w14:paraId="63B7A752">
            <w:pPr>
              <w:pStyle w:val="19"/>
              <w:bidi w:val="0"/>
              <w:jc w:val="center"/>
              <w:rPr>
                <w:rFonts w:hint="eastAsia"/>
                <w:lang w:val="en-US" w:eastAsia="zh-CN"/>
              </w:rPr>
            </w:pPr>
            <w:r>
              <w:t>129团</w:t>
            </w:r>
          </w:p>
        </w:tc>
        <w:tc>
          <w:tcPr>
            <w:tcW w:w="255" w:type="pct"/>
            <w:noWrap w:val="0"/>
            <w:vAlign w:val="center"/>
          </w:tcPr>
          <w:p w14:paraId="120647A6">
            <w:pPr>
              <w:pStyle w:val="19"/>
              <w:bidi w:val="0"/>
              <w:jc w:val="center"/>
              <w:rPr>
                <w:rFonts w:hint="eastAsia"/>
                <w:lang w:val="en-US" w:eastAsia="zh-CN"/>
              </w:rPr>
            </w:pPr>
            <w:r>
              <w:t>一般管控单元</w:t>
            </w:r>
          </w:p>
        </w:tc>
        <w:tc>
          <w:tcPr>
            <w:tcW w:w="729" w:type="pct"/>
            <w:noWrap w:val="0"/>
            <w:vAlign w:val="center"/>
          </w:tcPr>
          <w:p w14:paraId="6F24CB4F">
            <w:pPr>
              <w:pStyle w:val="19"/>
              <w:bidi w:val="0"/>
              <w:jc w:val="center"/>
            </w:pPr>
            <w:r>
              <w:rPr>
                <w:rFonts w:hint="eastAsia"/>
              </w:rPr>
              <w:t>（1）执行</w:t>
            </w:r>
            <w:r>
              <w:t>一般生态空间</w:t>
            </w:r>
            <w:r>
              <w:rPr>
                <w:rFonts w:hint="eastAsia"/>
              </w:rPr>
              <w:t>-生物多样性</w:t>
            </w:r>
            <w:r>
              <w:t>相关要求。</w:t>
            </w:r>
          </w:p>
          <w:p w14:paraId="303E8246">
            <w:pPr>
              <w:pStyle w:val="19"/>
              <w:bidi w:val="0"/>
              <w:jc w:val="center"/>
              <w:rPr>
                <w:rFonts w:hint="eastAsia"/>
                <w:lang w:val="en-US" w:eastAsia="zh-CN"/>
              </w:rPr>
            </w:pPr>
            <w:r>
              <w:rPr>
                <w:rFonts w:hint="eastAsia"/>
              </w:rPr>
              <w:t>（2）加强农田防护林网体系建设，保护基本农田，改造中低产农田和盐碱地，发展设施农业，并改进农业种植技术。</w:t>
            </w:r>
          </w:p>
        </w:tc>
        <w:tc>
          <w:tcPr>
            <w:tcW w:w="1471" w:type="pct"/>
            <w:noWrap w:val="0"/>
            <w:vAlign w:val="center"/>
          </w:tcPr>
          <w:p w14:paraId="039EDA03">
            <w:pPr>
              <w:pStyle w:val="19"/>
              <w:bidi w:val="0"/>
              <w:jc w:val="center"/>
              <w:rPr>
                <w:rFonts w:hint="eastAsia"/>
                <w:lang w:val="en-US" w:eastAsia="zh-CN"/>
              </w:rPr>
            </w:pPr>
            <w:r>
              <w:rPr>
                <w:rFonts w:hint="eastAsia"/>
              </w:rPr>
              <w:t>（1）</w:t>
            </w:r>
            <w:r>
              <w:t>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w:t>
            </w:r>
          </w:p>
        </w:tc>
        <w:tc>
          <w:tcPr>
            <w:tcW w:w="947" w:type="pct"/>
            <w:noWrap w:val="0"/>
            <w:vAlign w:val="center"/>
          </w:tcPr>
          <w:p w14:paraId="4B444350">
            <w:pPr>
              <w:pStyle w:val="19"/>
              <w:bidi w:val="0"/>
              <w:jc w:val="center"/>
              <w:rPr>
                <w:rFonts w:hint="eastAsia"/>
                <w:lang w:val="en-US" w:eastAsia="zh-CN"/>
              </w:rPr>
            </w:pPr>
            <w:r>
              <w:rPr>
                <w:rFonts w:hint="eastAsia"/>
              </w:rPr>
              <w:t>（1）</w:t>
            </w:r>
            <w:r>
              <w:t>对耕地面积减少或土壤环境质量下降的团场要进行预警提醒，并依法采取环评限批等限制性措施。</w:t>
            </w:r>
          </w:p>
        </w:tc>
        <w:tc>
          <w:tcPr>
            <w:tcW w:w="608" w:type="pct"/>
            <w:noWrap w:val="0"/>
            <w:vAlign w:val="center"/>
          </w:tcPr>
          <w:p w14:paraId="39B06C70">
            <w:pPr>
              <w:pStyle w:val="19"/>
              <w:bidi w:val="0"/>
              <w:jc w:val="center"/>
              <w:rPr>
                <w:rFonts w:hint="eastAsia"/>
                <w:lang w:val="en-US" w:eastAsia="zh-CN"/>
              </w:rPr>
            </w:pPr>
            <w:r>
              <w:rPr>
                <w:rFonts w:hint="eastAsia"/>
              </w:rPr>
              <w:t>（1）</w:t>
            </w:r>
            <w:r>
              <w:t>推行秸秆还田、增施有机肥、少耕免耕、粮豆轮作、化肥农药减量、农膜减量与回收利用等措施，切实保护耕地土壤环境质量。</w:t>
            </w:r>
          </w:p>
        </w:tc>
      </w:tr>
      <w:tr w14:paraId="12E7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pct"/>
            <w:gridSpan w:val="5"/>
            <w:noWrap w:val="0"/>
            <w:vAlign w:val="center"/>
          </w:tcPr>
          <w:p w14:paraId="03470C31">
            <w:pPr>
              <w:pStyle w:val="19"/>
              <w:bidi w:val="0"/>
              <w:jc w:val="center"/>
              <w:rPr>
                <w:rFonts w:hint="default" w:eastAsia="宋体"/>
                <w:lang w:val="en-US" w:eastAsia="zh-CN"/>
              </w:rPr>
            </w:pPr>
            <w:r>
              <w:rPr>
                <w:rFonts w:hint="eastAsia"/>
                <w:lang w:val="en-US" w:eastAsia="zh-CN"/>
              </w:rPr>
              <w:t>本项目情况</w:t>
            </w:r>
          </w:p>
        </w:tc>
        <w:tc>
          <w:tcPr>
            <w:tcW w:w="729" w:type="pct"/>
            <w:noWrap w:val="0"/>
            <w:vAlign w:val="center"/>
          </w:tcPr>
          <w:p w14:paraId="199E2F60">
            <w:pPr>
              <w:pStyle w:val="19"/>
              <w:bidi w:val="0"/>
              <w:jc w:val="center"/>
              <w:rPr>
                <w:rFonts w:hint="default" w:eastAsia="宋体"/>
                <w:lang w:val="en-US" w:eastAsia="zh-CN"/>
              </w:rPr>
            </w:pPr>
            <w:r>
              <w:rPr>
                <w:rFonts w:hint="eastAsia"/>
                <w:lang w:val="en-US" w:eastAsia="zh-CN"/>
              </w:rPr>
              <w:t>本项目占地属于未利用地，已取得第七师胡杨河市129团用地备案通知书（设施农用地备字〔2023〕67号）。</w:t>
            </w:r>
          </w:p>
        </w:tc>
        <w:tc>
          <w:tcPr>
            <w:tcW w:w="1471" w:type="pct"/>
            <w:noWrap w:val="0"/>
            <w:vAlign w:val="center"/>
          </w:tcPr>
          <w:p w14:paraId="46D729F3">
            <w:pPr>
              <w:pStyle w:val="19"/>
              <w:bidi w:val="0"/>
              <w:jc w:val="center"/>
              <w:rPr>
                <w:rFonts w:hint="eastAsia" w:eastAsia="宋体"/>
                <w:lang w:val="en-US" w:eastAsia="zh-CN"/>
              </w:rPr>
            </w:pPr>
            <w:r>
              <w:rPr>
                <w:rFonts w:hint="eastAsia"/>
                <w:lang w:val="en-US" w:eastAsia="zh-CN"/>
              </w:rPr>
              <w:t>本项目建设单位为</w:t>
            </w:r>
            <w:r>
              <w:rPr>
                <w:rFonts w:hint="eastAsia"/>
                <w:u w:val="none"/>
              </w:rPr>
              <w:t>胡杨河市明源农业发展有限公司</w:t>
            </w:r>
            <w:r>
              <w:rPr>
                <w:rFonts w:hint="eastAsia"/>
                <w:u w:val="none"/>
                <w:lang w:eastAsia="zh-CN"/>
              </w:rPr>
              <w:t>，</w:t>
            </w:r>
            <w:r>
              <w:rPr>
                <w:rFonts w:hint="eastAsia"/>
                <w:u w:val="none"/>
                <w:lang w:val="en-US" w:eastAsia="zh-CN"/>
              </w:rPr>
              <w:t>有独立法人，具备承担</w:t>
            </w:r>
            <w:r>
              <w:t>环境保护</w:t>
            </w:r>
            <w:r>
              <w:rPr>
                <w:rFonts w:hint="eastAsia"/>
                <w:u w:val="none"/>
                <w:lang w:val="en-US" w:eastAsia="zh-CN"/>
              </w:rPr>
              <w:t>责任能力；本项目运营期粪污采用“干清粪+固液分离+厌氧发酵”工艺处理后回用于周边农田；粪便采用好氧堆肥处理后作为有机肥回田；采取定期喷洒除臭剂等措施，确保厂界恶臭满足</w:t>
            </w:r>
            <w:r>
              <w:t>《畜禽养殖业污染物排放标准》（GB18596-2001）中表7标准要求限值</w:t>
            </w:r>
            <w:r>
              <w:rPr>
                <w:rFonts w:hint="eastAsia"/>
                <w:lang w:eastAsia="zh-CN"/>
              </w:rPr>
              <w:t>。</w:t>
            </w:r>
          </w:p>
        </w:tc>
        <w:tc>
          <w:tcPr>
            <w:tcW w:w="947" w:type="pct"/>
            <w:noWrap w:val="0"/>
            <w:vAlign w:val="center"/>
          </w:tcPr>
          <w:p w14:paraId="4D32A27E">
            <w:pPr>
              <w:pStyle w:val="19"/>
              <w:bidi w:val="0"/>
              <w:jc w:val="center"/>
              <w:rPr>
                <w:rFonts w:hint="default" w:eastAsia="宋体"/>
                <w:lang w:val="en-US" w:eastAsia="zh-CN"/>
              </w:rPr>
            </w:pPr>
            <w:r>
              <w:rPr>
                <w:rFonts w:hint="eastAsia"/>
                <w:lang w:val="en-US" w:eastAsia="zh-CN"/>
              </w:rPr>
              <w:t>根据现状监测结果，本项目占地范围土壤环境质量监测因子满足《土壤环境质量标准 建设用地土壤污染风险管控标准（试行）》（GB36600-2018），周边耕地满足《土壤环境质量 农用地土壤污染风险管控标准（试行）》（GB15618-2018）。</w:t>
            </w:r>
          </w:p>
        </w:tc>
        <w:tc>
          <w:tcPr>
            <w:tcW w:w="608" w:type="pct"/>
            <w:noWrap w:val="0"/>
            <w:vAlign w:val="center"/>
          </w:tcPr>
          <w:p w14:paraId="430CE02A">
            <w:pPr>
              <w:pStyle w:val="19"/>
              <w:bidi w:val="0"/>
              <w:jc w:val="center"/>
              <w:rPr>
                <w:rFonts w:hint="default" w:eastAsia="宋体"/>
                <w:lang w:val="en-US" w:eastAsia="zh-CN"/>
              </w:rPr>
            </w:pPr>
            <w:r>
              <w:rPr>
                <w:rFonts w:hint="eastAsia"/>
                <w:lang w:val="en-US" w:eastAsia="zh-CN"/>
              </w:rPr>
              <w:t>本项目粪污、粪便等均可行技术处理后，回用于周边农田，能减少化肥使用量。</w:t>
            </w:r>
          </w:p>
        </w:tc>
      </w:tr>
      <w:tr w14:paraId="155B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pct"/>
            <w:gridSpan w:val="5"/>
            <w:noWrap w:val="0"/>
            <w:vAlign w:val="center"/>
          </w:tcPr>
          <w:p w14:paraId="22573344">
            <w:pPr>
              <w:pStyle w:val="19"/>
              <w:bidi w:val="0"/>
              <w:jc w:val="center"/>
              <w:rPr>
                <w:rFonts w:hint="eastAsia" w:eastAsia="宋体"/>
                <w:lang w:val="en-US" w:eastAsia="zh-CN"/>
              </w:rPr>
            </w:pPr>
            <w:r>
              <w:rPr>
                <w:rFonts w:hint="eastAsia"/>
                <w:lang w:val="en-US" w:eastAsia="zh-CN"/>
              </w:rPr>
              <w:t>符合性</w:t>
            </w:r>
          </w:p>
        </w:tc>
        <w:tc>
          <w:tcPr>
            <w:tcW w:w="729" w:type="pct"/>
            <w:noWrap w:val="0"/>
            <w:vAlign w:val="center"/>
          </w:tcPr>
          <w:p w14:paraId="4DF1E018">
            <w:pPr>
              <w:pStyle w:val="19"/>
              <w:bidi w:val="0"/>
              <w:jc w:val="center"/>
              <w:rPr>
                <w:rFonts w:hint="eastAsia" w:eastAsia="宋体"/>
                <w:lang w:val="en-US" w:eastAsia="zh-CN"/>
              </w:rPr>
            </w:pPr>
            <w:r>
              <w:rPr>
                <w:rFonts w:hint="eastAsia"/>
                <w:lang w:val="en-US" w:eastAsia="zh-CN"/>
              </w:rPr>
              <w:t>符合</w:t>
            </w:r>
          </w:p>
        </w:tc>
        <w:tc>
          <w:tcPr>
            <w:tcW w:w="1471" w:type="pct"/>
            <w:noWrap w:val="0"/>
            <w:vAlign w:val="center"/>
          </w:tcPr>
          <w:p w14:paraId="1B77BDDE">
            <w:pPr>
              <w:pStyle w:val="19"/>
              <w:bidi w:val="0"/>
              <w:jc w:val="center"/>
              <w:rPr>
                <w:rFonts w:hint="eastAsia"/>
              </w:rPr>
            </w:pPr>
            <w:r>
              <w:rPr>
                <w:rFonts w:hint="eastAsia"/>
                <w:lang w:val="en-US" w:eastAsia="zh-CN"/>
              </w:rPr>
              <w:t>符合</w:t>
            </w:r>
          </w:p>
        </w:tc>
        <w:tc>
          <w:tcPr>
            <w:tcW w:w="947" w:type="pct"/>
            <w:noWrap w:val="0"/>
            <w:vAlign w:val="center"/>
          </w:tcPr>
          <w:p w14:paraId="29E78C8B">
            <w:pPr>
              <w:pStyle w:val="19"/>
              <w:bidi w:val="0"/>
              <w:jc w:val="center"/>
              <w:rPr>
                <w:rFonts w:hint="eastAsia"/>
              </w:rPr>
            </w:pPr>
            <w:r>
              <w:rPr>
                <w:rFonts w:hint="eastAsia"/>
                <w:lang w:val="en-US" w:eastAsia="zh-CN"/>
              </w:rPr>
              <w:t>符合</w:t>
            </w:r>
          </w:p>
        </w:tc>
        <w:tc>
          <w:tcPr>
            <w:tcW w:w="608" w:type="pct"/>
            <w:noWrap w:val="0"/>
            <w:vAlign w:val="center"/>
          </w:tcPr>
          <w:p w14:paraId="24C0A6CC">
            <w:pPr>
              <w:pStyle w:val="19"/>
              <w:bidi w:val="0"/>
              <w:jc w:val="center"/>
              <w:rPr>
                <w:rFonts w:hint="eastAsia"/>
              </w:rPr>
            </w:pPr>
            <w:r>
              <w:rPr>
                <w:rFonts w:hint="eastAsia"/>
                <w:lang w:val="en-US" w:eastAsia="zh-CN"/>
              </w:rPr>
              <w:t>符合</w:t>
            </w:r>
          </w:p>
        </w:tc>
      </w:tr>
    </w:tbl>
    <w:p w14:paraId="440DAE5B">
      <w:pPr>
        <w:bidi w:val="0"/>
        <w:rPr>
          <w:rFonts w:hint="eastAsia"/>
          <w:lang w:val="en-US" w:eastAsia="zh-CN"/>
        </w:rPr>
      </w:pPr>
      <w:r>
        <w:rPr>
          <w:rFonts w:hint="eastAsia"/>
          <w:lang w:val="en-US" w:eastAsia="zh-CN"/>
        </w:rPr>
        <w:t>综上所述，本项目建设符合生态环境准入清单要求。第七师胡杨河市环境管控单元分布见图1.3-1。</w:t>
      </w:r>
    </w:p>
    <w:p w14:paraId="677EEF1D">
      <w:pPr>
        <w:rPr>
          <w:rFonts w:hint="eastAsia"/>
          <w:lang w:val="en-US" w:eastAsia="zh-CN"/>
        </w:rPr>
        <w:sectPr>
          <w:pgSz w:w="16838" w:h="11906" w:orient="landscape"/>
          <w:pgMar w:top="1417" w:right="1440" w:bottom="1417" w:left="1440" w:header="794" w:footer="992" w:gutter="0"/>
          <w:pgBorders>
            <w:top w:val="none" w:sz="0" w:space="0"/>
            <w:left w:val="none" w:sz="0" w:space="0"/>
            <w:bottom w:val="none" w:sz="0" w:space="0"/>
            <w:right w:val="none" w:sz="0" w:space="0"/>
          </w:pgBorders>
          <w:pgNumType w:fmt="numberInDash"/>
          <w:cols w:space="720" w:num="1"/>
          <w:rtlGutter w:val="0"/>
          <w:docGrid w:type="lines" w:linePitch="336" w:charSpace="0"/>
        </w:sectPr>
      </w:pPr>
    </w:p>
    <w:p w14:paraId="3ABD9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53DA8410">
      <w:pPr>
        <w:pStyle w:val="27"/>
        <w:bidi w:val="0"/>
        <w:rPr>
          <w:rFonts w:hint="default"/>
          <w:lang w:val="en-US" w:eastAsia="zh-CN"/>
        </w:rPr>
      </w:pPr>
      <w:r>
        <w:rPr>
          <w:rFonts w:hint="eastAsia"/>
          <w:lang w:val="en-US" w:eastAsia="zh-CN"/>
        </w:rPr>
        <w:t>选址合理性分析</w:t>
      </w:r>
    </w:p>
    <w:p w14:paraId="5B060E2E">
      <w:pPr>
        <w:bidi w:val="0"/>
        <w:rPr>
          <w:rFonts w:hint="eastAsia"/>
          <w:lang w:val="en-US" w:eastAsia="zh-CN"/>
        </w:rPr>
      </w:pPr>
      <w:r>
        <w:rPr>
          <w:rFonts w:hint="eastAsia"/>
          <w:lang w:val="en-US" w:eastAsia="zh-CN"/>
        </w:rPr>
        <w:t>本项目位于新疆生产建设兵团第七师129团13连东北偏北方向3.5km，项目区中心坐标：经度84°46'7.13"，纬度45°0'5.18"，项目区四周均为耕地，西北方向1.6km处为129团10连，北侧3.1km为奎阿高速（G3014），西南方向4.7km处129团16连，交通十分便利。项目区周边500m范围内无自然保护区、风景名胜区、饮用水源保护区，亦无学校、医院、集中居住的居民区等环境敏感目标，也无重污染生产企业；满足《畜禽养殖业污染防治技术规范》（HJ/T81-2001）的相关要求。</w:t>
      </w:r>
    </w:p>
    <w:p w14:paraId="31BE4852">
      <w:pPr>
        <w:keepNext w:val="0"/>
        <w:keepLines w:val="0"/>
        <w:pageBreakBefore w:val="0"/>
        <w:widowControl w:val="0"/>
        <w:kinsoku/>
        <w:wordWrap/>
        <w:overflowPunct/>
        <w:topLinePunct w:val="0"/>
        <w:autoSpaceDE/>
        <w:autoSpaceDN/>
        <w:bidi w:val="0"/>
        <w:adjustRightInd/>
        <w:snapToGrid/>
        <w:textAlignment w:val="auto"/>
        <w:outlineLvl w:val="3"/>
        <w:rPr>
          <w:rFonts w:hint="default"/>
          <w:lang w:val="en-US" w:eastAsia="zh-CN"/>
        </w:rPr>
      </w:pPr>
      <w:r>
        <w:rPr>
          <w:rFonts w:hint="eastAsia"/>
          <w:lang w:val="en-US" w:eastAsia="zh-CN"/>
        </w:rPr>
        <w:t>（1）项目选址与《畜禽规模养殖污染防治条例》（国务院令第643号）、《畜禽养殖业污染防治技术规范》（HJ/T81-2001）、《畜禽养殖业污染防治技术政策》（环发〔2010〕151号）的符合性分析</w:t>
      </w:r>
    </w:p>
    <w:p w14:paraId="49B74561">
      <w:pPr>
        <w:ind w:firstLine="480" w:firstLineChars="200"/>
        <w:rPr>
          <w:color w:val="000000"/>
          <w:highlight w:val="none"/>
        </w:rPr>
      </w:pPr>
      <w:r>
        <w:rPr>
          <w:color w:val="000000"/>
          <w:highlight w:val="none"/>
        </w:rPr>
        <w:t>本项目选址与《畜禽规模养殖污染防治条例》（国务院令第643号）、《畜禽养殖业污染防治技术规范》（HJ/T81-2001）、《畜禽养殖业污染防治技术政策》（环发〔2010〕151号）的符合性分析见表</w:t>
      </w:r>
      <w:r>
        <w:rPr>
          <w:rFonts w:hint="eastAsia"/>
          <w:color w:val="000000"/>
          <w:highlight w:val="none"/>
        </w:rPr>
        <w:t>1.3-</w:t>
      </w:r>
      <w:r>
        <w:rPr>
          <w:rFonts w:hint="eastAsia"/>
          <w:color w:val="000000"/>
          <w:highlight w:val="none"/>
          <w:lang w:val="en-US" w:eastAsia="zh-CN"/>
        </w:rPr>
        <w:t>13</w:t>
      </w:r>
      <w:r>
        <w:rPr>
          <w:color w:val="000000"/>
          <w:highlight w:val="none"/>
        </w:rPr>
        <w:t>。</w:t>
      </w:r>
    </w:p>
    <w:p w14:paraId="0A2595CB">
      <w:pPr>
        <w:pStyle w:val="30"/>
        <w:bidi w:val="0"/>
      </w:pPr>
      <w:r>
        <w:t>表</w:t>
      </w:r>
      <w:r>
        <w:rPr>
          <w:rFonts w:hint="eastAsia"/>
        </w:rPr>
        <w:t>1.3-</w:t>
      </w:r>
      <w:r>
        <w:rPr>
          <w:rFonts w:hint="eastAsia"/>
          <w:lang w:val="en-US" w:eastAsia="zh-CN"/>
        </w:rPr>
        <w:t xml:space="preserve">13  </w:t>
      </w:r>
      <w:r>
        <w:t xml:space="preserve"> 选址合理性分析</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13"/>
        <w:gridCol w:w="3598"/>
        <w:gridCol w:w="2357"/>
        <w:gridCol w:w="752"/>
      </w:tblGrid>
      <w:tr w14:paraId="41E07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713" w:type="dxa"/>
            <w:noWrap w:val="0"/>
            <w:tcMar>
              <w:top w:w="28" w:type="dxa"/>
              <w:left w:w="57" w:type="dxa"/>
              <w:bottom w:w="28" w:type="dxa"/>
              <w:right w:w="57" w:type="dxa"/>
            </w:tcMar>
            <w:vAlign w:val="center"/>
          </w:tcPr>
          <w:p w14:paraId="760380DD">
            <w:pPr>
              <w:pStyle w:val="19"/>
              <w:bidi w:val="0"/>
              <w:rPr>
                <w:rFonts w:hint="default" w:eastAsia="宋体"/>
                <w:lang w:val="en-US" w:eastAsia="zh-CN"/>
              </w:rPr>
            </w:pPr>
            <w:r>
              <w:rPr>
                <w:rFonts w:hint="eastAsia"/>
                <w:lang w:val="en-US" w:eastAsia="zh-CN"/>
              </w:rPr>
              <w:t>文件名称</w:t>
            </w:r>
          </w:p>
        </w:tc>
        <w:tc>
          <w:tcPr>
            <w:tcW w:w="3598" w:type="dxa"/>
            <w:noWrap w:val="0"/>
            <w:tcMar>
              <w:top w:w="28" w:type="dxa"/>
              <w:left w:w="57" w:type="dxa"/>
              <w:bottom w:w="28" w:type="dxa"/>
              <w:right w:w="57" w:type="dxa"/>
            </w:tcMar>
            <w:vAlign w:val="center"/>
          </w:tcPr>
          <w:p w14:paraId="3034F0E6">
            <w:pPr>
              <w:pStyle w:val="19"/>
              <w:bidi w:val="0"/>
            </w:pPr>
            <w:r>
              <w:rPr>
                <w:rFonts w:hint="eastAsia"/>
                <w:lang w:val="en-US" w:eastAsia="zh-CN"/>
              </w:rPr>
              <w:t>文件</w:t>
            </w:r>
            <w:r>
              <w:t>要求</w:t>
            </w:r>
          </w:p>
        </w:tc>
        <w:tc>
          <w:tcPr>
            <w:tcW w:w="2357" w:type="dxa"/>
            <w:noWrap w:val="0"/>
            <w:tcMar>
              <w:top w:w="28" w:type="dxa"/>
              <w:left w:w="57" w:type="dxa"/>
              <w:bottom w:w="28" w:type="dxa"/>
              <w:right w:w="57" w:type="dxa"/>
            </w:tcMar>
            <w:vAlign w:val="center"/>
          </w:tcPr>
          <w:p w14:paraId="11BEAC1D">
            <w:pPr>
              <w:pStyle w:val="19"/>
              <w:bidi w:val="0"/>
              <w:rPr>
                <w:rFonts w:hint="default" w:eastAsia="宋体"/>
                <w:lang w:val="en-US" w:eastAsia="zh-CN"/>
              </w:rPr>
            </w:pPr>
            <w:r>
              <w:rPr>
                <w:rFonts w:hint="eastAsia"/>
                <w:lang w:val="en-US" w:eastAsia="zh-CN"/>
              </w:rPr>
              <w:t>本项目情况</w:t>
            </w:r>
          </w:p>
        </w:tc>
        <w:tc>
          <w:tcPr>
            <w:tcW w:w="752" w:type="dxa"/>
            <w:noWrap w:val="0"/>
            <w:tcMar>
              <w:top w:w="28" w:type="dxa"/>
              <w:left w:w="57" w:type="dxa"/>
              <w:bottom w:w="28" w:type="dxa"/>
              <w:right w:w="57" w:type="dxa"/>
            </w:tcMar>
            <w:vAlign w:val="center"/>
          </w:tcPr>
          <w:p w14:paraId="6CAFAE02">
            <w:pPr>
              <w:pStyle w:val="19"/>
              <w:bidi w:val="0"/>
            </w:pPr>
            <w:r>
              <w:t>符合性</w:t>
            </w:r>
          </w:p>
        </w:tc>
      </w:tr>
      <w:tr w14:paraId="4C485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713" w:type="dxa"/>
            <w:noWrap w:val="0"/>
            <w:tcMar>
              <w:top w:w="28" w:type="dxa"/>
              <w:left w:w="57" w:type="dxa"/>
              <w:bottom w:w="28" w:type="dxa"/>
              <w:right w:w="57" w:type="dxa"/>
            </w:tcMar>
            <w:vAlign w:val="center"/>
          </w:tcPr>
          <w:p w14:paraId="5D494B36">
            <w:pPr>
              <w:pStyle w:val="19"/>
              <w:bidi w:val="0"/>
            </w:pPr>
            <w:r>
              <w:t>《畜禽规模养殖污染防治条例》（国务院令第643号）第二章第十一条</w:t>
            </w:r>
          </w:p>
        </w:tc>
        <w:tc>
          <w:tcPr>
            <w:tcW w:w="3598" w:type="dxa"/>
            <w:noWrap w:val="0"/>
            <w:tcMar>
              <w:top w:w="28" w:type="dxa"/>
              <w:left w:w="57" w:type="dxa"/>
              <w:bottom w:w="28" w:type="dxa"/>
              <w:right w:w="57" w:type="dxa"/>
            </w:tcMar>
            <w:vAlign w:val="center"/>
          </w:tcPr>
          <w:p w14:paraId="74412754">
            <w:pPr>
              <w:pStyle w:val="19"/>
              <w:bidi w:val="0"/>
            </w:pPr>
            <w:r>
              <w:t>禁止在下列区域内建设畜禽养殖场、养 殖小区：①饮用水水源保护区，风景名胜区；②自然保护区的核心区和缓冲区；③城镇居民区、文化教育科学研究区等人口集中区域；④</w:t>
            </w:r>
            <w:r>
              <w:rPr>
                <w:rFonts w:hint="eastAsia"/>
              </w:rPr>
              <w:t>法律法规</w:t>
            </w:r>
            <w:r>
              <w:t>规定的其他禁止养殖区域。</w:t>
            </w:r>
          </w:p>
        </w:tc>
        <w:tc>
          <w:tcPr>
            <w:tcW w:w="2357" w:type="dxa"/>
            <w:noWrap w:val="0"/>
            <w:tcMar>
              <w:top w:w="28" w:type="dxa"/>
              <w:left w:w="57" w:type="dxa"/>
              <w:bottom w:w="28" w:type="dxa"/>
              <w:right w:w="57" w:type="dxa"/>
            </w:tcMar>
            <w:vAlign w:val="center"/>
          </w:tcPr>
          <w:p w14:paraId="55C436D9">
            <w:pPr>
              <w:pStyle w:val="19"/>
              <w:bidi w:val="0"/>
            </w:pPr>
            <w:r>
              <w:t>本项目的选址不属于当地政府划定的</w:t>
            </w:r>
            <w:r>
              <w:rPr>
                <w:rFonts w:hint="eastAsia"/>
              </w:rPr>
              <w:t>“</w:t>
            </w:r>
            <w:r>
              <w:t>敏感区</w:t>
            </w:r>
            <w:r>
              <w:rPr>
                <w:rFonts w:hint="eastAsia"/>
              </w:rPr>
              <w:t>”</w:t>
            </w:r>
            <w:r>
              <w:t>和</w:t>
            </w:r>
            <w:r>
              <w:rPr>
                <w:rFonts w:hint="eastAsia"/>
              </w:rPr>
              <w:t>“</w:t>
            </w:r>
            <w:r>
              <w:t>禁养区</w:t>
            </w:r>
            <w:r>
              <w:rPr>
                <w:rFonts w:hint="eastAsia"/>
              </w:rPr>
              <w:t>”</w:t>
            </w:r>
            <w:r>
              <w:t>，不涉及自然保护区、风景名胜区等环境敏感区域。本项目建设布局在设计阶段进行了合理规划，项目的建设符合《畜禽规模养殖污染防治条例》的相关规定。</w:t>
            </w:r>
          </w:p>
        </w:tc>
        <w:tc>
          <w:tcPr>
            <w:tcW w:w="752" w:type="dxa"/>
            <w:noWrap w:val="0"/>
            <w:tcMar>
              <w:top w:w="28" w:type="dxa"/>
              <w:left w:w="57" w:type="dxa"/>
              <w:bottom w:w="28" w:type="dxa"/>
              <w:right w:w="57" w:type="dxa"/>
            </w:tcMar>
            <w:vAlign w:val="center"/>
          </w:tcPr>
          <w:p w14:paraId="49FF6B27">
            <w:pPr>
              <w:pStyle w:val="19"/>
              <w:bidi w:val="0"/>
            </w:pPr>
            <w:r>
              <w:t>符合</w:t>
            </w:r>
          </w:p>
        </w:tc>
      </w:tr>
      <w:tr w14:paraId="7D26F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713" w:type="dxa"/>
            <w:noWrap w:val="0"/>
            <w:tcMar>
              <w:top w:w="28" w:type="dxa"/>
              <w:left w:w="57" w:type="dxa"/>
              <w:bottom w:w="28" w:type="dxa"/>
              <w:right w:w="57" w:type="dxa"/>
            </w:tcMar>
            <w:vAlign w:val="center"/>
          </w:tcPr>
          <w:p w14:paraId="7F9F3D35">
            <w:pPr>
              <w:pStyle w:val="19"/>
              <w:bidi w:val="0"/>
            </w:pPr>
            <w:r>
              <w:t>《畜禽养殖业污染防治技术规范》（</w:t>
            </w:r>
            <w:r>
              <w:rPr>
                <w:rFonts w:hint="eastAsia"/>
              </w:rPr>
              <w:t>HJ812-2016</w:t>
            </w:r>
            <w:r>
              <w:t>）</w:t>
            </w:r>
          </w:p>
        </w:tc>
        <w:tc>
          <w:tcPr>
            <w:tcW w:w="3598" w:type="dxa"/>
            <w:noWrap w:val="0"/>
            <w:tcMar>
              <w:top w:w="28" w:type="dxa"/>
              <w:left w:w="57" w:type="dxa"/>
              <w:bottom w:w="28" w:type="dxa"/>
              <w:right w:w="57" w:type="dxa"/>
            </w:tcMar>
            <w:vAlign w:val="center"/>
          </w:tcPr>
          <w:p w14:paraId="7A34C299">
            <w:pPr>
              <w:pStyle w:val="19"/>
              <w:bidi w:val="0"/>
            </w:pPr>
            <w:r>
              <w:t>禁止在下列区域内建设畜禽养殖场：a.生活饮用水水源保护区，风景名胜区、自然保护区的核心区和缓冲区；b.城市和城镇居民区，包括文教科研区、医疗区、商业区、工业区、游览区等人口集中地区；c.县级人民政府依法划定的禁养区域；d.国家或地方</w:t>
            </w:r>
            <w:r>
              <w:rPr>
                <w:rFonts w:hint="eastAsia"/>
              </w:rPr>
              <w:t>法律法规</w:t>
            </w:r>
            <w:r>
              <w:t>规定需特殊保护的其他区域。新建改建、扩建的畜禽养殖场选址应避开以上禁建区域。在禁建区域附近建设的，应设在禁建区域常年主导风向的下风向或侧风向处，场界与禁建区域边界的最小距离不得小于500m。</w:t>
            </w:r>
          </w:p>
        </w:tc>
        <w:tc>
          <w:tcPr>
            <w:tcW w:w="2357" w:type="dxa"/>
            <w:noWrap w:val="0"/>
            <w:tcMar>
              <w:top w:w="28" w:type="dxa"/>
              <w:left w:w="57" w:type="dxa"/>
              <w:bottom w:w="28" w:type="dxa"/>
              <w:right w:w="57" w:type="dxa"/>
            </w:tcMar>
            <w:vAlign w:val="center"/>
          </w:tcPr>
          <w:p w14:paraId="1304A738">
            <w:pPr>
              <w:pStyle w:val="19"/>
              <w:bidi w:val="0"/>
            </w:pPr>
            <w:r>
              <w:rPr>
                <w:rFonts w:hint="eastAsia"/>
                <w:lang w:val="en-US" w:eastAsia="zh-CN"/>
              </w:rPr>
              <w:t>本</w:t>
            </w:r>
            <w:r>
              <w:t>项目位于新疆生产建设兵团第</w:t>
            </w:r>
            <w:r>
              <w:rPr>
                <w:rFonts w:hint="eastAsia"/>
                <w:lang w:val="en-US" w:eastAsia="zh-CN"/>
              </w:rPr>
              <w:t>七</w:t>
            </w:r>
            <w:r>
              <w:t>师</w:t>
            </w:r>
            <w:r>
              <w:rPr>
                <w:rFonts w:hint="eastAsia"/>
                <w:lang w:val="en-US" w:eastAsia="zh-CN"/>
              </w:rPr>
              <w:t>129</w:t>
            </w:r>
            <w:r>
              <w:rPr>
                <w:rFonts w:hint="eastAsia"/>
              </w:rPr>
              <w:t>团</w:t>
            </w:r>
            <w:r>
              <w:rPr>
                <w:rFonts w:hint="eastAsia"/>
                <w:lang w:val="en-US" w:eastAsia="zh-CN"/>
              </w:rPr>
              <w:t>13连</w:t>
            </w:r>
            <w:r>
              <w:t>，项目区</w:t>
            </w:r>
            <w:r>
              <w:rPr>
                <w:rFonts w:hint="eastAsia"/>
                <w:lang w:val="en-US" w:eastAsia="zh-CN"/>
              </w:rPr>
              <w:t>东、南、西、北四周</w:t>
            </w:r>
            <w:r>
              <w:t>均为耕地</w:t>
            </w:r>
            <w:r>
              <w:rPr>
                <w:rFonts w:hint="eastAsia"/>
              </w:rPr>
              <w:t>，</w:t>
            </w:r>
            <w:r>
              <w:t>远离居民区，远离人员流动较大的道路和村庄；项目周边有足够田地，便于粪便堆肥处理后</w:t>
            </w:r>
            <w:r>
              <w:rPr>
                <w:rFonts w:hint="eastAsia"/>
                <w:lang w:val="en-US" w:eastAsia="zh-CN"/>
              </w:rPr>
              <w:t>还田</w:t>
            </w:r>
            <w:r>
              <w:t>，有利于该项目污水资源化利用，实现种养结合，发展生态农业。</w:t>
            </w:r>
          </w:p>
        </w:tc>
        <w:tc>
          <w:tcPr>
            <w:tcW w:w="752" w:type="dxa"/>
            <w:noWrap w:val="0"/>
            <w:tcMar>
              <w:top w:w="28" w:type="dxa"/>
              <w:left w:w="57" w:type="dxa"/>
              <w:bottom w:w="28" w:type="dxa"/>
              <w:right w:w="57" w:type="dxa"/>
            </w:tcMar>
            <w:vAlign w:val="center"/>
          </w:tcPr>
          <w:p w14:paraId="6A23508C">
            <w:pPr>
              <w:pStyle w:val="19"/>
              <w:bidi w:val="0"/>
            </w:pPr>
            <w:r>
              <w:t>符合</w:t>
            </w:r>
          </w:p>
        </w:tc>
      </w:tr>
      <w:tr w14:paraId="17330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713" w:type="dxa"/>
            <w:noWrap w:val="0"/>
            <w:tcMar>
              <w:top w:w="28" w:type="dxa"/>
              <w:left w:w="57" w:type="dxa"/>
              <w:bottom w:w="28" w:type="dxa"/>
              <w:right w:w="57" w:type="dxa"/>
            </w:tcMar>
            <w:vAlign w:val="center"/>
          </w:tcPr>
          <w:p w14:paraId="63A39176">
            <w:pPr>
              <w:pStyle w:val="19"/>
              <w:bidi w:val="0"/>
            </w:pPr>
            <w:r>
              <w:t>《畜禽养殖业污染防治技术政策》环发〔2010〕15</w:t>
            </w:r>
            <w:r>
              <w:rPr>
                <w:rFonts w:hint="eastAsia"/>
              </w:rPr>
              <w:t>1</w:t>
            </w:r>
            <w:r>
              <w:t>号</w:t>
            </w:r>
          </w:p>
        </w:tc>
        <w:tc>
          <w:tcPr>
            <w:tcW w:w="3598" w:type="dxa"/>
            <w:noWrap w:val="0"/>
            <w:tcMar>
              <w:top w:w="28" w:type="dxa"/>
              <w:left w:w="57" w:type="dxa"/>
              <w:bottom w:w="28" w:type="dxa"/>
              <w:right w:w="57" w:type="dxa"/>
            </w:tcMar>
            <w:vAlign w:val="center"/>
          </w:tcPr>
          <w:p w14:paraId="426B09C1">
            <w:pPr>
              <w:pStyle w:val="19"/>
              <w:bidi w:val="0"/>
            </w:pPr>
            <w:r>
              <w:t>畜禽养殖污染防治应遵循以下技术原则：</w:t>
            </w:r>
            <w:r>
              <w:rPr>
                <w:rFonts w:hint="eastAsia"/>
              </w:rPr>
              <w:t>“</w:t>
            </w:r>
            <w:r>
              <w:t>全面规划、合理布局，贯彻执行当地人民政府颁布的畜禽养殖区划，严格遵守</w:t>
            </w:r>
            <w:r>
              <w:rPr>
                <w:rFonts w:hint="eastAsia"/>
              </w:rPr>
              <w:t>“</w:t>
            </w:r>
            <w:r>
              <w:t>禁养区</w:t>
            </w:r>
            <w:r>
              <w:rPr>
                <w:rFonts w:hint="eastAsia"/>
              </w:rPr>
              <w:t>”</w:t>
            </w:r>
            <w:r>
              <w:t>和</w:t>
            </w:r>
            <w:r>
              <w:rPr>
                <w:rFonts w:hint="eastAsia"/>
              </w:rPr>
              <w:t>“</w:t>
            </w:r>
            <w:r>
              <w:t>限养区</w:t>
            </w:r>
            <w:r>
              <w:rPr>
                <w:rFonts w:hint="eastAsia"/>
              </w:rPr>
              <w:t>”</w:t>
            </w:r>
            <w:r>
              <w:t>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r>
              <w:rPr>
                <w:rFonts w:hint="eastAsia"/>
              </w:rPr>
              <w:t>”</w:t>
            </w:r>
          </w:p>
        </w:tc>
        <w:tc>
          <w:tcPr>
            <w:tcW w:w="2357" w:type="dxa"/>
            <w:noWrap w:val="0"/>
            <w:tcMar>
              <w:top w:w="28" w:type="dxa"/>
              <w:left w:w="57" w:type="dxa"/>
              <w:bottom w:w="28" w:type="dxa"/>
              <w:right w:w="57" w:type="dxa"/>
            </w:tcMar>
            <w:vAlign w:val="center"/>
          </w:tcPr>
          <w:p w14:paraId="33B25FE6">
            <w:pPr>
              <w:pStyle w:val="19"/>
              <w:bidi w:val="0"/>
            </w:pPr>
            <w:r>
              <w:t>本项目的建设布局在设计阶段进行了合理规划和布局，不涉及饮用水水源保护区等环境敏感区域；本项目不属于当地政府所划定的</w:t>
            </w:r>
            <w:r>
              <w:rPr>
                <w:rFonts w:hint="eastAsia"/>
              </w:rPr>
              <w:t>“</w:t>
            </w:r>
            <w:r>
              <w:t>禁养区</w:t>
            </w:r>
            <w:r>
              <w:rPr>
                <w:rFonts w:hint="eastAsia"/>
              </w:rPr>
              <w:t>”</w:t>
            </w:r>
            <w:r>
              <w:t>范围。</w:t>
            </w:r>
          </w:p>
        </w:tc>
        <w:tc>
          <w:tcPr>
            <w:tcW w:w="752" w:type="dxa"/>
            <w:noWrap w:val="0"/>
            <w:tcMar>
              <w:top w:w="28" w:type="dxa"/>
              <w:left w:w="57" w:type="dxa"/>
              <w:bottom w:w="28" w:type="dxa"/>
              <w:right w:w="57" w:type="dxa"/>
            </w:tcMar>
            <w:vAlign w:val="center"/>
          </w:tcPr>
          <w:p w14:paraId="5675BFBF">
            <w:pPr>
              <w:pStyle w:val="19"/>
              <w:bidi w:val="0"/>
            </w:pPr>
            <w:r>
              <w:t>符合</w:t>
            </w:r>
          </w:p>
        </w:tc>
      </w:tr>
    </w:tbl>
    <w:p w14:paraId="01944148">
      <w:pPr>
        <w:keepNext w:val="0"/>
        <w:keepLines w:val="0"/>
        <w:pageBreakBefore w:val="0"/>
        <w:widowControl w:val="0"/>
        <w:kinsoku/>
        <w:wordWrap/>
        <w:overflowPunct/>
        <w:topLinePunct w:val="0"/>
        <w:autoSpaceDE/>
        <w:autoSpaceDN/>
        <w:bidi w:val="0"/>
        <w:adjustRightInd/>
        <w:snapToGrid/>
        <w:textAlignment w:val="auto"/>
        <w:outlineLvl w:val="3"/>
        <w:rPr>
          <w:rFonts w:hint="default"/>
          <w:lang w:val="en-US" w:eastAsia="zh-CN"/>
        </w:rPr>
      </w:pPr>
      <w:r>
        <w:rPr>
          <w:rFonts w:hint="eastAsia"/>
          <w:lang w:val="en-US" w:eastAsia="zh-CN"/>
        </w:rPr>
        <w:t>（2）项目选址与《第七师畜禽养殖禁养区和限养区划定工作实施方案》符合性分析</w:t>
      </w:r>
    </w:p>
    <w:p w14:paraId="4F2717A2">
      <w:pPr>
        <w:bidi w:val="0"/>
        <w:rPr>
          <w:rFonts w:hint="eastAsia"/>
          <w:lang w:val="en-US" w:eastAsia="zh-CN"/>
        </w:rPr>
      </w:pPr>
      <w:r>
        <w:rPr>
          <w:rFonts w:hint="eastAsia"/>
          <w:lang w:val="en-US" w:eastAsia="zh-CN"/>
        </w:rPr>
        <w:t>根据关于印发《第七师畜禽养殖禁养区和限养区划定工作实施方案》的通知（师办发〔2017〕96号）文件可知：</w:t>
      </w:r>
    </w:p>
    <w:p w14:paraId="707B5259">
      <w:pPr>
        <w:bidi w:val="0"/>
        <w:rPr>
          <w:rFonts w:hint="default"/>
          <w:lang w:val="en-US" w:eastAsia="zh-CN"/>
        </w:rPr>
      </w:pPr>
      <w:r>
        <w:rPr>
          <w:rFonts w:hint="eastAsia"/>
          <w:lang w:val="en-US" w:eastAsia="zh-CN"/>
        </w:rPr>
        <w:t>①禁养区</w:t>
      </w:r>
    </w:p>
    <w:p w14:paraId="5D45AD09">
      <w:pPr>
        <w:bidi w:val="0"/>
        <w:rPr>
          <w:rFonts w:hint="default"/>
          <w:lang w:val="en-US" w:eastAsia="zh-CN"/>
        </w:rPr>
      </w:pPr>
      <w:r>
        <w:rPr>
          <w:rFonts w:hint="eastAsia"/>
          <w:lang w:val="en-US" w:eastAsia="zh-CN"/>
        </w:rPr>
        <w:t>第七师依法划定的禁养区分为4大类，共计20个禁养区；第一类饮用水水源保护区，包括饮用水水源一级保护区和二级保护区的陆域范围。第二类自然保护区，包括奎屯河湿地自然保护区的核心区、缓冲区和实验区，第三类城镇居规划区外延500米以内的区域，第四类法律法规规定的其他禁止建设养殖场的区域。</w:t>
      </w:r>
    </w:p>
    <w:p w14:paraId="329123E0">
      <w:pPr>
        <w:bidi w:val="0"/>
        <w:rPr>
          <w:rFonts w:hint="default"/>
          <w:lang w:val="en-US" w:eastAsia="zh-CN"/>
        </w:rPr>
      </w:pPr>
      <w:r>
        <w:rPr>
          <w:rFonts w:hint="eastAsia"/>
          <w:lang w:val="en-US" w:eastAsia="zh-CN"/>
        </w:rPr>
        <w:t>②限养区</w:t>
      </w:r>
    </w:p>
    <w:p w14:paraId="7A539605">
      <w:pPr>
        <w:bidi w:val="0"/>
        <w:rPr>
          <w:rFonts w:hint="default"/>
          <w:lang w:val="en-US" w:eastAsia="zh-CN"/>
        </w:rPr>
      </w:pPr>
      <w:r>
        <w:rPr>
          <w:rFonts w:hint="default"/>
          <w:lang w:val="en-US" w:eastAsia="zh-CN"/>
        </w:rPr>
        <w:t>将</w:t>
      </w:r>
      <w:r>
        <w:rPr>
          <w:rFonts w:hint="eastAsia"/>
          <w:lang w:val="en-US" w:eastAsia="zh-CN"/>
        </w:rPr>
        <w:t>第</w:t>
      </w:r>
      <w:r>
        <w:rPr>
          <w:rFonts w:hint="default"/>
          <w:lang w:val="en-US" w:eastAsia="zh-CN"/>
        </w:rPr>
        <w:t>七师123团、124团、125团、126团、127团、128团、129团、胡杨河市、137团、1团共10个城镇居民区禁养区外延500米范围内的区域划为限养区</w:t>
      </w:r>
      <w:r>
        <w:rPr>
          <w:rFonts w:hint="eastAsia"/>
          <w:lang w:val="en-US" w:eastAsia="zh-CN"/>
        </w:rPr>
        <w:t>。</w:t>
      </w:r>
    </w:p>
    <w:p w14:paraId="33F32FD8">
      <w:pPr>
        <w:bidi w:val="0"/>
        <w:rPr>
          <w:rFonts w:hint="eastAsia"/>
          <w:lang w:val="en-US" w:eastAsia="zh-CN"/>
        </w:rPr>
      </w:pPr>
      <w:r>
        <w:rPr>
          <w:rFonts w:hint="eastAsia"/>
          <w:lang w:val="en-US" w:eastAsia="zh-CN"/>
        </w:rPr>
        <w:t>本项目选址位于第七师胡杨河市129团13连，东北偏北方向3.5km，项目区中心坐标：经度84°46'7.13"，纬度45°0'5.18"，项目区四周均为耕地，西北方向1.6km处为129团10连。</w:t>
      </w:r>
    </w:p>
    <w:p w14:paraId="00141AC9">
      <w:pPr>
        <w:bidi w:val="0"/>
        <w:rPr>
          <w:rFonts w:hint="default"/>
          <w:vertAlign w:val="baseline"/>
          <w:lang w:val="en-US" w:eastAsia="zh-CN"/>
        </w:rPr>
      </w:pPr>
      <w:r>
        <w:rPr>
          <w:rFonts w:hint="eastAsia"/>
          <w:lang w:val="en-US" w:eastAsia="zh-CN"/>
        </w:rPr>
        <w:t>根据《第七师畜禽养殖禁养区和限养区划定工作实施方案》的通知（师办发〔2017〕96号）文件关于129团禁养区位置为：北起幸福里北侧，南至明星里南侧，西起217国道东侧东至奎北铁路西侧的区域。禁养区面积3.045km</w:t>
      </w:r>
      <w:r>
        <w:rPr>
          <w:rFonts w:hint="eastAsia"/>
          <w:vertAlign w:val="superscript"/>
          <w:lang w:val="en-US" w:eastAsia="zh-CN"/>
        </w:rPr>
        <w:t>2</w:t>
      </w:r>
      <w:r>
        <w:rPr>
          <w:rFonts w:hint="eastAsia"/>
          <w:vertAlign w:val="baseline"/>
          <w:lang w:val="en-US" w:eastAsia="zh-CN"/>
        </w:rPr>
        <w:t>；129团禁养区四至坐标：西北角N44°52′21.241″，E84°46'47.233″；西南角N44°52′09.055″，E84°47'12.978″；东北角N44°51′13.417″，E84°18'51.701″；东南角N44°51′08.225″，E84°48'55.266″。</w:t>
      </w:r>
    </w:p>
    <w:p w14:paraId="68FBF8EC">
      <w:pPr>
        <w:rPr>
          <w:rFonts w:hint="eastAsia"/>
          <w:lang w:val="en-US" w:eastAsia="zh-CN"/>
        </w:rPr>
        <w:sectPr>
          <w:pgSz w:w="11906" w:h="16838"/>
          <w:pgMar w:top="1440" w:right="1800" w:bottom="1440" w:left="1800" w:header="794"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lang w:val="en-US" w:eastAsia="zh-CN"/>
        </w:rPr>
        <w:t>结合畜禽养殖禁养区和限养区规划布局图可知，本项目选址不在第七师畜禽养殖禁养区和限养区内，具体见图1.3-2和图1.3-3。</w:t>
      </w:r>
    </w:p>
    <w:p w14:paraId="79A26AC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p>
    <w:p w14:paraId="7F7BA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1F476A8D">
      <w:pPr>
        <w:rPr>
          <w:rFonts w:hint="default"/>
          <w:lang w:val="en-US" w:eastAsia="zh-CN"/>
        </w:rPr>
      </w:pPr>
      <w:r>
        <w:rPr>
          <w:rFonts w:hint="eastAsia"/>
          <w:lang w:val="en-US" w:eastAsia="zh-CN"/>
        </w:rPr>
        <w:t>综上所述，本项目选址满足《畜禽规模养殖污染防治条例》（国务院令第643号）、《畜禽养殖业污染防治技术规范》（HJ/T81-2001）、《畜禽养殖业污染防治技术政策》（环发〔2010〕151号）中的相关要求，不在第七师畜禽养殖禁养区和限养区范围内，距离最近的连队是129团10连，距离是1.56km，超过500m，因此，本项目选址合理。</w:t>
      </w:r>
    </w:p>
    <w:p w14:paraId="7F1718A3">
      <w:pPr>
        <w:pStyle w:val="26"/>
        <w:bidi w:val="0"/>
        <w:rPr>
          <w:rFonts w:hint="default"/>
          <w:lang w:val="en-US" w:eastAsia="zh-CN"/>
        </w:rPr>
      </w:pPr>
      <w:bookmarkStart w:id="5" w:name="_Toc31582"/>
      <w:r>
        <w:rPr>
          <w:rFonts w:hint="eastAsia"/>
          <w:lang w:val="en-US" w:eastAsia="zh-CN"/>
        </w:rPr>
        <w:t>关注的主要环境问题及环境影响</w:t>
      </w:r>
      <w:bookmarkEnd w:id="5"/>
    </w:p>
    <w:p w14:paraId="32E7F3EA">
      <w:pPr>
        <w:bidi w:val="0"/>
        <w:rPr>
          <w:rFonts w:hint="eastAsia"/>
          <w:lang w:val="en-US" w:eastAsia="zh-CN"/>
        </w:rPr>
      </w:pPr>
      <w:r>
        <w:rPr>
          <w:rFonts w:hint="eastAsia"/>
          <w:lang w:val="en-US" w:eastAsia="zh-CN"/>
        </w:rPr>
        <w:t>本项目为畜禽养殖项目，关注的主要环境问题及环境影响如下：</w:t>
      </w:r>
    </w:p>
    <w:p w14:paraId="7B3220BF">
      <w:pPr>
        <w:numPr>
          <w:ilvl w:val="0"/>
          <w:numId w:val="5"/>
        </w:numPr>
        <w:bidi w:val="0"/>
        <w:rPr>
          <w:rFonts w:hint="eastAsia"/>
          <w:lang w:val="en-US" w:eastAsia="zh-CN"/>
        </w:rPr>
      </w:pPr>
      <w:r>
        <w:rPr>
          <w:rFonts w:hint="eastAsia"/>
          <w:lang w:val="en-US" w:eastAsia="zh-CN"/>
        </w:rPr>
        <w:t>畜禽粪污、粪便的处置方式及最终消纳方式，是否符合《畜禽养殖业污染防治技术规范》（HJ/T81-2001）、《畜禽养殖业污染防治技术政策》（环发〔2010〕151号）等国家和地方法律、法规、政策文件的要求；</w:t>
      </w:r>
    </w:p>
    <w:p w14:paraId="72B924DE">
      <w:pPr>
        <w:numPr>
          <w:ilvl w:val="0"/>
          <w:numId w:val="5"/>
        </w:numPr>
        <w:bidi w:val="0"/>
        <w:rPr>
          <w:rFonts w:hint="default"/>
          <w:lang w:val="en-US" w:eastAsia="zh-CN"/>
        </w:rPr>
      </w:pPr>
      <w:r>
        <w:rPr>
          <w:rFonts w:hint="eastAsia"/>
          <w:lang w:val="en-US" w:eastAsia="zh-CN"/>
        </w:rPr>
        <w:t>恶臭污染物产生、治理控制措施及排放情况，是否满足相应排放标准；</w:t>
      </w:r>
    </w:p>
    <w:p w14:paraId="0C1DD3E6">
      <w:pPr>
        <w:numPr>
          <w:ilvl w:val="0"/>
          <w:numId w:val="5"/>
        </w:numPr>
        <w:bidi w:val="0"/>
        <w:rPr>
          <w:rFonts w:hint="default"/>
          <w:lang w:val="en-US" w:eastAsia="zh-CN"/>
        </w:rPr>
      </w:pPr>
      <w:r>
        <w:rPr>
          <w:rFonts w:hint="eastAsia"/>
          <w:lang w:val="en-US" w:eastAsia="zh-CN"/>
        </w:rPr>
        <w:t>病死猪是否按照无害化处置要求建设收集、处置措施或委托处置；</w:t>
      </w:r>
    </w:p>
    <w:p w14:paraId="24739C52">
      <w:pPr>
        <w:numPr>
          <w:ilvl w:val="0"/>
          <w:numId w:val="5"/>
        </w:numPr>
        <w:bidi w:val="0"/>
        <w:rPr>
          <w:rFonts w:hint="default"/>
          <w:lang w:val="en-US" w:eastAsia="zh-CN"/>
        </w:rPr>
      </w:pPr>
      <w:r>
        <w:rPr>
          <w:rFonts w:hint="eastAsia"/>
          <w:lang w:val="en-US" w:eastAsia="zh-CN"/>
        </w:rPr>
        <w:t>项目建设对周围耕地的影响，是否有足够的耕地消纳畜禽粪污、粪便。</w:t>
      </w:r>
    </w:p>
    <w:p w14:paraId="33023631">
      <w:pPr>
        <w:pStyle w:val="26"/>
        <w:bidi w:val="0"/>
        <w:rPr>
          <w:rFonts w:hint="default"/>
          <w:lang w:val="en-US" w:eastAsia="zh-CN"/>
        </w:rPr>
      </w:pPr>
      <w:bookmarkStart w:id="6" w:name="_Toc18307"/>
      <w:r>
        <w:rPr>
          <w:rFonts w:hint="eastAsia"/>
          <w:lang w:val="en-US" w:eastAsia="zh-CN"/>
        </w:rPr>
        <w:t>环境影响评价的主要的结论</w:t>
      </w:r>
      <w:bookmarkEnd w:id="6"/>
    </w:p>
    <w:p w14:paraId="6259F337">
      <w:pPr>
        <w:bidi w:val="0"/>
        <w:rPr>
          <w:rFonts w:hint="eastAsia"/>
        </w:rPr>
        <w:sectPr>
          <w:footerReference r:id="rId8" w:type="default"/>
          <w:pgSz w:w="11906" w:h="16838"/>
          <w:pgMar w:top="1440" w:right="1800" w:bottom="1440" w:left="1800" w:header="794"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rPr>
        <w:t>综合分析表明，</w:t>
      </w:r>
      <w:r>
        <w:rPr>
          <w:rFonts w:hint="eastAsia"/>
          <w:lang w:val="en-US" w:eastAsia="zh-CN"/>
        </w:rPr>
        <w:t>本</w:t>
      </w:r>
      <w:r>
        <w:rPr>
          <w:rFonts w:hint="eastAsia"/>
        </w:rPr>
        <w:t>项目建设符合国家产业政策；</w:t>
      </w:r>
      <w:r>
        <w:rPr>
          <w:rFonts w:hint="eastAsia"/>
          <w:lang w:eastAsia="zh-CN"/>
        </w:rPr>
        <w:t>本</w:t>
      </w:r>
      <w:r>
        <w:rPr>
          <w:rFonts w:hint="eastAsia"/>
        </w:rPr>
        <w:t>项目周边环境不敏感，公众参与调查无群众反对意见，无明显限制性因素。</w:t>
      </w:r>
      <w:r>
        <w:rPr>
          <w:rFonts w:hint="eastAsia"/>
          <w:lang w:eastAsia="zh-CN"/>
        </w:rPr>
        <w:t>本</w:t>
      </w:r>
      <w:r>
        <w:rPr>
          <w:rFonts w:hint="eastAsia"/>
        </w:rPr>
        <w:t>项目用地符合第</w:t>
      </w:r>
      <w:r>
        <w:rPr>
          <w:rFonts w:hint="eastAsia"/>
          <w:lang w:val="en-US" w:eastAsia="zh-CN"/>
        </w:rPr>
        <w:t>七</w:t>
      </w:r>
      <w:r>
        <w:rPr>
          <w:rFonts w:hint="eastAsia"/>
        </w:rPr>
        <w:t>师</w:t>
      </w:r>
      <w:r>
        <w:rPr>
          <w:rFonts w:hint="eastAsia"/>
          <w:lang w:val="en-US" w:eastAsia="zh-CN"/>
        </w:rPr>
        <w:t>129</w:t>
      </w:r>
      <w:r>
        <w:rPr>
          <w:rFonts w:hint="eastAsia"/>
        </w:rPr>
        <w:t>团相关规划要求；</w:t>
      </w:r>
      <w:r>
        <w:rPr>
          <w:rFonts w:hint="eastAsia"/>
          <w:lang w:val="en-US" w:eastAsia="zh-CN"/>
        </w:rPr>
        <w:t>本</w:t>
      </w:r>
      <w:r>
        <w:rPr>
          <w:rFonts w:hint="eastAsia"/>
        </w:rPr>
        <w:t>项目废水、废气和噪声均可实现达标排放，固体废物能全部得到妥善处置，污染物对环境影响</w:t>
      </w:r>
      <w:r>
        <w:rPr>
          <w:rFonts w:hint="eastAsia"/>
          <w:lang w:val="en-US" w:eastAsia="zh-CN"/>
        </w:rPr>
        <w:t>可接受</w:t>
      </w:r>
      <w:r>
        <w:rPr>
          <w:rFonts w:hint="eastAsia"/>
        </w:rPr>
        <w:t>；污染防治措施技术上可靠、有效，经济上合理、可行；设备选型、节能及其他指标符合清洁生产的原则；环境风险水平可接受。</w:t>
      </w:r>
      <w:r>
        <w:rPr>
          <w:rFonts w:hint="eastAsia"/>
          <w:lang w:val="en-US" w:eastAsia="zh-CN"/>
        </w:rPr>
        <w:t>在</w:t>
      </w:r>
      <w:r>
        <w:rPr>
          <w:rFonts w:hint="eastAsia"/>
        </w:rPr>
        <w:t>严格落实环评文件提出的污染防治措施和环境保护措施，并加强环保设施的运行维护和管理，保证各种环保设施的正常运行和污染物长期稳定达标排放</w:t>
      </w:r>
      <w:r>
        <w:rPr>
          <w:rFonts w:hint="eastAsia"/>
          <w:lang w:val="en-US" w:eastAsia="zh-CN"/>
        </w:rPr>
        <w:t>的前提下，本</w:t>
      </w:r>
      <w:r>
        <w:rPr>
          <w:rFonts w:hint="eastAsia"/>
        </w:rPr>
        <w:t>项目</w:t>
      </w:r>
      <w:r>
        <w:rPr>
          <w:rFonts w:hint="eastAsia"/>
          <w:lang w:val="en-US" w:eastAsia="zh-CN"/>
        </w:rPr>
        <w:t>建设可行</w:t>
      </w:r>
      <w:r>
        <w:rPr>
          <w:rFonts w:hint="eastAsia"/>
        </w:rPr>
        <w:t>。</w:t>
      </w:r>
    </w:p>
    <w:p w14:paraId="656DD6D9">
      <w:pPr>
        <w:pStyle w:val="25"/>
        <w:bidi w:val="0"/>
        <w:ind w:left="0" w:leftChars="0" w:firstLine="0" w:firstLineChars="0"/>
        <w:rPr>
          <w:rFonts w:hint="eastAsia"/>
          <w:lang w:val="en-US" w:eastAsia="zh-CN"/>
        </w:rPr>
      </w:pPr>
      <w:bookmarkStart w:id="7" w:name="_Toc21611"/>
      <w:r>
        <w:rPr>
          <w:rFonts w:hint="eastAsia"/>
          <w:lang w:val="en-US" w:eastAsia="zh-CN"/>
        </w:rPr>
        <w:t>总则</w:t>
      </w:r>
      <w:bookmarkEnd w:id="7"/>
    </w:p>
    <w:p w14:paraId="661BD799">
      <w:pPr>
        <w:pStyle w:val="26"/>
        <w:bidi w:val="0"/>
        <w:rPr>
          <w:rFonts w:hint="eastAsia"/>
          <w:lang w:val="en-US" w:eastAsia="zh-CN"/>
        </w:rPr>
      </w:pPr>
      <w:bookmarkStart w:id="8" w:name="_Toc24796"/>
      <w:r>
        <w:rPr>
          <w:rFonts w:hint="eastAsia"/>
          <w:lang w:val="en-US" w:eastAsia="zh-CN"/>
        </w:rPr>
        <w:t>编制依据</w:t>
      </w:r>
      <w:bookmarkEnd w:id="8"/>
    </w:p>
    <w:p w14:paraId="4603ACF3">
      <w:pPr>
        <w:pStyle w:val="27"/>
        <w:bidi w:val="0"/>
        <w:rPr>
          <w:rFonts w:hint="default"/>
          <w:lang w:val="en-US" w:eastAsia="zh-CN"/>
        </w:rPr>
      </w:pPr>
      <w:r>
        <w:rPr>
          <w:rFonts w:hint="eastAsia"/>
          <w:lang w:val="en-US" w:eastAsia="zh-CN"/>
        </w:rPr>
        <w:t>法律法规依据</w:t>
      </w:r>
    </w:p>
    <w:p w14:paraId="4120CEF1">
      <w:pPr>
        <w:rPr>
          <w:rFonts w:hint="eastAsia"/>
          <w:lang w:val="en-US" w:eastAsia="zh-CN"/>
        </w:rPr>
      </w:pPr>
      <w:r>
        <w:rPr>
          <w:rFonts w:hint="eastAsia"/>
          <w:lang w:val="en-US" w:eastAsia="zh-CN"/>
        </w:rPr>
        <w:t>（1）《中华人民共和国环境保护法》（自2015年1月1日）；</w:t>
      </w:r>
    </w:p>
    <w:p w14:paraId="0B9B4EF7">
      <w:pPr>
        <w:rPr>
          <w:rFonts w:hint="eastAsia"/>
          <w:lang w:val="en-US" w:eastAsia="zh-CN"/>
        </w:rPr>
      </w:pPr>
      <w:r>
        <w:rPr>
          <w:rFonts w:hint="eastAsia"/>
          <w:lang w:val="en-US" w:eastAsia="zh-CN"/>
        </w:rPr>
        <w:t>（2）《中华人民共和国环境影响评价法》（2018年12月29日）；</w:t>
      </w:r>
    </w:p>
    <w:p w14:paraId="4939AE95">
      <w:pPr>
        <w:rPr>
          <w:rFonts w:hint="eastAsia"/>
          <w:lang w:val="en-US" w:eastAsia="zh-CN"/>
        </w:rPr>
      </w:pPr>
      <w:r>
        <w:rPr>
          <w:rFonts w:hint="eastAsia"/>
          <w:lang w:val="en-US" w:eastAsia="zh-CN"/>
        </w:rPr>
        <w:t xml:space="preserve">（3）《中华人民共和国大气污染防治法》（2018年10月26日）； </w:t>
      </w:r>
    </w:p>
    <w:p w14:paraId="0C4C6EE3">
      <w:pPr>
        <w:rPr>
          <w:rFonts w:hint="eastAsia"/>
          <w:lang w:val="en-US" w:eastAsia="zh-CN"/>
        </w:rPr>
      </w:pPr>
      <w:r>
        <w:rPr>
          <w:rFonts w:hint="eastAsia"/>
          <w:lang w:val="en-US" w:eastAsia="zh-CN"/>
        </w:rPr>
        <w:t>（4）《中华人民共和国水污染防治法》，（自2018年1月1日）；</w:t>
      </w:r>
    </w:p>
    <w:p w14:paraId="3B9ED40C">
      <w:pPr>
        <w:rPr>
          <w:rFonts w:hint="eastAsia"/>
          <w:lang w:val="en-US" w:eastAsia="zh-CN"/>
        </w:rPr>
      </w:pPr>
      <w:r>
        <w:rPr>
          <w:rFonts w:hint="eastAsia"/>
          <w:lang w:val="en-US" w:eastAsia="zh-CN"/>
        </w:rPr>
        <w:t>（5）《中华人民共和国固体废物污染环境防治法》（2020年9月1日）；</w:t>
      </w:r>
    </w:p>
    <w:p w14:paraId="27E70D14">
      <w:pPr>
        <w:rPr>
          <w:rFonts w:hint="eastAsia"/>
          <w:lang w:val="en-US" w:eastAsia="zh-CN"/>
        </w:rPr>
      </w:pPr>
      <w:r>
        <w:rPr>
          <w:rFonts w:hint="eastAsia"/>
          <w:lang w:val="en-US" w:eastAsia="zh-CN"/>
        </w:rPr>
        <w:t>（6）《中华人民共和国土壤污染防治法》（2019年1月1日）；</w:t>
      </w:r>
    </w:p>
    <w:p w14:paraId="5B0CBD3E">
      <w:pPr>
        <w:rPr>
          <w:rFonts w:hint="eastAsia"/>
          <w:lang w:val="en-US" w:eastAsia="zh-CN"/>
        </w:rPr>
      </w:pPr>
      <w:r>
        <w:rPr>
          <w:rFonts w:hint="eastAsia"/>
          <w:lang w:val="en-US" w:eastAsia="zh-CN"/>
        </w:rPr>
        <w:t>（7）《中华人民共和国噪声污染防治法》（2022年6月5日）；</w:t>
      </w:r>
    </w:p>
    <w:p w14:paraId="1720FF62">
      <w:pPr>
        <w:rPr>
          <w:rFonts w:hint="eastAsia"/>
          <w:lang w:val="en-US" w:eastAsia="zh-CN"/>
        </w:rPr>
      </w:pPr>
      <w:r>
        <w:rPr>
          <w:rFonts w:hint="eastAsia"/>
          <w:lang w:val="en-US" w:eastAsia="zh-CN"/>
        </w:rPr>
        <w:t>（8）《中华人民共和国畜牧法》（2023年3月1日）；</w:t>
      </w:r>
    </w:p>
    <w:p w14:paraId="589A30FE">
      <w:pPr>
        <w:rPr>
          <w:rFonts w:hint="eastAsia"/>
          <w:lang w:val="en-US" w:eastAsia="zh-CN"/>
        </w:rPr>
      </w:pPr>
      <w:r>
        <w:rPr>
          <w:rFonts w:hint="eastAsia"/>
          <w:lang w:val="en-US" w:eastAsia="zh-CN"/>
        </w:rPr>
        <w:t>（9）《中华人民共和国动物防疫法》（2021年5月1日）；</w:t>
      </w:r>
    </w:p>
    <w:p w14:paraId="2D7FF39A">
      <w:pPr>
        <w:rPr>
          <w:rFonts w:hint="eastAsia"/>
          <w:lang w:val="en-US" w:eastAsia="zh-CN"/>
        </w:rPr>
      </w:pPr>
      <w:r>
        <w:rPr>
          <w:rFonts w:hint="eastAsia"/>
          <w:lang w:val="en-US" w:eastAsia="zh-CN"/>
        </w:rPr>
        <w:t>（10）《中华人民共和国水土保持法》（2011年3月1日）；</w:t>
      </w:r>
    </w:p>
    <w:p w14:paraId="38AC6193">
      <w:pPr>
        <w:rPr>
          <w:rFonts w:hint="eastAsia"/>
          <w:lang w:val="en-US" w:eastAsia="zh-CN"/>
        </w:rPr>
      </w:pPr>
      <w:r>
        <w:rPr>
          <w:rFonts w:hint="eastAsia"/>
          <w:lang w:val="en-US" w:eastAsia="zh-CN"/>
        </w:rPr>
        <w:t>（11）《中华人民共和国城乡规划法》（2019年4月23日）；</w:t>
      </w:r>
    </w:p>
    <w:p w14:paraId="094CF9FC">
      <w:pPr>
        <w:rPr>
          <w:rFonts w:hint="eastAsia"/>
          <w:lang w:val="en-US" w:eastAsia="zh-CN"/>
        </w:rPr>
      </w:pPr>
      <w:r>
        <w:rPr>
          <w:rFonts w:hint="eastAsia"/>
          <w:lang w:val="en-US" w:eastAsia="zh-CN"/>
        </w:rPr>
        <w:t>（12）《中华人民共和国清洁生产促进法》（2012年7月1日）；</w:t>
      </w:r>
    </w:p>
    <w:p w14:paraId="6C5D0DEC">
      <w:pPr>
        <w:rPr>
          <w:rFonts w:hint="eastAsia"/>
          <w:lang w:val="en-US" w:eastAsia="zh-CN"/>
        </w:rPr>
      </w:pPr>
      <w:r>
        <w:rPr>
          <w:rFonts w:hint="eastAsia"/>
          <w:lang w:val="en-US" w:eastAsia="zh-CN"/>
        </w:rPr>
        <w:t>（13）《中华人民共和国循环经济促进法》（2019年1月1日）；</w:t>
      </w:r>
    </w:p>
    <w:p w14:paraId="2034C11E">
      <w:pPr>
        <w:rPr>
          <w:rFonts w:hint="eastAsia"/>
          <w:lang w:val="en-US" w:eastAsia="zh-CN"/>
        </w:rPr>
      </w:pPr>
      <w:r>
        <w:rPr>
          <w:rFonts w:hint="eastAsia"/>
          <w:lang w:val="en-US" w:eastAsia="zh-CN"/>
        </w:rPr>
        <w:t>（14）《中华人民共和国农业法》（2013年1月1日）；</w:t>
      </w:r>
    </w:p>
    <w:p w14:paraId="79DB72E4">
      <w:pPr>
        <w:pStyle w:val="27"/>
        <w:bidi w:val="0"/>
        <w:rPr>
          <w:rFonts w:hint="eastAsia"/>
          <w:lang w:val="en-US" w:eastAsia="zh-CN"/>
        </w:rPr>
      </w:pPr>
      <w:r>
        <w:rPr>
          <w:rFonts w:hint="eastAsia"/>
          <w:lang w:val="en-US" w:eastAsia="zh-CN"/>
        </w:rPr>
        <w:t>部门相关规章依据</w:t>
      </w:r>
    </w:p>
    <w:p w14:paraId="4431D190">
      <w:pPr>
        <w:rPr>
          <w:rFonts w:hint="eastAsia"/>
          <w:lang w:val="en-US" w:eastAsia="zh-CN"/>
        </w:rPr>
      </w:pPr>
      <w:r>
        <w:rPr>
          <w:rFonts w:hint="eastAsia"/>
          <w:lang w:val="en-US" w:eastAsia="zh-CN"/>
        </w:rPr>
        <w:t>（1）《建设项目环境影响评价分类管理名录》（2021版）（部令第16号）；</w:t>
      </w:r>
    </w:p>
    <w:p w14:paraId="24D9CF43">
      <w:pPr>
        <w:rPr>
          <w:rFonts w:hint="eastAsia"/>
          <w:lang w:val="en-US" w:eastAsia="zh-CN"/>
        </w:rPr>
      </w:pPr>
      <w:r>
        <w:rPr>
          <w:rFonts w:hint="eastAsia"/>
          <w:lang w:val="en-US" w:eastAsia="zh-CN"/>
        </w:rPr>
        <w:t>（2）《建设项目环境保护管理条例》（国务院第682号，自2017年10月1日起施行）；</w:t>
      </w:r>
    </w:p>
    <w:p w14:paraId="499B5872">
      <w:pPr>
        <w:rPr>
          <w:rFonts w:hint="eastAsia"/>
          <w:lang w:val="en-US" w:eastAsia="zh-CN"/>
        </w:rPr>
      </w:pPr>
      <w:r>
        <w:rPr>
          <w:rFonts w:hint="eastAsia"/>
          <w:lang w:val="en-US" w:eastAsia="zh-CN"/>
        </w:rPr>
        <w:t>（3）《环境影响评价公众参与办法》（生态环境部令第4号，2019年1月1日）；</w:t>
      </w:r>
    </w:p>
    <w:p w14:paraId="29C94F0D">
      <w:pPr>
        <w:rPr>
          <w:rFonts w:hint="eastAsia"/>
          <w:lang w:val="en-US" w:eastAsia="zh-CN"/>
        </w:rPr>
      </w:pPr>
      <w:r>
        <w:rPr>
          <w:rFonts w:hint="eastAsia"/>
          <w:lang w:val="en-US" w:eastAsia="zh-CN"/>
        </w:rPr>
        <w:t>（4）《产业结构调整指导目录（2024年本）》；</w:t>
      </w:r>
    </w:p>
    <w:p w14:paraId="1405598A">
      <w:pPr>
        <w:rPr>
          <w:rFonts w:hint="eastAsia"/>
          <w:lang w:val="en-US" w:eastAsia="zh-CN"/>
        </w:rPr>
      </w:pPr>
      <w:r>
        <w:rPr>
          <w:rFonts w:hint="eastAsia"/>
          <w:lang w:val="en-US" w:eastAsia="zh-CN"/>
        </w:rPr>
        <w:t>（5）《饲料和饲料添加剂管理条例》（2012年5月1日，国务院令第645号）；</w:t>
      </w:r>
    </w:p>
    <w:p w14:paraId="419A1777">
      <w:pPr>
        <w:rPr>
          <w:rFonts w:hint="eastAsia"/>
          <w:lang w:val="en-US" w:eastAsia="zh-CN"/>
        </w:rPr>
      </w:pPr>
      <w:r>
        <w:rPr>
          <w:rFonts w:hint="eastAsia"/>
          <w:lang w:val="en-US" w:eastAsia="zh-CN"/>
        </w:rPr>
        <w:t>（6）《重大动物疫情应急条例》（2017年10月7日，国务院令第687号令重新修改）；</w:t>
      </w:r>
    </w:p>
    <w:p w14:paraId="2167129A">
      <w:pPr>
        <w:rPr>
          <w:rFonts w:hint="eastAsia"/>
          <w:lang w:val="en-US" w:eastAsia="zh-CN"/>
        </w:rPr>
      </w:pPr>
      <w:r>
        <w:rPr>
          <w:rFonts w:hint="eastAsia"/>
          <w:lang w:val="en-US" w:eastAsia="zh-CN"/>
        </w:rPr>
        <w:t>（7）《畜禽规模养殖污染防治条例》（国务院令第643号，自2014年1月1日起施行）；</w:t>
      </w:r>
    </w:p>
    <w:p w14:paraId="6B5BF3C0">
      <w:pPr>
        <w:rPr>
          <w:rFonts w:hint="eastAsia"/>
          <w:lang w:val="en-US" w:eastAsia="zh-CN"/>
        </w:rPr>
      </w:pPr>
      <w:r>
        <w:rPr>
          <w:rFonts w:hint="eastAsia"/>
          <w:lang w:val="en-US" w:eastAsia="zh-CN"/>
        </w:rPr>
        <w:t>（8）《关于进一步加强环境影响评价管理防范环境风险的通知》（环发〔2012〕77号，自2012年7月3日起施行）；</w:t>
      </w:r>
    </w:p>
    <w:p w14:paraId="6B05D4BE">
      <w:pPr>
        <w:rPr>
          <w:rFonts w:hint="eastAsia"/>
          <w:lang w:val="en-US" w:eastAsia="zh-CN"/>
        </w:rPr>
      </w:pPr>
      <w:r>
        <w:rPr>
          <w:rFonts w:hint="eastAsia"/>
          <w:lang w:val="en-US" w:eastAsia="zh-CN"/>
        </w:rPr>
        <w:t>（9）《环境保护部农业部关于进一步加强畜禽养殖污染防治工作的通知》（环水体〔2016〕144号）；</w:t>
      </w:r>
    </w:p>
    <w:p w14:paraId="633E3770">
      <w:pPr>
        <w:rPr>
          <w:rFonts w:hint="eastAsia"/>
          <w:lang w:val="en-US" w:eastAsia="zh-CN"/>
        </w:rPr>
      </w:pPr>
      <w:r>
        <w:rPr>
          <w:rFonts w:hint="eastAsia"/>
          <w:lang w:val="en-US" w:eastAsia="zh-CN"/>
        </w:rPr>
        <w:t>（10）《关于加强西部地区环境影响评价工作的通知》（环发〔2011〕150号，2011年12月29日）；</w:t>
      </w:r>
    </w:p>
    <w:p w14:paraId="47C4AF42">
      <w:pPr>
        <w:rPr>
          <w:rFonts w:hint="eastAsia"/>
          <w:lang w:val="en-US" w:eastAsia="zh-CN"/>
        </w:rPr>
      </w:pPr>
      <w:r>
        <w:rPr>
          <w:rFonts w:hint="eastAsia"/>
          <w:lang w:val="en-US" w:eastAsia="zh-CN"/>
        </w:rPr>
        <w:t>（11）《关于做好畜禽规模养殖项目环境影响评价管理工作的通知》（环办环评〔2018〕31号）；</w:t>
      </w:r>
    </w:p>
    <w:p w14:paraId="7F00E25B">
      <w:pPr>
        <w:rPr>
          <w:rFonts w:hint="eastAsia"/>
          <w:lang w:val="en-US" w:eastAsia="zh-CN"/>
        </w:rPr>
      </w:pPr>
      <w:r>
        <w:rPr>
          <w:rFonts w:hint="eastAsia"/>
          <w:lang w:val="en-US" w:eastAsia="zh-CN"/>
        </w:rPr>
        <w:t>（12）《国务院办公厅关于加快推进畜禽养殖废弃物资源化利用的意见》（国办发〔2017〕48号）；</w:t>
      </w:r>
    </w:p>
    <w:p w14:paraId="3BBA5CA0">
      <w:pPr>
        <w:rPr>
          <w:rFonts w:hint="eastAsia"/>
          <w:lang w:val="en-US" w:eastAsia="zh-CN"/>
        </w:rPr>
      </w:pPr>
      <w:r>
        <w:rPr>
          <w:rFonts w:hint="eastAsia"/>
          <w:lang w:val="en-US" w:eastAsia="zh-CN"/>
        </w:rPr>
        <w:t>（13）《病死及病害动物无害化处理技术规范》（农医发〔2017〕25号）；</w:t>
      </w:r>
    </w:p>
    <w:p w14:paraId="2A8EE93D">
      <w:pPr>
        <w:rPr>
          <w:rFonts w:hint="eastAsia"/>
          <w:lang w:val="en-US" w:eastAsia="zh-CN"/>
        </w:rPr>
      </w:pPr>
      <w:r>
        <w:rPr>
          <w:rFonts w:hint="eastAsia"/>
          <w:lang w:val="en-US" w:eastAsia="zh-CN"/>
        </w:rPr>
        <w:t>（14）《畜禽规模养殖场粪污资源化利用设施建设规范（试行）》（农办牧〔2018〕2号）；</w:t>
      </w:r>
    </w:p>
    <w:p w14:paraId="62597C0F">
      <w:pPr>
        <w:rPr>
          <w:rFonts w:hint="eastAsia"/>
          <w:lang w:val="en-US" w:eastAsia="zh-CN"/>
        </w:rPr>
      </w:pPr>
      <w:r>
        <w:rPr>
          <w:rFonts w:hint="eastAsia"/>
          <w:lang w:val="en-US" w:eastAsia="zh-CN"/>
        </w:rPr>
        <w:t>（15）《关于以改善环境质量为核心加强环境影响评价管理的通知》（环环评〔2016〕150号）；</w:t>
      </w:r>
    </w:p>
    <w:p w14:paraId="49588BCE">
      <w:pPr>
        <w:rPr>
          <w:rFonts w:hint="eastAsia"/>
          <w:lang w:val="en-US" w:eastAsia="zh-CN"/>
        </w:rPr>
      </w:pPr>
      <w:r>
        <w:rPr>
          <w:rFonts w:hint="eastAsia"/>
          <w:lang w:val="en-US" w:eastAsia="zh-CN"/>
        </w:rPr>
        <w:t>（16）农业农村部办公厅生态环境部办公厅《关于进一步明确畜禽粪污还田利用要求强化养殖污染监管的通知》（农办牧〔2020〕23号）；</w:t>
      </w:r>
    </w:p>
    <w:p w14:paraId="08218176">
      <w:pPr>
        <w:rPr>
          <w:rFonts w:hint="eastAsia"/>
          <w:lang w:val="en-US" w:eastAsia="zh-CN"/>
        </w:rPr>
      </w:pPr>
      <w:r>
        <w:rPr>
          <w:rFonts w:hint="eastAsia"/>
          <w:lang w:val="en-US" w:eastAsia="zh-CN"/>
        </w:rPr>
        <w:t>（17）关于印发《企业事业单位突发环境事件应急预案备案管理办法（试行）》的通知（环发〔2015〕4号）；</w:t>
      </w:r>
    </w:p>
    <w:p w14:paraId="57EC4B26">
      <w:pPr>
        <w:rPr>
          <w:rFonts w:hint="eastAsia"/>
          <w:lang w:val="en-US" w:eastAsia="zh-CN"/>
        </w:rPr>
      </w:pPr>
      <w:r>
        <w:rPr>
          <w:rFonts w:hint="eastAsia"/>
          <w:lang w:val="en-US" w:eastAsia="zh-CN"/>
        </w:rPr>
        <w:t>（18）《关于切实加强风险防范严格环境影响评价管理的通知》（环发〔2012〕98号）；</w:t>
      </w:r>
    </w:p>
    <w:p w14:paraId="6157166A">
      <w:pPr>
        <w:rPr>
          <w:rFonts w:hint="eastAsia"/>
          <w:lang w:val="en-US" w:eastAsia="zh-CN"/>
        </w:rPr>
      </w:pPr>
      <w:r>
        <w:rPr>
          <w:rFonts w:hint="eastAsia"/>
          <w:lang w:val="en-US" w:eastAsia="zh-CN"/>
        </w:rPr>
        <w:t>（19）《国务院关于印发水污染防治行动计划的通知》（国发〔2015〕17号）；</w:t>
      </w:r>
    </w:p>
    <w:p w14:paraId="48FBBE57">
      <w:pPr>
        <w:rPr>
          <w:rFonts w:hint="eastAsia"/>
          <w:lang w:val="en-US" w:eastAsia="zh-CN"/>
        </w:rPr>
      </w:pPr>
      <w:r>
        <w:rPr>
          <w:rFonts w:hint="eastAsia"/>
          <w:lang w:val="en-US" w:eastAsia="zh-CN"/>
        </w:rPr>
        <w:t>（20）《国务院关于印发土壤污染防治行动计划的通知》（国发〔2016〕31号）；</w:t>
      </w:r>
    </w:p>
    <w:p w14:paraId="6C189EBB">
      <w:pPr>
        <w:rPr>
          <w:rFonts w:hint="eastAsia"/>
          <w:lang w:val="en-US" w:eastAsia="zh-CN"/>
        </w:rPr>
      </w:pPr>
      <w:r>
        <w:rPr>
          <w:rFonts w:hint="eastAsia"/>
          <w:lang w:val="en-US" w:eastAsia="zh-CN"/>
        </w:rPr>
        <w:t>（21）《关于切实加强环境影响评价监督管理工作的通知》（环办〔2013〕104号）；</w:t>
      </w:r>
    </w:p>
    <w:p w14:paraId="24CF6A6A">
      <w:pPr>
        <w:rPr>
          <w:rFonts w:hint="eastAsia"/>
          <w:lang w:val="en-US" w:eastAsia="zh-CN"/>
        </w:rPr>
      </w:pPr>
      <w:r>
        <w:rPr>
          <w:rFonts w:hint="eastAsia"/>
          <w:lang w:val="en-US" w:eastAsia="zh-CN"/>
        </w:rPr>
        <w:t>（22）《关于落实大气污染防治行动计划严格环境影响评价准入的通知》，（环办〔2014〕30号）；</w:t>
      </w:r>
    </w:p>
    <w:p w14:paraId="5ACA8457">
      <w:pPr>
        <w:rPr>
          <w:rFonts w:hint="eastAsia"/>
          <w:lang w:val="en-US" w:eastAsia="zh-CN"/>
        </w:rPr>
      </w:pPr>
      <w:r>
        <w:rPr>
          <w:rFonts w:hint="eastAsia"/>
          <w:lang w:val="en-US" w:eastAsia="zh-CN"/>
        </w:rPr>
        <w:t>（23）《关于执行大气污染物特别排放限值的公告》环保部公告2013年第14号；</w:t>
      </w:r>
    </w:p>
    <w:p w14:paraId="719C9B7F">
      <w:pPr>
        <w:rPr>
          <w:rFonts w:hint="eastAsia"/>
          <w:lang w:val="en-US" w:eastAsia="zh-CN"/>
        </w:rPr>
      </w:pPr>
      <w:r>
        <w:rPr>
          <w:rFonts w:hint="eastAsia"/>
          <w:lang w:val="en-US" w:eastAsia="zh-CN"/>
        </w:rPr>
        <w:t>（24）《控制污染物排放许可制实施方案》（国办发〔2016〕81号）；</w:t>
      </w:r>
    </w:p>
    <w:p w14:paraId="743F4058">
      <w:pPr>
        <w:rPr>
          <w:rFonts w:hint="eastAsia"/>
          <w:lang w:val="en-US" w:eastAsia="zh-CN"/>
        </w:rPr>
      </w:pPr>
      <w:r>
        <w:rPr>
          <w:rFonts w:hint="eastAsia"/>
          <w:lang w:val="en-US" w:eastAsia="zh-CN"/>
        </w:rPr>
        <w:t>（25）《国家危险废物名录》（2021版）；</w:t>
      </w:r>
    </w:p>
    <w:p w14:paraId="1BA349E6">
      <w:pPr>
        <w:rPr>
          <w:rFonts w:hint="eastAsia"/>
          <w:lang w:val="en-US" w:eastAsia="zh-CN"/>
        </w:rPr>
      </w:pPr>
      <w:r>
        <w:rPr>
          <w:rFonts w:hint="eastAsia"/>
          <w:lang w:val="en-US" w:eastAsia="zh-CN"/>
        </w:rPr>
        <w:t>（26）《危险废物转移管理方法》（部令第23号，2022年1月1日施行）；</w:t>
      </w:r>
    </w:p>
    <w:p w14:paraId="0AFA4D69">
      <w:pPr>
        <w:rPr>
          <w:rFonts w:hint="eastAsia"/>
          <w:lang w:val="en-US" w:eastAsia="zh-CN"/>
        </w:rPr>
      </w:pPr>
      <w:r>
        <w:rPr>
          <w:rFonts w:hint="eastAsia"/>
          <w:lang w:val="en-US" w:eastAsia="zh-CN"/>
        </w:rPr>
        <w:t>（27）《建设项目危险废物环境影响评价指南》（环保部公告2017年第43号，2017年10月1日起实施）；</w:t>
      </w:r>
    </w:p>
    <w:p w14:paraId="46C8D447">
      <w:pPr>
        <w:rPr>
          <w:rFonts w:hint="eastAsia"/>
          <w:lang w:val="en-US" w:eastAsia="zh-CN"/>
        </w:rPr>
      </w:pPr>
      <w:r>
        <w:rPr>
          <w:rFonts w:hint="eastAsia"/>
          <w:lang w:val="en-US" w:eastAsia="zh-CN"/>
        </w:rPr>
        <w:t>（28）《强化建设项目环评事中事后监管的实施意见》（环环评〔2018〕11号）；</w:t>
      </w:r>
    </w:p>
    <w:p w14:paraId="702D9B0A">
      <w:pPr>
        <w:rPr>
          <w:rFonts w:hint="eastAsia"/>
          <w:lang w:val="en-US" w:eastAsia="zh-CN"/>
        </w:rPr>
      </w:pPr>
      <w:r>
        <w:rPr>
          <w:rFonts w:hint="eastAsia"/>
          <w:lang w:val="en-US" w:eastAsia="zh-CN"/>
        </w:rPr>
        <w:t>（29）《关于进一步加强病死畜禽无害化处理工作的通知》（农牧发〔2020〕6号）；</w:t>
      </w:r>
    </w:p>
    <w:p w14:paraId="2D523E6F">
      <w:pPr>
        <w:rPr>
          <w:rFonts w:hint="eastAsia"/>
          <w:lang w:val="en-US" w:eastAsia="zh-CN"/>
        </w:rPr>
      </w:pPr>
      <w:r>
        <w:rPr>
          <w:rFonts w:hint="eastAsia"/>
          <w:lang w:val="en-US" w:eastAsia="zh-CN"/>
        </w:rPr>
        <w:t>（30）《关于促进畜禽粪污还田利用依法加强养殖污染治理的指导意见》（农办牧〔2019〕84号）；</w:t>
      </w:r>
    </w:p>
    <w:p w14:paraId="7111C3C7">
      <w:pPr>
        <w:rPr>
          <w:rFonts w:hint="eastAsia"/>
          <w:lang w:val="en-US" w:eastAsia="zh-CN"/>
        </w:rPr>
      </w:pPr>
      <w:r>
        <w:rPr>
          <w:rFonts w:hint="eastAsia"/>
          <w:lang w:val="en-US" w:eastAsia="zh-CN"/>
        </w:rPr>
        <w:t>（31）《病死畜禽和病害畜禽产品无害化处理管理办法》（农业农村部令2022年第3号）。</w:t>
      </w:r>
    </w:p>
    <w:p w14:paraId="79B6DF4A">
      <w:pPr>
        <w:pStyle w:val="27"/>
        <w:bidi w:val="0"/>
        <w:rPr>
          <w:rFonts w:hint="eastAsia"/>
          <w:lang w:val="en-US" w:eastAsia="zh-CN"/>
        </w:rPr>
      </w:pPr>
      <w:r>
        <w:rPr>
          <w:rFonts w:hint="eastAsia"/>
          <w:lang w:val="en-US" w:eastAsia="zh-CN"/>
        </w:rPr>
        <w:t>地方法规及政策</w:t>
      </w:r>
    </w:p>
    <w:p w14:paraId="5BA6E277">
      <w:pPr>
        <w:rPr>
          <w:rFonts w:hint="eastAsia"/>
          <w:lang w:val="en-US" w:eastAsia="zh-CN"/>
        </w:rPr>
      </w:pPr>
      <w:r>
        <w:rPr>
          <w:rFonts w:hint="eastAsia"/>
          <w:lang w:val="en-US" w:eastAsia="zh-CN"/>
        </w:rPr>
        <w:t>（1）《新疆维吾尔自治区环境保护条例》（2019年1月1日）；</w:t>
      </w:r>
    </w:p>
    <w:p w14:paraId="53CF8D0D">
      <w:pPr>
        <w:rPr>
          <w:rFonts w:hint="eastAsia"/>
          <w:lang w:val="en-US" w:eastAsia="zh-CN"/>
        </w:rPr>
      </w:pPr>
      <w:r>
        <w:rPr>
          <w:rFonts w:hint="eastAsia"/>
          <w:lang w:val="en-US" w:eastAsia="zh-CN"/>
        </w:rPr>
        <w:t>（2）《关于印发新疆维吾尔自治区大气污染防治行动计划实施方案的通知》（新政发〔2014〕35号）；</w:t>
      </w:r>
    </w:p>
    <w:p w14:paraId="5F91CE40">
      <w:pPr>
        <w:rPr>
          <w:rFonts w:hint="eastAsia"/>
          <w:lang w:val="en-US" w:eastAsia="zh-CN"/>
        </w:rPr>
      </w:pPr>
      <w:r>
        <w:rPr>
          <w:rFonts w:hint="eastAsia"/>
          <w:lang w:val="en-US" w:eastAsia="zh-CN"/>
        </w:rPr>
        <w:t>（3）《关于印发新疆生产建设兵团水污染防治工作方案的通知》（新兵发〔2016〕39号）；</w:t>
      </w:r>
    </w:p>
    <w:p w14:paraId="6EEB6446">
      <w:pPr>
        <w:rPr>
          <w:rFonts w:hint="eastAsia"/>
          <w:lang w:val="en-US" w:eastAsia="zh-CN"/>
        </w:rPr>
      </w:pPr>
      <w:r>
        <w:rPr>
          <w:rFonts w:hint="eastAsia"/>
          <w:lang w:val="en-US" w:eastAsia="zh-CN"/>
        </w:rPr>
        <w:t>（4）关于印发《新疆生产建设兵团土壤污染防治工作方案的通知》（新兵发〔2017〕9号）；</w:t>
      </w:r>
    </w:p>
    <w:p w14:paraId="30D02A99">
      <w:pPr>
        <w:rPr>
          <w:rFonts w:hint="eastAsia"/>
          <w:lang w:val="en-US" w:eastAsia="zh-CN"/>
        </w:rPr>
      </w:pPr>
      <w:r>
        <w:rPr>
          <w:rFonts w:hint="eastAsia"/>
          <w:lang w:val="en-US" w:eastAsia="zh-CN"/>
        </w:rPr>
        <w:t>（5）《关于重点区域执行大气污染物特别排放限值的公告》（新疆环保厅公告2016年第45号）。</w:t>
      </w:r>
    </w:p>
    <w:p w14:paraId="6FC4D36D">
      <w:pPr>
        <w:rPr>
          <w:rFonts w:hint="eastAsia"/>
          <w:lang w:val="en-US" w:eastAsia="zh-CN"/>
        </w:rPr>
      </w:pPr>
      <w:r>
        <w:rPr>
          <w:rFonts w:hint="eastAsia"/>
          <w:lang w:val="en-US" w:eastAsia="zh-CN"/>
        </w:rPr>
        <w:t>（6）《新疆维吾尔自治区突发环境事件应急预案编制导则（试行）》（新环发〔2014〕234号）；</w:t>
      </w:r>
    </w:p>
    <w:p w14:paraId="661FA436">
      <w:pPr>
        <w:rPr>
          <w:rFonts w:hint="eastAsia"/>
          <w:lang w:val="en-US" w:eastAsia="zh-CN"/>
        </w:rPr>
      </w:pPr>
      <w:r>
        <w:rPr>
          <w:rFonts w:hint="eastAsia"/>
          <w:lang w:val="en-US" w:eastAsia="zh-CN"/>
        </w:rPr>
        <w:t>（7）《关于印发自治区〈建设项目主要污染物总量指标确认办法（试行）〉的通知》（新环总量发〔2011〕86号）；</w:t>
      </w:r>
    </w:p>
    <w:p w14:paraId="6E65717F">
      <w:pPr>
        <w:rPr>
          <w:rFonts w:hint="eastAsia"/>
          <w:lang w:val="en-US" w:eastAsia="zh-CN"/>
        </w:rPr>
      </w:pPr>
      <w:r>
        <w:rPr>
          <w:rFonts w:hint="eastAsia"/>
          <w:lang w:val="en-US" w:eastAsia="zh-CN"/>
        </w:rPr>
        <w:t>（8）《关于印发新疆维吾尔自治区28个国家重点生态功能区县（市）产业准入负面清单（试行）的通知》（新发改规划〔2017〕891号）；</w:t>
      </w:r>
    </w:p>
    <w:p w14:paraId="652D89C8">
      <w:pPr>
        <w:rPr>
          <w:rFonts w:hint="eastAsia"/>
          <w:lang w:val="en-US" w:eastAsia="zh-CN"/>
        </w:rPr>
      </w:pPr>
      <w:r>
        <w:rPr>
          <w:rFonts w:hint="eastAsia"/>
          <w:lang w:val="en-US" w:eastAsia="zh-CN"/>
        </w:rPr>
        <w:t>（9）《关于印发新疆生产建设兵团“三线一单”生态环境分区管控方案的通知》（新兵发〔2021〕16号）；</w:t>
      </w:r>
    </w:p>
    <w:p w14:paraId="2579359D">
      <w:pPr>
        <w:rPr>
          <w:rFonts w:hint="eastAsia"/>
          <w:lang w:val="en-US" w:eastAsia="zh-CN"/>
        </w:rPr>
      </w:pPr>
      <w:r>
        <w:rPr>
          <w:rFonts w:hint="eastAsia"/>
          <w:lang w:val="en-US" w:eastAsia="zh-CN"/>
        </w:rPr>
        <w:t>（10）《第七师胡杨河市“三线一单”生态环境分区管控方案》；</w:t>
      </w:r>
    </w:p>
    <w:p w14:paraId="0D6B9A66">
      <w:pPr>
        <w:rPr>
          <w:rFonts w:hint="eastAsia"/>
          <w:lang w:val="en-US" w:eastAsia="zh-CN"/>
        </w:rPr>
      </w:pPr>
      <w:r>
        <w:rPr>
          <w:rFonts w:hint="eastAsia"/>
          <w:lang w:val="en-US" w:eastAsia="zh-CN"/>
        </w:rPr>
        <w:t>（11）《新疆生产建设兵团国民经济和社会发展第十四个五年规划和2035年远景目标纲要》；</w:t>
      </w:r>
    </w:p>
    <w:p w14:paraId="79747C9B">
      <w:pPr>
        <w:rPr>
          <w:rFonts w:hint="eastAsia"/>
          <w:lang w:val="en-US" w:eastAsia="zh-CN"/>
        </w:rPr>
      </w:pPr>
      <w:r>
        <w:rPr>
          <w:rFonts w:hint="eastAsia"/>
          <w:lang w:val="en-US" w:eastAsia="zh-CN"/>
        </w:rPr>
        <w:t>（12）关于印发《新疆生产建设兵团“十四五”生态环境保护规划》的通知（2022年1月28日）；</w:t>
      </w:r>
    </w:p>
    <w:p w14:paraId="56A39FCE">
      <w:pPr>
        <w:pStyle w:val="27"/>
        <w:bidi w:val="0"/>
        <w:rPr>
          <w:rFonts w:hint="eastAsia"/>
          <w:lang w:val="en-US" w:eastAsia="zh-CN"/>
        </w:rPr>
      </w:pPr>
      <w:r>
        <w:rPr>
          <w:rFonts w:hint="eastAsia"/>
          <w:lang w:val="en-US" w:eastAsia="zh-CN"/>
        </w:rPr>
        <w:t>相关规划</w:t>
      </w:r>
    </w:p>
    <w:p w14:paraId="35EB1D17">
      <w:pPr>
        <w:rPr>
          <w:rFonts w:hint="eastAsia"/>
          <w:lang w:val="en-US" w:eastAsia="zh-CN"/>
        </w:rPr>
      </w:pPr>
      <w:r>
        <w:rPr>
          <w:rFonts w:hint="eastAsia"/>
          <w:lang w:val="en-US" w:eastAsia="zh-CN"/>
        </w:rPr>
        <w:t>（1）《新疆环境功能区划》；</w:t>
      </w:r>
    </w:p>
    <w:p w14:paraId="2DA2BDD9">
      <w:pPr>
        <w:rPr>
          <w:rFonts w:hint="eastAsia"/>
          <w:lang w:val="en-US" w:eastAsia="zh-CN"/>
        </w:rPr>
      </w:pPr>
      <w:r>
        <w:rPr>
          <w:rFonts w:hint="eastAsia"/>
          <w:lang w:val="en-US" w:eastAsia="zh-CN"/>
        </w:rPr>
        <w:t>（2）《新疆生态功能区划》；</w:t>
      </w:r>
    </w:p>
    <w:p w14:paraId="655D55B1">
      <w:pPr>
        <w:rPr>
          <w:rFonts w:hint="eastAsia"/>
          <w:lang w:val="en-US" w:eastAsia="zh-CN"/>
        </w:rPr>
      </w:pPr>
      <w:r>
        <w:rPr>
          <w:rFonts w:hint="eastAsia"/>
          <w:lang w:val="en-US" w:eastAsia="zh-CN"/>
        </w:rPr>
        <w:t>（3）《新疆维吾尔自治区水环境功能区划》；</w:t>
      </w:r>
    </w:p>
    <w:p w14:paraId="1756DF8E">
      <w:pPr>
        <w:rPr>
          <w:rFonts w:hint="eastAsia"/>
          <w:lang w:val="en-US" w:eastAsia="zh-CN"/>
        </w:rPr>
      </w:pPr>
      <w:r>
        <w:rPr>
          <w:rFonts w:hint="eastAsia"/>
          <w:lang w:val="en-US" w:eastAsia="zh-CN"/>
        </w:rPr>
        <w:t>（4）《新疆生产建设兵团“十四五”生态环境保护规划》；</w:t>
      </w:r>
    </w:p>
    <w:p w14:paraId="6A54E525">
      <w:pPr>
        <w:pStyle w:val="2"/>
        <w:rPr>
          <w:rFonts w:hint="eastAsia"/>
          <w:lang w:val="en-US" w:eastAsia="zh-CN"/>
        </w:rPr>
      </w:pPr>
      <w:r>
        <w:rPr>
          <w:rFonts w:hint="eastAsia"/>
          <w:lang w:val="en-US" w:eastAsia="zh-CN"/>
        </w:rPr>
        <w:t>（5）关于印发《第七师畜禽养殖禁养区和限养区划定工作实施方案》的通知（师办发〔2017〕96号）。</w:t>
      </w:r>
    </w:p>
    <w:p w14:paraId="1E12965A">
      <w:pPr>
        <w:pStyle w:val="27"/>
        <w:bidi w:val="0"/>
        <w:rPr>
          <w:rFonts w:hint="eastAsia"/>
          <w:lang w:val="en-US" w:eastAsia="zh-CN"/>
        </w:rPr>
      </w:pPr>
      <w:r>
        <w:rPr>
          <w:rFonts w:hint="eastAsia"/>
          <w:lang w:val="en-US" w:eastAsia="zh-CN"/>
        </w:rPr>
        <w:t>技术导则</w:t>
      </w:r>
    </w:p>
    <w:p w14:paraId="2AC49EF2">
      <w:pPr>
        <w:rPr>
          <w:rFonts w:hint="eastAsia"/>
          <w:lang w:val="en-US" w:eastAsia="zh-CN"/>
        </w:rPr>
      </w:pPr>
      <w:r>
        <w:rPr>
          <w:rFonts w:hint="eastAsia"/>
          <w:lang w:val="en-US" w:eastAsia="zh-CN"/>
        </w:rPr>
        <w:t>（1）《建设项目环境影响评价技术导则 总纲》（HJ2.1-2016）；</w:t>
      </w:r>
    </w:p>
    <w:p w14:paraId="51FAD814">
      <w:pPr>
        <w:rPr>
          <w:rFonts w:hint="eastAsia"/>
          <w:lang w:val="en-US" w:eastAsia="zh-CN"/>
        </w:rPr>
      </w:pPr>
      <w:r>
        <w:rPr>
          <w:rFonts w:hint="eastAsia"/>
          <w:lang w:val="en-US" w:eastAsia="zh-CN"/>
        </w:rPr>
        <w:t>（2）《环境影响评价技术导则 大气环境》（HJ2.2-2018）；</w:t>
      </w:r>
    </w:p>
    <w:p w14:paraId="3B96D4F3">
      <w:pPr>
        <w:rPr>
          <w:rFonts w:hint="eastAsia"/>
          <w:lang w:val="en-US" w:eastAsia="zh-CN"/>
        </w:rPr>
      </w:pPr>
      <w:r>
        <w:rPr>
          <w:rFonts w:hint="eastAsia"/>
          <w:lang w:val="en-US" w:eastAsia="zh-CN"/>
        </w:rPr>
        <w:t>（3）《环境影响评价技术导则 地表水环境》（HJ 2.3-2018）；</w:t>
      </w:r>
    </w:p>
    <w:p w14:paraId="658E658B">
      <w:pPr>
        <w:rPr>
          <w:rFonts w:hint="eastAsia"/>
          <w:lang w:val="en-US" w:eastAsia="zh-CN"/>
        </w:rPr>
      </w:pPr>
      <w:r>
        <w:rPr>
          <w:rFonts w:hint="eastAsia"/>
          <w:lang w:val="en-US" w:eastAsia="zh-CN"/>
        </w:rPr>
        <w:t xml:space="preserve">（4）《环境影响评价技术导则 声环境》（HJ2.4-2021）； </w:t>
      </w:r>
    </w:p>
    <w:p w14:paraId="1D84DDD2">
      <w:pPr>
        <w:rPr>
          <w:rFonts w:hint="eastAsia"/>
          <w:lang w:val="en-US" w:eastAsia="zh-CN"/>
        </w:rPr>
      </w:pPr>
      <w:r>
        <w:rPr>
          <w:rFonts w:hint="eastAsia"/>
          <w:lang w:val="en-US" w:eastAsia="zh-CN"/>
        </w:rPr>
        <w:t xml:space="preserve">（5）《环境影响评价技术导则 地下水环境》（HJ610-2016）； </w:t>
      </w:r>
    </w:p>
    <w:p w14:paraId="42A5BFE7">
      <w:pPr>
        <w:rPr>
          <w:rFonts w:hint="eastAsia"/>
          <w:lang w:val="en-US" w:eastAsia="zh-CN"/>
        </w:rPr>
      </w:pPr>
      <w:r>
        <w:rPr>
          <w:rFonts w:hint="eastAsia"/>
          <w:lang w:val="en-US" w:eastAsia="zh-CN"/>
        </w:rPr>
        <w:t xml:space="preserve">（6）《环境影响评价技术导则 生态影响》（HJ19-2022）； </w:t>
      </w:r>
    </w:p>
    <w:p w14:paraId="27C2C356">
      <w:pPr>
        <w:rPr>
          <w:rFonts w:hint="eastAsia"/>
          <w:lang w:val="en-US" w:eastAsia="zh-CN"/>
        </w:rPr>
      </w:pPr>
      <w:r>
        <w:rPr>
          <w:rFonts w:hint="eastAsia"/>
          <w:lang w:val="en-US" w:eastAsia="zh-CN"/>
        </w:rPr>
        <w:t xml:space="preserve">（7）《建设项目环境风险评价技术导则》（HJ169-2018）； </w:t>
      </w:r>
    </w:p>
    <w:p w14:paraId="49495969">
      <w:pPr>
        <w:rPr>
          <w:rFonts w:hint="eastAsia"/>
          <w:lang w:val="en-US" w:eastAsia="zh-CN"/>
        </w:rPr>
      </w:pPr>
      <w:r>
        <w:rPr>
          <w:rFonts w:hint="eastAsia"/>
          <w:lang w:val="en-US" w:eastAsia="zh-CN"/>
        </w:rPr>
        <w:t xml:space="preserve">（8）《环境影响评价技术导则 土壤环境（试行）》（HJ964-2018）； </w:t>
      </w:r>
    </w:p>
    <w:p w14:paraId="35828D26">
      <w:pPr>
        <w:rPr>
          <w:rFonts w:hint="eastAsia"/>
          <w:lang w:val="en-US" w:eastAsia="zh-CN"/>
        </w:rPr>
      </w:pPr>
      <w:r>
        <w:rPr>
          <w:rFonts w:hint="eastAsia"/>
          <w:lang w:val="en-US" w:eastAsia="zh-CN"/>
        </w:rPr>
        <w:t xml:space="preserve">（10）《固体废物鉴别标准 通则》（GB34330-2017）； </w:t>
      </w:r>
    </w:p>
    <w:p w14:paraId="516D480C">
      <w:pPr>
        <w:rPr>
          <w:rFonts w:hint="eastAsia"/>
          <w:lang w:val="en-US" w:eastAsia="zh-CN"/>
        </w:rPr>
      </w:pPr>
      <w:r>
        <w:rPr>
          <w:rFonts w:hint="eastAsia"/>
          <w:lang w:val="en-US" w:eastAsia="zh-CN"/>
        </w:rPr>
        <w:t>（11）《危险废物鉴别标准 通则》（GB5085.7-2019）；</w:t>
      </w:r>
    </w:p>
    <w:p w14:paraId="17F33D36">
      <w:pPr>
        <w:rPr>
          <w:rFonts w:hint="eastAsia"/>
          <w:lang w:val="en-US" w:eastAsia="zh-CN"/>
        </w:rPr>
      </w:pPr>
      <w:r>
        <w:rPr>
          <w:rFonts w:hint="eastAsia"/>
          <w:lang w:val="en-US" w:eastAsia="zh-CN"/>
        </w:rPr>
        <w:t xml:space="preserve">（12）《危险废物收集 贮存 运输技术规范》（HJ2025-2012）； </w:t>
      </w:r>
    </w:p>
    <w:p w14:paraId="04210AB5">
      <w:pPr>
        <w:rPr>
          <w:rFonts w:hint="eastAsia"/>
          <w:lang w:val="en-US" w:eastAsia="zh-CN"/>
        </w:rPr>
      </w:pPr>
      <w:r>
        <w:rPr>
          <w:rFonts w:hint="eastAsia"/>
          <w:lang w:val="en-US" w:eastAsia="zh-CN"/>
        </w:rPr>
        <w:t xml:space="preserve">（13）《排污许可证申请与核发技术规范总则》（HJ942-2018）； </w:t>
      </w:r>
    </w:p>
    <w:p w14:paraId="6C13427A">
      <w:pPr>
        <w:rPr>
          <w:rFonts w:hint="eastAsia"/>
          <w:lang w:val="en-US" w:eastAsia="zh-CN"/>
        </w:rPr>
      </w:pPr>
      <w:r>
        <w:rPr>
          <w:rFonts w:hint="eastAsia"/>
          <w:lang w:val="en-US" w:eastAsia="zh-CN"/>
        </w:rPr>
        <w:t xml:space="preserve">（14）《排污单位自行监测技术指南总则》（HJ819-2017）； </w:t>
      </w:r>
    </w:p>
    <w:p w14:paraId="2FB0B485">
      <w:pPr>
        <w:rPr>
          <w:rFonts w:hint="eastAsia"/>
          <w:lang w:val="en-US" w:eastAsia="zh-CN"/>
        </w:rPr>
      </w:pPr>
      <w:r>
        <w:rPr>
          <w:rFonts w:hint="eastAsia"/>
          <w:lang w:val="en-US" w:eastAsia="zh-CN"/>
        </w:rPr>
        <w:t xml:space="preserve">（15）《排污许可证申请与核发技术规范畜禽养殖行业》（HJ1029-2019）。 </w:t>
      </w:r>
    </w:p>
    <w:p w14:paraId="245D4590">
      <w:pPr>
        <w:rPr>
          <w:rFonts w:hint="eastAsia"/>
          <w:lang w:val="en-US" w:eastAsia="zh-CN"/>
        </w:rPr>
      </w:pPr>
      <w:r>
        <w:rPr>
          <w:rFonts w:hint="eastAsia"/>
          <w:lang w:val="en-US" w:eastAsia="zh-CN"/>
        </w:rPr>
        <w:t xml:space="preserve">（16）《畜禽养殖业污染治理工程技术规范》（HJ497-2009）； </w:t>
      </w:r>
    </w:p>
    <w:p w14:paraId="5C07F257">
      <w:pPr>
        <w:rPr>
          <w:rFonts w:hint="eastAsia"/>
          <w:lang w:val="en-US" w:eastAsia="zh-CN"/>
        </w:rPr>
      </w:pPr>
      <w:r>
        <w:rPr>
          <w:rFonts w:hint="eastAsia"/>
          <w:lang w:val="en-US" w:eastAsia="zh-CN"/>
        </w:rPr>
        <w:t>（17）《畜禽养殖污染防治最佳可行技术指南（试行）》（HJ-BAT-10）；</w:t>
      </w:r>
    </w:p>
    <w:p w14:paraId="612096CE">
      <w:pPr>
        <w:rPr>
          <w:rFonts w:hint="eastAsia"/>
          <w:lang w:val="en-US" w:eastAsia="zh-CN"/>
        </w:rPr>
      </w:pPr>
      <w:r>
        <w:rPr>
          <w:rFonts w:hint="eastAsia"/>
          <w:lang w:val="en-US" w:eastAsia="zh-CN"/>
        </w:rPr>
        <w:t>（18）《畜禽养殖业污染防治技术政策》（环发〔2010〕151号）；</w:t>
      </w:r>
    </w:p>
    <w:p w14:paraId="1E51F53D">
      <w:pPr>
        <w:rPr>
          <w:rFonts w:hint="eastAsia"/>
          <w:lang w:val="en-US" w:eastAsia="zh-CN"/>
        </w:rPr>
      </w:pPr>
      <w:r>
        <w:rPr>
          <w:rFonts w:hint="eastAsia"/>
          <w:lang w:val="en-US" w:eastAsia="zh-CN"/>
        </w:rPr>
        <w:t>（19）《畜禽养殖产地环境评价规范》（HJ568-2010）；</w:t>
      </w:r>
    </w:p>
    <w:p w14:paraId="7CA531AE">
      <w:pPr>
        <w:rPr>
          <w:rFonts w:hint="eastAsia"/>
          <w:lang w:val="en-US" w:eastAsia="zh-CN"/>
        </w:rPr>
      </w:pPr>
      <w:r>
        <w:rPr>
          <w:rFonts w:hint="eastAsia"/>
          <w:lang w:val="en-US" w:eastAsia="zh-CN"/>
        </w:rPr>
        <w:t>（20）《畜禽养殖业污染防治技术规范》（HJ/T81-2001）；</w:t>
      </w:r>
    </w:p>
    <w:p w14:paraId="13D6DE25">
      <w:pPr>
        <w:rPr>
          <w:rFonts w:hint="eastAsia"/>
          <w:lang w:val="en-US" w:eastAsia="zh-CN"/>
        </w:rPr>
      </w:pPr>
      <w:r>
        <w:rPr>
          <w:rFonts w:hint="eastAsia"/>
          <w:lang w:val="en-US" w:eastAsia="zh-CN"/>
        </w:rPr>
        <w:t>（21）《病死及病害动物无害化处理技术规范》（农医发〔2017〕25号）；</w:t>
      </w:r>
    </w:p>
    <w:p w14:paraId="6C320230">
      <w:pPr>
        <w:rPr>
          <w:rFonts w:hint="eastAsia"/>
          <w:lang w:val="en-US" w:eastAsia="zh-CN"/>
        </w:rPr>
      </w:pPr>
      <w:r>
        <w:rPr>
          <w:rFonts w:hint="eastAsia"/>
          <w:lang w:val="en-US" w:eastAsia="zh-CN"/>
        </w:rPr>
        <w:t>（22）《畜禽粪便无害化处理技术规范》（GB/T36195-2018）。</w:t>
      </w:r>
    </w:p>
    <w:p w14:paraId="580C020D">
      <w:pPr>
        <w:pStyle w:val="27"/>
        <w:bidi w:val="0"/>
        <w:rPr>
          <w:rFonts w:hint="eastAsia"/>
          <w:lang w:val="en-US" w:eastAsia="zh-CN"/>
        </w:rPr>
      </w:pPr>
      <w:r>
        <w:rPr>
          <w:rFonts w:hint="eastAsia"/>
          <w:lang w:val="en-US" w:eastAsia="zh-CN"/>
        </w:rPr>
        <w:t>技术文件及相关资料</w:t>
      </w:r>
    </w:p>
    <w:p w14:paraId="0E8E4A1D">
      <w:pPr>
        <w:rPr>
          <w:rFonts w:hint="eastAsia"/>
          <w:lang w:val="en-US" w:eastAsia="zh-CN"/>
        </w:rPr>
      </w:pPr>
      <w:r>
        <w:rPr>
          <w:rFonts w:hint="eastAsia"/>
          <w:lang w:val="en-US" w:eastAsia="zh-CN"/>
        </w:rPr>
        <w:t>（1）胡杨河市明源农业发展有限公司年出栏10万头生猪养殖项目环境影响评价工作的委托书；</w:t>
      </w:r>
    </w:p>
    <w:p w14:paraId="37191BEC">
      <w:pPr>
        <w:rPr>
          <w:rFonts w:hint="eastAsia"/>
          <w:lang w:val="en-US" w:eastAsia="zh-CN"/>
        </w:rPr>
      </w:pPr>
      <w:r>
        <w:rPr>
          <w:rFonts w:hint="eastAsia"/>
          <w:lang w:val="en-US" w:eastAsia="zh-CN"/>
        </w:rPr>
        <w:t>（2）《胡杨河市明源农业发展有限公司年出栏10万头生猪养殖项目》项目建议书；</w:t>
      </w:r>
    </w:p>
    <w:p w14:paraId="6D9842F8">
      <w:pPr>
        <w:rPr>
          <w:rFonts w:hint="eastAsia"/>
          <w:lang w:val="en-US" w:eastAsia="zh-CN"/>
        </w:rPr>
      </w:pPr>
      <w:r>
        <w:rPr>
          <w:rFonts w:hint="eastAsia"/>
          <w:lang w:val="en-US" w:eastAsia="zh-CN"/>
        </w:rPr>
        <w:t>（3）环境质量现状监测报告；</w:t>
      </w:r>
    </w:p>
    <w:p w14:paraId="34A6F752">
      <w:pPr>
        <w:rPr>
          <w:rFonts w:hint="eastAsia"/>
          <w:lang w:val="en-US" w:eastAsia="zh-CN"/>
        </w:rPr>
      </w:pPr>
      <w:r>
        <w:rPr>
          <w:rFonts w:hint="eastAsia"/>
          <w:lang w:val="en-US" w:eastAsia="zh-CN"/>
        </w:rPr>
        <w:t>（4）建设单位提供的与本项目有关的其他技术资料。</w:t>
      </w:r>
    </w:p>
    <w:p w14:paraId="66174EF8">
      <w:pPr>
        <w:pStyle w:val="26"/>
        <w:bidi w:val="0"/>
        <w:rPr>
          <w:rFonts w:hint="default"/>
          <w:lang w:val="en-US" w:eastAsia="zh-CN"/>
        </w:rPr>
      </w:pPr>
      <w:bookmarkStart w:id="9" w:name="_Toc19585"/>
      <w:r>
        <w:rPr>
          <w:rFonts w:hint="eastAsia"/>
          <w:lang w:val="en-US" w:eastAsia="zh-CN"/>
        </w:rPr>
        <w:t>评价因子与评价标准</w:t>
      </w:r>
      <w:bookmarkEnd w:id="9"/>
    </w:p>
    <w:p w14:paraId="6B312D49">
      <w:pPr>
        <w:pStyle w:val="27"/>
        <w:bidi w:val="0"/>
        <w:rPr>
          <w:rFonts w:hint="default"/>
          <w:lang w:val="en-US" w:eastAsia="zh-CN"/>
        </w:rPr>
      </w:pPr>
      <w:r>
        <w:rPr>
          <w:rFonts w:hint="eastAsia"/>
          <w:lang w:val="en-US" w:eastAsia="zh-CN"/>
        </w:rPr>
        <w:t>评价因子</w:t>
      </w:r>
    </w:p>
    <w:p w14:paraId="10603C48">
      <w:pPr>
        <w:rPr>
          <w:rFonts w:hint="default"/>
          <w:lang w:val="en-US" w:eastAsia="zh-CN"/>
        </w:rPr>
      </w:pPr>
      <w:r>
        <w:rPr>
          <w:rFonts w:hint="eastAsia"/>
          <w:lang w:val="en-US" w:eastAsia="zh-CN"/>
        </w:rPr>
        <w:t>（1）环境影响因素</w:t>
      </w:r>
    </w:p>
    <w:p w14:paraId="6D65FE1A">
      <w:pPr>
        <w:rPr>
          <w:rFonts w:hint="eastAsia"/>
          <w:lang w:val="en-US" w:eastAsia="zh-CN"/>
        </w:rPr>
      </w:pPr>
      <w:r>
        <w:rPr>
          <w:rFonts w:hint="eastAsia"/>
          <w:lang w:val="en-US" w:eastAsia="zh-CN"/>
        </w:rPr>
        <w:t>①施工期</w:t>
      </w:r>
    </w:p>
    <w:p w14:paraId="10476D3B">
      <w:pPr>
        <w:widowControl/>
        <w:ind w:firstLine="480" w:firstLineChars="200"/>
        <w:rPr>
          <w:color w:val="000000"/>
          <w:highlight w:val="none"/>
        </w:rPr>
      </w:pPr>
      <w:r>
        <w:rPr>
          <w:rFonts w:hint="eastAsia" w:ascii="宋体" w:hAnsi="宋体"/>
          <w:color w:val="000000"/>
          <w:highlight w:val="none"/>
          <w:lang w:bidi="ar"/>
        </w:rPr>
        <w:t>项目施工期间对环境的影响很大程度上取决于工程特点、施工季节以及工程所处的地形、地貌等环境因素。</w:t>
      </w:r>
    </w:p>
    <w:p w14:paraId="67B1E602">
      <w:pPr>
        <w:widowControl/>
        <w:ind w:firstLine="480" w:firstLineChars="200"/>
        <w:rPr>
          <w:color w:val="000000"/>
          <w:highlight w:val="none"/>
        </w:rPr>
      </w:pPr>
      <w:r>
        <w:rPr>
          <w:rFonts w:hint="eastAsia" w:ascii="宋体" w:hAnsi="宋体"/>
          <w:color w:val="000000"/>
          <w:highlight w:val="none"/>
          <w:lang w:bidi="ar"/>
        </w:rPr>
        <w:t>施工期主要环境影响因素见表</w:t>
      </w:r>
      <w:r>
        <w:rPr>
          <w:rFonts w:cs="Times New Roman"/>
          <w:color w:val="000000"/>
          <w:highlight w:val="none"/>
          <w:lang w:bidi="ar"/>
        </w:rPr>
        <w:t>2.</w:t>
      </w:r>
      <w:r>
        <w:rPr>
          <w:rFonts w:hint="eastAsia" w:cs="Times New Roman"/>
          <w:color w:val="000000"/>
          <w:highlight w:val="none"/>
          <w:lang w:val="en-US" w:eastAsia="zh-CN" w:bidi="ar"/>
        </w:rPr>
        <w:t>2</w:t>
      </w:r>
      <w:r>
        <w:rPr>
          <w:rFonts w:cs="Times New Roman"/>
          <w:color w:val="000000"/>
          <w:highlight w:val="none"/>
          <w:lang w:bidi="ar"/>
        </w:rPr>
        <w:t>-1</w:t>
      </w:r>
      <w:r>
        <w:rPr>
          <w:rFonts w:hint="eastAsia" w:ascii="宋体" w:hAnsi="宋体"/>
          <w:color w:val="000000"/>
          <w:highlight w:val="none"/>
          <w:lang w:bidi="ar"/>
        </w:rPr>
        <w:t>。</w:t>
      </w:r>
    </w:p>
    <w:p w14:paraId="24AC5C6F">
      <w:pPr>
        <w:pStyle w:val="30"/>
        <w:bidi w:val="0"/>
      </w:pPr>
      <w:r>
        <w:t>表2.</w:t>
      </w:r>
      <w:r>
        <w:rPr>
          <w:rFonts w:hint="eastAsia"/>
          <w:lang w:val="en-US" w:eastAsia="zh-CN"/>
        </w:rPr>
        <w:t>2</w:t>
      </w:r>
      <w:r>
        <w:t>-1</w:t>
      </w:r>
      <w:r>
        <w:rPr>
          <w:rFonts w:hint="eastAsia"/>
          <w:lang w:val="en-US" w:eastAsia="zh-CN"/>
        </w:rPr>
        <w:t xml:space="preserve"> </w:t>
      </w:r>
      <w:r>
        <w:t xml:space="preserve"> </w:t>
      </w:r>
      <w:r>
        <w:rPr>
          <w:rFonts w:hint="eastAsia"/>
        </w:rPr>
        <w:t xml:space="preserve"> 施工期主要环境影响因素</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8"/>
        <w:gridCol w:w="1068"/>
        <w:gridCol w:w="4570"/>
        <w:gridCol w:w="2271"/>
      </w:tblGrid>
      <w:tr w14:paraId="0714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02" w:type="pct"/>
            <w:noWrap w:val="0"/>
            <w:tcMar>
              <w:top w:w="28" w:type="dxa"/>
              <w:left w:w="57" w:type="dxa"/>
              <w:bottom w:w="28" w:type="dxa"/>
              <w:right w:w="57" w:type="dxa"/>
            </w:tcMar>
            <w:vAlign w:val="center"/>
          </w:tcPr>
          <w:p w14:paraId="46FE3273">
            <w:pPr>
              <w:pStyle w:val="19"/>
              <w:bidi w:val="0"/>
            </w:pPr>
            <w:r>
              <w:t>阶段</w:t>
            </w:r>
          </w:p>
        </w:tc>
        <w:tc>
          <w:tcPr>
            <w:tcW w:w="634" w:type="pct"/>
            <w:noWrap w:val="0"/>
            <w:tcMar>
              <w:top w:w="28" w:type="dxa"/>
              <w:left w:w="57" w:type="dxa"/>
              <w:bottom w:w="28" w:type="dxa"/>
              <w:right w:w="57" w:type="dxa"/>
            </w:tcMar>
            <w:vAlign w:val="center"/>
          </w:tcPr>
          <w:p w14:paraId="3ACD6CE3">
            <w:pPr>
              <w:pStyle w:val="19"/>
              <w:bidi w:val="0"/>
            </w:pPr>
            <w:r>
              <w:t>环境要素</w:t>
            </w:r>
          </w:p>
        </w:tc>
        <w:tc>
          <w:tcPr>
            <w:tcW w:w="2713" w:type="pct"/>
            <w:noWrap w:val="0"/>
            <w:tcMar>
              <w:top w:w="28" w:type="dxa"/>
              <w:left w:w="57" w:type="dxa"/>
              <w:bottom w:w="28" w:type="dxa"/>
              <w:right w:w="57" w:type="dxa"/>
            </w:tcMar>
            <w:vAlign w:val="center"/>
          </w:tcPr>
          <w:p w14:paraId="4DD97638">
            <w:pPr>
              <w:pStyle w:val="19"/>
              <w:bidi w:val="0"/>
            </w:pPr>
            <w:r>
              <w:rPr>
                <w:rFonts w:hint="eastAsia"/>
              </w:rPr>
              <w:t xml:space="preserve">产生影响的主要内容 </w:t>
            </w:r>
          </w:p>
        </w:tc>
        <w:tc>
          <w:tcPr>
            <w:tcW w:w="1348" w:type="pct"/>
            <w:noWrap w:val="0"/>
            <w:tcMar>
              <w:top w:w="28" w:type="dxa"/>
              <w:left w:w="57" w:type="dxa"/>
              <w:bottom w:w="28" w:type="dxa"/>
              <w:right w:w="57" w:type="dxa"/>
            </w:tcMar>
            <w:vAlign w:val="center"/>
          </w:tcPr>
          <w:p w14:paraId="28E1317F">
            <w:pPr>
              <w:pStyle w:val="19"/>
              <w:bidi w:val="0"/>
            </w:pPr>
            <w:r>
              <w:rPr>
                <w:rFonts w:hint="eastAsia"/>
              </w:rPr>
              <w:t>主要影响因子</w:t>
            </w:r>
          </w:p>
        </w:tc>
      </w:tr>
      <w:tr w14:paraId="278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02" w:type="pct"/>
            <w:vMerge w:val="restart"/>
            <w:noWrap w:val="0"/>
            <w:tcMar>
              <w:top w:w="28" w:type="dxa"/>
              <w:left w:w="57" w:type="dxa"/>
              <w:bottom w:w="28" w:type="dxa"/>
              <w:right w:w="57" w:type="dxa"/>
            </w:tcMar>
            <w:vAlign w:val="center"/>
          </w:tcPr>
          <w:p w14:paraId="1BE019DB">
            <w:pPr>
              <w:pStyle w:val="19"/>
              <w:bidi w:val="0"/>
            </w:pPr>
            <w:r>
              <w:rPr>
                <w:rFonts w:hint="eastAsia"/>
              </w:rPr>
              <w:t>施工期</w:t>
            </w:r>
          </w:p>
        </w:tc>
        <w:tc>
          <w:tcPr>
            <w:tcW w:w="634" w:type="pct"/>
            <w:noWrap w:val="0"/>
            <w:tcMar>
              <w:top w:w="28" w:type="dxa"/>
              <w:left w:w="57" w:type="dxa"/>
              <w:bottom w:w="28" w:type="dxa"/>
              <w:right w:w="57" w:type="dxa"/>
            </w:tcMar>
            <w:vAlign w:val="center"/>
          </w:tcPr>
          <w:p w14:paraId="2E4F7D5E">
            <w:pPr>
              <w:pStyle w:val="19"/>
              <w:bidi w:val="0"/>
            </w:pPr>
            <w:r>
              <w:t>水环境</w:t>
            </w:r>
          </w:p>
        </w:tc>
        <w:tc>
          <w:tcPr>
            <w:tcW w:w="2713" w:type="pct"/>
            <w:noWrap w:val="0"/>
            <w:tcMar>
              <w:top w:w="28" w:type="dxa"/>
              <w:left w:w="57" w:type="dxa"/>
              <w:bottom w:w="28" w:type="dxa"/>
              <w:right w:w="57" w:type="dxa"/>
            </w:tcMar>
            <w:vAlign w:val="center"/>
          </w:tcPr>
          <w:p w14:paraId="1A4BB34D">
            <w:pPr>
              <w:pStyle w:val="19"/>
              <w:bidi w:val="0"/>
              <w:rPr>
                <w:rFonts w:hint="eastAsia" w:eastAsia="宋体"/>
                <w:lang w:val="en-US" w:eastAsia="zh-CN"/>
              </w:rPr>
            </w:pPr>
            <w:r>
              <w:rPr>
                <w:rFonts w:hint="eastAsia"/>
              </w:rPr>
              <w:t>施工人员生活污水、施工机械冲洗废水、混凝土浇筑废水</w:t>
            </w:r>
            <w:r>
              <w:rPr>
                <w:rFonts w:hint="eastAsia"/>
                <w:lang w:val="en-US" w:eastAsia="zh-CN"/>
              </w:rPr>
              <w:t>等</w:t>
            </w:r>
          </w:p>
        </w:tc>
        <w:tc>
          <w:tcPr>
            <w:tcW w:w="1348" w:type="pct"/>
            <w:noWrap w:val="0"/>
            <w:tcMar>
              <w:top w:w="28" w:type="dxa"/>
              <w:left w:w="57" w:type="dxa"/>
              <w:bottom w:w="28" w:type="dxa"/>
              <w:right w:w="57" w:type="dxa"/>
            </w:tcMar>
            <w:vAlign w:val="center"/>
          </w:tcPr>
          <w:p w14:paraId="4996BEAD">
            <w:pPr>
              <w:pStyle w:val="19"/>
              <w:bidi w:val="0"/>
            </w:pPr>
            <w:r>
              <w:t>COD</w:t>
            </w:r>
            <w:r>
              <w:rPr>
                <w:rFonts w:hint="eastAsia"/>
              </w:rPr>
              <w:t>、</w:t>
            </w:r>
            <w:r>
              <w:t>BOD</w:t>
            </w:r>
            <w:r>
              <w:rPr>
                <w:vertAlign w:val="subscript"/>
              </w:rPr>
              <w:t>5</w:t>
            </w:r>
            <w:r>
              <w:rPr>
                <w:rFonts w:hint="eastAsia"/>
              </w:rPr>
              <w:t>、氨氮、</w:t>
            </w:r>
            <w:r>
              <w:t xml:space="preserve">SS </w:t>
            </w:r>
          </w:p>
        </w:tc>
      </w:tr>
      <w:tr w14:paraId="2F08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02" w:type="pct"/>
            <w:vMerge w:val="continue"/>
            <w:noWrap w:val="0"/>
            <w:tcMar>
              <w:top w:w="28" w:type="dxa"/>
              <w:left w:w="57" w:type="dxa"/>
              <w:bottom w:w="28" w:type="dxa"/>
              <w:right w:w="57" w:type="dxa"/>
            </w:tcMar>
            <w:vAlign w:val="center"/>
          </w:tcPr>
          <w:p w14:paraId="27F59965">
            <w:pPr>
              <w:pStyle w:val="19"/>
              <w:bidi w:val="0"/>
            </w:pPr>
          </w:p>
        </w:tc>
        <w:tc>
          <w:tcPr>
            <w:tcW w:w="634" w:type="pct"/>
            <w:noWrap w:val="0"/>
            <w:tcMar>
              <w:top w:w="28" w:type="dxa"/>
              <w:left w:w="57" w:type="dxa"/>
              <w:bottom w:w="28" w:type="dxa"/>
              <w:right w:w="57" w:type="dxa"/>
            </w:tcMar>
            <w:vAlign w:val="center"/>
          </w:tcPr>
          <w:p w14:paraId="69D09118">
            <w:pPr>
              <w:pStyle w:val="19"/>
              <w:bidi w:val="0"/>
            </w:pPr>
            <w:r>
              <w:t>大气环境</w:t>
            </w:r>
          </w:p>
        </w:tc>
        <w:tc>
          <w:tcPr>
            <w:tcW w:w="2713" w:type="pct"/>
            <w:noWrap w:val="0"/>
            <w:tcMar>
              <w:top w:w="28" w:type="dxa"/>
              <w:left w:w="57" w:type="dxa"/>
              <w:bottom w:w="28" w:type="dxa"/>
              <w:right w:w="57" w:type="dxa"/>
            </w:tcMar>
            <w:vAlign w:val="center"/>
          </w:tcPr>
          <w:p w14:paraId="15EA9136">
            <w:pPr>
              <w:pStyle w:val="19"/>
              <w:bidi w:val="0"/>
              <w:rPr>
                <w:rFonts w:hint="eastAsia" w:eastAsia="宋体"/>
                <w:lang w:val="en-US" w:eastAsia="zh-CN"/>
              </w:rPr>
            </w:pPr>
            <w:r>
              <w:rPr>
                <w:rFonts w:hint="eastAsia"/>
              </w:rPr>
              <w:t>土地平整、挖掘，土石方、建材运输、存放、使用、施工车辆尾气</w:t>
            </w:r>
            <w:r>
              <w:rPr>
                <w:rFonts w:hint="eastAsia"/>
                <w:lang w:val="en-US" w:eastAsia="zh-CN"/>
              </w:rPr>
              <w:t>等</w:t>
            </w:r>
          </w:p>
        </w:tc>
        <w:tc>
          <w:tcPr>
            <w:tcW w:w="1348" w:type="pct"/>
            <w:noWrap w:val="0"/>
            <w:tcMar>
              <w:top w:w="28" w:type="dxa"/>
              <w:left w:w="57" w:type="dxa"/>
              <w:bottom w:w="28" w:type="dxa"/>
              <w:right w:w="57" w:type="dxa"/>
            </w:tcMar>
            <w:vAlign w:val="center"/>
          </w:tcPr>
          <w:p w14:paraId="70ADD4CA">
            <w:pPr>
              <w:pStyle w:val="19"/>
              <w:bidi w:val="0"/>
            </w:pPr>
            <w:r>
              <w:rPr>
                <w:rFonts w:hint="eastAsia"/>
              </w:rPr>
              <w:t>扬尘、</w:t>
            </w:r>
            <w:r>
              <w:t>CO</w:t>
            </w:r>
            <w:r>
              <w:rPr>
                <w:rFonts w:hint="eastAsia"/>
              </w:rPr>
              <w:t>、</w:t>
            </w:r>
            <w:r>
              <w:t>NOx</w:t>
            </w:r>
            <w:r>
              <w:rPr>
                <w:rFonts w:hint="eastAsia"/>
              </w:rPr>
              <w:t>、</w:t>
            </w:r>
            <w:r>
              <w:t>SO</w:t>
            </w:r>
            <w:r>
              <w:rPr>
                <w:vertAlign w:val="subscript"/>
              </w:rPr>
              <w:t>2</w:t>
            </w:r>
            <w:r>
              <w:rPr>
                <w:rFonts w:hint="eastAsia"/>
              </w:rPr>
              <w:t>、</w:t>
            </w:r>
            <w:r>
              <w:t>HC</w:t>
            </w:r>
          </w:p>
        </w:tc>
      </w:tr>
      <w:tr w14:paraId="079A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02" w:type="pct"/>
            <w:vMerge w:val="continue"/>
            <w:noWrap w:val="0"/>
            <w:tcMar>
              <w:top w:w="28" w:type="dxa"/>
              <w:left w:w="57" w:type="dxa"/>
              <w:bottom w:w="28" w:type="dxa"/>
              <w:right w:w="57" w:type="dxa"/>
            </w:tcMar>
            <w:vAlign w:val="center"/>
          </w:tcPr>
          <w:p w14:paraId="4AB9567C">
            <w:pPr>
              <w:pStyle w:val="19"/>
              <w:bidi w:val="0"/>
            </w:pPr>
          </w:p>
        </w:tc>
        <w:tc>
          <w:tcPr>
            <w:tcW w:w="634" w:type="pct"/>
            <w:noWrap w:val="0"/>
            <w:tcMar>
              <w:top w:w="28" w:type="dxa"/>
              <w:left w:w="57" w:type="dxa"/>
              <w:bottom w:w="28" w:type="dxa"/>
              <w:right w:w="57" w:type="dxa"/>
            </w:tcMar>
            <w:vAlign w:val="center"/>
          </w:tcPr>
          <w:p w14:paraId="1C583D96">
            <w:pPr>
              <w:pStyle w:val="19"/>
              <w:bidi w:val="0"/>
            </w:pPr>
            <w:r>
              <w:t>声环境</w:t>
            </w:r>
          </w:p>
        </w:tc>
        <w:tc>
          <w:tcPr>
            <w:tcW w:w="2713" w:type="pct"/>
            <w:noWrap w:val="0"/>
            <w:tcMar>
              <w:top w:w="28" w:type="dxa"/>
              <w:left w:w="57" w:type="dxa"/>
              <w:bottom w:w="28" w:type="dxa"/>
              <w:right w:w="57" w:type="dxa"/>
            </w:tcMar>
            <w:vAlign w:val="center"/>
          </w:tcPr>
          <w:p w14:paraId="32F62439">
            <w:pPr>
              <w:pStyle w:val="19"/>
              <w:bidi w:val="0"/>
            </w:pPr>
            <w:r>
              <w:rPr>
                <w:rFonts w:hint="eastAsia"/>
              </w:rPr>
              <w:t>施工机械、车辆作业噪声</w:t>
            </w:r>
          </w:p>
        </w:tc>
        <w:tc>
          <w:tcPr>
            <w:tcW w:w="1348" w:type="pct"/>
            <w:noWrap w:val="0"/>
            <w:tcMar>
              <w:top w:w="28" w:type="dxa"/>
              <w:left w:w="57" w:type="dxa"/>
              <w:bottom w:w="28" w:type="dxa"/>
              <w:right w:w="57" w:type="dxa"/>
            </w:tcMar>
            <w:vAlign w:val="center"/>
          </w:tcPr>
          <w:p w14:paraId="24063FE2">
            <w:pPr>
              <w:pStyle w:val="19"/>
              <w:bidi w:val="0"/>
            </w:pPr>
            <w:r>
              <w:t>Leq(A)</w:t>
            </w:r>
          </w:p>
        </w:tc>
      </w:tr>
      <w:tr w14:paraId="46CB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302" w:type="pct"/>
            <w:vMerge w:val="continue"/>
            <w:noWrap w:val="0"/>
            <w:tcMar>
              <w:top w:w="28" w:type="dxa"/>
              <w:left w:w="57" w:type="dxa"/>
              <w:bottom w:w="28" w:type="dxa"/>
              <w:right w:w="57" w:type="dxa"/>
            </w:tcMar>
            <w:vAlign w:val="center"/>
          </w:tcPr>
          <w:p w14:paraId="64EEFE40">
            <w:pPr>
              <w:pStyle w:val="19"/>
              <w:bidi w:val="0"/>
            </w:pPr>
          </w:p>
        </w:tc>
        <w:tc>
          <w:tcPr>
            <w:tcW w:w="634" w:type="pct"/>
            <w:noWrap w:val="0"/>
            <w:tcMar>
              <w:top w:w="28" w:type="dxa"/>
              <w:left w:w="57" w:type="dxa"/>
              <w:bottom w:w="28" w:type="dxa"/>
              <w:right w:w="57" w:type="dxa"/>
            </w:tcMar>
            <w:vAlign w:val="center"/>
          </w:tcPr>
          <w:p w14:paraId="0DDE0A08">
            <w:pPr>
              <w:pStyle w:val="19"/>
              <w:bidi w:val="0"/>
            </w:pPr>
            <w:r>
              <w:t>固体废物</w:t>
            </w:r>
          </w:p>
        </w:tc>
        <w:tc>
          <w:tcPr>
            <w:tcW w:w="2713" w:type="pct"/>
            <w:noWrap w:val="0"/>
            <w:tcMar>
              <w:top w:w="28" w:type="dxa"/>
              <w:left w:w="57" w:type="dxa"/>
              <w:bottom w:w="28" w:type="dxa"/>
              <w:right w:w="57" w:type="dxa"/>
            </w:tcMar>
            <w:vAlign w:val="center"/>
          </w:tcPr>
          <w:p w14:paraId="274DAD02">
            <w:pPr>
              <w:pStyle w:val="19"/>
              <w:bidi w:val="0"/>
            </w:pPr>
            <w:r>
              <w:rPr>
                <w:rFonts w:hint="eastAsia"/>
              </w:rPr>
              <w:t>建筑垃圾、</w:t>
            </w:r>
            <w:r>
              <w:rPr>
                <w:rFonts w:hint="eastAsia"/>
                <w:lang w:val="en-US" w:eastAsia="zh-CN"/>
              </w:rPr>
              <w:t>建材</w:t>
            </w:r>
            <w:r>
              <w:rPr>
                <w:rFonts w:hint="eastAsia"/>
              </w:rPr>
              <w:t>废弃物和生活垃圾</w:t>
            </w:r>
          </w:p>
        </w:tc>
        <w:tc>
          <w:tcPr>
            <w:tcW w:w="1348" w:type="pct"/>
            <w:noWrap w:val="0"/>
            <w:tcMar>
              <w:top w:w="28" w:type="dxa"/>
              <w:left w:w="57" w:type="dxa"/>
              <w:bottom w:w="28" w:type="dxa"/>
              <w:right w:w="57" w:type="dxa"/>
            </w:tcMar>
            <w:vAlign w:val="center"/>
          </w:tcPr>
          <w:p w14:paraId="6EEEF692">
            <w:pPr>
              <w:pStyle w:val="19"/>
              <w:bidi w:val="0"/>
            </w:pPr>
            <w:r>
              <w:rPr>
                <w:rFonts w:hint="eastAsia"/>
              </w:rPr>
              <w:t>固体废物</w:t>
            </w:r>
          </w:p>
        </w:tc>
      </w:tr>
      <w:tr w14:paraId="77E6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302" w:type="pct"/>
            <w:vMerge w:val="continue"/>
            <w:noWrap w:val="0"/>
            <w:tcMar>
              <w:top w:w="28" w:type="dxa"/>
              <w:left w:w="57" w:type="dxa"/>
              <w:bottom w:w="28" w:type="dxa"/>
              <w:right w:w="57" w:type="dxa"/>
            </w:tcMar>
            <w:vAlign w:val="center"/>
          </w:tcPr>
          <w:p w14:paraId="4E5CA721">
            <w:pPr>
              <w:pStyle w:val="19"/>
              <w:bidi w:val="0"/>
            </w:pPr>
          </w:p>
        </w:tc>
        <w:tc>
          <w:tcPr>
            <w:tcW w:w="634" w:type="pct"/>
            <w:noWrap w:val="0"/>
            <w:tcMar>
              <w:top w:w="28" w:type="dxa"/>
              <w:left w:w="57" w:type="dxa"/>
              <w:bottom w:w="28" w:type="dxa"/>
              <w:right w:w="57" w:type="dxa"/>
            </w:tcMar>
            <w:vAlign w:val="center"/>
          </w:tcPr>
          <w:p w14:paraId="34A72B6B">
            <w:pPr>
              <w:pStyle w:val="19"/>
              <w:bidi w:val="0"/>
            </w:pPr>
            <w:r>
              <w:rPr>
                <w:rFonts w:hint="eastAsia"/>
              </w:rPr>
              <w:t>生态环境</w:t>
            </w:r>
          </w:p>
        </w:tc>
        <w:tc>
          <w:tcPr>
            <w:tcW w:w="2713" w:type="pct"/>
            <w:noWrap w:val="0"/>
            <w:tcMar>
              <w:top w:w="28" w:type="dxa"/>
              <w:left w:w="57" w:type="dxa"/>
              <w:bottom w:w="28" w:type="dxa"/>
              <w:right w:w="57" w:type="dxa"/>
            </w:tcMar>
            <w:vAlign w:val="center"/>
          </w:tcPr>
          <w:p w14:paraId="1EDC5BC6">
            <w:pPr>
              <w:pStyle w:val="19"/>
              <w:bidi w:val="0"/>
            </w:pPr>
            <w:r>
              <w:rPr>
                <w:rFonts w:hint="eastAsia"/>
              </w:rPr>
              <w:t>土地挖掘及工程占地</w:t>
            </w:r>
          </w:p>
        </w:tc>
        <w:tc>
          <w:tcPr>
            <w:tcW w:w="1348" w:type="pct"/>
            <w:noWrap w:val="0"/>
            <w:tcMar>
              <w:top w:w="28" w:type="dxa"/>
              <w:left w:w="57" w:type="dxa"/>
              <w:bottom w:w="28" w:type="dxa"/>
              <w:right w:w="57" w:type="dxa"/>
            </w:tcMar>
            <w:vAlign w:val="center"/>
          </w:tcPr>
          <w:p w14:paraId="17476405">
            <w:pPr>
              <w:pStyle w:val="19"/>
              <w:bidi w:val="0"/>
            </w:pPr>
            <w:r>
              <w:rPr>
                <w:rFonts w:hint="eastAsia"/>
              </w:rPr>
              <w:t>水土流失、植被破坏</w:t>
            </w:r>
          </w:p>
        </w:tc>
      </w:tr>
    </w:tbl>
    <w:p w14:paraId="378F59C4">
      <w:pPr>
        <w:widowControl/>
        <w:rPr>
          <w:color w:val="000000"/>
          <w:highlight w:val="none"/>
        </w:rPr>
      </w:pPr>
      <w:r>
        <w:rPr>
          <w:rFonts w:hint="eastAsia" w:ascii="宋体" w:hAnsi="宋体"/>
          <w:color w:val="000000"/>
          <w:highlight w:val="none"/>
          <w:lang w:val="en-US" w:eastAsia="zh-CN" w:bidi="ar"/>
        </w:rPr>
        <w:t>②</w:t>
      </w:r>
      <w:r>
        <w:rPr>
          <w:rFonts w:hint="eastAsia" w:ascii="宋体" w:hAnsi="宋体"/>
          <w:color w:val="000000"/>
          <w:highlight w:val="none"/>
          <w:lang w:bidi="ar"/>
        </w:rPr>
        <w:t>运营期</w:t>
      </w:r>
    </w:p>
    <w:p w14:paraId="455882BE">
      <w:pPr>
        <w:widowControl/>
        <w:ind w:firstLine="480" w:firstLineChars="200"/>
        <w:rPr>
          <w:color w:val="000000"/>
          <w:highlight w:val="none"/>
        </w:rPr>
      </w:pPr>
      <w:r>
        <w:rPr>
          <w:rFonts w:hint="eastAsia" w:ascii="宋体" w:hAnsi="宋体"/>
          <w:color w:val="000000"/>
          <w:highlight w:val="none"/>
          <w:lang w:val="en-US" w:eastAsia="zh-CN" w:bidi="ar"/>
        </w:rPr>
        <w:t>本</w:t>
      </w:r>
      <w:r>
        <w:rPr>
          <w:rFonts w:hint="eastAsia" w:ascii="宋体" w:hAnsi="宋体"/>
          <w:color w:val="000000"/>
          <w:highlight w:val="none"/>
          <w:lang w:bidi="ar"/>
        </w:rPr>
        <w:t>项目运营期产生废气、废水、噪声以及固废等污染因素对场址周围的环境空气、地下水环境及声环境等产生不同程度的影响。</w:t>
      </w:r>
    </w:p>
    <w:p w14:paraId="4960B5A8">
      <w:pPr>
        <w:widowControl/>
        <w:ind w:firstLine="480" w:firstLineChars="200"/>
        <w:rPr>
          <w:color w:val="000000"/>
          <w:highlight w:val="none"/>
        </w:rPr>
      </w:pPr>
      <w:r>
        <w:rPr>
          <w:rFonts w:hint="eastAsia" w:ascii="宋体" w:hAnsi="宋体"/>
          <w:color w:val="000000"/>
          <w:highlight w:val="none"/>
          <w:lang w:val="en-US" w:eastAsia="zh-CN" w:bidi="ar"/>
        </w:rPr>
        <w:t>本</w:t>
      </w:r>
      <w:r>
        <w:rPr>
          <w:rFonts w:hint="eastAsia" w:ascii="宋体" w:hAnsi="宋体"/>
          <w:color w:val="000000"/>
          <w:highlight w:val="none"/>
          <w:lang w:bidi="ar"/>
        </w:rPr>
        <w:t>项目运营期环境影响因子识别情况详见表</w:t>
      </w:r>
      <w:r>
        <w:rPr>
          <w:rFonts w:cs="Times New Roman"/>
          <w:color w:val="000000"/>
          <w:highlight w:val="none"/>
          <w:lang w:bidi="ar"/>
        </w:rPr>
        <w:t>2.</w:t>
      </w:r>
      <w:r>
        <w:rPr>
          <w:rFonts w:hint="eastAsia" w:cs="Times New Roman"/>
          <w:color w:val="000000"/>
          <w:highlight w:val="none"/>
          <w:lang w:val="en-US" w:eastAsia="zh-CN" w:bidi="ar"/>
        </w:rPr>
        <w:t>2</w:t>
      </w:r>
      <w:r>
        <w:rPr>
          <w:rFonts w:cs="Times New Roman"/>
          <w:color w:val="000000"/>
          <w:highlight w:val="none"/>
          <w:lang w:bidi="ar"/>
        </w:rPr>
        <w:t>-2</w:t>
      </w:r>
      <w:r>
        <w:rPr>
          <w:rFonts w:hint="eastAsia" w:ascii="宋体" w:hAnsi="宋体"/>
          <w:color w:val="000000"/>
          <w:highlight w:val="none"/>
          <w:lang w:bidi="ar"/>
        </w:rPr>
        <w:t>。</w:t>
      </w:r>
    </w:p>
    <w:p w14:paraId="320F1E89">
      <w:pPr>
        <w:pStyle w:val="30"/>
        <w:bidi w:val="0"/>
      </w:pPr>
      <w:r>
        <w:t>表2.</w:t>
      </w:r>
      <w:r>
        <w:rPr>
          <w:rFonts w:hint="eastAsia"/>
          <w:lang w:val="en-US" w:eastAsia="zh-CN"/>
        </w:rPr>
        <w:t>2</w:t>
      </w:r>
      <w:r>
        <w:t xml:space="preserve">-2 </w:t>
      </w:r>
      <w:r>
        <w:rPr>
          <w:rFonts w:hint="eastAsia"/>
          <w:lang w:val="en-US" w:eastAsia="zh-CN"/>
        </w:rPr>
        <w:t xml:space="preserve">  </w:t>
      </w:r>
      <w:r>
        <w:rPr>
          <w:rFonts w:hint="eastAsia"/>
        </w:rPr>
        <w:t>项目运营期环境影响因素识别表</w:t>
      </w:r>
    </w:p>
    <w:tbl>
      <w:tblPr>
        <w:tblStyle w:val="29"/>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923"/>
        <w:gridCol w:w="1182"/>
        <w:gridCol w:w="1182"/>
        <w:gridCol w:w="921"/>
        <w:gridCol w:w="921"/>
        <w:gridCol w:w="1182"/>
        <w:gridCol w:w="924"/>
        <w:gridCol w:w="1182"/>
      </w:tblGrid>
      <w:tr w14:paraId="1A06A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250" w:type="pct"/>
            <w:gridSpan w:val="2"/>
            <w:vMerge w:val="restart"/>
            <w:tcBorders>
              <w:tl2br w:val="nil"/>
              <w:tr2bl w:val="nil"/>
            </w:tcBorders>
            <w:noWrap w:val="0"/>
            <w:tcMar>
              <w:top w:w="28" w:type="dxa"/>
              <w:left w:w="57" w:type="dxa"/>
              <w:bottom w:w="28" w:type="dxa"/>
              <w:right w:w="57" w:type="dxa"/>
            </w:tcMar>
            <w:vAlign w:val="center"/>
            <mc:AlternateContent>
              <mc:Choice Requires="wpsCustomData">
                <wpsCustomData:diagonals>
                  <wpsCustomData:diagonal from="10000" to="30000">
                    <wpsCustomData:border w:val="single" w:color="000000" w:sz="6" w:space="0"/>
                  </wpsCustomData:diagonal>
                </wpsCustomData:diagonals>
              </mc:Choice>
            </mc:AlternateContent>
          </w:tcPr>
          <w:p w14:paraId="1DEBF5C7">
            <w:pPr>
              <w:pStyle w:val="19"/>
              <w:bidi w:val="0"/>
              <w:snapToGrid w:val="0"/>
              <w:jc w:val="both"/>
            </w:pPr>
          </w:p>
          <w:p w14:paraId="68EB5ECA">
            <w:pPr>
              <w:pStyle w:val="19"/>
              <w:bidi w:val="0"/>
              <w:snapToGrid w:val="0"/>
              <w:jc w:val="both"/>
            </w:pPr>
          </w:p>
          <w:p w14:paraId="23249D3F">
            <w:pPr>
              <w:pStyle w:val="19"/>
              <w:bidi w:val="0"/>
              <w:snapToGrid w:val="0"/>
              <w:jc w:val="both"/>
              <mc:AlternateContent>
                <mc:Choice Requires="wpsCustomData">
                  <wpsCustomData:diagonalParaType/>
                </mc:Choice>
              </mc:AlternateContent>
            </w:pPr>
            <w:r>
              <w:t>影响因素</w:t>
            </w:r>
          </w:p>
          <w:p w14:paraId="458490E1">
            <w:pPr>
              <w:pStyle w:val="19"/>
              <w:bidi w:val="0"/>
              <w:jc w:val="right"/>
            </w:pPr>
            <w:r>
              <w:t>影响受体</w:t>
            </w:r>
          </w:p>
        </w:tc>
        <w:tc>
          <w:tcPr>
            <w:tcW w:w="3047" w:type="pct"/>
            <w:gridSpan w:val="5"/>
            <w:tcBorders>
              <w:tl2br w:val="nil"/>
              <w:tr2bl w:val="nil"/>
            </w:tcBorders>
            <w:noWrap w:val="0"/>
            <w:tcMar>
              <w:top w:w="28" w:type="dxa"/>
              <w:left w:w="57" w:type="dxa"/>
              <w:bottom w:w="28" w:type="dxa"/>
              <w:right w:w="57" w:type="dxa"/>
            </w:tcMar>
            <w:vAlign w:val="center"/>
          </w:tcPr>
          <w:p w14:paraId="5A7AE1C6">
            <w:pPr>
              <w:pStyle w:val="19"/>
              <w:bidi w:val="0"/>
              <w:jc w:val="center"/>
            </w:pPr>
            <w:r>
              <w:t>自然环境</w:t>
            </w:r>
          </w:p>
        </w:tc>
        <w:tc>
          <w:tcPr>
            <w:tcW w:w="702" w:type="pct"/>
            <w:tcBorders>
              <w:tl2br w:val="nil"/>
              <w:tr2bl w:val="nil"/>
            </w:tcBorders>
            <w:noWrap w:val="0"/>
            <w:tcMar>
              <w:top w:w="28" w:type="dxa"/>
              <w:left w:w="57" w:type="dxa"/>
              <w:bottom w:w="28" w:type="dxa"/>
              <w:right w:w="57" w:type="dxa"/>
            </w:tcMar>
            <w:vAlign w:val="center"/>
          </w:tcPr>
          <w:p w14:paraId="2A2603B2">
            <w:pPr>
              <w:pStyle w:val="19"/>
              <w:bidi w:val="0"/>
              <w:jc w:val="center"/>
            </w:pPr>
            <w:r>
              <w:t>生态环境</w:t>
            </w:r>
          </w:p>
        </w:tc>
      </w:tr>
      <w:tr w14:paraId="46C8B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2" w:hRule="atLeast"/>
        </w:trPr>
        <w:tc>
          <w:tcPr>
            <w:tcW w:w="1250" w:type="pct"/>
            <w:gridSpan w:val="2"/>
            <w:vMerge w:val="continue"/>
            <w:tcBorders>
              <w:tl2br w:val="nil"/>
              <w:tr2bl w:val="nil"/>
            </w:tcBorders>
            <w:noWrap w:val="0"/>
            <w:tcMar>
              <w:top w:w="28" w:type="dxa"/>
              <w:left w:w="57" w:type="dxa"/>
              <w:bottom w:w="28" w:type="dxa"/>
              <w:right w:w="57" w:type="dxa"/>
            </w:tcMar>
            <w:vAlign w:val="center"/>
          </w:tcPr>
          <w:p w14:paraId="5A4BDC72">
            <w:pPr>
              <w:pStyle w:val="19"/>
              <w:bidi w:val="0"/>
              <w:jc w:val="center"/>
              <w:rPr>
                <w:lang w:eastAsia="en-US"/>
              </w:rPr>
            </w:pPr>
          </w:p>
        </w:tc>
        <w:tc>
          <w:tcPr>
            <w:tcW w:w="702" w:type="pct"/>
            <w:tcBorders>
              <w:tl2br w:val="nil"/>
              <w:tr2bl w:val="nil"/>
            </w:tcBorders>
            <w:noWrap w:val="0"/>
            <w:tcMar>
              <w:top w:w="28" w:type="dxa"/>
              <w:left w:w="57" w:type="dxa"/>
              <w:bottom w:w="28" w:type="dxa"/>
              <w:right w:w="57" w:type="dxa"/>
            </w:tcMar>
            <w:vAlign w:val="center"/>
          </w:tcPr>
          <w:p w14:paraId="5B5A3CC7">
            <w:pPr>
              <w:pStyle w:val="19"/>
              <w:bidi w:val="0"/>
              <w:jc w:val="center"/>
            </w:pPr>
            <w:r>
              <w:t>环境空气</w:t>
            </w:r>
          </w:p>
        </w:tc>
        <w:tc>
          <w:tcPr>
            <w:tcW w:w="547" w:type="pct"/>
            <w:tcBorders>
              <w:tl2br w:val="nil"/>
              <w:tr2bl w:val="nil"/>
            </w:tcBorders>
            <w:noWrap w:val="0"/>
            <w:tcMar>
              <w:top w:w="28" w:type="dxa"/>
              <w:left w:w="57" w:type="dxa"/>
              <w:bottom w:w="28" w:type="dxa"/>
              <w:right w:w="57" w:type="dxa"/>
            </w:tcMar>
            <w:vAlign w:val="center"/>
          </w:tcPr>
          <w:p w14:paraId="58C7124A">
            <w:pPr>
              <w:pStyle w:val="19"/>
              <w:bidi w:val="0"/>
              <w:jc w:val="center"/>
            </w:pPr>
            <w:r>
              <w:t>地表水</w:t>
            </w:r>
          </w:p>
        </w:tc>
        <w:tc>
          <w:tcPr>
            <w:tcW w:w="547" w:type="pct"/>
            <w:tcBorders>
              <w:tl2br w:val="nil"/>
              <w:tr2bl w:val="nil"/>
            </w:tcBorders>
            <w:noWrap w:val="0"/>
            <w:tcMar>
              <w:top w:w="28" w:type="dxa"/>
              <w:left w:w="57" w:type="dxa"/>
              <w:bottom w:w="28" w:type="dxa"/>
              <w:right w:w="57" w:type="dxa"/>
            </w:tcMar>
            <w:vAlign w:val="center"/>
          </w:tcPr>
          <w:p w14:paraId="2F4DB795">
            <w:pPr>
              <w:pStyle w:val="19"/>
              <w:bidi w:val="0"/>
              <w:jc w:val="center"/>
            </w:pPr>
            <w:r>
              <w:t>地下水</w:t>
            </w:r>
          </w:p>
        </w:tc>
        <w:tc>
          <w:tcPr>
            <w:tcW w:w="702" w:type="pct"/>
            <w:tcBorders>
              <w:tl2br w:val="nil"/>
              <w:tr2bl w:val="nil"/>
            </w:tcBorders>
            <w:noWrap w:val="0"/>
            <w:tcMar>
              <w:top w:w="28" w:type="dxa"/>
              <w:left w:w="57" w:type="dxa"/>
              <w:bottom w:w="28" w:type="dxa"/>
              <w:right w:w="57" w:type="dxa"/>
            </w:tcMar>
            <w:vAlign w:val="center"/>
          </w:tcPr>
          <w:p w14:paraId="60F8ADE0">
            <w:pPr>
              <w:pStyle w:val="19"/>
              <w:bidi w:val="0"/>
              <w:jc w:val="center"/>
            </w:pPr>
            <w:r>
              <w:t>土壤环境</w:t>
            </w:r>
          </w:p>
        </w:tc>
        <w:tc>
          <w:tcPr>
            <w:tcW w:w="548" w:type="pct"/>
            <w:tcBorders>
              <w:tl2br w:val="nil"/>
              <w:tr2bl w:val="nil"/>
            </w:tcBorders>
            <w:noWrap w:val="0"/>
            <w:tcMar>
              <w:top w:w="28" w:type="dxa"/>
              <w:left w:w="57" w:type="dxa"/>
              <w:bottom w:w="28" w:type="dxa"/>
              <w:right w:w="57" w:type="dxa"/>
            </w:tcMar>
            <w:vAlign w:val="center"/>
          </w:tcPr>
          <w:p w14:paraId="642F00C7">
            <w:pPr>
              <w:pStyle w:val="19"/>
              <w:bidi w:val="0"/>
              <w:jc w:val="center"/>
            </w:pPr>
            <w:r>
              <w:t>声环境</w:t>
            </w:r>
          </w:p>
        </w:tc>
        <w:tc>
          <w:tcPr>
            <w:tcW w:w="702" w:type="pct"/>
            <w:tcBorders>
              <w:tl2br w:val="nil"/>
              <w:tr2bl w:val="nil"/>
            </w:tcBorders>
            <w:noWrap w:val="0"/>
            <w:tcMar>
              <w:top w:w="28" w:type="dxa"/>
              <w:left w:w="57" w:type="dxa"/>
              <w:bottom w:w="28" w:type="dxa"/>
              <w:right w:w="57" w:type="dxa"/>
            </w:tcMar>
            <w:vAlign w:val="center"/>
          </w:tcPr>
          <w:p w14:paraId="01A07169">
            <w:pPr>
              <w:pStyle w:val="19"/>
              <w:bidi w:val="0"/>
              <w:jc w:val="center"/>
            </w:pPr>
            <w:r>
              <w:t>陆上生物</w:t>
            </w:r>
          </w:p>
        </w:tc>
      </w:tr>
      <w:tr w14:paraId="31B32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548" w:type="pct"/>
            <w:vMerge w:val="restart"/>
            <w:tcBorders>
              <w:tl2br w:val="nil"/>
              <w:tr2bl w:val="nil"/>
            </w:tcBorders>
            <w:noWrap w:val="0"/>
            <w:tcMar>
              <w:top w:w="28" w:type="dxa"/>
              <w:left w:w="57" w:type="dxa"/>
              <w:bottom w:w="28" w:type="dxa"/>
              <w:right w:w="57" w:type="dxa"/>
            </w:tcMar>
            <w:vAlign w:val="center"/>
          </w:tcPr>
          <w:p w14:paraId="5707AFA8">
            <w:pPr>
              <w:pStyle w:val="19"/>
              <w:bidi w:val="0"/>
              <w:jc w:val="center"/>
            </w:pPr>
            <w:r>
              <w:t>运行期</w:t>
            </w:r>
          </w:p>
        </w:tc>
        <w:tc>
          <w:tcPr>
            <w:tcW w:w="702" w:type="pct"/>
            <w:tcBorders>
              <w:tl2br w:val="nil"/>
              <w:tr2bl w:val="nil"/>
            </w:tcBorders>
            <w:noWrap w:val="0"/>
            <w:tcMar>
              <w:top w:w="28" w:type="dxa"/>
              <w:left w:w="57" w:type="dxa"/>
              <w:bottom w:w="28" w:type="dxa"/>
              <w:right w:w="57" w:type="dxa"/>
            </w:tcMar>
            <w:vAlign w:val="center"/>
          </w:tcPr>
          <w:p w14:paraId="46DD9610">
            <w:pPr>
              <w:pStyle w:val="19"/>
              <w:bidi w:val="0"/>
              <w:jc w:val="center"/>
            </w:pPr>
            <w:r>
              <w:t>废水排放</w:t>
            </w:r>
          </w:p>
        </w:tc>
        <w:tc>
          <w:tcPr>
            <w:tcW w:w="702" w:type="pct"/>
            <w:tcBorders>
              <w:tl2br w:val="nil"/>
              <w:tr2bl w:val="nil"/>
            </w:tcBorders>
            <w:noWrap w:val="0"/>
            <w:tcMar>
              <w:top w:w="28" w:type="dxa"/>
              <w:left w:w="57" w:type="dxa"/>
              <w:bottom w:w="28" w:type="dxa"/>
              <w:right w:w="57" w:type="dxa"/>
            </w:tcMar>
            <w:vAlign w:val="center"/>
          </w:tcPr>
          <w:p w14:paraId="45E33875">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19A84B0F">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70AF9CB1">
            <w:pPr>
              <w:pStyle w:val="19"/>
              <w:bidi w:val="0"/>
              <w:jc w:val="center"/>
              <w:rPr>
                <w:lang w:eastAsia="en-US"/>
              </w:rPr>
            </w:pPr>
            <w:r>
              <w:rPr>
                <w:lang w:eastAsia="en-US"/>
              </w:rPr>
              <w:t>-L1D</w:t>
            </w:r>
          </w:p>
        </w:tc>
        <w:tc>
          <w:tcPr>
            <w:tcW w:w="702" w:type="pct"/>
            <w:tcBorders>
              <w:tl2br w:val="nil"/>
              <w:tr2bl w:val="nil"/>
            </w:tcBorders>
            <w:noWrap w:val="0"/>
            <w:tcMar>
              <w:top w:w="28" w:type="dxa"/>
              <w:left w:w="57" w:type="dxa"/>
              <w:bottom w:w="28" w:type="dxa"/>
              <w:right w:w="57" w:type="dxa"/>
            </w:tcMar>
            <w:vAlign w:val="center"/>
          </w:tcPr>
          <w:p w14:paraId="45031875">
            <w:pPr>
              <w:pStyle w:val="19"/>
              <w:bidi w:val="0"/>
              <w:jc w:val="center"/>
              <w:rPr>
                <w:lang w:eastAsia="en-US"/>
              </w:rPr>
            </w:pPr>
            <w:r>
              <w:rPr>
                <w:lang w:eastAsia="en-US"/>
              </w:rPr>
              <w:t>-L1D</w:t>
            </w:r>
          </w:p>
        </w:tc>
        <w:tc>
          <w:tcPr>
            <w:tcW w:w="548" w:type="pct"/>
            <w:tcBorders>
              <w:tl2br w:val="nil"/>
              <w:tr2bl w:val="nil"/>
            </w:tcBorders>
            <w:noWrap w:val="0"/>
            <w:tcMar>
              <w:top w:w="28" w:type="dxa"/>
              <w:left w:w="57" w:type="dxa"/>
              <w:bottom w:w="28" w:type="dxa"/>
              <w:right w:w="57" w:type="dxa"/>
            </w:tcMar>
            <w:vAlign w:val="center"/>
          </w:tcPr>
          <w:p w14:paraId="4724DF79">
            <w:pPr>
              <w:pStyle w:val="19"/>
              <w:bidi w:val="0"/>
              <w:jc w:val="center"/>
              <w:rPr>
                <w:lang w:eastAsia="en-US"/>
              </w:rPr>
            </w:pPr>
            <w:r>
              <w:rPr>
                <w:lang w:eastAsia="en-US"/>
              </w:rPr>
              <w:t>/</w:t>
            </w:r>
          </w:p>
        </w:tc>
        <w:tc>
          <w:tcPr>
            <w:tcW w:w="702" w:type="pct"/>
            <w:tcBorders>
              <w:tl2br w:val="nil"/>
              <w:tr2bl w:val="nil"/>
            </w:tcBorders>
            <w:noWrap w:val="0"/>
            <w:tcMar>
              <w:top w:w="28" w:type="dxa"/>
              <w:left w:w="57" w:type="dxa"/>
              <w:bottom w:w="28" w:type="dxa"/>
              <w:right w:w="57" w:type="dxa"/>
            </w:tcMar>
            <w:vAlign w:val="center"/>
          </w:tcPr>
          <w:p w14:paraId="4226F08A">
            <w:pPr>
              <w:pStyle w:val="19"/>
              <w:bidi w:val="0"/>
              <w:jc w:val="center"/>
              <w:rPr>
                <w:lang w:eastAsia="en-US"/>
              </w:rPr>
            </w:pPr>
            <w:r>
              <w:rPr>
                <w:lang w:eastAsia="en-US"/>
              </w:rPr>
              <w:t>-L1D</w:t>
            </w:r>
          </w:p>
        </w:tc>
      </w:tr>
      <w:tr w14:paraId="2CFF6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548" w:type="pct"/>
            <w:vMerge w:val="continue"/>
            <w:tcBorders>
              <w:tl2br w:val="nil"/>
              <w:tr2bl w:val="nil"/>
            </w:tcBorders>
            <w:noWrap w:val="0"/>
            <w:tcMar>
              <w:top w:w="28" w:type="dxa"/>
              <w:left w:w="57" w:type="dxa"/>
              <w:bottom w:w="28" w:type="dxa"/>
              <w:right w:w="57" w:type="dxa"/>
            </w:tcMar>
            <w:vAlign w:val="center"/>
          </w:tcPr>
          <w:p w14:paraId="300E0061">
            <w:pPr>
              <w:pStyle w:val="19"/>
              <w:bidi w:val="0"/>
              <w:jc w:val="center"/>
              <w:rPr>
                <w:lang w:eastAsia="en-US"/>
              </w:rPr>
            </w:pPr>
          </w:p>
        </w:tc>
        <w:tc>
          <w:tcPr>
            <w:tcW w:w="702" w:type="pct"/>
            <w:tcBorders>
              <w:tl2br w:val="nil"/>
              <w:tr2bl w:val="nil"/>
            </w:tcBorders>
            <w:noWrap w:val="0"/>
            <w:tcMar>
              <w:top w:w="28" w:type="dxa"/>
              <w:left w:w="57" w:type="dxa"/>
              <w:bottom w:w="28" w:type="dxa"/>
              <w:right w:w="57" w:type="dxa"/>
            </w:tcMar>
            <w:vAlign w:val="center"/>
          </w:tcPr>
          <w:p w14:paraId="178A7788">
            <w:pPr>
              <w:pStyle w:val="19"/>
              <w:bidi w:val="0"/>
              <w:jc w:val="center"/>
            </w:pPr>
            <w:r>
              <w:t>废气排放</w:t>
            </w:r>
          </w:p>
        </w:tc>
        <w:tc>
          <w:tcPr>
            <w:tcW w:w="702" w:type="pct"/>
            <w:tcBorders>
              <w:tl2br w:val="nil"/>
              <w:tr2bl w:val="nil"/>
            </w:tcBorders>
            <w:noWrap w:val="0"/>
            <w:tcMar>
              <w:top w:w="28" w:type="dxa"/>
              <w:left w:w="57" w:type="dxa"/>
              <w:bottom w:w="28" w:type="dxa"/>
              <w:right w:w="57" w:type="dxa"/>
            </w:tcMar>
            <w:vAlign w:val="center"/>
          </w:tcPr>
          <w:p w14:paraId="222D63D0">
            <w:pPr>
              <w:pStyle w:val="19"/>
              <w:bidi w:val="0"/>
              <w:jc w:val="center"/>
              <w:rPr>
                <w:lang w:eastAsia="en-US"/>
              </w:rPr>
            </w:pPr>
            <w:r>
              <w:rPr>
                <w:lang w:eastAsia="en-US"/>
              </w:rPr>
              <w:t>-L2D</w:t>
            </w:r>
          </w:p>
        </w:tc>
        <w:tc>
          <w:tcPr>
            <w:tcW w:w="547" w:type="pct"/>
            <w:tcBorders>
              <w:tl2br w:val="nil"/>
              <w:tr2bl w:val="nil"/>
            </w:tcBorders>
            <w:noWrap w:val="0"/>
            <w:tcMar>
              <w:top w:w="28" w:type="dxa"/>
              <w:left w:w="57" w:type="dxa"/>
              <w:bottom w:w="28" w:type="dxa"/>
              <w:right w:w="57" w:type="dxa"/>
            </w:tcMar>
            <w:vAlign w:val="center"/>
          </w:tcPr>
          <w:p w14:paraId="24AA31F2">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56DA514F">
            <w:pPr>
              <w:pStyle w:val="19"/>
              <w:bidi w:val="0"/>
              <w:jc w:val="center"/>
              <w:rPr>
                <w:lang w:eastAsia="en-US"/>
              </w:rPr>
            </w:pPr>
            <w:r>
              <w:rPr>
                <w:lang w:eastAsia="en-US"/>
              </w:rPr>
              <w:t>/</w:t>
            </w:r>
          </w:p>
        </w:tc>
        <w:tc>
          <w:tcPr>
            <w:tcW w:w="702" w:type="pct"/>
            <w:tcBorders>
              <w:tl2br w:val="nil"/>
              <w:tr2bl w:val="nil"/>
            </w:tcBorders>
            <w:noWrap w:val="0"/>
            <w:tcMar>
              <w:top w:w="28" w:type="dxa"/>
              <w:left w:w="57" w:type="dxa"/>
              <w:bottom w:w="28" w:type="dxa"/>
              <w:right w:w="57" w:type="dxa"/>
            </w:tcMar>
            <w:vAlign w:val="center"/>
          </w:tcPr>
          <w:p w14:paraId="581CAA7E">
            <w:pPr>
              <w:pStyle w:val="19"/>
              <w:bidi w:val="0"/>
              <w:jc w:val="center"/>
              <w:rPr>
                <w:lang w:eastAsia="en-US"/>
              </w:rPr>
            </w:pPr>
            <w:r>
              <w:rPr>
                <w:lang w:eastAsia="en-US"/>
              </w:rPr>
              <w:t>/</w:t>
            </w:r>
          </w:p>
        </w:tc>
        <w:tc>
          <w:tcPr>
            <w:tcW w:w="548" w:type="pct"/>
            <w:tcBorders>
              <w:tl2br w:val="nil"/>
              <w:tr2bl w:val="nil"/>
            </w:tcBorders>
            <w:noWrap w:val="0"/>
            <w:tcMar>
              <w:top w:w="28" w:type="dxa"/>
              <w:left w:w="57" w:type="dxa"/>
              <w:bottom w:w="28" w:type="dxa"/>
              <w:right w:w="57" w:type="dxa"/>
            </w:tcMar>
            <w:vAlign w:val="center"/>
          </w:tcPr>
          <w:p w14:paraId="149D89A2">
            <w:pPr>
              <w:pStyle w:val="19"/>
              <w:bidi w:val="0"/>
              <w:jc w:val="center"/>
              <w:rPr>
                <w:lang w:eastAsia="en-US"/>
              </w:rPr>
            </w:pPr>
            <w:r>
              <w:rPr>
                <w:lang w:eastAsia="en-US"/>
              </w:rPr>
              <w:t>/</w:t>
            </w:r>
          </w:p>
        </w:tc>
        <w:tc>
          <w:tcPr>
            <w:tcW w:w="702" w:type="pct"/>
            <w:tcBorders>
              <w:tl2br w:val="nil"/>
              <w:tr2bl w:val="nil"/>
            </w:tcBorders>
            <w:noWrap w:val="0"/>
            <w:tcMar>
              <w:top w:w="28" w:type="dxa"/>
              <w:left w:w="57" w:type="dxa"/>
              <w:bottom w:w="28" w:type="dxa"/>
              <w:right w:w="57" w:type="dxa"/>
            </w:tcMar>
            <w:vAlign w:val="center"/>
          </w:tcPr>
          <w:p w14:paraId="749F53D6">
            <w:pPr>
              <w:pStyle w:val="19"/>
              <w:bidi w:val="0"/>
              <w:jc w:val="center"/>
              <w:rPr>
                <w:lang w:eastAsia="en-US"/>
              </w:rPr>
            </w:pPr>
            <w:r>
              <w:rPr>
                <w:lang w:eastAsia="en-US"/>
              </w:rPr>
              <w:t>-L1D</w:t>
            </w:r>
          </w:p>
        </w:tc>
      </w:tr>
      <w:tr w14:paraId="0ECD6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548" w:type="pct"/>
            <w:vMerge w:val="continue"/>
            <w:tcBorders>
              <w:tl2br w:val="nil"/>
              <w:tr2bl w:val="nil"/>
            </w:tcBorders>
            <w:noWrap w:val="0"/>
            <w:tcMar>
              <w:top w:w="28" w:type="dxa"/>
              <w:left w:w="57" w:type="dxa"/>
              <w:bottom w:w="28" w:type="dxa"/>
              <w:right w:w="57" w:type="dxa"/>
            </w:tcMar>
            <w:vAlign w:val="center"/>
          </w:tcPr>
          <w:p w14:paraId="246DB3C7">
            <w:pPr>
              <w:pStyle w:val="19"/>
              <w:bidi w:val="0"/>
              <w:jc w:val="center"/>
              <w:rPr>
                <w:lang w:eastAsia="en-US"/>
              </w:rPr>
            </w:pPr>
          </w:p>
        </w:tc>
        <w:tc>
          <w:tcPr>
            <w:tcW w:w="702" w:type="pct"/>
            <w:tcBorders>
              <w:tl2br w:val="nil"/>
              <w:tr2bl w:val="nil"/>
            </w:tcBorders>
            <w:noWrap w:val="0"/>
            <w:tcMar>
              <w:top w:w="28" w:type="dxa"/>
              <w:left w:w="57" w:type="dxa"/>
              <w:bottom w:w="28" w:type="dxa"/>
              <w:right w:w="57" w:type="dxa"/>
            </w:tcMar>
            <w:vAlign w:val="center"/>
          </w:tcPr>
          <w:p w14:paraId="28FCFAD6">
            <w:pPr>
              <w:pStyle w:val="19"/>
              <w:bidi w:val="0"/>
              <w:jc w:val="center"/>
            </w:pPr>
            <w:r>
              <w:t>噪声排放</w:t>
            </w:r>
          </w:p>
        </w:tc>
        <w:tc>
          <w:tcPr>
            <w:tcW w:w="702" w:type="pct"/>
            <w:tcBorders>
              <w:tl2br w:val="nil"/>
              <w:tr2bl w:val="nil"/>
            </w:tcBorders>
            <w:noWrap w:val="0"/>
            <w:tcMar>
              <w:top w:w="28" w:type="dxa"/>
              <w:left w:w="57" w:type="dxa"/>
              <w:bottom w:w="28" w:type="dxa"/>
              <w:right w:w="57" w:type="dxa"/>
            </w:tcMar>
            <w:vAlign w:val="center"/>
          </w:tcPr>
          <w:p w14:paraId="7717C0E9">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5F62EA88">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5C7D9200">
            <w:pPr>
              <w:pStyle w:val="19"/>
              <w:bidi w:val="0"/>
              <w:jc w:val="center"/>
              <w:rPr>
                <w:lang w:eastAsia="en-US"/>
              </w:rPr>
            </w:pPr>
            <w:r>
              <w:rPr>
                <w:lang w:eastAsia="en-US"/>
              </w:rPr>
              <w:t>/</w:t>
            </w:r>
          </w:p>
        </w:tc>
        <w:tc>
          <w:tcPr>
            <w:tcW w:w="702" w:type="pct"/>
            <w:tcBorders>
              <w:tl2br w:val="nil"/>
              <w:tr2bl w:val="nil"/>
            </w:tcBorders>
            <w:noWrap w:val="0"/>
            <w:tcMar>
              <w:top w:w="28" w:type="dxa"/>
              <w:left w:w="57" w:type="dxa"/>
              <w:bottom w:w="28" w:type="dxa"/>
              <w:right w:w="57" w:type="dxa"/>
            </w:tcMar>
            <w:vAlign w:val="center"/>
          </w:tcPr>
          <w:p w14:paraId="7154536A">
            <w:pPr>
              <w:pStyle w:val="19"/>
              <w:bidi w:val="0"/>
              <w:jc w:val="center"/>
              <w:rPr>
                <w:lang w:eastAsia="en-US"/>
              </w:rPr>
            </w:pPr>
            <w:r>
              <w:rPr>
                <w:lang w:eastAsia="en-US"/>
              </w:rPr>
              <w:t>/</w:t>
            </w:r>
          </w:p>
        </w:tc>
        <w:tc>
          <w:tcPr>
            <w:tcW w:w="548" w:type="pct"/>
            <w:tcBorders>
              <w:tl2br w:val="nil"/>
              <w:tr2bl w:val="nil"/>
            </w:tcBorders>
            <w:noWrap w:val="0"/>
            <w:tcMar>
              <w:top w:w="28" w:type="dxa"/>
              <w:left w:w="57" w:type="dxa"/>
              <w:bottom w:w="28" w:type="dxa"/>
              <w:right w:w="57" w:type="dxa"/>
            </w:tcMar>
            <w:vAlign w:val="center"/>
          </w:tcPr>
          <w:p w14:paraId="42F08DD6">
            <w:pPr>
              <w:pStyle w:val="19"/>
              <w:bidi w:val="0"/>
              <w:jc w:val="center"/>
              <w:rPr>
                <w:lang w:eastAsia="en-US"/>
              </w:rPr>
            </w:pPr>
            <w:r>
              <w:rPr>
                <w:lang w:eastAsia="en-US"/>
              </w:rPr>
              <w:t>-L2D</w:t>
            </w:r>
          </w:p>
        </w:tc>
        <w:tc>
          <w:tcPr>
            <w:tcW w:w="702" w:type="pct"/>
            <w:tcBorders>
              <w:tl2br w:val="nil"/>
              <w:tr2bl w:val="nil"/>
            </w:tcBorders>
            <w:noWrap w:val="0"/>
            <w:tcMar>
              <w:top w:w="28" w:type="dxa"/>
              <w:left w:w="57" w:type="dxa"/>
              <w:bottom w:w="28" w:type="dxa"/>
              <w:right w:w="57" w:type="dxa"/>
            </w:tcMar>
            <w:vAlign w:val="center"/>
          </w:tcPr>
          <w:p w14:paraId="1072B995">
            <w:pPr>
              <w:pStyle w:val="19"/>
              <w:bidi w:val="0"/>
              <w:jc w:val="center"/>
              <w:rPr>
                <w:lang w:eastAsia="en-US"/>
              </w:rPr>
            </w:pPr>
            <w:r>
              <w:rPr>
                <w:lang w:eastAsia="en-US"/>
              </w:rPr>
              <w:t>-L0D</w:t>
            </w:r>
          </w:p>
        </w:tc>
      </w:tr>
      <w:tr w14:paraId="76905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548" w:type="pct"/>
            <w:vMerge w:val="continue"/>
            <w:tcBorders>
              <w:tl2br w:val="nil"/>
              <w:tr2bl w:val="nil"/>
            </w:tcBorders>
            <w:noWrap w:val="0"/>
            <w:tcMar>
              <w:top w:w="28" w:type="dxa"/>
              <w:left w:w="57" w:type="dxa"/>
              <w:bottom w:w="28" w:type="dxa"/>
              <w:right w:w="57" w:type="dxa"/>
            </w:tcMar>
            <w:vAlign w:val="center"/>
          </w:tcPr>
          <w:p w14:paraId="34A83FFE">
            <w:pPr>
              <w:pStyle w:val="19"/>
              <w:bidi w:val="0"/>
              <w:jc w:val="center"/>
              <w:rPr>
                <w:lang w:eastAsia="en-US"/>
              </w:rPr>
            </w:pPr>
          </w:p>
        </w:tc>
        <w:tc>
          <w:tcPr>
            <w:tcW w:w="702" w:type="pct"/>
            <w:tcBorders>
              <w:tl2br w:val="nil"/>
              <w:tr2bl w:val="nil"/>
            </w:tcBorders>
            <w:noWrap w:val="0"/>
            <w:tcMar>
              <w:top w:w="28" w:type="dxa"/>
              <w:left w:w="57" w:type="dxa"/>
              <w:bottom w:w="28" w:type="dxa"/>
              <w:right w:w="57" w:type="dxa"/>
            </w:tcMar>
            <w:vAlign w:val="center"/>
          </w:tcPr>
          <w:p w14:paraId="4B909708">
            <w:pPr>
              <w:pStyle w:val="19"/>
              <w:bidi w:val="0"/>
              <w:jc w:val="center"/>
            </w:pPr>
            <w:r>
              <w:t>固体废物</w:t>
            </w:r>
          </w:p>
        </w:tc>
        <w:tc>
          <w:tcPr>
            <w:tcW w:w="702" w:type="pct"/>
            <w:tcBorders>
              <w:tl2br w:val="nil"/>
              <w:tr2bl w:val="nil"/>
            </w:tcBorders>
            <w:noWrap w:val="0"/>
            <w:tcMar>
              <w:top w:w="28" w:type="dxa"/>
              <w:left w:w="57" w:type="dxa"/>
              <w:bottom w:w="28" w:type="dxa"/>
              <w:right w:w="57" w:type="dxa"/>
            </w:tcMar>
            <w:vAlign w:val="center"/>
          </w:tcPr>
          <w:p w14:paraId="6F306A2D">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2718F91E">
            <w:pPr>
              <w:pStyle w:val="19"/>
              <w:bidi w:val="0"/>
              <w:jc w:val="center"/>
              <w:rPr>
                <w:lang w:eastAsia="en-US"/>
              </w:rPr>
            </w:pPr>
            <w:r>
              <w:rPr>
                <w:lang w:eastAsia="en-US"/>
              </w:rPr>
              <w:t>/</w:t>
            </w:r>
          </w:p>
        </w:tc>
        <w:tc>
          <w:tcPr>
            <w:tcW w:w="547" w:type="pct"/>
            <w:tcBorders>
              <w:tl2br w:val="nil"/>
              <w:tr2bl w:val="nil"/>
            </w:tcBorders>
            <w:noWrap w:val="0"/>
            <w:tcMar>
              <w:top w:w="28" w:type="dxa"/>
              <w:left w:w="57" w:type="dxa"/>
              <w:bottom w:w="28" w:type="dxa"/>
              <w:right w:w="57" w:type="dxa"/>
            </w:tcMar>
            <w:vAlign w:val="center"/>
          </w:tcPr>
          <w:p w14:paraId="60A03EA8">
            <w:pPr>
              <w:pStyle w:val="19"/>
              <w:bidi w:val="0"/>
              <w:jc w:val="center"/>
              <w:rPr>
                <w:lang w:eastAsia="en-US"/>
              </w:rPr>
            </w:pPr>
            <w:r>
              <w:rPr>
                <w:lang w:eastAsia="en-US"/>
              </w:rPr>
              <w:t>/</w:t>
            </w:r>
          </w:p>
        </w:tc>
        <w:tc>
          <w:tcPr>
            <w:tcW w:w="702" w:type="pct"/>
            <w:tcBorders>
              <w:tl2br w:val="nil"/>
              <w:tr2bl w:val="nil"/>
            </w:tcBorders>
            <w:noWrap w:val="0"/>
            <w:tcMar>
              <w:top w:w="28" w:type="dxa"/>
              <w:left w:w="57" w:type="dxa"/>
              <w:bottom w:w="28" w:type="dxa"/>
              <w:right w:w="57" w:type="dxa"/>
            </w:tcMar>
            <w:vAlign w:val="center"/>
          </w:tcPr>
          <w:p w14:paraId="39A6B89B">
            <w:pPr>
              <w:pStyle w:val="19"/>
              <w:bidi w:val="0"/>
              <w:jc w:val="center"/>
              <w:rPr>
                <w:lang w:eastAsia="en-US"/>
              </w:rPr>
            </w:pPr>
            <w:r>
              <w:rPr>
                <w:lang w:eastAsia="en-US"/>
              </w:rPr>
              <w:t>-L1D</w:t>
            </w:r>
          </w:p>
        </w:tc>
        <w:tc>
          <w:tcPr>
            <w:tcW w:w="548" w:type="pct"/>
            <w:tcBorders>
              <w:tl2br w:val="nil"/>
              <w:tr2bl w:val="nil"/>
            </w:tcBorders>
            <w:noWrap w:val="0"/>
            <w:tcMar>
              <w:top w:w="28" w:type="dxa"/>
              <w:left w:w="57" w:type="dxa"/>
              <w:bottom w:w="28" w:type="dxa"/>
              <w:right w:w="57" w:type="dxa"/>
            </w:tcMar>
            <w:vAlign w:val="center"/>
          </w:tcPr>
          <w:p w14:paraId="5E4E55F4">
            <w:pPr>
              <w:pStyle w:val="19"/>
              <w:bidi w:val="0"/>
              <w:jc w:val="center"/>
              <w:rPr>
                <w:lang w:eastAsia="en-US"/>
              </w:rPr>
            </w:pPr>
            <w:r>
              <w:rPr>
                <w:lang w:eastAsia="en-US"/>
              </w:rPr>
              <w:t>/</w:t>
            </w:r>
          </w:p>
        </w:tc>
        <w:tc>
          <w:tcPr>
            <w:tcW w:w="702" w:type="pct"/>
            <w:tcBorders>
              <w:tl2br w:val="nil"/>
              <w:tr2bl w:val="nil"/>
            </w:tcBorders>
            <w:noWrap w:val="0"/>
            <w:tcMar>
              <w:top w:w="28" w:type="dxa"/>
              <w:left w:w="57" w:type="dxa"/>
              <w:bottom w:w="28" w:type="dxa"/>
              <w:right w:w="57" w:type="dxa"/>
            </w:tcMar>
            <w:vAlign w:val="center"/>
          </w:tcPr>
          <w:p w14:paraId="2A1966F5">
            <w:pPr>
              <w:pStyle w:val="19"/>
              <w:bidi w:val="0"/>
              <w:jc w:val="center"/>
              <w:rPr>
                <w:lang w:eastAsia="en-US"/>
              </w:rPr>
            </w:pPr>
            <w:r>
              <w:rPr>
                <w:lang w:eastAsia="en-US"/>
              </w:rPr>
              <w:t>/</w:t>
            </w:r>
          </w:p>
        </w:tc>
      </w:tr>
      <w:tr w14:paraId="01885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548" w:type="pct"/>
            <w:vMerge w:val="continue"/>
            <w:tcBorders>
              <w:tl2br w:val="nil"/>
              <w:tr2bl w:val="nil"/>
            </w:tcBorders>
            <w:noWrap w:val="0"/>
            <w:tcMar>
              <w:top w:w="28" w:type="dxa"/>
              <w:left w:w="57" w:type="dxa"/>
              <w:bottom w:w="28" w:type="dxa"/>
              <w:right w:w="57" w:type="dxa"/>
            </w:tcMar>
            <w:vAlign w:val="center"/>
          </w:tcPr>
          <w:p w14:paraId="64615332">
            <w:pPr>
              <w:pStyle w:val="19"/>
              <w:bidi w:val="0"/>
              <w:jc w:val="center"/>
              <w:rPr>
                <w:lang w:eastAsia="en-US"/>
              </w:rPr>
            </w:pPr>
          </w:p>
        </w:tc>
        <w:tc>
          <w:tcPr>
            <w:tcW w:w="702" w:type="pct"/>
            <w:tcBorders>
              <w:tl2br w:val="nil"/>
              <w:tr2bl w:val="nil"/>
            </w:tcBorders>
            <w:noWrap w:val="0"/>
            <w:tcMar>
              <w:top w:w="28" w:type="dxa"/>
              <w:left w:w="57" w:type="dxa"/>
              <w:bottom w:w="28" w:type="dxa"/>
              <w:right w:w="57" w:type="dxa"/>
            </w:tcMar>
            <w:vAlign w:val="center"/>
          </w:tcPr>
          <w:p w14:paraId="62CBB651">
            <w:pPr>
              <w:pStyle w:val="19"/>
              <w:bidi w:val="0"/>
              <w:jc w:val="center"/>
            </w:pPr>
            <w:r>
              <w:t>事故风险</w:t>
            </w:r>
          </w:p>
        </w:tc>
        <w:tc>
          <w:tcPr>
            <w:tcW w:w="702" w:type="pct"/>
            <w:tcBorders>
              <w:tl2br w:val="nil"/>
              <w:tr2bl w:val="nil"/>
            </w:tcBorders>
            <w:noWrap w:val="0"/>
            <w:tcMar>
              <w:top w:w="28" w:type="dxa"/>
              <w:left w:w="57" w:type="dxa"/>
              <w:bottom w:w="28" w:type="dxa"/>
              <w:right w:w="57" w:type="dxa"/>
            </w:tcMar>
            <w:vAlign w:val="center"/>
          </w:tcPr>
          <w:p w14:paraId="6F6A4368">
            <w:pPr>
              <w:pStyle w:val="19"/>
              <w:bidi w:val="0"/>
              <w:jc w:val="center"/>
              <w:rPr>
                <w:lang w:eastAsia="en-US"/>
              </w:rPr>
            </w:pPr>
            <w:r>
              <w:rPr>
                <w:lang w:eastAsia="en-US"/>
              </w:rPr>
              <w:t>-S3D</w:t>
            </w:r>
          </w:p>
        </w:tc>
        <w:tc>
          <w:tcPr>
            <w:tcW w:w="547" w:type="pct"/>
            <w:tcBorders>
              <w:tl2br w:val="nil"/>
              <w:tr2bl w:val="nil"/>
            </w:tcBorders>
            <w:noWrap w:val="0"/>
            <w:tcMar>
              <w:top w:w="28" w:type="dxa"/>
              <w:left w:w="57" w:type="dxa"/>
              <w:bottom w:w="28" w:type="dxa"/>
              <w:right w:w="57" w:type="dxa"/>
            </w:tcMar>
            <w:vAlign w:val="center"/>
          </w:tcPr>
          <w:p w14:paraId="7B5D1D14">
            <w:pPr>
              <w:pStyle w:val="19"/>
              <w:bidi w:val="0"/>
              <w:jc w:val="center"/>
              <w:rPr>
                <w:lang w:eastAsia="en-US"/>
              </w:rPr>
            </w:pPr>
            <w:r>
              <w:rPr>
                <w:lang w:eastAsia="en-US"/>
              </w:rPr>
              <w:t>-S3D</w:t>
            </w:r>
          </w:p>
        </w:tc>
        <w:tc>
          <w:tcPr>
            <w:tcW w:w="547" w:type="pct"/>
            <w:tcBorders>
              <w:tl2br w:val="nil"/>
              <w:tr2bl w:val="nil"/>
            </w:tcBorders>
            <w:noWrap w:val="0"/>
            <w:tcMar>
              <w:top w:w="28" w:type="dxa"/>
              <w:left w:w="57" w:type="dxa"/>
              <w:bottom w:w="28" w:type="dxa"/>
              <w:right w:w="57" w:type="dxa"/>
            </w:tcMar>
            <w:vAlign w:val="center"/>
          </w:tcPr>
          <w:p w14:paraId="742E0945">
            <w:pPr>
              <w:pStyle w:val="19"/>
              <w:bidi w:val="0"/>
              <w:jc w:val="center"/>
              <w:rPr>
                <w:lang w:eastAsia="en-US"/>
              </w:rPr>
            </w:pPr>
            <w:r>
              <w:rPr>
                <w:lang w:eastAsia="en-US"/>
              </w:rPr>
              <w:t>-S3D</w:t>
            </w:r>
          </w:p>
        </w:tc>
        <w:tc>
          <w:tcPr>
            <w:tcW w:w="702" w:type="pct"/>
            <w:tcBorders>
              <w:tl2br w:val="nil"/>
              <w:tr2bl w:val="nil"/>
            </w:tcBorders>
            <w:noWrap w:val="0"/>
            <w:tcMar>
              <w:top w:w="28" w:type="dxa"/>
              <w:left w:w="57" w:type="dxa"/>
              <w:bottom w:w="28" w:type="dxa"/>
              <w:right w:w="57" w:type="dxa"/>
            </w:tcMar>
            <w:vAlign w:val="center"/>
          </w:tcPr>
          <w:p w14:paraId="156B8545">
            <w:pPr>
              <w:pStyle w:val="19"/>
              <w:bidi w:val="0"/>
              <w:jc w:val="center"/>
              <w:rPr>
                <w:lang w:eastAsia="en-US"/>
              </w:rPr>
            </w:pPr>
            <w:r>
              <w:rPr>
                <w:lang w:eastAsia="en-US"/>
              </w:rPr>
              <w:t>-S3D</w:t>
            </w:r>
          </w:p>
        </w:tc>
        <w:tc>
          <w:tcPr>
            <w:tcW w:w="548" w:type="pct"/>
            <w:tcBorders>
              <w:tl2br w:val="nil"/>
              <w:tr2bl w:val="nil"/>
            </w:tcBorders>
            <w:noWrap w:val="0"/>
            <w:tcMar>
              <w:top w:w="28" w:type="dxa"/>
              <w:left w:w="57" w:type="dxa"/>
              <w:bottom w:w="28" w:type="dxa"/>
              <w:right w:w="57" w:type="dxa"/>
            </w:tcMar>
            <w:vAlign w:val="center"/>
          </w:tcPr>
          <w:p w14:paraId="600BB5C8">
            <w:pPr>
              <w:pStyle w:val="19"/>
              <w:bidi w:val="0"/>
              <w:jc w:val="center"/>
              <w:rPr>
                <w:lang w:eastAsia="en-US"/>
              </w:rPr>
            </w:pPr>
            <w:r>
              <w:rPr>
                <w:lang w:eastAsia="en-US"/>
              </w:rPr>
              <w:t>-S3D</w:t>
            </w:r>
          </w:p>
        </w:tc>
        <w:tc>
          <w:tcPr>
            <w:tcW w:w="702" w:type="pct"/>
            <w:tcBorders>
              <w:tl2br w:val="nil"/>
              <w:tr2bl w:val="nil"/>
            </w:tcBorders>
            <w:noWrap w:val="0"/>
            <w:tcMar>
              <w:top w:w="28" w:type="dxa"/>
              <w:left w:w="57" w:type="dxa"/>
              <w:bottom w:w="28" w:type="dxa"/>
              <w:right w:w="57" w:type="dxa"/>
            </w:tcMar>
            <w:vAlign w:val="center"/>
          </w:tcPr>
          <w:p w14:paraId="6994E76A">
            <w:pPr>
              <w:pStyle w:val="19"/>
              <w:bidi w:val="0"/>
              <w:jc w:val="center"/>
              <w:rPr>
                <w:lang w:eastAsia="en-US"/>
              </w:rPr>
            </w:pPr>
            <w:r>
              <w:rPr>
                <w:lang w:eastAsia="en-US"/>
              </w:rPr>
              <w:t>-S3D</w:t>
            </w:r>
          </w:p>
        </w:tc>
      </w:tr>
    </w:tbl>
    <w:p w14:paraId="708483C2">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注：“+和－”分别表示有利、不利影响；“L和 S”分别表示长期、短期影响；“0至3”分别表示无影响、轻微影响、中等影响、重大影响；“D和I”分别表示直接、间接影响。</w:t>
      </w:r>
    </w:p>
    <w:p w14:paraId="4AE59AD4">
      <w:pPr>
        <w:rPr>
          <w:rFonts w:hint="eastAsia"/>
          <w:lang w:val="en-US" w:eastAsia="zh-CN"/>
        </w:rPr>
      </w:pPr>
      <w:r>
        <w:rPr>
          <w:rFonts w:hint="eastAsia"/>
          <w:lang w:val="en-US" w:eastAsia="zh-CN"/>
        </w:rPr>
        <w:t>（2）评价因子</w:t>
      </w:r>
    </w:p>
    <w:p w14:paraId="5A6E5F63">
      <w:pPr>
        <w:rPr>
          <w:rFonts w:hint="default"/>
          <w:lang w:val="en-US" w:eastAsia="zh-CN"/>
        </w:rPr>
      </w:pPr>
      <w:r>
        <w:rPr>
          <w:rFonts w:hint="eastAsia"/>
          <w:lang w:val="en-US" w:eastAsia="zh-CN"/>
        </w:rPr>
        <w:t>①</w:t>
      </w:r>
      <w:r>
        <w:rPr>
          <w:rFonts w:hint="default"/>
          <w:lang w:val="en-US" w:eastAsia="zh-CN"/>
        </w:rPr>
        <w:t>环境空气</w:t>
      </w:r>
    </w:p>
    <w:p w14:paraId="2B026371">
      <w:pPr>
        <w:rPr>
          <w:rFonts w:hint="default"/>
          <w:lang w:val="en-US" w:eastAsia="zh-CN"/>
        </w:rPr>
      </w:pPr>
      <w:r>
        <w:rPr>
          <w:rFonts w:hint="default"/>
          <w:lang w:val="en-US" w:eastAsia="zh-CN"/>
        </w:rPr>
        <w:t>根据本项目的开发建设规划，建成后对环境空气质量可能会造成一定程度影响的污染源将主要来自污水、粪便处理</w:t>
      </w:r>
      <w:r>
        <w:rPr>
          <w:rFonts w:hint="eastAsia"/>
          <w:lang w:val="en-US" w:eastAsia="zh-CN"/>
        </w:rPr>
        <w:t>废气</w:t>
      </w:r>
      <w:r>
        <w:rPr>
          <w:rFonts w:hint="default"/>
          <w:lang w:val="en-US" w:eastAsia="zh-CN"/>
        </w:rPr>
        <w:t>及</w:t>
      </w:r>
      <w:r>
        <w:rPr>
          <w:rFonts w:hint="eastAsia"/>
          <w:lang w:val="en-US" w:eastAsia="zh-CN"/>
        </w:rPr>
        <w:t>生物质锅炉烟气</w:t>
      </w:r>
      <w:r>
        <w:rPr>
          <w:rFonts w:hint="default"/>
          <w:lang w:val="en-US" w:eastAsia="zh-CN"/>
        </w:rPr>
        <w:t>，评价因子如下：</w:t>
      </w:r>
    </w:p>
    <w:p w14:paraId="0484DA05">
      <w:pPr>
        <w:rPr>
          <w:rFonts w:hint="default"/>
          <w:lang w:val="en-US" w:eastAsia="zh-CN"/>
        </w:rPr>
      </w:pPr>
      <w:r>
        <w:rPr>
          <w:rFonts w:hint="default"/>
          <w:lang w:val="en-US" w:eastAsia="zh-CN"/>
        </w:rPr>
        <w:t>现状评价因子：SO</w:t>
      </w:r>
      <w:r>
        <w:rPr>
          <w:rFonts w:hint="default"/>
          <w:vertAlign w:val="subscript"/>
          <w:lang w:val="en-US" w:eastAsia="zh-CN"/>
        </w:rPr>
        <w:t>2</w:t>
      </w:r>
      <w:r>
        <w:rPr>
          <w:rFonts w:hint="default"/>
          <w:lang w:val="en-US" w:eastAsia="zh-CN"/>
        </w:rPr>
        <w:t>、NO</w:t>
      </w:r>
      <w:r>
        <w:rPr>
          <w:rFonts w:hint="default"/>
          <w:vertAlign w:val="subscript"/>
          <w:lang w:val="en-US" w:eastAsia="zh-CN"/>
        </w:rPr>
        <w:t>2</w:t>
      </w:r>
      <w:r>
        <w:rPr>
          <w:rFonts w:hint="default"/>
          <w:lang w:val="en-US" w:eastAsia="zh-CN"/>
        </w:rPr>
        <w:t>、PM</w:t>
      </w:r>
      <w:r>
        <w:rPr>
          <w:rFonts w:hint="default"/>
          <w:vertAlign w:val="subscript"/>
          <w:lang w:val="en-US" w:eastAsia="zh-CN"/>
        </w:rPr>
        <w:t>10</w:t>
      </w:r>
      <w:r>
        <w:rPr>
          <w:rFonts w:hint="default"/>
          <w:lang w:val="en-US" w:eastAsia="zh-CN"/>
        </w:rPr>
        <w:t>、PM</w:t>
      </w:r>
      <w:r>
        <w:rPr>
          <w:rFonts w:hint="default"/>
          <w:vertAlign w:val="subscript"/>
          <w:lang w:val="en-US" w:eastAsia="zh-CN"/>
        </w:rPr>
        <w:t>2.5</w:t>
      </w:r>
      <w:r>
        <w:rPr>
          <w:rFonts w:hint="default"/>
          <w:lang w:val="en-US" w:eastAsia="zh-CN"/>
        </w:rPr>
        <w:t>、CO、O</w:t>
      </w:r>
      <w:r>
        <w:rPr>
          <w:rFonts w:hint="default"/>
          <w:vertAlign w:val="subscript"/>
          <w:lang w:val="en-US" w:eastAsia="zh-CN"/>
        </w:rPr>
        <w:t>3</w:t>
      </w:r>
      <w:r>
        <w:rPr>
          <w:rFonts w:hint="default"/>
          <w:lang w:val="en-US" w:eastAsia="zh-CN"/>
        </w:rPr>
        <w:t>、氨、硫化氢、臭气浓度；</w:t>
      </w:r>
    </w:p>
    <w:p w14:paraId="44565DBE">
      <w:pPr>
        <w:rPr>
          <w:rFonts w:hint="default"/>
          <w:lang w:val="en-US" w:eastAsia="zh-CN"/>
        </w:rPr>
      </w:pPr>
      <w:r>
        <w:rPr>
          <w:rFonts w:hint="default"/>
          <w:lang w:val="en-US" w:eastAsia="zh-CN"/>
        </w:rPr>
        <w:t>影响评价因子：SO</w:t>
      </w:r>
      <w:r>
        <w:rPr>
          <w:rFonts w:hint="default"/>
          <w:vertAlign w:val="subscript"/>
          <w:lang w:val="en-US" w:eastAsia="zh-CN"/>
        </w:rPr>
        <w:t>2</w:t>
      </w:r>
      <w:r>
        <w:rPr>
          <w:rFonts w:hint="default"/>
          <w:lang w:val="en-US" w:eastAsia="zh-CN"/>
        </w:rPr>
        <w:t>、NO</w:t>
      </w:r>
      <w:r>
        <w:rPr>
          <w:rFonts w:hint="default"/>
          <w:vertAlign w:val="subscript"/>
          <w:lang w:val="en-US" w:eastAsia="zh-CN"/>
        </w:rPr>
        <w:t>2</w:t>
      </w:r>
      <w:r>
        <w:rPr>
          <w:rFonts w:hint="default"/>
          <w:lang w:val="en-US" w:eastAsia="zh-CN"/>
        </w:rPr>
        <w:t>、</w:t>
      </w:r>
      <w:r>
        <w:rPr>
          <w:rFonts w:hint="eastAsia"/>
          <w:lang w:val="en-US" w:eastAsia="zh-CN"/>
        </w:rPr>
        <w:t>颗粒物</w:t>
      </w:r>
      <w:r>
        <w:rPr>
          <w:rFonts w:hint="default"/>
          <w:lang w:val="en-US" w:eastAsia="zh-CN"/>
        </w:rPr>
        <w:t>、氨、硫化氢、臭气浓度等。</w:t>
      </w:r>
    </w:p>
    <w:p w14:paraId="6DCCBF75">
      <w:pPr>
        <w:rPr>
          <w:rFonts w:hint="default"/>
          <w:lang w:val="en-US" w:eastAsia="zh-CN"/>
        </w:rPr>
      </w:pPr>
      <w:r>
        <w:rPr>
          <w:rFonts w:hint="eastAsia"/>
          <w:lang w:val="en-US" w:eastAsia="zh-CN"/>
        </w:rPr>
        <w:t>②</w:t>
      </w:r>
      <w:r>
        <w:rPr>
          <w:rFonts w:hint="default"/>
          <w:lang w:val="en-US" w:eastAsia="zh-CN"/>
        </w:rPr>
        <w:t>水环境</w:t>
      </w:r>
    </w:p>
    <w:p w14:paraId="2130B170">
      <w:pPr>
        <w:rPr>
          <w:rFonts w:hint="default"/>
          <w:lang w:val="en-US" w:eastAsia="zh-CN"/>
        </w:rPr>
      </w:pPr>
      <w:r>
        <w:rPr>
          <w:rFonts w:hint="default"/>
          <w:lang w:val="en-US" w:eastAsia="zh-CN"/>
        </w:rPr>
        <w:t>本项目与区域地表水无直接水力联系，地表水不设置评价因子。</w:t>
      </w:r>
    </w:p>
    <w:p w14:paraId="4DAB0C10">
      <w:pPr>
        <w:rPr>
          <w:rFonts w:hint="default"/>
          <w:lang w:val="en-US" w:eastAsia="zh-CN"/>
        </w:rPr>
      </w:pPr>
      <w:r>
        <w:rPr>
          <w:rFonts w:hint="default"/>
          <w:lang w:val="en-US" w:eastAsia="zh-CN"/>
        </w:rPr>
        <w:t>本项目产生的废水包括生产废水和工作人员生活污水，对项目区地下水环境质量造成一定程度影响，评价因子如下：</w:t>
      </w:r>
    </w:p>
    <w:p w14:paraId="378C5DC8">
      <w:pPr>
        <w:spacing w:line="360" w:lineRule="auto"/>
        <w:ind w:firstLine="480" w:firstLineChars="200"/>
        <w:rPr>
          <w:rFonts w:hint="default"/>
          <w:lang w:val="en-US" w:eastAsia="zh-CN"/>
        </w:rPr>
      </w:pPr>
      <w:r>
        <w:rPr>
          <w:rFonts w:hint="default"/>
          <w:lang w:val="en-US" w:eastAsia="zh-CN"/>
        </w:rPr>
        <w:t>地下水现状评价因子</w:t>
      </w:r>
      <w:r>
        <w:rPr>
          <w:rFonts w:hint="eastAsia"/>
          <w:lang w:val="en-US" w:eastAsia="zh-CN"/>
        </w:rPr>
        <w:t>如下</w:t>
      </w:r>
      <w:r>
        <w:rPr>
          <w:rFonts w:hint="default"/>
          <w:lang w:val="en-US" w:eastAsia="zh-CN"/>
        </w:rPr>
        <w:t>：</w:t>
      </w:r>
    </w:p>
    <w:p w14:paraId="1F9E4E7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八大离子：</w:t>
      </w:r>
      <w:r>
        <w:rPr>
          <w:rFonts w:ascii="Times New Roman" w:hAnsi="Times New Roman" w:eastAsia="宋体" w:cs="Times New Roman"/>
          <w:sz w:val="24"/>
          <w:szCs w:val="24"/>
        </w:rPr>
        <w:t>K</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、Na</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、Ca</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、CO</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、HCO</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、Cl</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、SO</w:t>
      </w:r>
      <w:r>
        <w:rPr>
          <w:rFonts w:ascii="Times New Roman" w:hAnsi="Times New Roman" w:eastAsia="宋体" w:cs="Times New Roman"/>
          <w:sz w:val="24"/>
          <w:szCs w:val="24"/>
          <w:vertAlign w:val="subscript"/>
        </w:rPr>
        <w:t>4</w:t>
      </w:r>
      <w:r>
        <w:rPr>
          <w:rFonts w:ascii="Times New Roman" w:hAnsi="Times New Roman" w:eastAsia="宋体" w:cs="Times New Roman"/>
          <w:sz w:val="24"/>
          <w:szCs w:val="24"/>
          <w:vertAlign w:val="superscript"/>
        </w:rPr>
        <w:t>2-</w:t>
      </w:r>
    </w:p>
    <w:p w14:paraId="5CCCD981">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基本因子及特征因子：</w:t>
      </w:r>
      <w:r>
        <w:rPr>
          <w:rFonts w:ascii="Times New Roman" w:hAnsi="Times New Roman" w:eastAsia="宋体" w:cs="Times New Roman"/>
          <w:sz w:val="24"/>
          <w:szCs w:val="24"/>
        </w:rPr>
        <w:t>pH、氨氮、硝酸盐、亚硝酸盐、挥发性酚类、氰化物、砷、汞、铬</w:t>
      </w:r>
      <w:r>
        <w:rPr>
          <w:rFonts w:hint="eastAsia" w:ascii="Times New Roman" w:hAnsi="Times New Roman" w:eastAsia="宋体" w:cs="Times New Roman"/>
          <w:sz w:val="24"/>
          <w:szCs w:val="24"/>
        </w:rPr>
        <w:t>（</w:t>
      </w:r>
      <w:r>
        <w:rPr>
          <w:rFonts w:ascii="Times New Roman" w:hAnsi="Times New Roman" w:eastAsia="宋体" w:cs="Times New Roman"/>
          <w:sz w:val="24"/>
          <w:szCs w:val="24"/>
        </w:rPr>
        <w:t>六价</w:t>
      </w:r>
      <w:r>
        <w:rPr>
          <w:rFonts w:hint="eastAsia" w:ascii="Times New Roman" w:hAnsi="Times New Roman" w:eastAsia="宋体" w:cs="Times New Roman"/>
          <w:sz w:val="24"/>
          <w:szCs w:val="24"/>
        </w:rPr>
        <w:t>）</w:t>
      </w:r>
      <w:r>
        <w:rPr>
          <w:rFonts w:ascii="Times New Roman" w:hAnsi="Times New Roman" w:eastAsia="宋体" w:cs="Times New Roman"/>
          <w:sz w:val="24"/>
          <w:szCs w:val="24"/>
        </w:rPr>
        <w:t>、总硬度、铅、氟、镉、铁、锰、溶解性总固体、高锰酸盐指数、硫酸盐、氯化物、总大肠菌群、细菌总数</w:t>
      </w:r>
      <w:r>
        <w:rPr>
          <w:rFonts w:hint="eastAsia" w:cs="Times New Roman"/>
          <w:sz w:val="24"/>
          <w:szCs w:val="24"/>
          <w:lang w:eastAsia="zh-CN"/>
        </w:rPr>
        <w:t>，</w:t>
      </w:r>
      <w:r>
        <w:rPr>
          <w:rFonts w:hint="eastAsia" w:cs="Times New Roman"/>
          <w:sz w:val="24"/>
          <w:szCs w:val="24"/>
          <w:lang w:val="en-US" w:eastAsia="zh-CN"/>
        </w:rPr>
        <w:t>共计21项。</w:t>
      </w:r>
    </w:p>
    <w:p w14:paraId="7AED5901">
      <w:pPr>
        <w:rPr>
          <w:rFonts w:hint="default"/>
          <w:lang w:val="en-US" w:eastAsia="zh-CN"/>
        </w:rPr>
      </w:pPr>
      <w:r>
        <w:rPr>
          <w:rFonts w:hint="default"/>
          <w:lang w:val="en-US" w:eastAsia="zh-CN"/>
        </w:rPr>
        <w:t>地下水影响评价因子：COD、NH</w:t>
      </w:r>
      <w:r>
        <w:rPr>
          <w:rFonts w:hint="default"/>
          <w:vertAlign w:val="subscript"/>
          <w:lang w:val="en-US" w:eastAsia="zh-CN"/>
        </w:rPr>
        <w:t>3</w:t>
      </w:r>
      <w:r>
        <w:rPr>
          <w:rFonts w:hint="default"/>
          <w:lang w:val="en-US" w:eastAsia="zh-CN"/>
        </w:rPr>
        <w:t>-N。</w:t>
      </w:r>
    </w:p>
    <w:p w14:paraId="5359F9A6">
      <w:pPr>
        <w:bidi w:val="0"/>
        <w:rPr>
          <w:rFonts w:hint="eastAsia"/>
          <w:lang w:val="en-US" w:eastAsia="zh-CN"/>
        </w:rPr>
      </w:pPr>
      <w:r>
        <w:rPr>
          <w:rFonts w:hint="eastAsia"/>
          <w:lang w:val="en-US" w:eastAsia="zh-CN"/>
        </w:rPr>
        <w:t>③声环境</w:t>
      </w:r>
    </w:p>
    <w:p w14:paraId="4BE016D6">
      <w:pPr>
        <w:bidi w:val="0"/>
        <w:rPr>
          <w:rFonts w:hint="eastAsia"/>
          <w:lang w:val="en-US" w:eastAsia="zh-CN"/>
        </w:rPr>
      </w:pPr>
      <w:r>
        <w:rPr>
          <w:rFonts w:hint="eastAsia"/>
          <w:lang w:val="en-US" w:eastAsia="zh-CN"/>
        </w:rPr>
        <w:t>本项目的噪声源主要来自猪的叫声以及生产设备机械噪声。</w:t>
      </w:r>
    </w:p>
    <w:p w14:paraId="0C4D8DF1">
      <w:pPr>
        <w:bidi w:val="0"/>
        <w:rPr>
          <w:rFonts w:hint="eastAsia"/>
          <w:lang w:val="en-US" w:eastAsia="zh-CN"/>
        </w:rPr>
      </w:pPr>
      <w:r>
        <w:rPr>
          <w:rFonts w:hint="eastAsia"/>
          <w:lang w:val="en-US" w:eastAsia="zh-CN"/>
        </w:rPr>
        <w:t>现状评价因子：等效连续A声级；</w:t>
      </w:r>
    </w:p>
    <w:p w14:paraId="4681C802">
      <w:pPr>
        <w:bidi w:val="0"/>
        <w:rPr>
          <w:rFonts w:hint="eastAsia"/>
          <w:lang w:val="en-US" w:eastAsia="zh-CN"/>
        </w:rPr>
      </w:pPr>
      <w:r>
        <w:rPr>
          <w:rFonts w:hint="eastAsia"/>
          <w:lang w:val="en-US" w:eastAsia="zh-CN"/>
        </w:rPr>
        <w:t>影响预测因子：等效连续A声级。</w:t>
      </w:r>
    </w:p>
    <w:p w14:paraId="1F196765">
      <w:pPr>
        <w:bidi w:val="0"/>
        <w:rPr>
          <w:rFonts w:hint="eastAsia"/>
          <w:lang w:val="en-US" w:eastAsia="zh-CN"/>
        </w:rPr>
      </w:pPr>
      <w:r>
        <w:rPr>
          <w:rFonts w:hint="eastAsia"/>
          <w:lang w:val="en-US" w:eastAsia="zh-CN"/>
        </w:rPr>
        <w:t>④固体废物</w:t>
      </w:r>
    </w:p>
    <w:p w14:paraId="0587775F">
      <w:pPr>
        <w:bidi w:val="0"/>
        <w:rPr>
          <w:rFonts w:hint="eastAsia"/>
          <w:lang w:val="en-US" w:eastAsia="zh-CN"/>
        </w:rPr>
      </w:pPr>
      <w:r>
        <w:rPr>
          <w:rFonts w:hint="eastAsia"/>
          <w:lang w:val="en-US" w:eastAsia="zh-CN"/>
        </w:rPr>
        <w:t>本项目产生的固废为生产过程中产生的猪粪、病死猪、动物医疗废物及生活垃圾等。</w:t>
      </w:r>
    </w:p>
    <w:p w14:paraId="626C27E0">
      <w:pPr>
        <w:bidi w:val="0"/>
        <w:rPr>
          <w:rFonts w:hint="eastAsia"/>
          <w:lang w:val="en-US" w:eastAsia="zh-CN"/>
        </w:rPr>
      </w:pPr>
      <w:r>
        <w:rPr>
          <w:rFonts w:hint="eastAsia"/>
          <w:lang w:val="en-US" w:eastAsia="zh-CN"/>
        </w:rPr>
        <w:t>⑤土壤环境</w:t>
      </w:r>
    </w:p>
    <w:p w14:paraId="348F2CBA">
      <w:pPr>
        <w:bidi w:val="0"/>
        <w:rPr>
          <w:rFonts w:hint="eastAsia"/>
          <w:lang w:val="en-US" w:eastAsia="zh-CN"/>
        </w:rPr>
      </w:pPr>
      <w:r>
        <w:rPr>
          <w:rFonts w:hint="eastAsia"/>
          <w:lang w:val="en-US" w:eastAsia="zh-CN"/>
        </w:rPr>
        <w:t>本项目的土壤污染主要来自生产过程中生产废水或固体废物泄露导致。</w:t>
      </w:r>
    </w:p>
    <w:p w14:paraId="705E2BB4">
      <w:pPr>
        <w:bidi w:val="0"/>
        <w:rPr>
          <w:rFonts w:hint="eastAsia"/>
          <w:lang w:val="en-US" w:eastAsia="zh-CN"/>
        </w:rPr>
      </w:pPr>
      <w:r>
        <w:rPr>
          <w:rFonts w:hint="eastAsia"/>
          <w:lang w:val="en-US" w:eastAsia="zh-CN"/>
        </w:rPr>
        <w:t>现状评价因子：pH、砷、汞、铅、镉、铬、铜、锌、镍及土壤理化性质；</w:t>
      </w:r>
    </w:p>
    <w:p w14:paraId="45D2E8FF">
      <w:pPr>
        <w:bidi w:val="0"/>
        <w:rPr>
          <w:rFonts w:hint="eastAsia"/>
          <w:lang w:val="en-US" w:eastAsia="zh-CN"/>
        </w:rPr>
      </w:pPr>
      <w:r>
        <w:rPr>
          <w:rFonts w:hint="eastAsia"/>
          <w:lang w:val="en-US" w:eastAsia="zh-CN"/>
        </w:rPr>
        <w:t>影响预测因子：pH。</w:t>
      </w:r>
    </w:p>
    <w:p w14:paraId="16FA0FD4">
      <w:pPr>
        <w:bidi w:val="0"/>
        <w:rPr>
          <w:rFonts w:hint="eastAsia"/>
          <w:lang w:val="en-US" w:eastAsia="zh-CN"/>
        </w:rPr>
      </w:pPr>
      <w:r>
        <w:rPr>
          <w:rFonts w:hint="eastAsia"/>
          <w:lang w:val="en-US" w:eastAsia="zh-CN"/>
        </w:rPr>
        <w:t>⑥生态环境</w:t>
      </w:r>
    </w:p>
    <w:p w14:paraId="559D3B25">
      <w:pPr>
        <w:bidi w:val="0"/>
        <w:rPr>
          <w:rFonts w:hint="eastAsia"/>
          <w:lang w:val="en-US" w:eastAsia="zh-CN"/>
        </w:rPr>
      </w:pPr>
      <w:r>
        <w:rPr>
          <w:rFonts w:hint="eastAsia"/>
          <w:lang w:val="en-US" w:eastAsia="zh-CN"/>
        </w:rPr>
        <w:t>现状评价因子：植被类型、动物、土壤类型、植被覆盖率；</w:t>
      </w:r>
    </w:p>
    <w:p w14:paraId="3F6213CF">
      <w:pPr>
        <w:bidi w:val="0"/>
        <w:rPr>
          <w:rFonts w:hint="eastAsia"/>
          <w:lang w:val="en-US" w:eastAsia="zh-CN"/>
        </w:rPr>
      </w:pPr>
      <w:r>
        <w:rPr>
          <w:rFonts w:hint="eastAsia"/>
          <w:lang w:val="en-US" w:eastAsia="zh-CN"/>
        </w:rPr>
        <w:t>影响预测因子：项目永久占地、植被变化、水土流失。</w:t>
      </w:r>
    </w:p>
    <w:p w14:paraId="5B46B41D">
      <w:pPr>
        <w:pStyle w:val="30"/>
        <w:bidi w:val="0"/>
        <w:rPr>
          <w:rFonts w:hint="eastAsia"/>
          <w:lang w:val="en-US" w:eastAsia="zh-CN"/>
        </w:rPr>
      </w:pPr>
      <w:r>
        <w:rPr>
          <w:rFonts w:hint="eastAsia"/>
          <w:lang w:val="en-US" w:eastAsia="zh-CN"/>
        </w:rPr>
        <w:t>表2.2-3   环境影响评价因子筛选表</w:t>
      </w:r>
    </w:p>
    <w:tbl>
      <w:tblPr>
        <w:tblStyle w:val="29"/>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2"/>
        <w:gridCol w:w="3987"/>
        <w:gridCol w:w="3321"/>
      </w:tblGrid>
      <w:tr w14:paraId="32A17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4DC9FB9A">
            <w:pPr>
              <w:pStyle w:val="19"/>
              <w:bidi w:val="0"/>
              <w:jc w:val="center"/>
              <w:rPr>
                <w:rFonts w:hint="eastAsia"/>
                <w:lang w:val="en-US" w:eastAsia="zh-CN"/>
              </w:rPr>
            </w:pPr>
            <w:r>
              <w:rPr>
                <w:rFonts w:hint="eastAsia"/>
                <w:lang w:val="en-US" w:eastAsia="zh-CN"/>
              </w:rPr>
              <w:t>环境因素</w:t>
            </w:r>
          </w:p>
        </w:tc>
        <w:tc>
          <w:tcPr>
            <w:tcW w:w="2367" w:type="pct"/>
            <w:noWrap w:val="0"/>
            <w:tcMar>
              <w:top w:w="28" w:type="dxa"/>
              <w:left w:w="57" w:type="dxa"/>
              <w:bottom w:w="28" w:type="dxa"/>
              <w:right w:w="57" w:type="dxa"/>
            </w:tcMar>
            <w:vAlign w:val="center"/>
          </w:tcPr>
          <w:p w14:paraId="08B4250B">
            <w:pPr>
              <w:pStyle w:val="19"/>
              <w:bidi w:val="0"/>
              <w:jc w:val="center"/>
              <w:rPr>
                <w:rFonts w:hint="eastAsia"/>
                <w:lang w:val="en-US" w:eastAsia="zh-CN"/>
              </w:rPr>
            </w:pPr>
            <w:r>
              <w:rPr>
                <w:rFonts w:hint="eastAsia"/>
                <w:lang w:val="en-US" w:eastAsia="zh-CN"/>
              </w:rPr>
              <w:t>现状评价因子</w:t>
            </w:r>
          </w:p>
        </w:tc>
        <w:tc>
          <w:tcPr>
            <w:tcW w:w="1971" w:type="pct"/>
            <w:noWrap w:val="0"/>
            <w:tcMar>
              <w:top w:w="28" w:type="dxa"/>
              <w:left w:w="57" w:type="dxa"/>
              <w:bottom w:w="28" w:type="dxa"/>
              <w:right w:w="57" w:type="dxa"/>
            </w:tcMar>
            <w:vAlign w:val="center"/>
          </w:tcPr>
          <w:p w14:paraId="29BD462B">
            <w:pPr>
              <w:pStyle w:val="19"/>
              <w:bidi w:val="0"/>
              <w:jc w:val="center"/>
              <w:rPr>
                <w:rFonts w:hint="eastAsia"/>
                <w:lang w:val="en-US" w:eastAsia="zh-CN"/>
              </w:rPr>
            </w:pPr>
            <w:r>
              <w:rPr>
                <w:rFonts w:hint="eastAsia"/>
                <w:lang w:val="en-US" w:eastAsia="zh-CN"/>
              </w:rPr>
              <w:t>影响评价因子</w:t>
            </w:r>
          </w:p>
        </w:tc>
      </w:tr>
      <w:tr w14:paraId="1F3BF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4AA74E4B">
            <w:pPr>
              <w:pStyle w:val="19"/>
              <w:bidi w:val="0"/>
              <w:jc w:val="center"/>
              <w:rPr>
                <w:rFonts w:hint="eastAsia"/>
                <w:lang w:val="en-US" w:eastAsia="zh-CN"/>
              </w:rPr>
            </w:pPr>
            <w:r>
              <w:rPr>
                <w:rFonts w:hint="eastAsia"/>
                <w:lang w:val="en-US" w:eastAsia="zh-CN"/>
              </w:rPr>
              <w:t>环境空气</w:t>
            </w:r>
          </w:p>
        </w:tc>
        <w:tc>
          <w:tcPr>
            <w:tcW w:w="2367" w:type="pct"/>
            <w:noWrap w:val="0"/>
            <w:tcMar>
              <w:top w:w="28" w:type="dxa"/>
              <w:left w:w="57" w:type="dxa"/>
              <w:bottom w:w="28" w:type="dxa"/>
              <w:right w:w="57" w:type="dxa"/>
            </w:tcMar>
            <w:vAlign w:val="center"/>
          </w:tcPr>
          <w:p w14:paraId="0D2CB8E6">
            <w:pPr>
              <w:pStyle w:val="19"/>
              <w:bidi w:val="0"/>
              <w:jc w:val="center"/>
              <w:rPr>
                <w:rFonts w:hint="eastAsia"/>
                <w:lang w:val="en-US" w:eastAsia="zh-CN"/>
              </w:rPr>
            </w:pPr>
            <w:r>
              <w:rPr>
                <w:rFonts w:hint="eastAsia"/>
                <w:lang w:val="en-US" w:eastAsia="zh-CN"/>
              </w:rPr>
              <w:t>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、CO、O</w:t>
            </w:r>
            <w:r>
              <w:rPr>
                <w:rFonts w:hint="eastAsia"/>
                <w:vertAlign w:val="subscript"/>
                <w:lang w:val="en-US" w:eastAsia="zh-CN"/>
              </w:rPr>
              <w:t>3</w:t>
            </w:r>
            <w:r>
              <w:rPr>
                <w:rFonts w:hint="eastAsia"/>
                <w:lang w:val="en-US" w:eastAsia="zh-CN"/>
              </w:rPr>
              <w:t>、氨、硫化氢；</w:t>
            </w:r>
          </w:p>
        </w:tc>
        <w:tc>
          <w:tcPr>
            <w:tcW w:w="1971" w:type="pct"/>
            <w:noWrap w:val="0"/>
            <w:tcMar>
              <w:top w:w="28" w:type="dxa"/>
              <w:left w:w="57" w:type="dxa"/>
              <w:bottom w:w="28" w:type="dxa"/>
              <w:right w:w="57" w:type="dxa"/>
            </w:tcMar>
            <w:vAlign w:val="center"/>
          </w:tcPr>
          <w:p w14:paraId="69D6368D">
            <w:pPr>
              <w:pStyle w:val="19"/>
              <w:bidi w:val="0"/>
              <w:jc w:val="center"/>
              <w:rPr>
                <w:rFonts w:hint="default"/>
                <w:lang w:val="en-US" w:eastAsia="zh-CN"/>
              </w:rPr>
            </w:pPr>
            <w:r>
              <w:rPr>
                <w:rFonts w:hint="eastAsia"/>
                <w:lang w:val="en-US" w:eastAsia="zh-CN"/>
              </w:rPr>
              <w:t>氨、硫化氢、臭气浓度、颗粒物、SO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p>
        </w:tc>
      </w:tr>
      <w:tr w14:paraId="76B20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2B003D5C">
            <w:pPr>
              <w:pStyle w:val="19"/>
              <w:bidi w:val="0"/>
              <w:jc w:val="center"/>
              <w:rPr>
                <w:rFonts w:hint="eastAsia"/>
                <w:lang w:val="en-US" w:eastAsia="zh-CN"/>
              </w:rPr>
            </w:pPr>
            <w:r>
              <w:rPr>
                <w:rFonts w:hint="eastAsia"/>
                <w:lang w:val="en-US" w:eastAsia="zh-CN"/>
              </w:rPr>
              <w:t>地下水</w:t>
            </w:r>
          </w:p>
        </w:tc>
        <w:tc>
          <w:tcPr>
            <w:tcW w:w="2367" w:type="pct"/>
            <w:noWrap w:val="0"/>
            <w:tcMar>
              <w:top w:w="28" w:type="dxa"/>
              <w:left w:w="57" w:type="dxa"/>
              <w:bottom w:w="28" w:type="dxa"/>
              <w:right w:w="57" w:type="dxa"/>
            </w:tcMar>
            <w:vAlign w:val="center"/>
          </w:tcPr>
          <w:p w14:paraId="00F34C0B">
            <w:pPr>
              <w:pStyle w:val="19"/>
              <w:bidi w:val="0"/>
              <w:jc w:val="center"/>
              <w:rPr>
                <w:rFonts w:hint="eastAsia"/>
                <w:lang w:val="en-US" w:eastAsia="zh-CN"/>
              </w:rPr>
            </w:pPr>
            <w:r>
              <w:rPr>
                <w:rFonts w:hint="eastAsia"/>
                <w:lang w:val="en-US" w:eastAsia="zh-CN"/>
              </w:rPr>
              <w:t>八大离子：K</w:t>
            </w:r>
            <w:r>
              <w:rPr>
                <w:rFonts w:hint="eastAsia"/>
                <w:vertAlign w:val="superscript"/>
                <w:lang w:val="en-US" w:eastAsia="zh-CN"/>
              </w:rPr>
              <w:t>+</w:t>
            </w:r>
            <w:r>
              <w:rPr>
                <w:rFonts w:hint="eastAsia"/>
                <w:lang w:val="en-US" w:eastAsia="zh-CN"/>
              </w:rPr>
              <w:t>、Na</w:t>
            </w:r>
            <w:r>
              <w:rPr>
                <w:rFonts w:hint="eastAsia"/>
                <w:vertAlign w:val="superscript"/>
                <w:lang w:val="en-US" w:eastAsia="zh-CN"/>
              </w:rPr>
              <w:t>+</w:t>
            </w:r>
            <w:r>
              <w:rPr>
                <w:rFonts w:hint="eastAsia"/>
                <w:lang w:val="en-US" w:eastAsia="zh-CN"/>
              </w:rPr>
              <w:t>、Ca</w:t>
            </w:r>
            <w:r>
              <w:rPr>
                <w:rFonts w:hint="eastAsia"/>
                <w:vertAlign w:val="superscript"/>
                <w:lang w:val="en-US" w:eastAsia="zh-CN"/>
              </w:rPr>
              <w:t>2+</w:t>
            </w:r>
            <w:r>
              <w:rPr>
                <w:rFonts w:hint="eastAsia"/>
                <w:lang w:val="en-US" w:eastAsia="zh-CN"/>
              </w:rPr>
              <w:t>、Mg</w:t>
            </w:r>
            <w:r>
              <w:rPr>
                <w:rFonts w:hint="eastAsia"/>
                <w:vertAlign w:val="superscript"/>
                <w:lang w:val="en-US" w:eastAsia="zh-CN"/>
              </w:rPr>
              <w:t>2+</w:t>
            </w:r>
            <w:r>
              <w:rPr>
                <w:rFonts w:hint="eastAsia"/>
                <w:lang w:val="en-US" w:eastAsia="zh-CN"/>
              </w:rPr>
              <w:t>、CO</w:t>
            </w:r>
            <w:r>
              <w:rPr>
                <w:rFonts w:hint="eastAsia"/>
                <w:vertAlign w:val="subscript"/>
                <w:lang w:val="en-US" w:eastAsia="zh-CN"/>
              </w:rPr>
              <w:t>3</w:t>
            </w:r>
            <w:r>
              <w:rPr>
                <w:rFonts w:hint="eastAsia"/>
                <w:vertAlign w:val="superscript"/>
                <w:lang w:val="en-US" w:eastAsia="zh-CN"/>
              </w:rPr>
              <w:t>2-</w:t>
            </w:r>
            <w:r>
              <w:rPr>
                <w:rFonts w:hint="eastAsia"/>
                <w:lang w:val="en-US" w:eastAsia="zh-CN"/>
              </w:rPr>
              <w:t>、HCO</w:t>
            </w:r>
            <w:r>
              <w:rPr>
                <w:rFonts w:hint="eastAsia"/>
                <w:vertAlign w:val="superscript"/>
                <w:lang w:val="en-US" w:eastAsia="zh-CN"/>
              </w:rPr>
              <w:t>-</w:t>
            </w:r>
            <w:r>
              <w:rPr>
                <w:rFonts w:hint="eastAsia"/>
                <w:lang w:val="en-US" w:eastAsia="zh-CN"/>
              </w:rPr>
              <w:t>、Cl</w:t>
            </w:r>
            <w:r>
              <w:rPr>
                <w:rFonts w:hint="eastAsia"/>
                <w:vertAlign w:val="superscript"/>
                <w:lang w:val="en-US" w:eastAsia="zh-CN"/>
              </w:rPr>
              <w:t>-</w:t>
            </w:r>
            <w:r>
              <w:rPr>
                <w:rFonts w:hint="eastAsia"/>
                <w:lang w:val="en-US" w:eastAsia="zh-CN"/>
              </w:rPr>
              <w:t>、SO</w:t>
            </w:r>
            <w:r>
              <w:rPr>
                <w:rFonts w:hint="eastAsia"/>
                <w:vertAlign w:val="subscript"/>
                <w:lang w:val="en-US" w:eastAsia="zh-CN"/>
              </w:rPr>
              <w:t>4</w:t>
            </w:r>
            <w:r>
              <w:rPr>
                <w:rFonts w:hint="eastAsia"/>
                <w:vertAlign w:val="superscript"/>
                <w:lang w:val="en-US" w:eastAsia="zh-CN"/>
              </w:rPr>
              <w:t>2-</w:t>
            </w:r>
          </w:p>
          <w:p w14:paraId="148B1604">
            <w:pPr>
              <w:pStyle w:val="19"/>
              <w:bidi w:val="0"/>
              <w:jc w:val="center"/>
              <w:rPr>
                <w:rFonts w:hint="eastAsia"/>
                <w:lang w:val="en-US" w:eastAsia="zh-CN"/>
              </w:rPr>
            </w:pPr>
            <w:r>
              <w:rPr>
                <w:rFonts w:hint="eastAsia"/>
                <w:lang w:val="en-US" w:eastAsia="zh-CN"/>
              </w:rPr>
              <w:t>基本因子及特征因子：pH、氨氮、硝酸盐、亚硝酸盐、挥发性酚类、氰化物、砷、汞、铬（六价）、总硬度、铅、氟、镉、铁、锰、溶解性总固体、高锰酸盐指数、硫酸盐、氯化物、总大肠菌群、细菌总数。</w:t>
            </w:r>
          </w:p>
        </w:tc>
        <w:tc>
          <w:tcPr>
            <w:tcW w:w="1971" w:type="pct"/>
            <w:noWrap w:val="0"/>
            <w:tcMar>
              <w:top w:w="28" w:type="dxa"/>
              <w:left w:w="57" w:type="dxa"/>
              <w:bottom w:w="28" w:type="dxa"/>
              <w:right w:w="57" w:type="dxa"/>
            </w:tcMar>
            <w:vAlign w:val="center"/>
          </w:tcPr>
          <w:p w14:paraId="26E45BA5">
            <w:pPr>
              <w:pStyle w:val="19"/>
              <w:bidi w:val="0"/>
              <w:jc w:val="center"/>
              <w:rPr>
                <w:rFonts w:hint="eastAsia"/>
                <w:lang w:val="en-US" w:eastAsia="zh-CN"/>
              </w:rPr>
            </w:pPr>
            <w:r>
              <w:rPr>
                <w:rFonts w:hint="eastAsia"/>
                <w:lang w:val="en-US" w:eastAsia="zh-CN"/>
              </w:rPr>
              <w:t>COD、NH</w:t>
            </w:r>
            <w:r>
              <w:rPr>
                <w:rFonts w:hint="eastAsia"/>
                <w:vertAlign w:val="subscript"/>
                <w:lang w:val="en-US" w:eastAsia="zh-CN"/>
              </w:rPr>
              <w:t>3</w:t>
            </w:r>
            <w:r>
              <w:rPr>
                <w:rFonts w:hint="eastAsia"/>
                <w:lang w:val="en-US" w:eastAsia="zh-CN"/>
              </w:rPr>
              <w:t>-N</w:t>
            </w:r>
          </w:p>
        </w:tc>
      </w:tr>
      <w:tr w14:paraId="5297D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2F0529FC">
            <w:pPr>
              <w:pStyle w:val="19"/>
              <w:bidi w:val="0"/>
              <w:jc w:val="center"/>
              <w:rPr>
                <w:rFonts w:hint="eastAsia"/>
                <w:lang w:val="en-US" w:eastAsia="zh-CN"/>
              </w:rPr>
            </w:pPr>
            <w:r>
              <w:rPr>
                <w:rFonts w:hint="eastAsia"/>
                <w:lang w:val="en-US" w:eastAsia="zh-CN"/>
              </w:rPr>
              <w:t>噪声</w:t>
            </w:r>
          </w:p>
        </w:tc>
        <w:tc>
          <w:tcPr>
            <w:tcW w:w="2367" w:type="pct"/>
            <w:noWrap w:val="0"/>
            <w:tcMar>
              <w:top w:w="28" w:type="dxa"/>
              <w:left w:w="57" w:type="dxa"/>
              <w:bottom w:w="28" w:type="dxa"/>
              <w:right w:w="57" w:type="dxa"/>
            </w:tcMar>
            <w:vAlign w:val="center"/>
          </w:tcPr>
          <w:p w14:paraId="793AB4AA">
            <w:pPr>
              <w:pStyle w:val="19"/>
              <w:bidi w:val="0"/>
              <w:jc w:val="center"/>
              <w:rPr>
                <w:rFonts w:hint="eastAsia"/>
                <w:lang w:val="en-US" w:eastAsia="zh-CN"/>
              </w:rPr>
            </w:pPr>
            <w:r>
              <w:rPr>
                <w:rFonts w:hint="eastAsia"/>
                <w:lang w:val="en-US" w:eastAsia="zh-CN"/>
              </w:rPr>
              <w:t>等效连续A声级</w:t>
            </w:r>
          </w:p>
        </w:tc>
        <w:tc>
          <w:tcPr>
            <w:tcW w:w="1971" w:type="pct"/>
            <w:noWrap w:val="0"/>
            <w:tcMar>
              <w:top w:w="28" w:type="dxa"/>
              <w:left w:w="57" w:type="dxa"/>
              <w:bottom w:w="28" w:type="dxa"/>
              <w:right w:w="57" w:type="dxa"/>
            </w:tcMar>
            <w:vAlign w:val="center"/>
          </w:tcPr>
          <w:p w14:paraId="411ABD07">
            <w:pPr>
              <w:pStyle w:val="19"/>
              <w:bidi w:val="0"/>
              <w:jc w:val="center"/>
              <w:rPr>
                <w:rFonts w:hint="eastAsia"/>
                <w:lang w:val="en-US" w:eastAsia="zh-CN"/>
              </w:rPr>
            </w:pPr>
            <w:r>
              <w:rPr>
                <w:rFonts w:hint="eastAsia"/>
                <w:lang w:val="en-US" w:eastAsia="zh-CN"/>
              </w:rPr>
              <w:t>厂界等效连续A声级</w:t>
            </w:r>
          </w:p>
        </w:tc>
      </w:tr>
      <w:tr w14:paraId="75D58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006C18A6">
            <w:pPr>
              <w:pStyle w:val="19"/>
              <w:bidi w:val="0"/>
              <w:jc w:val="center"/>
              <w:rPr>
                <w:rFonts w:hint="eastAsia"/>
                <w:lang w:val="en-US" w:eastAsia="zh-CN"/>
              </w:rPr>
            </w:pPr>
            <w:r>
              <w:rPr>
                <w:rFonts w:hint="eastAsia"/>
                <w:lang w:val="en-US" w:eastAsia="zh-CN"/>
              </w:rPr>
              <w:t>固体废物</w:t>
            </w:r>
          </w:p>
        </w:tc>
        <w:tc>
          <w:tcPr>
            <w:tcW w:w="2367" w:type="pct"/>
            <w:noWrap w:val="0"/>
            <w:tcMar>
              <w:top w:w="28" w:type="dxa"/>
              <w:left w:w="57" w:type="dxa"/>
              <w:bottom w:w="28" w:type="dxa"/>
              <w:right w:w="57" w:type="dxa"/>
            </w:tcMar>
            <w:vAlign w:val="center"/>
          </w:tcPr>
          <w:p w14:paraId="3607554F">
            <w:pPr>
              <w:pStyle w:val="19"/>
              <w:bidi w:val="0"/>
              <w:jc w:val="center"/>
              <w:rPr>
                <w:rFonts w:hint="eastAsia"/>
                <w:lang w:val="en-US" w:eastAsia="zh-CN"/>
              </w:rPr>
            </w:pPr>
            <w:r>
              <w:rPr>
                <w:rFonts w:hint="eastAsia"/>
                <w:lang w:val="en-US" w:eastAsia="zh-CN"/>
              </w:rPr>
              <w:t>——</w:t>
            </w:r>
          </w:p>
        </w:tc>
        <w:tc>
          <w:tcPr>
            <w:tcW w:w="1971" w:type="pct"/>
            <w:noWrap w:val="0"/>
            <w:tcMar>
              <w:top w:w="28" w:type="dxa"/>
              <w:left w:w="57" w:type="dxa"/>
              <w:bottom w:w="28" w:type="dxa"/>
              <w:right w:w="57" w:type="dxa"/>
            </w:tcMar>
            <w:vAlign w:val="center"/>
          </w:tcPr>
          <w:p w14:paraId="7B9ED2C9">
            <w:pPr>
              <w:pStyle w:val="19"/>
              <w:bidi w:val="0"/>
              <w:jc w:val="center"/>
              <w:rPr>
                <w:rFonts w:hint="eastAsia"/>
                <w:lang w:val="en-US" w:eastAsia="zh-CN"/>
              </w:rPr>
            </w:pPr>
            <w:r>
              <w:rPr>
                <w:rFonts w:hint="eastAsia"/>
                <w:lang w:val="en-US" w:eastAsia="zh-CN"/>
              </w:rPr>
              <w:t>猪粪、病死猪、防疫、生活垃圾</w:t>
            </w:r>
          </w:p>
        </w:tc>
      </w:tr>
      <w:tr w14:paraId="2FE94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18837401">
            <w:pPr>
              <w:pStyle w:val="19"/>
              <w:bidi w:val="0"/>
              <w:jc w:val="center"/>
              <w:rPr>
                <w:rFonts w:hint="eastAsia"/>
                <w:lang w:val="en-US" w:eastAsia="zh-CN"/>
              </w:rPr>
            </w:pPr>
            <w:r>
              <w:rPr>
                <w:rFonts w:hint="eastAsia"/>
                <w:lang w:val="en-US" w:eastAsia="zh-CN"/>
              </w:rPr>
              <w:t>土壤</w:t>
            </w:r>
          </w:p>
        </w:tc>
        <w:tc>
          <w:tcPr>
            <w:tcW w:w="2367" w:type="pct"/>
            <w:noWrap w:val="0"/>
            <w:tcMar>
              <w:top w:w="28" w:type="dxa"/>
              <w:left w:w="57" w:type="dxa"/>
              <w:bottom w:w="28" w:type="dxa"/>
              <w:right w:w="57" w:type="dxa"/>
            </w:tcMar>
            <w:vAlign w:val="center"/>
          </w:tcPr>
          <w:p w14:paraId="25BEE7C8">
            <w:pPr>
              <w:pStyle w:val="19"/>
              <w:bidi w:val="0"/>
              <w:jc w:val="center"/>
              <w:rPr>
                <w:rFonts w:hint="default"/>
                <w:lang w:val="en-US" w:eastAsia="zh-CN"/>
              </w:rPr>
            </w:pPr>
            <w:r>
              <w:rPr>
                <w:rFonts w:hint="eastAsia"/>
                <w:lang w:val="en-US" w:eastAsia="zh-CN"/>
              </w:rPr>
              <w:t>pH、镉、汞、砷、铜、铅、铬、锌、镍及土壤理化性质</w:t>
            </w:r>
          </w:p>
        </w:tc>
        <w:tc>
          <w:tcPr>
            <w:tcW w:w="1971" w:type="pct"/>
            <w:noWrap w:val="0"/>
            <w:tcMar>
              <w:top w:w="28" w:type="dxa"/>
              <w:left w:w="57" w:type="dxa"/>
              <w:bottom w:w="28" w:type="dxa"/>
              <w:right w:w="57" w:type="dxa"/>
            </w:tcMar>
            <w:vAlign w:val="center"/>
          </w:tcPr>
          <w:p w14:paraId="65786CA6">
            <w:pPr>
              <w:pStyle w:val="19"/>
              <w:bidi w:val="0"/>
              <w:jc w:val="center"/>
              <w:rPr>
                <w:rFonts w:hint="default"/>
                <w:lang w:val="en-US" w:eastAsia="zh-CN"/>
              </w:rPr>
            </w:pPr>
            <w:r>
              <w:rPr>
                <w:rFonts w:hint="eastAsia"/>
                <w:lang w:val="en-US" w:eastAsia="zh-CN"/>
              </w:rPr>
              <w:t>pH</w:t>
            </w:r>
          </w:p>
        </w:tc>
      </w:tr>
      <w:tr w14:paraId="504A9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0" w:type="pct"/>
            <w:noWrap w:val="0"/>
            <w:tcMar>
              <w:top w:w="28" w:type="dxa"/>
              <w:left w:w="57" w:type="dxa"/>
              <w:bottom w:w="28" w:type="dxa"/>
              <w:right w:w="57" w:type="dxa"/>
            </w:tcMar>
            <w:vAlign w:val="center"/>
          </w:tcPr>
          <w:p w14:paraId="402648E7">
            <w:pPr>
              <w:pStyle w:val="19"/>
              <w:bidi w:val="0"/>
              <w:jc w:val="center"/>
              <w:rPr>
                <w:rFonts w:hint="eastAsia"/>
                <w:lang w:val="en-US" w:eastAsia="zh-CN"/>
              </w:rPr>
            </w:pPr>
            <w:r>
              <w:rPr>
                <w:rFonts w:hint="eastAsia"/>
                <w:lang w:val="en-US" w:eastAsia="zh-CN"/>
              </w:rPr>
              <w:t>生态环境</w:t>
            </w:r>
          </w:p>
        </w:tc>
        <w:tc>
          <w:tcPr>
            <w:tcW w:w="2367" w:type="pct"/>
            <w:noWrap w:val="0"/>
            <w:tcMar>
              <w:top w:w="28" w:type="dxa"/>
              <w:left w:w="57" w:type="dxa"/>
              <w:bottom w:w="28" w:type="dxa"/>
              <w:right w:w="57" w:type="dxa"/>
            </w:tcMar>
            <w:vAlign w:val="center"/>
          </w:tcPr>
          <w:p w14:paraId="6AC4D263">
            <w:pPr>
              <w:pStyle w:val="19"/>
              <w:bidi w:val="0"/>
              <w:jc w:val="center"/>
              <w:rPr>
                <w:rFonts w:hint="eastAsia"/>
                <w:lang w:val="en-US" w:eastAsia="zh-CN"/>
              </w:rPr>
            </w:pPr>
            <w:r>
              <w:rPr>
                <w:rFonts w:hint="eastAsia"/>
                <w:lang w:val="en-US" w:eastAsia="zh-CN"/>
              </w:rPr>
              <w:t>植被类型、动物、土壤类型、植被覆盖率</w:t>
            </w:r>
          </w:p>
        </w:tc>
        <w:tc>
          <w:tcPr>
            <w:tcW w:w="1971" w:type="pct"/>
            <w:noWrap w:val="0"/>
            <w:tcMar>
              <w:top w:w="28" w:type="dxa"/>
              <w:left w:w="57" w:type="dxa"/>
              <w:bottom w:w="28" w:type="dxa"/>
              <w:right w:w="57" w:type="dxa"/>
            </w:tcMar>
            <w:vAlign w:val="center"/>
          </w:tcPr>
          <w:p w14:paraId="2D067CAE">
            <w:pPr>
              <w:pStyle w:val="19"/>
              <w:bidi w:val="0"/>
              <w:jc w:val="center"/>
              <w:rPr>
                <w:rFonts w:hint="eastAsia"/>
                <w:lang w:val="en-US" w:eastAsia="zh-CN"/>
              </w:rPr>
            </w:pPr>
            <w:r>
              <w:rPr>
                <w:rFonts w:hint="eastAsia"/>
                <w:lang w:val="en-US" w:eastAsia="zh-CN"/>
              </w:rPr>
              <w:t>项目占地、植被变化、水土流失</w:t>
            </w:r>
          </w:p>
        </w:tc>
      </w:tr>
    </w:tbl>
    <w:p w14:paraId="4FC3E4D2">
      <w:pPr>
        <w:pStyle w:val="27"/>
        <w:bidi w:val="0"/>
        <w:rPr>
          <w:rFonts w:hint="default"/>
          <w:lang w:val="en-US" w:eastAsia="zh-CN"/>
        </w:rPr>
      </w:pPr>
      <w:r>
        <w:rPr>
          <w:rFonts w:hint="eastAsia"/>
          <w:lang w:val="en-US" w:eastAsia="zh-CN"/>
        </w:rPr>
        <w:t>评价标准</w:t>
      </w:r>
    </w:p>
    <w:p w14:paraId="1163A365">
      <w:pPr>
        <w:pStyle w:val="28"/>
        <w:bidi w:val="0"/>
        <w:rPr>
          <w:rFonts w:hint="default"/>
          <w:lang w:val="en-US" w:eastAsia="zh-CN"/>
        </w:rPr>
      </w:pPr>
      <w:r>
        <w:rPr>
          <w:rFonts w:hint="eastAsia"/>
          <w:lang w:val="en-US" w:eastAsia="zh-CN"/>
        </w:rPr>
        <w:t>环境质量标准</w:t>
      </w:r>
    </w:p>
    <w:p w14:paraId="6B99D714">
      <w:pPr>
        <w:bidi w:val="0"/>
      </w:pPr>
      <w:r>
        <w:rPr>
          <w:rFonts w:hint="eastAsia"/>
        </w:rPr>
        <w:t>（</w:t>
      </w:r>
      <w:r>
        <w:t>1</w:t>
      </w:r>
      <w:r>
        <w:rPr>
          <w:rFonts w:hint="eastAsia"/>
        </w:rPr>
        <w:t>）环境空气质量标准</w:t>
      </w:r>
    </w:p>
    <w:p w14:paraId="61FB8803">
      <w:pPr>
        <w:bidi w:val="0"/>
      </w:pPr>
      <w:r>
        <w:rPr>
          <w:rFonts w:hint="eastAsia"/>
          <w:lang w:val="en-US" w:eastAsia="zh-CN"/>
        </w:rPr>
        <w:t>本</w:t>
      </w:r>
      <w:r>
        <w:rPr>
          <w:rFonts w:hint="eastAsia"/>
        </w:rPr>
        <w:t>项目位于环境空气质量功能二类区，</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w:t>
      </w:r>
      <w:r>
        <w:t>CO</w:t>
      </w:r>
      <w:r>
        <w:rPr>
          <w:rFonts w:hint="eastAsia"/>
        </w:rPr>
        <w:t>、</w:t>
      </w:r>
      <w:r>
        <w:t>O</w:t>
      </w:r>
      <w:r>
        <w:rPr>
          <w:vertAlign w:val="subscript"/>
        </w:rPr>
        <w:t>3</w:t>
      </w:r>
      <w:r>
        <w:rPr>
          <w:rFonts w:hint="eastAsia"/>
        </w:rPr>
        <w:t>执行《环境空气质量标准》（</w:t>
      </w:r>
      <w:r>
        <w:t>GB3095-2012</w:t>
      </w:r>
      <w:r>
        <w:rPr>
          <w:rFonts w:hint="eastAsia"/>
        </w:rPr>
        <w:t>）中二级标准，</w:t>
      </w:r>
      <w:r>
        <w:t>NH</w:t>
      </w:r>
      <w:r>
        <w:rPr>
          <w:vertAlign w:val="subscript"/>
        </w:rPr>
        <w:t>3</w:t>
      </w:r>
      <w:r>
        <w:rPr>
          <w:rFonts w:hint="eastAsia"/>
        </w:rPr>
        <w:t>、</w:t>
      </w:r>
      <w:r>
        <w:t>H</w:t>
      </w:r>
      <w:r>
        <w:rPr>
          <w:vertAlign w:val="subscript"/>
        </w:rPr>
        <w:t>2</w:t>
      </w:r>
      <w:r>
        <w:t>S</w:t>
      </w:r>
      <w:r>
        <w:rPr>
          <w:rFonts w:hint="eastAsia"/>
        </w:rPr>
        <w:t>特征污染物执行《环境影响评价技术导则大气环境》（</w:t>
      </w:r>
      <w:r>
        <w:t>HJ2.2-2018</w:t>
      </w:r>
      <w:r>
        <w:rPr>
          <w:rFonts w:hint="eastAsia"/>
        </w:rPr>
        <w:t>）附录</w:t>
      </w:r>
      <w:r>
        <w:t>D</w:t>
      </w:r>
      <w:r>
        <w:rPr>
          <w:rFonts w:hint="eastAsia"/>
          <w:lang w:val="en-US" w:eastAsia="zh-CN"/>
        </w:rPr>
        <w:t>中</w:t>
      </w:r>
      <w:r>
        <w:rPr>
          <w:rFonts w:hint="eastAsia"/>
        </w:rPr>
        <w:t>氨和硫化氢的</w:t>
      </w:r>
      <w:r>
        <w:t>1h</w:t>
      </w:r>
      <w:r>
        <w:rPr>
          <w:rFonts w:hint="eastAsia"/>
        </w:rPr>
        <w:t>浓度限值，</w:t>
      </w:r>
      <w:r>
        <w:rPr>
          <w:rFonts w:hint="eastAsia"/>
          <w:lang w:val="en-US" w:eastAsia="zh-CN"/>
        </w:rPr>
        <w:t>臭气浓度执行《</w:t>
      </w:r>
      <w:r>
        <w:rPr>
          <w:rFonts w:hint="default"/>
          <w:lang w:val="en-US" w:eastAsia="zh-CN"/>
        </w:rPr>
        <w:t>畜禽养殖产地环境评价规范</w:t>
      </w:r>
      <w:r>
        <w:rPr>
          <w:rFonts w:hint="eastAsia"/>
          <w:lang w:val="en-US" w:eastAsia="zh-CN"/>
        </w:rPr>
        <w:t>》（</w:t>
      </w:r>
      <w:r>
        <w:rPr>
          <w:rFonts w:hint="default"/>
          <w:lang w:val="en-US" w:eastAsia="zh-CN"/>
        </w:rPr>
        <w:t>HJ568-2010</w:t>
      </w:r>
      <w:r>
        <w:rPr>
          <w:rFonts w:hint="eastAsia"/>
          <w:lang w:val="en-US" w:eastAsia="zh-CN"/>
        </w:rPr>
        <w:t>）</w:t>
      </w:r>
      <w:r>
        <w:rPr>
          <w:rFonts w:hint="default"/>
          <w:lang w:val="en-US" w:eastAsia="zh-CN"/>
        </w:rPr>
        <w:t>表5畜禽养殖场和养殖小区环境空气质量评价指标限值</w:t>
      </w:r>
      <w:r>
        <w:rPr>
          <w:rFonts w:hint="eastAsia"/>
          <w:lang w:val="en-US" w:eastAsia="zh-CN"/>
        </w:rPr>
        <w:t>，</w:t>
      </w:r>
      <w:r>
        <w:rPr>
          <w:rFonts w:hint="eastAsia"/>
        </w:rPr>
        <w:t>详见表</w:t>
      </w:r>
      <w:r>
        <w:t>2.</w:t>
      </w:r>
      <w:r>
        <w:rPr>
          <w:rFonts w:hint="eastAsia"/>
          <w:lang w:val="en-US" w:eastAsia="zh-CN"/>
        </w:rPr>
        <w:t>2</w:t>
      </w:r>
      <w:r>
        <w:t>-</w:t>
      </w:r>
      <w:r>
        <w:rPr>
          <w:rFonts w:hint="eastAsia"/>
          <w:lang w:val="en-US" w:eastAsia="zh-CN"/>
        </w:rPr>
        <w:t>4</w:t>
      </w:r>
      <w:r>
        <w:rPr>
          <w:rFonts w:hint="eastAsia"/>
        </w:rPr>
        <w:t>。</w:t>
      </w:r>
    </w:p>
    <w:p w14:paraId="3066A4A0">
      <w:pPr>
        <w:pStyle w:val="30"/>
        <w:bidi w:val="0"/>
      </w:pPr>
      <w:r>
        <w:rPr>
          <w:rFonts w:hint="eastAsia"/>
        </w:rPr>
        <w:t>表</w:t>
      </w:r>
      <w:r>
        <w:t>2.</w:t>
      </w:r>
      <w:r>
        <w:rPr>
          <w:rFonts w:hint="eastAsia"/>
          <w:lang w:val="en-US" w:eastAsia="zh-CN"/>
        </w:rPr>
        <w:t>2</w:t>
      </w:r>
      <w:r>
        <w:t>-</w:t>
      </w:r>
      <w:r>
        <w:rPr>
          <w:rFonts w:hint="eastAsia"/>
          <w:lang w:val="en-US" w:eastAsia="zh-CN"/>
        </w:rPr>
        <w:t>4</w:t>
      </w:r>
      <w:r>
        <w:t xml:space="preserve"> </w:t>
      </w:r>
      <w:r>
        <w:rPr>
          <w:rFonts w:hint="eastAsia"/>
          <w:lang w:val="en-US" w:eastAsia="zh-CN"/>
        </w:rPr>
        <w:t xml:space="preserve">  </w:t>
      </w:r>
      <w:r>
        <w:rPr>
          <w:rFonts w:hint="eastAsia"/>
        </w:rPr>
        <w:t>环境空气质量标准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095"/>
        <w:gridCol w:w="2138"/>
        <w:gridCol w:w="2207"/>
      </w:tblGrid>
      <w:tr w14:paraId="4F57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noWrap w:val="0"/>
            <w:tcMar>
              <w:top w:w="28" w:type="dxa"/>
              <w:left w:w="57" w:type="dxa"/>
              <w:bottom w:w="28" w:type="dxa"/>
              <w:right w:w="57" w:type="dxa"/>
            </w:tcMar>
            <w:vAlign w:val="center"/>
          </w:tcPr>
          <w:p w14:paraId="17433852">
            <w:pPr>
              <w:pStyle w:val="19"/>
              <w:bidi w:val="0"/>
            </w:pPr>
            <w:r>
              <w:rPr>
                <w:rFonts w:hint="eastAsia"/>
              </w:rPr>
              <w:t>标准</w:t>
            </w:r>
          </w:p>
        </w:tc>
        <w:tc>
          <w:tcPr>
            <w:tcW w:w="650" w:type="pct"/>
            <w:noWrap w:val="0"/>
            <w:tcMar>
              <w:top w:w="28" w:type="dxa"/>
              <w:left w:w="57" w:type="dxa"/>
              <w:bottom w:w="28" w:type="dxa"/>
              <w:right w:w="57" w:type="dxa"/>
            </w:tcMar>
            <w:vAlign w:val="center"/>
          </w:tcPr>
          <w:p w14:paraId="2D9FAEC1">
            <w:pPr>
              <w:pStyle w:val="19"/>
              <w:bidi w:val="0"/>
            </w:pPr>
            <w:r>
              <w:rPr>
                <w:rFonts w:hint="eastAsia"/>
              </w:rPr>
              <w:t>污染物称</w:t>
            </w:r>
          </w:p>
        </w:tc>
        <w:tc>
          <w:tcPr>
            <w:tcW w:w="1269" w:type="pct"/>
            <w:noWrap w:val="0"/>
            <w:tcMar>
              <w:top w:w="28" w:type="dxa"/>
              <w:left w:w="57" w:type="dxa"/>
              <w:bottom w:w="28" w:type="dxa"/>
              <w:right w:w="57" w:type="dxa"/>
            </w:tcMar>
            <w:vAlign w:val="center"/>
          </w:tcPr>
          <w:p w14:paraId="137EC55B">
            <w:pPr>
              <w:pStyle w:val="19"/>
              <w:bidi w:val="0"/>
            </w:pPr>
            <w:r>
              <w:rPr>
                <w:rFonts w:hint="eastAsia"/>
              </w:rPr>
              <w:t>取值时间</w:t>
            </w:r>
          </w:p>
        </w:tc>
        <w:tc>
          <w:tcPr>
            <w:tcW w:w="1310" w:type="pct"/>
            <w:noWrap w:val="0"/>
            <w:tcMar>
              <w:top w:w="28" w:type="dxa"/>
              <w:left w:w="57" w:type="dxa"/>
              <w:bottom w:w="28" w:type="dxa"/>
              <w:right w:w="57" w:type="dxa"/>
            </w:tcMar>
            <w:vAlign w:val="center"/>
          </w:tcPr>
          <w:p w14:paraId="78854B05">
            <w:pPr>
              <w:pStyle w:val="19"/>
              <w:bidi w:val="0"/>
            </w:pPr>
            <w:r>
              <w:rPr>
                <w:rFonts w:hint="eastAsia"/>
              </w:rPr>
              <w:t>二级标准浓度限值</w:t>
            </w:r>
          </w:p>
        </w:tc>
      </w:tr>
      <w:tr w14:paraId="2AB4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restart"/>
            <w:noWrap w:val="0"/>
            <w:tcMar>
              <w:top w:w="28" w:type="dxa"/>
              <w:left w:w="57" w:type="dxa"/>
              <w:bottom w:w="28" w:type="dxa"/>
              <w:right w:w="57" w:type="dxa"/>
            </w:tcMar>
            <w:vAlign w:val="center"/>
          </w:tcPr>
          <w:p w14:paraId="22277413">
            <w:pPr>
              <w:pStyle w:val="19"/>
              <w:bidi w:val="0"/>
            </w:pPr>
            <w:r>
              <w:rPr>
                <w:rFonts w:hint="eastAsia"/>
              </w:rPr>
              <w:t>《环境空气质量标准》</w:t>
            </w:r>
            <w:r>
              <w:t>(GB3095-2012)</w:t>
            </w:r>
          </w:p>
        </w:tc>
        <w:tc>
          <w:tcPr>
            <w:tcW w:w="650" w:type="pct"/>
            <w:vMerge w:val="restart"/>
            <w:noWrap w:val="0"/>
            <w:tcMar>
              <w:top w:w="28" w:type="dxa"/>
              <w:left w:w="57" w:type="dxa"/>
              <w:bottom w:w="28" w:type="dxa"/>
              <w:right w:w="57" w:type="dxa"/>
            </w:tcMar>
            <w:vAlign w:val="center"/>
          </w:tcPr>
          <w:p w14:paraId="73123203">
            <w:pPr>
              <w:pStyle w:val="19"/>
              <w:bidi w:val="0"/>
            </w:pPr>
            <w:r>
              <w:rPr>
                <w:rFonts w:hint="eastAsia"/>
              </w:rPr>
              <w:t>SO</w:t>
            </w:r>
            <w:r>
              <w:rPr>
                <w:rFonts w:hint="eastAsia"/>
                <w:vertAlign w:val="subscript"/>
              </w:rPr>
              <w:t>2</w:t>
            </w:r>
          </w:p>
        </w:tc>
        <w:tc>
          <w:tcPr>
            <w:tcW w:w="1269" w:type="pct"/>
            <w:noWrap w:val="0"/>
            <w:tcMar>
              <w:top w:w="28" w:type="dxa"/>
              <w:left w:w="57" w:type="dxa"/>
              <w:bottom w:w="28" w:type="dxa"/>
              <w:right w:w="57" w:type="dxa"/>
            </w:tcMar>
            <w:vAlign w:val="center"/>
          </w:tcPr>
          <w:p w14:paraId="4835E137">
            <w:pPr>
              <w:pStyle w:val="19"/>
              <w:bidi w:val="0"/>
            </w:pPr>
            <w:r>
              <w:rPr>
                <w:rFonts w:hint="eastAsia"/>
              </w:rPr>
              <w:t>年平均</w:t>
            </w:r>
          </w:p>
        </w:tc>
        <w:tc>
          <w:tcPr>
            <w:tcW w:w="1310" w:type="pct"/>
            <w:noWrap w:val="0"/>
            <w:tcMar>
              <w:top w:w="28" w:type="dxa"/>
              <w:left w:w="57" w:type="dxa"/>
              <w:bottom w:w="28" w:type="dxa"/>
              <w:right w:w="57" w:type="dxa"/>
            </w:tcMar>
            <w:vAlign w:val="center"/>
          </w:tcPr>
          <w:p w14:paraId="35E5BCD8">
            <w:pPr>
              <w:pStyle w:val="19"/>
              <w:bidi w:val="0"/>
            </w:pPr>
            <w:r>
              <w:rPr>
                <w:rFonts w:hint="eastAsia"/>
              </w:rPr>
              <w:t>60µg/m</w:t>
            </w:r>
            <w:r>
              <w:rPr>
                <w:rFonts w:hint="eastAsia"/>
                <w:vertAlign w:val="superscript"/>
              </w:rPr>
              <w:t>3</w:t>
            </w:r>
          </w:p>
        </w:tc>
      </w:tr>
      <w:tr w14:paraId="0181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189FB761">
            <w:pPr>
              <w:pStyle w:val="19"/>
              <w:bidi w:val="0"/>
            </w:pPr>
          </w:p>
        </w:tc>
        <w:tc>
          <w:tcPr>
            <w:tcW w:w="650" w:type="pct"/>
            <w:vMerge w:val="continue"/>
            <w:noWrap w:val="0"/>
            <w:tcMar>
              <w:top w:w="28" w:type="dxa"/>
              <w:left w:w="57" w:type="dxa"/>
              <w:bottom w:w="28" w:type="dxa"/>
              <w:right w:w="57" w:type="dxa"/>
            </w:tcMar>
            <w:vAlign w:val="center"/>
          </w:tcPr>
          <w:p w14:paraId="7FA8F364">
            <w:pPr>
              <w:pStyle w:val="19"/>
              <w:bidi w:val="0"/>
            </w:pPr>
          </w:p>
        </w:tc>
        <w:tc>
          <w:tcPr>
            <w:tcW w:w="1269" w:type="pct"/>
            <w:noWrap w:val="0"/>
            <w:tcMar>
              <w:top w:w="28" w:type="dxa"/>
              <w:left w:w="57" w:type="dxa"/>
              <w:bottom w:w="28" w:type="dxa"/>
              <w:right w:w="57" w:type="dxa"/>
            </w:tcMar>
            <w:vAlign w:val="center"/>
          </w:tcPr>
          <w:p w14:paraId="00670814">
            <w:pPr>
              <w:pStyle w:val="19"/>
              <w:bidi w:val="0"/>
            </w:pPr>
            <w:r>
              <w:rPr>
                <w:rFonts w:hint="eastAsia"/>
              </w:rPr>
              <w:t>24小时平均</w:t>
            </w:r>
          </w:p>
        </w:tc>
        <w:tc>
          <w:tcPr>
            <w:tcW w:w="1310" w:type="pct"/>
            <w:noWrap w:val="0"/>
            <w:tcMar>
              <w:top w:w="28" w:type="dxa"/>
              <w:left w:w="57" w:type="dxa"/>
              <w:bottom w:w="28" w:type="dxa"/>
              <w:right w:w="57" w:type="dxa"/>
            </w:tcMar>
            <w:vAlign w:val="center"/>
          </w:tcPr>
          <w:p w14:paraId="641DE4DD">
            <w:pPr>
              <w:pStyle w:val="19"/>
              <w:bidi w:val="0"/>
            </w:pPr>
            <w:r>
              <w:rPr>
                <w:rFonts w:hint="eastAsia"/>
              </w:rPr>
              <w:t>150µg/m</w:t>
            </w:r>
            <w:r>
              <w:rPr>
                <w:rFonts w:hint="eastAsia"/>
                <w:vertAlign w:val="superscript"/>
              </w:rPr>
              <w:t>3</w:t>
            </w:r>
          </w:p>
        </w:tc>
      </w:tr>
      <w:tr w14:paraId="48C6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69872D64">
            <w:pPr>
              <w:pStyle w:val="19"/>
              <w:bidi w:val="0"/>
            </w:pPr>
          </w:p>
        </w:tc>
        <w:tc>
          <w:tcPr>
            <w:tcW w:w="650" w:type="pct"/>
            <w:vMerge w:val="continue"/>
            <w:noWrap w:val="0"/>
            <w:tcMar>
              <w:top w:w="28" w:type="dxa"/>
              <w:left w:w="57" w:type="dxa"/>
              <w:bottom w:w="28" w:type="dxa"/>
              <w:right w:w="57" w:type="dxa"/>
            </w:tcMar>
            <w:vAlign w:val="center"/>
          </w:tcPr>
          <w:p w14:paraId="00DD33B4">
            <w:pPr>
              <w:pStyle w:val="19"/>
              <w:bidi w:val="0"/>
            </w:pPr>
          </w:p>
        </w:tc>
        <w:tc>
          <w:tcPr>
            <w:tcW w:w="1269" w:type="pct"/>
            <w:noWrap w:val="0"/>
            <w:tcMar>
              <w:top w:w="28" w:type="dxa"/>
              <w:left w:w="57" w:type="dxa"/>
              <w:bottom w:w="28" w:type="dxa"/>
              <w:right w:w="57" w:type="dxa"/>
            </w:tcMar>
            <w:vAlign w:val="center"/>
          </w:tcPr>
          <w:p w14:paraId="329D5389">
            <w:pPr>
              <w:pStyle w:val="19"/>
              <w:bidi w:val="0"/>
            </w:pPr>
            <w:r>
              <w:rPr>
                <w:rFonts w:hint="eastAsia"/>
              </w:rPr>
              <w:t>1小时平均</w:t>
            </w:r>
          </w:p>
        </w:tc>
        <w:tc>
          <w:tcPr>
            <w:tcW w:w="1310" w:type="pct"/>
            <w:noWrap w:val="0"/>
            <w:tcMar>
              <w:top w:w="28" w:type="dxa"/>
              <w:left w:w="57" w:type="dxa"/>
              <w:bottom w:w="28" w:type="dxa"/>
              <w:right w:w="57" w:type="dxa"/>
            </w:tcMar>
            <w:vAlign w:val="center"/>
          </w:tcPr>
          <w:p w14:paraId="1ADAA050">
            <w:pPr>
              <w:pStyle w:val="19"/>
              <w:bidi w:val="0"/>
            </w:pPr>
            <w:r>
              <w:rPr>
                <w:rFonts w:hint="eastAsia"/>
              </w:rPr>
              <w:t>500µg/m</w:t>
            </w:r>
            <w:r>
              <w:rPr>
                <w:rFonts w:hint="eastAsia"/>
                <w:vertAlign w:val="superscript"/>
              </w:rPr>
              <w:t>3</w:t>
            </w:r>
          </w:p>
        </w:tc>
      </w:tr>
      <w:tr w14:paraId="3332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39ED494E">
            <w:pPr>
              <w:pStyle w:val="19"/>
              <w:bidi w:val="0"/>
            </w:pPr>
          </w:p>
        </w:tc>
        <w:tc>
          <w:tcPr>
            <w:tcW w:w="650" w:type="pct"/>
            <w:vMerge w:val="restart"/>
            <w:noWrap w:val="0"/>
            <w:tcMar>
              <w:top w:w="28" w:type="dxa"/>
              <w:left w:w="57" w:type="dxa"/>
              <w:bottom w:w="28" w:type="dxa"/>
              <w:right w:w="57" w:type="dxa"/>
            </w:tcMar>
            <w:vAlign w:val="center"/>
          </w:tcPr>
          <w:p w14:paraId="6C3DAA0D">
            <w:pPr>
              <w:pStyle w:val="19"/>
              <w:bidi w:val="0"/>
            </w:pPr>
            <w:r>
              <w:rPr>
                <w:rFonts w:hint="eastAsia"/>
              </w:rPr>
              <w:t>NO</w:t>
            </w:r>
            <w:r>
              <w:rPr>
                <w:rFonts w:hint="eastAsia"/>
                <w:vertAlign w:val="subscript"/>
              </w:rPr>
              <w:t>2</w:t>
            </w:r>
          </w:p>
        </w:tc>
        <w:tc>
          <w:tcPr>
            <w:tcW w:w="1269" w:type="pct"/>
            <w:noWrap w:val="0"/>
            <w:tcMar>
              <w:top w:w="28" w:type="dxa"/>
              <w:left w:w="57" w:type="dxa"/>
              <w:bottom w:w="28" w:type="dxa"/>
              <w:right w:w="57" w:type="dxa"/>
            </w:tcMar>
            <w:vAlign w:val="center"/>
          </w:tcPr>
          <w:p w14:paraId="4D8858E6">
            <w:pPr>
              <w:pStyle w:val="19"/>
              <w:bidi w:val="0"/>
            </w:pPr>
            <w:r>
              <w:rPr>
                <w:rFonts w:hint="eastAsia"/>
              </w:rPr>
              <w:t>年平均</w:t>
            </w:r>
          </w:p>
        </w:tc>
        <w:tc>
          <w:tcPr>
            <w:tcW w:w="1310" w:type="pct"/>
            <w:noWrap w:val="0"/>
            <w:tcMar>
              <w:top w:w="28" w:type="dxa"/>
              <w:left w:w="57" w:type="dxa"/>
              <w:bottom w:w="28" w:type="dxa"/>
              <w:right w:w="57" w:type="dxa"/>
            </w:tcMar>
            <w:vAlign w:val="center"/>
          </w:tcPr>
          <w:p w14:paraId="6E1EF38D">
            <w:pPr>
              <w:pStyle w:val="19"/>
              <w:bidi w:val="0"/>
            </w:pPr>
            <w:r>
              <w:rPr>
                <w:rFonts w:hint="eastAsia"/>
              </w:rPr>
              <w:t>40µg/m</w:t>
            </w:r>
            <w:r>
              <w:rPr>
                <w:rFonts w:hint="eastAsia"/>
                <w:vertAlign w:val="superscript"/>
              </w:rPr>
              <w:t>3</w:t>
            </w:r>
          </w:p>
        </w:tc>
      </w:tr>
      <w:tr w14:paraId="110C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78642091">
            <w:pPr>
              <w:pStyle w:val="19"/>
              <w:bidi w:val="0"/>
            </w:pPr>
          </w:p>
        </w:tc>
        <w:tc>
          <w:tcPr>
            <w:tcW w:w="650" w:type="pct"/>
            <w:vMerge w:val="continue"/>
            <w:noWrap w:val="0"/>
            <w:tcMar>
              <w:top w:w="28" w:type="dxa"/>
              <w:left w:w="57" w:type="dxa"/>
              <w:bottom w:w="28" w:type="dxa"/>
              <w:right w:w="57" w:type="dxa"/>
            </w:tcMar>
            <w:vAlign w:val="center"/>
          </w:tcPr>
          <w:p w14:paraId="5B78E040">
            <w:pPr>
              <w:pStyle w:val="19"/>
              <w:bidi w:val="0"/>
            </w:pPr>
          </w:p>
        </w:tc>
        <w:tc>
          <w:tcPr>
            <w:tcW w:w="1269" w:type="pct"/>
            <w:noWrap w:val="0"/>
            <w:tcMar>
              <w:top w:w="28" w:type="dxa"/>
              <w:left w:w="57" w:type="dxa"/>
              <w:bottom w:w="28" w:type="dxa"/>
              <w:right w:w="57" w:type="dxa"/>
            </w:tcMar>
            <w:vAlign w:val="center"/>
          </w:tcPr>
          <w:p w14:paraId="0AE87CC6">
            <w:pPr>
              <w:pStyle w:val="19"/>
              <w:bidi w:val="0"/>
            </w:pPr>
            <w:r>
              <w:rPr>
                <w:rFonts w:hint="eastAsia"/>
              </w:rPr>
              <w:t>24小时平均</w:t>
            </w:r>
          </w:p>
        </w:tc>
        <w:tc>
          <w:tcPr>
            <w:tcW w:w="1310" w:type="pct"/>
            <w:noWrap w:val="0"/>
            <w:tcMar>
              <w:top w:w="28" w:type="dxa"/>
              <w:left w:w="57" w:type="dxa"/>
              <w:bottom w:w="28" w:type="dxa"/>
              <w:right w:w="57" w:type="dxa"/>
            </w:tcMar>
            <w:vAlign w:val="center"/>
          </w:tcPr>
          <w:p w14:paraId="245E2203">
            <w:pPr>
              <w:pStyle w:val="19"/>
              <w:bidi w:val="0"/>
            </w:pPr>
            <w:r>
              <w:rPr>
                <w:rFonts w:hint="eastAsia"/>
              </w:rPr>
              <w:t>80µg/m</w:t>
            </w:r>
            <w:r>
              <w:rPr>
                <w:rFonts w:hint="eastAsia"/>
                <w:vertAlign w:val="superscript"/>
              </w:rPr>
              <w:t>3</w:t>
            </w:r>
          </w:p>
        </w:tc>
      </w:tr>
      <w:tr w14:paraId="6A6A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36E328E9">
            <w:pPr>
              <w:pStyle w:val="19"/>
              <w:bidi w:val="0"/>
            </w:pPr>
          </w:p>
        </w:tc>
        <w:tc>
          <w:tcPr>
            <w:tcW w:w="650" w:type="pct"/>
            <w:vMerge w:val="continue"/>
            <w:noWrap w:val="0"/>
            <w:tcMar>
              <w:top w:w="28" w:type="dxa"/>
              <w:left w:w="57" w:type="dxa"/>
              <w:bottom w:w="28" w:type="dxa"/>
              <w:right w:w="57" w:type="dxa"/>
            </w:tcMar>
            <w:vAlign w:val="center"/>
          </w:tcPr>
          <w:p w14:paraId="268523C0">
            <w:pPr>
              <w:pStyle w:val="19"/>
              <w:bidi w:val="0"/>
            </w:pPr>
          </w:p>
        </w:tc>
        <w:tc>
          <w:tcPr>
            <w:tcW w:w="1269" w:type="pct"/>
            <w:noWrap w:val="0"/>
            <w:tcMar>
              <w:top w:w="28" w:type="dxa"/>
              <w:left w:w="57" w:type="dxa"/>
              <w:bottom w:w="28" w:type="dxa"/>
              <w:right w:w="57" w:type="dxa"/>
            </w:tcMar>
            <w:vAlign w:val="center"/>
          </w:tcPr>
          <w:p w14:paraId="2B85550D">
            <w:pPr>
              <w:pStyle w:val="19"/>
              <w:bidi w:val="0"/>
            </w:pPr>
            <w:r>
              <w:rPr>
                <w:rFonts w:hint="eastAsia"/>
              </w:rPr>
              <w:t>1小时平均</w:t>
            </w:r>
          </w:p>
        </w:tc>
        <w:tc>
          <w:tcPr>
            <w:tcW w:w="1310" w:type="pct"/>
            <w:noWrap w:val="0"/>
            <w:tcMar>
              <w:top w:w="28" w:type="dxa"/>
              <w:left w:w="57" w:type="dxa"/>
              <w:bottom w:w="28" w:type="dxa"/>
              <w:right w:w="57" w:type="dxa"/>
            </w:tcMar>
            <w:vAlign w:val="center"/>
          </w:tcPr>
          <w:p w14:paraId="20AAFA27">
            <w:pPr>
              <w:pStyle w:val="19"/>
              <w:bidi w:val="0"/>
            </w:pPr>
            <w:r>
              <w:rPr>
                <w:rFonts w:hint="eastAsia"/>
              </w:rPr>
              <w:t>200µg/m</w:t>
            </w:r>
            <w:r>
              <w:rPr>
                <w:rFonts w:hint="eastAsia"/>
                <w:vertAlign w:val="superscript"/>
              </w:rPr>
              <w:t>3</w:t>
            </w:r>
          </w:p>
        </w:tc>
      </w:tr>
      <w:tr w14:paraId="6149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23E3F51A">
            <w:pPr>
              <w:pStyle w:val="19"/>
              <w:bidi w:val="0"/>
            </w:pPr>
          </w:p>
        </w:tc>
        <w:tc>
          <w:tcPr>
            <w:tcW w:w="650" w:type="pct"/>
            <w:vMerge w:val="restart"/>
            <w:noWrap w:val="0"/>
            <w:tcMar>
              <w:top w:w="28" w:type="dxa"/>
              <w:left w:w="57" w:type="dxa"/>
              <w:bottom w:w="28" w:type="dxa"/>
              <w:right w:w="57" w:type="dxa"/>
            </w:tcMar>
            <w:vAlign w:val="center"/>
          </w:tcPr>
          <w:p w14:paraId="34F7F91D">
            <w:pPr>
              <w:pStyle w:val="19"/>
              <w:bidi w:val="0"/>
            </w:pPr>
            <w:r>
              <w:rPr>
                <w:rFonts w:hint="eastAsia"/>
              </w:rPr>
              <w:t>CO</w:t>
            </w:r>
          </w:p>
        </w:tc>
        <w:tc>
          <w:tcPr>
            <w:tcW w:w="1269" w:type="pct"/>
            <w:noWrap w:val="0"/>
            <w:tcMar>
              <w:top w:w="28" w:type="dxa"/>
              <w:left w:w="57" w:type="dxa"/>
              <w:bottom w:w="28" w:type="dxa"/>
              <w:right w:w="57" w:type="dxa"/>
            </w:tcMar>
            <w:vAlign w:val="center"/>
          </w:tcPr>
          <w:p w14:paraId="5DA0B841">
            <w:pPr>
              <w:pStyle w:val="19"/>
              <w:bidi w:val="0"/>
            </w:pPr>
            <w:r>
              <w:rPr>
                <w:rFonts w:hint="eastAsia"/>
              </w:rPr>
              <w:t>24小时平均</w:t>
            </w:r>
          </w:p>
        </w:tc>
        <w:tc>
          <w:tcPr>
            <w:tcW w:w="1310" w:type="pct"/>
            <w:noWrap w:val="0"/>
            <w:tcMar>
              <w:top w:w="28" w:type="dxa"/>
              <w:left w:w="57" w:type="dxa"/>
              <w:bottom w:w="28" w:type="dxa"/>
              <w:right w:w="57" w:type="dxa"/>
            </w:tcMar>
            <w:vAlign w:val="center"/>
          </w:tcPr>
          <w:p w14:paraId="45690A4A">
            <w:pPr>
              <w:pStyle w:val="19"/>
              <w:bidi w:val="0"/>
            </w:pPr>
            <w:r>
              <w:rPr>
                <w:rFonts w:hint="eastAsia"/>
              </w:rPr>
              <w:t>4mg/m</w:t>
            </w:r>
            <w:r>
              <w:rPr>
                <w:rFonts w:hint="eastAsia"/>
                <w:vertAlign w:val="superscript"/>
              </w:rPr>
              <w:t>3</w:t>
            </w:r>
          </w:p>
        </w:tc>
      </w:tr>
      <w:tr w14:paraId="14FC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07BE0915">
            <w:pPr>
              <w:pStyle w:val="19"/>
              <w:bidi w:val="0"/>
            </w:pPr>
          </w:p>
        </w:tc>
        <w:tc>
          <w:tcPr>
            <w:tcW w:w="650" w:type="pct"/>
            <w:vMerge w:val="continue"/>
            <w:noWrap w:val="0"/>
            <w:tcMar>
              <w:top w:w="28" w:type="dxa"/>
              <w:left w:w="57" w:type="dxa"/>
              <w:bottom w:w="28" w:type="dxa"/>
              <w:right w:w="57" w:type="dxa"/>
            </w:tcMar>
            <w:vAlign w:val="center"/>
          </w:tcPr>
          <w:p w14:paraId="036EB631">
            <w:pPr>
              <w:pStyle w:val="19"/>
              <w:bidi w:val="0"/>
            </w:pPr>
          </w:p>
        </w:tc>
        <w:tc>
          <w:tcPr>
            <w:tcW w:w="1269" w:type="pct"/>
            <w:noWrap w:val="0"/>
            <w:tcMar>
              <w:top w:w="28" w:type="dxa"/>
              <w:left w:w="57" w:type="dxa"/>
              <w:bottom w:w="28" w:type="dxa"/>
              <w:right w:w="57" w:type="dxa"/>
            </w:tcMar>
            <w:vAlign w:val="center"/>
          </w:tcPr>
          <w:p w14:paraId="23C4C039">
            <w:pPr>
              <w:pStyle w:val="19"/>
              <w:bidi w:val="0"/>
            </w:pPr>
            <w:r>
              <w:rPr>
                <w:rFonts w:hint="eastAsia"/>
              </w:rPr>
              <w:t>1小时平均</w:t>
            </w:r>
          </w:p>
        </w:tc>
        <w:tc>
          <w:tcPr>
            <w:tcW w:w="1310" w:type="pct"/>
            <w:noWrap w:val="0"/>
            <w:tcMar>
              <w:top w:w="28" w:type="dxa"/>
              <w:left w:w="57" w:type="dxa"/>
              <w:bottom w:w="28" w:type="dxa"/>
              <w:right w:w="57" w:type="dxa"/>
            </w:tcMar>
            <w:vAlign w:val="center"/>
          </w:tcPr>
          <w:p w14:paraId="76DC08E1">
            <w:pPr>
              <w:pStyle w:val="19"/>
              <w:bidi w:val="0"/>
            </w:pPr>
            <w:r>
              <w:rPr>
                <w:rFonts w:hint="eastAsia"/>
              </w:rPr>
              <w:t>10mg/m</w:t>
            </w:r>
            <w:r>
              <w:rPr>
                <w:rFonts w:hint="eastAsia"/>
                <w:vertAlign w:val="superscript"/>
              </w:rPr>
              <w:t>3</w:t>
            </w:r>
          </w:p>
        </w:tc>
      </w:tr>
      <w:tr w14:paraId="783C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2058E8E6">
            <w:pPr>
              <w:pStyle w:val="19"/>
              <w:bidi w:val="0"/>
            </w:pPr>
          </w:p>
        </w:tc>
        <w:tc>
          <w:tcPr>
            <w:tcW w:w="650" w:type="pct"/>
            <w:vMerge w:val="restart"/>
            <w:noWrap w:val="0"/>
            <w:tcMar>
              <w:top w:w="28" w:type="dxa"/>
              <w:left w:w="57" w:type="dxa"/>
              <w:bottom w:w="28" w:type="dxa"/>
              <w:right w:w="57" w:type="dxa"/>
            </w:tcMar>
            <w:vAlign w:val="center"/>
          </w:tcPr>
          <w:p w14:paraId="2E3D44AA">
            <w:pPr>
              <w:pStyle w:val="19"/>
              <w:bidi w:val="0"/>
            </w:pPr>
            <w:r>
              <w:rPr>
                <w:rFonts w:hint="eastAsia"/>
              </w:rPr>
              <w:t>O</w:t>
            </w:r>
            <w:r>
              <w:rPr>
                <w:rFonts w:hint="eastAsia"/>
                <w:vertAlign w:val="subscript"/>
              </w:rPr>
              <w:t>3</w:t>
            </w:r>
          </w:p>
        </w:tc>
        <w:tc>
          <w:tcPr>
            <w:tcW w:w="1269" w:type="pct"/>
            <w:noWrap w:val="0"/>
            <w:tcMar>
              <w:top w:w="28" w:type="dxa"/>
              <w:left w:w="57" w:type="dxa"/>
              <w:bottom w:w="28" w:type="dxa"/>
              <w:right w:w="57" w:type="dxa"/>
            </w:tcMar>
            <w:vAlign w:val="center"/>
          </w:tcPr>
          <w:p w14:paraId="7B4974BD">
            <w:pPr>
              <w:pStyle w:val="19"/>
              <w:bidi w:val="0"/>
            </w:pPr>
            <w:r>
              <w:rPr>
                <w:rFonts w:hint="eastAsia"/>
              </w:rPr>
              <w:t>日最大8小时平均</w:t>
            </w:r>
          </w:p>
        </w:tc>
        <w:tc>
          <w:tcPr>
            <w:tcW w:w="1310" w:type="pct"/>
            <w:noWrap w:val="0"/>
            <w:tcMar>
              <w:top w:w="28" w:type="dxa"/>
              <w:left w:w="57" w:type="dxa"/>
              <w:bottom w:w="28" w:type="dxa"/>
              <w:right w:w="57" w:type="dxa"/>
            </w:tcMar>
            <w:vAlign w:val="center"/>
          </w:tcPr>
          <w:p w14:paraId="3529DFDF">
            <w:pPr>
              <w:pStyle w:val="19"/>
              <w:bidi w:val="0"/>
            </w:pPr>
            <w:r>
              <w:rPr>
                <w:rFonts w:hint="eastAsia"/>
              </w:rPr>
              <w:t>160µg/m</w:t>
            </w:r>
            <w:r>
              <w:rPr>
                <w:rFonts w:hint="eastAsia"/>
                <w:vertAlign w:val="superscript"/>
              </w:rPr>
              <w:t>3</w:t>
            </w:r>
          </w:p>
        </w:tc>
      </w:tr>
      <w:tr w14:paraId="3EB7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279C6A5E">
            <w:pPr>
              <w:pStyle w:val="19"/>
              <w:bidi w:val="0"/>
            </w:pPr>
          </w:p>
        </w:tc>
        <w:tc>
          <w:tcPr>
            <w:tcW w:w="650" w:type="pct"/>
            <w:vMerge w:val="continue"/>
            <w:noWrap w:val="0"/>
            <w:tcMar>
              <w:top w:w="28" w:type="dxa"/>
              <w:left w:w="57" w:type="dxa"/>
              <w:bottom w:w="28" w:type="dxa"/>
              <w:right w:w="57" w:type="dxa"/>
            </w:tcMar>
            <w:vAlign w:val="center"/>
          </w:tcPr>
          <w:p w14:paraId="6E28F154">
            <w:pPr>
              <w:pStyle w:val="19"/>
              <w:bidi w:val="0"/>
            </w:pPr>
          </w:p>
        </w:tc>
        <w:tc>
          <w:tcPr>
            <w:tcW w:w="1269" w:type="pct"/>
            <w:noWrap w:val="0"/>
            <w:tcMar>
              <w:top w:w="28" w:type="dxa"/>
              <w:left w:w="57" w:type="dxa"/>
              <w:bottom w:w="28" w:type="dxa"/>
              <w:right w:w="57" w:type="dxa"/>
            </w:tcMar>
            <w:vAlign w:val="center"/>
          </w:tcPr>
          <w:p w14:paraId="3854DF38">
            <w:pPr>
              <w:pStyle w:val="19"/>
              <w:bidi w:val="0"/>
            </w:pPr>
            <w:r>
              <w:rPr>
                <w:rFonts w:hint="eastAsia"/>
              </w:rPr>
              <w:t>1小时平均</w:t>
            </w:r>
          </w:p>
        </w:tc>
        <w:tc>
          <w:tcPr>
            <w:tcW w:w="1310" w:type="pct"/>
            <w:noWrap w:val="0"/>
            <w:tcMar>
              <w:top w:w="28" w:type="dxa"/>
              <w:left w:w="57" w:type="dxa"/>
              <w:bottom w:w="28" w:type="dxa"/>
              <w:right w:w="57" w:type="dxa"/>
            </w:tcMar>
            <w:vAlign w:val="center"/>
          </w:tcPr>
          <w:p w14:paraId="0B99B807">
            <w:pPr>
              <w:pStyle w:val="19"/>
              <w:bidi w:val="0"/>
            </w:pPr>
            <w:r>
              <w:rPr>
                <w:rFonts w:hint="eastAsia"/>
              </w:rPr>
              <w:t>200µg/m</w:t>
            </w:r>
            <w:r>
              <w:rPr>
                <w:rFonts w:hint="eastAsia"/>
                <w:vertAlign w:val="superscript"/>
              </w:rPr>
              <w:t>3</w:t>
            </w:r>
          </w:p>
        </w:tc>
      </w:tr>
      <w:tr w14:paraId="6D96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74B6FD60">
            <w:pPr>
              <w:pStyle w:val="19"/>
              <w:bidi w:val="0"/>
            </w:pPr>
          </w:p>
        </w:tc>
        <w:tc>
          <w:tcPr>
            <w:tcW w:w="650" w:type="pct"/>
            <w:vMerge w:val="restart"/>
            <w:noWrap w:val="0"/>
            <w:tcMar>
              <w:top w:w="28" w:type="dxa"/>
              <w:left w:w="57" w:type="dxa"/>
              <w:bottom w:w="28" w:type="dxa"/>
              <w:right w:w="57" w:type="dxa"/>
            </w:tcMar>
            <w:vAlign w:val="center"/>
          </w:tcPr>
          <w:p w14:paraId="62BCA93A">
            <w:pPr>
              <w:pStyle w:val="19"/>
              <w:bidi w:val="0"/>
            </w:pPr>
            <w:r>
              <w:rPr>
                <w:rFonts w:hint="eastAsia"/>
              </w:rPr>
              <w:t>PM</w:t>
            </w:r>
            <w:r>
              <w:rPr>
                <w:rFonts w:hint="eastAsia"/>
                <w:vertAlign w:val="subscript"/>
              </w:rPr>
              <w:t>10</w:t>
            </w:r>
          </w:p>
        </w:tc>
        <w:tc>
          <w:tcPr>
            <w:tcW w:w="1269" w:type="pct"/>
            <w:noWrap w:val="0"/>
            <w:tcMar>
              <w:top w:w="28" w:type="dxa"/>
              <w:left w:w="57" w:type="dxa"/>
              <w:bottom w:w="28" w:type="dxa"/>
              <w:right w:w="57" w:type="dxa"/>
            </w:tcMar>
            <w:vAlign w:val="center"/>
          </w:tcPr>
          <w:p w14:paraId="7D1CE428">
            <w:pPr>
              <w:pStyle w:val="19"/>
              <w:bidi w:val="0"/>
            </w:pPr>
            <w:r>
              <w:rPr>
                <w:rFonts w:hint="eastAsia"/>
              </w:rPr>
              <w:t>年平均</w:t>
            </w:r>
          </w:p>
        </w:tc>
        <w:tc>
          <w:tcPr>
            <w:tcW w:w="1310" w:type="pct"/>
            <w:noWrap w:val="0"/>
            <w:tcMar>
              <w:top w:w="28" w:type="dxa"/>
              <w:left w:w="57" w:type="dxa"/>
              <w:bottom w:w="28" w:type="dxa"/>
              <w:right w:w="57" w:type="dxa"/>
            </w:tcMar>
            <w:vAlign w:val="center"/>
          </w:tcPr>
          <w:p w14:paraId="5D5D455A">
            <w:pPr>
              <w:pStyle w:val="19"/>
              <w:bidi w:val="0"/>
            </w:pPr>
            <w:r>
              <w:rPr>
                <w:rFonts w:hint="eastAsia"/>
              </w:rPr>
              <w:t>70µg/m</w:t>
            </w:r>
            <w:r>
              <w:rPr>
                <w:rFonts w:hint="eastAsia"/>
                <w:vertAlign w:val="superscript"/>
              </w:rPr>
              <w:t>3</w:t>
            </w:r>
          </w:p>
        </w:tc>
      </w:tr>
      <w:tr w14:paraId="0A14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0E81EF9C">
            <w:pPr>
              <w:pStyle w:val="19"/>
              <w:bidi w:val="0"/>
            </w:pPr>
          </w:p>
        </w:tc>
        <w:tc>
          <w:tcPr>
            <w:tcW w:w="650" w:type="pct"/>
            <w:vMerge w:val="continue"/>
            <w:noWrap w:val="0"/>
            <w:tcMar>
              <w:top w:w="28" w:type="dxa"/>
              <w:left w:w="57" w:type="dxa"/>
              <w:bottom w:w="28" w:type="dxa"/>
              <w:right w:w="57" w:type="dxa"/>
            </w:tcMar>
            <w:vAlign w:val="center"/>
          </w:tcPr>
          <w:p w14:paraId="387ECA5E">
            <w:pPr>
              <w:pStyle w:val="19"/>
              <w:bidi w:val="0"/>
            </w:pPr>
          </w:p>
        </w:tc>
        <w:tc>
          <w:tcPr>
            <w:tcW w:w="1269" w:type="pct"/>
            <w:noWrap w:val="0"/>
            <w:tcMar>
              <w:top w:w="28" w:type="dxa"/>
              <w:left w:w="57" w:type="dxa"/>
              <w:bottom w:w="28" w:type="dxa"/>
              <w:right w:w="57" w:type="dxa"/>
            </w:tcMar>
            <w:vAlign w:val="center"/>
          </w:tcPr>
          <w:p w14:paraId="507C946E">
            <w:pPr>
              <w:pStyle w:val="19"/>
              <w:bidi w:val="0"/>
            </w:pPr>
            <w:r>
              <w:rPr>
                <w:rFonts w:hint="eastAsia"/>
              </w:rPr>
              <w:t>24小时平均</w:t>
            </w:r>
          </w:p>
        </w:tc>
        <w:tc>
          <w:tcPr>
            <w:tcW w:w="1310" w:type="pct"/>
            <w:noWrap w:val="0"/>
            <w:tcMar>
              <w:top w:w="28" w:type="dxa"/>
              <w:left w:w="57" w:type="dxa"/>
              <w:bottom w:w="28" w:type="dxa"/>
              <w:right w:w="57" w:type="dxa"/>
            </w:tcMar>
            <w:vAlign w:val="center"/>
          </w:tcPr>
          <w:p w14:paraId="524A11B6">
            <w:pPr>
              <w:pStyle w:val="19"/>
              <w:bidi w:val="0"/>
            </w:pPr>
            <w:r>
              <w:rPr>
                <w:rFonts w:hint="eastAsia"/>
              </w:rPr>
              <w:t>150µg/m</w:t>
            </w:r>
            <w:r>
              <w:rPr>
                <w:rFonts w:hint="eastAsia"/>
                <w:vertAlign w:val="superscript"/>
              </w:rPr>
              <w:t>3</w:t>
            </w:r>
          </w:p>
        </w:tc>
      </w:tr>
      <w:tr w14:paraId="4162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2C3EDEBC">
            <w:pPr>
              <w:pStyle w:val="19"/>
              <w:bidi w:val="0"/>
            </w:pPr>
          </w:p>
        </w:tc>
        <w:tc>
          <w:tcPr>
            <w:tcW w:w="650" w:type="pct"/>
            <w:vMerge w:val="restart"/>
            <w:noWrap w:val="0"/>
            <w:tcMar>
              <w:top w:w="28" w:type="dxa"/>
              <w:left w:w="57" w:type="dxa"/>
              <w:bottom w:w="28" w:type="dxa"/>
              <w:right w:w="57" w:type="dxa"/>
            </w:tcMar>
            <w:vAlign w:val="center"/>
          </w:tcPr>
          <w:p w14:paraId="0930DE47">
            <w:pPr>
              <w:pStyle w:val="19"/>
              <w:bidi w:val="0"/>
            </w:pPr>
            <w:r>
              <w:rPr>
                <w:rFonts w:hint="eastAsia"/>
              </w:rPr>
              <w:t>PM</w:t>
            </w:r>
            <w:r>
              <w:rPr>
                <w:rFonts w:hint="eastAsia"/>
                <w:vertAlign w:val="subscript"/>
              </w:rPr>
              <w:t>2.5</w:t>
            </w:r>
          </w:p>
        </w:tc>
        <w:tc>
          <w:tcPr>
            <w:tcW w:w="1269" w:type="pct"/>
            <w:noWrap w:val="0"/>
            <w:tcMar>
              <w:top w:w="28" w:type="dxa"/>
              <w:left w:w="57" w:type="dxa"/>
              <w:bottom w:w="28" w:type="dxa"/>
              <w:right w:w="57" w:type="dxa"/>
            </w:tcMar>
            <w:vAlign w:val="center"/>
          </w:tcPr>
          <w:p w14:paraId="7858C869">
            <w:pPr>
              <w:pStyle w:val="19"/>
              <w:bidi w:val="0"/>
            </w:pPr>
            <w:r>
              <w:rPr>
                <w:rFonts w:hint="eastAsia"/>
              </w:rPr>
              <w:t>年平均</w:t>
            </w:r>
          </w:p>
        </w:tc>
        <w:tc>
          <w:tcPr>
            <w:tcW w:w="1310" w:type="pct"/>
            <w:noWrap w:val="0"/>
            <w:tcMar>
              <w:top w:w="28" w:type="dxa"/>
              <w:left w:w="57" w:type="dxa"/>
              <w:bottom w:w="28" w:type="dxa"/>
              <w:right w:w="57" w:type="dxa"/>
            </w:tcMar>
            <w:vAlign w:val="center"/>
          </w:tcPr>
          <w:p w14:paraId="16064BC2">
            <w:pPr>
              <w:pStyle w:val="19"/>
              <w:bidi w:val="0"/>
            </w:pPr>
            <w:r>
              <w:rPr>
                <w:rFonts w:hint="eastAsia"/>
              </w:rPr>
              <w:t>35µg/m</w:t>
            </w:r>
            <w:r>
              <w:rPr>
                <w:rFonts w:hint="eastAsia"/>
                <w:vertAlign w:val="superscript"/>
              </w:rPr>
              <w:t>3</w:t>
            </w:r>
          </w:p>
        </w:tc>
      </w:tr>
      <w:tr w14:paraId="5835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1E1BE493">
            <w:pPr>
              <w:pStyle w:val="19"/>
              <w:bidi w:val="0"/>
            </w:pPr>
          </w:p>
        </w:tc>
        <w:tc>
          <w:tcPr>
            <w:tcW w:w="650" w:type="pct"/>
            <w:vMerge w:val="continue"/>
            <w:noWrap w:val="0"/>
            <w:tcMar>
              <w:top w:w="28" w:type="dxa"/>
              <w:left w:w="57" w:type="dxa"/>
              <w:bottom w:w="28" w:type="dxa"/>
              <w:right w:w="57" w:type="dxa"/>
            </w:tcMar>
            <w:vAlign w:val="center"/>
          </w:tcPr>
          <w:p w14:paraId="53547C7E">
            <w:pPr>
              <w:pStyle w:val="19"/>
              <w:bidi w:val="0"/>
            </w:pPr>
          </w:p>
        </w:tc>
        <w:tc>
          <w:tcPr>
            <w:tcW w:w="1269" w:type="pct"/>
            <w:noWrap w:val="0"/>
            <w:tcMar>
              <w:top w:w="28" w:type="dxa"/>
              <w:left w:w="57" w:type="dxa"/>
              <w:bottom w:w="28" w:type="dxa"/>
              <w:right w:w="57" w:type="dxa"/>
            </w:tcMar>
            <w:vAlign w:val="center"/>
          </w:tcPr>
          <w:p w14:paraId="7104B099">
            <w:pPr>
              <w:pStyle w:val="19"/>
              <w:bidi w:val="0"/>
            </w:pPr>
            <w:r>
              <w:rPr>
                <w:rFonts w:hint="eastAsia"/>
              </w:rPr>
              <w:t>24小时平均</w:t>
            </w:r>
          </w:p>
        </w:tc>
        <w:tc>
          <w:tcPr>
            <w:tcW w:w="1310" w:type="pct"/>
            <w:noWrap w:val="0"/>
            <w:tcMar>
              <w:top w:w="28" w:type="dxa"/>
              <w:left w:w="57" w:type="dxa"/>
              <w:bottom w:w="28" w:type="dxa"/>
              <w:right w:w="57" w:type="dxa"/>
            </w:tcMar>
            <w:vAlign w:val="center"/>
          </w:tcPr>
          <w:p w14:paraId="1DBD9E25">
            <w:pPr>
              <w:pStyle w:val="19"/>
              <w:bidi w:val="0"/>
            </w:pPr>
            <w:r>
              <w:rPr>
                <w:rFonts w:hint="eastAsia"/>
              </w:rPr>
              <w:t>75µg/m</w:t>
            </w:r>
            <w:r>
              <w:rPr>
                <w:rFonts w:hint="eastAsia"/>
                <w:vertAlign w:val="superscript"/>
              </w:rPr>
              <w:t>3</w:t>
            </w:r>
          </w:p>
        </w:tc>
      </w:tr>
      <w:tr w14:paraId="16A2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continue"/>
            <w:noWrap w:val="0"/>
            <w:tcMar>
              <w:top w:w="28" w:type="dxa"/>
              <w:left w:w="57" w:type="dxa"/>
              <w:bottom w:w="28" w:type="dxa"/>
              <w:right w:w="57" w:type="dxa"/>
            </w:tcMar>
            <w:vAlign w:val="center"/>
          </w:tcPr>
          <w:p w14:paraId="223D7ABC">
            <w:pPr>
              <w:pStyle w:val="19"/>
              <w:bidi w:val="0"/>
            </w:pPr>
          </w:p>
        </w:tc>
        <w:tc>
          <w:tcPr>
            <w:tcW w:w="650" w:type="pct"/>
            <w:noWrap w:val="0"/>
            <w:tcMar>
              <w:top w:w="28" w:type="dxa"/>
              <w:left w:w="57" w:type="dxa"/>
              <w:bottom w:w="28" w:type="dxa"/>
              <w:right w:w="57" w:type="dxa"/>
            </w:tcMar>
            <w:vAlign w:val="center"/>
          </w:tcPr>
          <w:p w14:paraId="281AB700">
            <w:pPr>
              <w:pStyle w:val="19"/>
              <w:bidi w:val="0"/>
            </w:pPr>
            <w:r>
              <w:rPr>
                <w:rFonts w:hint="eastAsia"/>
              </w:rPr>
              <w:t>TSP</w:t>
            </w:r>
          </w:p>
        </w:tc>
        <w:tc>
          <w:tcPr>
            <w:tcW w:w="1269" w:type="pct"/>
            <w:noWrap w:val="0"/>
            <w:tcMar>
              <w:top w:w="28" w:type="dxa"/>
              <w:left w:w="57" w:type="dxa"/>
              <w:bottom w:w="28" w:type="dxa"/>
              <w:right w:w="57" w:type="dxa"/>
            </w:tcMar>
            <w:vAlign w:val="center"/>
          </w:tcPr>
          <w:p w14:paraId="46B1D314">
            <w:pPr>
              <w:pStyle w:val="19"/>
              <w:bidi w:val="0"/>
            </w:pPr>
            <w:r>
              <w:rPr>
                <w:rFonts w:hint="eastAsia"/>
              </w:rPr>
              <w:t>24小时平均</w:t>
            </w:r>
          </w:p>
        </w:tc>
        <w:tc>
          <w:tcPr>
            <w:tcW w:w="1310" w:type="pct"/>
            <w:noWrap w:val="0"/>
            <w:tcMar>
              <w:top w:w="28" w:type="dxa"/>
              <w:left w:w="57" w:type="dxa"/>
              <w:bottom w:w="28" w:type="dxa"/>
              <w:right w:w="57" w:type="dxa"/>
            </w:tcMar>
            <w:vAlign w:val="center"/>
          </w:tcPr>
          <w:p w14:paraId="35787B71">
            <w:pPr>
              <w:pStyle w:val="19"/>
              <w:bidi w:val="0"/>
            </w:pPr>
            <w:r>
              <w:rPr>
                <w:rFonts w:hint="eastAsia"/>
              </w:rPr>
              <w:t>300µg/m</w:t>
            </w:r>
            <w:r>
              <w:rPr>
                <w:rFonts w:hint="eastAsia"/>
                <w:vertAlign w:val="superscript"/>
              </w:rPr>
              <w:t>3</w:t>
            </w:r>
          </w:p>
        </w:tc>
      </w:tr>
      <w:tr w14:paraId="4109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68" w:type="pct"/>
            <w:vMerge w:val="restart"/>
            <w:noWrap w:val="0"/>
            <w:tcMar>
              <w:top w:w="28" w:type="dxa"/>
              <w:left w:w="57" w:type="dxa"/>
              <w:bottom w:w="28" w:type="dxa"/>
              <w:right w:w="57" w:type="dxa"/>
            </w:tcMar>
            <w:vAlign w:val="center"/>
          </w:tcPr>
          <w:p w14:paraId="2C330FC7">
            <w:pPr>
              <w:pStyle w:val="19"/>
              <w:bidi w:val="0"/>
              <w:rPr>
                <w:rFonts w:hint="eastAsia"/>
              </w:rPr>
            </w:pPr>
            <w:r>
              <w:rPr>
                <w:rFonts w:hint="eastAsia"/>
              </w:rPr>
              <w:t>《环境影响评价技术导则大气环境》(HJ2.2-2018)中附录D</w:t>
            </w:r>
          </w:p>
        </w:tc>
        <w:tc>
          <w:tcPr>
            <w:tcW w:w="650" w:type="pct"/>
            <w:noWrap w:val="0"/>
            <w:tcMar>
              <w:top w:w="28" w:type="dxa"/>
              <w:left w:w="57" w:type="dxa"/>
              <w:bottom w:w="28" w:type="dxa"/>
              <w:right w:w="57" w:type="dxa"/>
            </w:tcMar>
            <w:vAlign w:val="center"/>
          </w:tcPr>
          <w:p w14:paraId="422BC80B">
            <w:pPr>
              <w:pStyle w:val="19"/>
              <w:bidi w:val="0"/>
            </w:pPr>
            <w:r>
              <w:rPr>
                <w:rFonts w:hint="eastAsia"/>
              </w:rPr>
              <w:t>NH</w:t>
            </w:r>
            <w:r>
              <w:rPr>
                <w:rFonts w:hint="eastAsia"/>
                <w:vertAlign w:val="subscript"/>
              </w:rPr>
              <w:t>3</w:t>
            </w:r>
          </w:p>
        </w:tc>
        <w:tc>
          <w:tcPr>
            <w:tcW w:w="1269" w:type="pct"/>
            <w:noWrap w:val="0"/>
            <w:tcMar>
              <w:top w:w="28" w:type="dxa"/>
              <w:left w:w="57" w:type="dxa"/>
              <w:bottom w:w="28" w:type="dxa"/>
              <w:right w:w="57" w:type="dxa"/>
            </w:tcMar>
            <w:vAlign w:val="center"/>
          </w:tcPr>
          <w:p w14:paraId="256B6D5E">
            <w:pPr>
              <w:pStyle w:val="19"/>
              <w:bidi w:val="0"/>
            </w:pPr>
            <w:r>
              <w:rPr>
                <w:rFonts w:hint="eastAsia"/>
              </w:rPr>
              <w:t>1小时平均</w:t>
            </w:r>
          </w:p>
        </w:tc>
        <w:tc>
          <w:tcPr>
            <w:tcW w:w="1310" w:type="pct"/>
            <w:noWrap w:val="0"/>
            <w:tcMar>
              <w:top w:w="28" w:type="dxa"/>
              <w:left w:w="57" w:type="dxa"/>
              <w:bottom w:w="28" w:type="dxa"/>
              <w:right w:w="57" w:type="dxa"/>
            </w:tcMar>
            <w:vAlign w:val="center"/>
          </w:tcPr>
          <w:p w14:paraId="49052F87">
            <w:pPr>
              <w:pStyle w:val="19"/>
              <w:bidi w:val="0"/>
            </w:pPr>
            <w:r>
              <w:rPr>
                <w:rFonts w:hint="eastAsia"/>
              </w:rPr>
              <w:t>200µg/m</w:t>
            </w:r>
            <w:r>
              <w:rPr>
                <w:rFonts w:hint="eastAsia"/>
                <w:vertAlign w:val="superscript"/>
              </w:rPr>
              <w:t>3</w:t>
            </w:r>
          </w:p>
        </w:tc>
      </w:tr>
      <w:tr w14:paraId="123D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68" w:type="pct"/>
            <w:vMerge w:val="continue"/>
            <w:noWrap w:val="0"/>
            <w:tcMar>
              <w:top w:w="28" w:type="dxa"/>
              <w:left w:w="57" w:type="dxa"/>
              <w:bottom w:w="28" w:type="dxa"/>
              <w:right w:w="57" w:type="dxa"/>
            </w:tcMar>
            <w:vAlign w:val="center"/>
          </w:tcPr>
          <w:p w14:paraId="2C4EB217">
            <w:pPr>
              <w:pStyle w:val="19"/>
              <w:bidi w:val="0"/>
              <w:rPr>
                <w:rFonts w:hint="eastAsia"/>
              </w:rPr>
            </w:pPr>
          </w:p>
        </w:tc>
        <w:tc>
          <w:tcPr>
            <w:tcW w:w="650" w:type="pct"/>
            <w:noWrap w:val="0"/>
            <w:tcMar>
              <w:top w:w="28" w:type="dxa"/>
              <w:left w:w="57" w:type="dxa"/>
              <w:bottom w:w="28" w:type="dxa"/>
              <w:right w:w="57" w:type="dxa"/>
            </w:tcMar>
            <w:vAlign w:val="center"/>
          </w:tcPr>
          <w:p w14:paraId="64964EE4">
            <w:pPr>
              <w:pStyle w:val="19"/>
              <w:bidi w:val="0"/>
            </w:pPr>
            <w:r>
              <w:rPr>
                <w:rFonts w:hint="eastAsia"/>
              </w:rPr>
              <w:t>H</w:t>
            </w:r>
            <w:r>
              <w:rPr>
                <w:rFonts w:hint="eastAsia"/>
                <w:vertAlign w:val="subscript"/>
              </w:rPr>
              <w:t>2</w:t>
            </w:r>
            <w:r>
              <w:rPr>
                <w:rFonts w:hint="eastAsia"/>
              </w:rPr>
              <w:t>S</w:t>
            </w:r>
          </w:p>
        </w:tc>
        <w:tc>
          <w:tcPr>
            <w:tcW w:w="1269" w:type="pct"/>
            <w:noWrap w:val="0"/>
            <w:tcMar>
              <w:top w:w="28" w:type="dxa"/>
              <w:left w:w="57" w:type="dxa"/>
              <w:bottom w:w="28" w:type="dxa"/>
              <w:right w:w="57" w:type="dxa"/>
            </w:tcMar>
            <w:vAlign w:val="center"/>
          </w:tcPr>
          <w:p w14:paraId="55F7895E">
            <w:pPr>
              <w:pStyle w:val="19"/>
              <w:bidi w:val="0"/>
            </w:pPr>
            <w:r>
              <w:rPr>
                <w:rFonts w:hint="eastAsia"/>
              </w:rPr>
              <w:t>1小时平均</w:t>
            </w:r>
          </w:p>
        </w:tc>
        <w:tc>
          <w:tcPr>
            <w:tcW w:w="1310" w:type="pct"/>
            <w:noWrap w:val="0"/>
            <w:tcMar>
              <w:top w:w="28" w:type="dxa"/>
              <w:left w:w="57" w:type="dxa"/>
              <w:bottom w:w="28" w:type="dxa"/>
              <w:right w:w="57" w:type="dxa"/>
            </w:tcMar>
            <w:vAlign w:val="center"/>
          </w:tcPr>
          <w:p w14:paraId="5B74B714">
            <w:pPr>
              <w:pStyle w:val="19"/>
              <w:bidi w:val="0"/>
            </w:pPr>
            <w:r>
              <w:rPr>
                <w:rFonts w:hint="eastAsia"/>
              </w:rPr>
              <w:t>10µg/m</w:t>
            </w:r>
            <w:r>
              <w:rPr>
                <w:rFonts w:hint="eastAsia"/>
                <w:vertAlign w:val="superscript"/>
              </w:rPr>
              <w:t>3</w:t>
            </w:r>
          </w:p>
        </w:tc>
      </w:tr>
      <w:tr w14:paraId="23BB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68" w:type="pct"/>
            <w:noWrap w:val="0"/>
            <w:tcMar>
              <w:top w:w="28" w:type="dxa"/>
              <w:left w:w="57" w:type="dxa"/>
              <w:bottom w:w="28" w:type="dxa"/>
              <w:right w:w="57" w:type="dxa"/>
            </w:tcMar>
            <w:vAlign w:val="center"/>
          </w:tcPr>
          <w:p w14:paraId="07BAF7C2">
            <w:pPr>
              <w:pStyle w:val="19"/>
              <w:bidi w:val="0"/>
              <w:rPr>
                <w:rFonts w:hint="eastAsia"/>
                <w:lang w:val="en-US" w:eastAsia="zh-CN"/>
              </w:rPr>
            </w:pPr>
            <w:r>
              <w:rPr>
                <w:rFonts w:hint="default"/>
                <w:lang w:val="en-US" w:eastAsia="zh-CN"/>
              </w:rPr>
              <w:t>畜禽养殖产地环境评价规范</w:t>
            </w:r>
            <w:r>
              <w:rPr>
                <w:rFonts w:hint="eastAsia"/>
                <w:lang w:val="en-US" w:eastAsia="zh-CN"/>
              </w:rPr>
              <w:t>（</w:t>
            </w:r>
            <w:r>
              <w:rPr>
                <w:rFonts w:hint="default"/>
                <w:lang w:val="en-US" w:eastAsia="zh-CN"/>
              </w:rPr>
              <w:t>HJ568-2010</w:t>
            </w:r>
            <w:r>
              <w:rPr>
                <w:rFonts w:hint="eastAsia"/>
                <w:lang w:val="en-US" w:eastAsia="zh-CN"/>
              </w:rPr>
              <w:t>）</w:t>
            </w:r>
            <w:r>
              <w:rPr>
                <w:rFonts w:hint="default"/>
                <w:lang w:val="en-US" w:eastAsia="zh-CN"/>
              </w:rPr>
              <w:t>表5畜禽养殖场和养殖小区环境空气质量评价指标限值</w:t>
            </w:r>
          </w:p>
        </w:tc>
        <w:tc>
          <w:tcPr>
            <w:tcW w:w="650" w:type="pct"/>
            <w:noWrap w:val="0"/>
            <w:tcMar>
              <w:top w:w="28" w:type="dxa"/>
              <w:left w:w="57" w:type="dxa"/>
              <w:bottom w:w="28" w:type="dxa"/>
              <w:right w:w="57" w:type="dxa"/>
            </w:tcMar>
            <w:vAlign w:val="center"/>
          </w:tcPr>
          <w:p w14:paraId="428135DE">
            <w:pPr>
              <w:pStyle w:val="19"/>
              <w:bidi w:val="0"/>
              <w:rPr>
                <w:rFonts w:hint="eastAsia"/>
                <w:lang w:val="en-US" w:eastAsia="zh-CN"/>
              </w:rPr>
            </w:pPr>
            <w:r>
              <w:rPr>
                <w:rFonts w:hint="eastAsia"/>
                <w:lang w:val="en-US" w:eastAsia="zh-CN"/>
              </w:rPr>
              <w:t>臭气浓度</w:t>
            </w:r>
          </w:p>
        </w:tc>
        <w:tc>
          <w:tcPr>
            <w:tcW w:w="1269" w:type="pct"/>
            <w:noWrap w:val="0"/>
            <w:tcMar>
              <w:top w:w="28" w:type="dxa"/>
              <w:left w:w="57" w:type="dxa"/>
              <w:bottom w:w="28" w:type="dxa"/>
              <w:right w:w="57" w:type="dxa"/>
            </w:tcMar>
            <w:vAlign w:val="center"/>
          </w:tcPr>
          <w:p w14:paraId="14690F35">
            <w:pPr>
              <w:pStyle w:val="19"/>
              <w:bidi w:val="0"/>
              <w:rPr>
                <w:rFonts w:hint="eastAsia"/>
                <w:lang w:val="en-US" w:eastAsia="zh-CN"/>
              </w:rPr>
            </w:pPr>
            <w:r>
              <w:rPr>
                <w:rFonts w:hint="default"/>
                <w:lang w:val="en-US" w:eastAsia="zh-CN"/>
              </w:rPr>
              <w:t>1日</w:t>
            </w:r>
            <w:r>
              <w:rPr>
                <w:rFonts w:hint="eastAsia"/>
              </w:rPr>
              <w:t>平均</w:t>
            </w:r>
          </w:p>
        </w:tc>
        <w:tc>
          <w:tcPr>
            <w:tcW w:w="1310" w:type="pct"/>
            <w:noWrap w:val="0"/>
            <w:tcMar>
              <w:top w:w="28" w:type="dxa"/>
              <w:left w:w="57" w:type="dxa"/>
              <w:bottom w:w="28" w:type="dxa"/>
              <w:right w:w="57" w:type="dxa"/>
            </w:tcMar>
            <w:vAlign w:val="center"/>
          </w:tcPr>
          <w:p w14:paraId="26E75038">
            <w:pPr>
              <w:pStyle w:val="19"/>
              <w:bidi w:val="0"/>
              <w:rPr>
                <w:rFonts w:hint="default"/>
                <w:lang w:val="en-US" w:eastAsia="zh-CN"/>
              </w:rPr>
            </w:pPr>
            <w:r>
              <w:rPr>
                <w:rFonts w:hint="eastAsia"/>
                <w:lang w:val="en-US" w:eastAsia="zh-CN"/>
              </w:rPr>
              <w:t>50</w:t>
            </w:r>
          </w:p>
        </w:tc>
      </w:tr>
    </w:tbl>
    <w:p w14:paraId="3E965819">
      <w:pPr>
        <w:rPr>
          <w:color w:val="000000"/>
          <w:highlight w:val="none"/>
        </w:rPr>
      </w:pPr>
      <w:r>
        <w:rPr>
          <w:color w:val="000000"/>
          <w:highlight w:val="none"/>
        </w:rPr>
        <w:t>（2）地表水环境质量标准</w:t>
      </w:r>
    </w:p>
    <w:p w14:paraId="79C72AC5">
      <w:pPr>
        <w:ind w:firstLine="480" w:firstLineChars="200"/>
        <w:rPr>
          <w:color w:val="000000"/>
          <w:highlight w:val="none"/>
        </w:rPr>
      </w:pPr>
      <w:r>
        <w:rPr>
          <w:color w:val="000000"/>
          <w:highlight w:val="none"/>
        </w:rPr>
        <w:t>本项目建成投产后，全厂</w:t>
      </w:r>
      <w:r>
        <w:rPr>
          <w:rFonts w:hint="eastAsia"/>
          <w:color w:val="000000"/>
          <w:highlight w:val="none"/>
          <w:lang w:val="en-US" w:eastAsia="zh-CN"/>
        </w:rPr>
        <w:t>废水</w:t>
      </w:r>
      <w:r>
        <w:rPr>
          <w:color w:val="000000"/>
          <w:highlight w:val="none"/>
        </w:rPr>
        <w:t>经</w:t>
      </w:r>
      <w:r>
        <w:rPr>
          <w:rFonts w:hint="eastAsia"/>
          <w:color w:val="000000"/>
          <w:highlight w:val="none"/>
          <w:lang w:val="en-US" w:eastAsia="zh-CN"/>
        </w:rPr>
        <w:t>污水处理系统</w:t>
      </w:r>
      <w:r>
        <w:rPr>
          <w:color w:val="000000"/>
          <w:highlight w:val="none"/>
        </w:rPr>
        <w:t>处理后</w:t>
      </w:r>
      <w:r>
        <w:rPr>
          <w:rFonts w:hint="eastAsia"/>
          <w:color w:val="000000"/>
          <w:highlight w:val="none"/>
          <w:lang w:val="en-US" w:eastAsia="zh-CN"/>
        </w:rPr>
        <w:t>在氧化塘中暂存，委托129团农业发展中心定期清运，厂区不设置废水排放口</w:t>
      </w:r>
      <w:r>
        <w:rPr>
          <w:color w:val="000000"/>
          <w:highlight w:val="none"/>
        </w:rPr>
        <w:t>，本项目周边不存在地表水且无直接水力联系，因此本项目地表水</w:t>
      </w:r>
      <w:r>
        <w:rPr>
          <w:rFonts w:hint="eastAsia"/>
          <w:color w:val="000000"/>
          <w:highlight w:val="none"/>
          <w:lang w:val="en-US" w:eastAsia="zh-CN"/>
        </w:rPr>
        <w:t>评价等级确定为</w:t>
      </w:r>
      <w:r>
        <w:rPr>
          <w:color w:val="000000"/>
          <w:highlight w:val="none"/>
        </w:rPr>
        <w:t>三级B评价，仅</w:t>
      </w:r>
      <w:r>
        <w:rPr>
          <w:rFonts w:hint="eastAsia"/>
          <w:color w:val="000000"/>
          <w:highlight w:val="none"/>
          <w:lang w:val="en-US" w:eastAsia="zh-CN"/>
        </w:rPr>
        <w:t>地表水环境质量</w:t>
      </w:r>
      <w:r>
        <w:rPr>
          <w:color w:val="000000"/>
          <w:highlight w:val="none"/>
        </w:rPr>
        <w:t>现状</w:t>
      </w:r>
      <w:r>
        <w:rPr>
          <w:rFonts w:hint="eastAsia"/>
          <w:color w:val="000000"/>
          <w:highlight w:val="none"/>
          <w:lang w:val="en-US" w:eastAsia="zh-CN"/>
        </w:rPr>
        <w:t>进行调查和</w:t>
      </w:r>
      <w:r>
        <w:rPr>
          <w:color w:val="000000"/>
          <w:highlight w:val="none"/>
        </w:rPr>
        <w:t>评价。</w:t>
      </w:r>
    </w:p>
    <w:p w14:paraId="4FBFE3AF">
      <w:pPr>
        <w:rPr>
          <w:color w:val="000000"/>
          <w:highlight w:val="none"/>
        </w:rPr>
      </w:pPr>
      <w:r>
        <w:rPr>
          <w:color w:val="000000"/>
          <w:highlight w:val="none"/>
        </w:rPr>
        <w:t>（3）地下水环境质量标准</w:t>
      </w:r>
    </w:p>
    <w:p w14:paraId="06347D9B">
      <w:pPr>
        <w:ind w:firstLine="480" w:firstLineChars="200"/>
        <w:rPr>
          <w:color w:val="000000"/>
          <w:highlight w:val="none"/>
        </w:rPr>
      </w:pPr>
      <w:r>
        <w:rPr>
          <w:rFonts w:hint="eastAsia"/>
          <w:color w:val="000000"/>
          <w:highlight w:val="none"/>
          <w:lang w:val="en-US" w:eastAsia="zh-CN"/>
        </w:rPr>
        <w:t>本</w:t>
      </w:r>
      <w:r>
        <w:rPr>
          <w:color w:val="000000"/>
          <w:highlight w:val="none"/>
        </w:rPr>
        <w:t>项目区域地下水执行《地下水质量标准》（</w:t>
      </w:r>
      <w:r>
        <w:rPr>
          <w:rFonts w:hint="eastAsia"/>
          <w:color w:val="000000"/>
          <w:highlight w:val="none"/>
        </w:rPr>
        <w:t>GB/T14848-2017</w:t>
      </w:r>
      <w:r>
        <w:rPr>
          <w:color w:val="000000"/>
          <w:highlight w:val="none"/>
        </w:rPr>
        <w:t>）中的Ⅲ类标准，标准值见表2.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5</w:t>
      </w:r>
      <w:r>
        <w:rPr>
          <w:color w:val="000000"/>
          <w:highlight w:val="none"/>
        </w:rPr>
        <w:t>。</w:t>
      </w:r>
    </w:p>
    <w:p w14:paraId="72C19815">
      <w:pPr>
        <w:pStyle w:val="30"/>
        <w:bidi w:val="0"/>
      </w:pPr>
      <w:r>
        <w:t>表2.</w:t>
      </w:r>
      <w:r>
        <w:rPr>
          <w:rFonts w:hint="eastAsia"/>
          <w:lang w:val="en-US" w:eastAsia="zh-CN"/>
        </w:rPr>
        <w:t>2</w:t>
      </w:r>
      <w:r>
        <w:t>-</w:t>
      </w:r>
      <w:r>
        <w:rPr>
          <w:rFonts w:hint="eastAsia"/>
          <w:lang w:val="en-US" w:eastAsia="zh-CN"/>
        </w:rPr>
        <w:t>5</w:t>
      </w:r>
      <w:r>
        <w:t xml:space="preserve"> </w:t>
      </w:r>
      <w:r>
        <w:rPr>
          <w:rFonts w:hint="eastAsia"/>
          <w:lang w:val="en-US" w:eastAsia="zh-CN"/>
        </w:rPr>
        <w:t xml:space="preserve"> </w:t>
      </w:r>
      <w:r>
        <w:t xml:space="preserve"> 地下水质量评价所用标准（mg/L，除pH外）</w:t>
      </w:r>
    </w:p>
    <w:tbl>
      <w:tblPr>
        <w:tblStyle w:val="29"/>
        <w:tblW w:w="500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32"/>
        <w:gridCol w:w="2222"/>
        <w:gridCol w:w="2636"/>
        <w:gridCol w:w="2334"/>
      </w:tblGrid>
      <w:tr w14:paraId="62C24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680" w:type="pct"/>
            <w:noWrap w:val="0"/>
            <w:vAlign w:val="center"/>
          </w:tcPr>
          <w:p w14:paraId="1387236B">
            <w:pPr>
              <w:pStyle w:val="19"/>
              <w:bidi w:val="0"/>
            </w:pPr>
            <w:r>
              <w:t>序号</w:t>
            </w:r>
          </w:p>
        </w:tc>
        <w:tc>
          <w:tcPr>
            <w:tcW w:w="1334" w:type="pct"/>
            <w:noWrap w:val="0"/>
            <w:vAlign w:val="center"/>
          </w:tcPr>
          <w:p w14:paraId="306FA800">
            <w:pPr>
              <w:pStyle w:val="19"/>
              <w:bidi w:val="0"/>
            </w:pPr>
            <w:r>
              <w:t>项目</w:t>
            </w:r>
          </w:p>
        </w:tc>
        <w:tc>
          <w:tcPr>
            <w:tcW w:w="1583" w:type="pct"/>
            <w:noWrap w:val="0"/>
            <w:vAlign w:val="center"/>
          </w:tcPr>
          <w:p w14:paraId="4CA6A275">
            <w:pPr>
              <w:pStyle w:val="19"/>
              <w:bidi w:val="0"/>
            </w:pPr>
            <w:r>
              <w:t>单位</w:t>
            </w:r>
          </w:p>
        </w:tc>
        <w:tc>
          <w:tcPr>
            <w:tcW w:w="1401" w:type="pct"/>
            <w:noWrap w:val="0"/>
            <w:vAlign w:val="center"/>
          </w:tcPr>
          <w:p w14:paraId="7A783B48">
            <w:pPr>
              <w:pStyle w:val="19"/>
              <w:bidi w:val="0"/>
            </w:pPr>
            <w:r>
              <w:t>标准值</w:t>
            </w:r>
          </w:p>
        </w:tc>
      </w:tr>
      <w:tr w14:paraId="6342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665FF74D">
            <w:pPr>
              <w:pStyle w:val="19"/>
              <w:numPr>
                <w:ilvl w:val="0"/>
                <w:numId w:val="6"/>
              </w:numPr>
              <w:bidi w:val="0"/>
              <w:ind w:left="0" w:leftChars="0" w:firstLine="0" w:firstLineChars="0"/>
            </w:pPr>
          </w:p>
        </w:tc>
        <w:tc>
          <w:tcPr>
            <w:tcW w:w="1334" w:type="pct"/>
            <w:noWrap w:val="0"/>
            <w:vAlign w:val="center"/>
          </w:tcPr>
          <w:p w14:paraId="1DDFFDC6">
            <w:pPr>
              <w:pStyle w:val="19"/>
              <w:bidi w:val="0"/>
            </w:pPr>
            <w:r>
              <w:t>pH</w:t>
            </w:r>
          </w:p>
        </w:tc>
        <w:tc>
          <w:tcPr>
            <w:tcW w:w="1583" w:type="pct"/>
            <w:noWrap w:val="0"/>
            <w:vAlign w:val="center"/>
          </w:tcPr>
          <w:p w14:paraId="7A93E996">
            <w:pPr>
              <w:pStyle w:val="19"/>
              <w:bidi w:val="0"/>
            </w:pPr>
            <w:r>
              <w:t>/</w:t>
            </w:r>
          </w:p>
        </w:tc>
        <w:tc>
          <w:tcPr>
            <w:tcW w:w="1401" w:type="pct"/>
            <w:noWrap w:val="0"/>
            <w:vAlign w:val="center"/>
          </w:tcPr>
          <w:p w14:paraId="37CA6CBF">
            <w:pPr>
              <w:pStyle w:val="19"/>
              <w:bidi w:val="0"/>
            </w:pPr>
            <w:r>
              <w:t>6.5-8.5</w:t>
            </w:r>
          </w:p>
        </w:tc>
      </w:tr>
      <w:tr w14:paraId="43579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5D6F0E32">
            <w:pPr>
              <w:pStyle w:val="19"/>
              <w:numPr>
                <w:ilvl w:val="0"/>
                <w:numId w:val="6"/>
              </w:numPr>
              <w:bidi w:val="0"/>
              <w:ind w:left="0" w:leftChars="0" w:firstLine="0" w:firstLineChars="0"/>
            </w:pPr>
          </w:p>
        </w:tc>
        <w:tc>
          <w:tcPr>
            <w:tcW w:w="1334" w:type="pct"/>
            <w:noWrap w:val="0"/>
            <w:vAlign w:val="center"/>
          </w:tcPr>
          <w:p w14:paraId="208466A5">
            <w:pPr>
              <w:pStyle w:val="19"/>
              <w:bidi w:val="0"/>
            </w:pPr>
            <w:r>
              <w:t>氨氮</w:t>
            </w:r>
          </w:p>
        </w:tc>
        <w:tc>
          <w:tcPr>
            <w:tcW w:w="1583" w:type="pct"/>
            <w:noWrap w:val="0"/>
            <w:vAlign w:val="center"/>
          </w:tcPr>
          <w:p w14:paraId="1C412724">
            <w:pPr>
              <w:pStyle w:val="19"/>
              <w:bidi w:val="0"/>
            </w:pPr>
            <w:r>
              <w:t>mg/L</w:t>
            </w:r>
          </w:p>
        </w:tc>
        <w:tc>
          <w:tcPr>
            <w:tcW w:w="1401" w:type="pct"/>
            <w:noWrap w:val="0"/>
            <w:vAlign w:val="center"/>
          </w:tcPr>
          <w:p w14:paraId="65E81F13">
            <w:pPr>
              <w:pStyle w:val="19"/>
              <w:bidi w:val="0"/>
            </w:pPr>
            <w:r>
              <w:t>≤0.5</w:t>
            </w:r>
          </w:p>
        </w:tc>
      </w:tr>
      <w:tr w14:paraId="52E60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680" w:type="pct"/>
            <w:noWrap w:val="0"/>
            <w:vAlign w:val="center"/>
          </w:tcPr>
          <w:p w14:paraId="1BC5A4F7">
            <w:pPr>
              <w:pStyle w:val="19"/>
              <w:numPr>
                <w:ilvl w:val="0"/>
                <w:numId w:val="6"/>
              </w:numPr>
              <w:bidi w:val="0"/>
              <w:ind w:left="0" w:leftChars="0" w:firstLine="0" w:firstLineChars="0"/>
            </w:pPr>
          </w:p>
        </w:tc>
        <w:tc>
          <w:tcPr>
            <w:tcW w:w="1334" w:type="pct"/>
            <w:noWrap w:val="0"/>
            <w:vAlign w:val="center"/>
          </w:tcPr>
          <w:p w14:paraId="308D3959">
            <w:pPr>
              <w:pStyle w:val="19"/>
              <w:bidi w:val="0"/>
            </w:pPr>
            <w:r>
              <w:t>挥发酚</w:t>
            </w:r>
          </w:p>
        </w:tc>
        <w:tc>
          <w:tcPr>
            <w:tcW w:w="1583" w:type="pct"/>
            <w:noWrap w:val="0"/>
            <w:vAlign w:val="center"/>
          </w:tcPr>
          <w:p w14:paraId="6D050F05">
            <w:pPr>
              <w:pStyle w:val="19"/>
              <w:bidi w:val="0"/>
            </w:pPr>
            <w:r>
              <w:t>mg/L</w:t>
            </w:r>
          </w:p>
        </w:tc>
        <w:tc>
          <w:tcPr>
            <w:tcW w:w="1401" w:type="pct"/>
            <w:noWrap w:val="0"/>
            <w:vAlign w:val="center"/>
          </w:tcPr>
          <w:p w14:paraId="383142E7">
            <w:pPr>
              <w:pStyle w:val="19"/>
              <w:bidi w:val="0"/>
            </w:pPr>
            <w:r>
              <w:t>≤0.002</w:t>
            </w:r>
          </w:p>
        </w:tc>
      </w:tr>
      <w:tr w14:paraId="2907B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6909D896">
            <w:pPr>
              <w:pStyle w:val="19"/>
              <w:numPr>
                <w:ilvl w:val="0"/>
                <w:numId w:val="6"/>
              </w:numPr>
              <w:bidi w:val="0"/>
              <w:ind w:left="0" w:leftChars="0" w:firstLine="0" w:firstLineChars="0"/>
            </w:pPr>
          </w:p>
        </w:tc>
        <w:tc>
          <w:tcPr>
            <w:tcW w:w="1334" w:type="pct"/>
            <w:noWrap w:val="0"/>
            <w:vAlign w:val="center"/>
          </w:tcPr>
          <w:p w14:paraId="2AAD58BB">
            <w:pPr>
              <w:pStyle w:val="19"/>
              <w:bidi w:val="0"/>
            </w:pPr>
            <w:r>
              <w:t>六价铬</w:t>
            </w:r>
          </w:p>
        </w:tc>
        <w:tc>
          <w:tcPr>
            <w:tcW w:w="1583" w:type="pct"/>
            <w:noWrap w:val="0"/>
            <w:vAlign w:val="center"/>
          </w:tcPr>
          <w:p w14:paraId="5945C89D">
            <w:pPr>
              <w:pStyle w:val="19"/>
              <w:bidi w:val="0"/>
            </w:pPr>
            <w:r>
              <w:rPr>
                <w:rFonts w:hint="eastAsia"/>
              </w:rPr>
              <w:t>mg</w:t>
            </w:r>
            <w:r>
              <w:t>/L</w:t>
            </w:r>
          </w:p>
        </w:tc>
        <w:tc>
          <w:tcPr>
            <w:tcW w:w="1401" w:type="pct"/>
            <w:noWrap w:val="0"/>
            <w:vAlign w:val="center"/>
          </w:tcPr>
          <w:p w14:paraId="38D0674F">
            <w:pPr>
              <w:pStyle w:val="19"/>
              <w:bidi w:val="0"/>
            </w:pPr>
            <w:r>
              <w:t>≤0.05</w:t>
            </w:r>
          </w:p>
        </w:tc>
      </w:tr>
      <w:tr w14:paraId="02517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680" w:type="pct"/>
            <w:noWrap w:val="0"/>
            <w:vAlign w:val="center"/>
          </w:tcPr>
          <w:p w14:paraId="05A75D6D">
            <w:pPr>
              <w:pStyle w:val="19"/>
              <w:numPr>
                <w:ilvl w:val="0"/>
                <w:numId w:val="6"/>
              </w:numPr>
              <w:bidi w:val="0"/>
              <w:ind w:left="0" w:leftChars="0" w:firstLine="0" w:firstLineChars="0"/>
            </w:pPr>
          </w:p>
        </w:tc>
        <w:tc>
          <w:tcPr>
            <w:tcW w:w="1334" w:type="pct"/>
            <w:noWrap w:val="0"/>
            <w:vAlign w:val="center"/>
          </w:tcPr>
          <w:p w14:paraId="377662CE">
            <w:pPr>
              <w:pStyle w:val="19"/>
              <w:bidi w:val="0"/>
            </w:pPr>
            <w:r>
              <w:t>亚硝酸盐</w:t>
            </w:r>
            <w:r>
              <w:rPr>
                <w:rFonts w:hint="eastAsia"/>
              </w:rPr>
              <w:t>（以N计）</w:t>
            </w:r>
          </w:p>
        </w:tc>
        <w:tc>
          <w:tcPr>
            <w:tcW w:w="1583" w:type="pct"/>
            <w:noWrap w:val="0"/>
            <w:vAlign w:val="center"/>
          </w:tcPr>
          <w:p w14:paraId="7C7AFD71">
            <w:pPr>
              <w:pStyle w:val="19"/>
              <w:bidi w:val="0"/>
            </w:pPr>
            <w:r>
              <w:t>mg/L</w:t>
            </w:r>
          </w:p>
        </w:tc>
        <w:tc>
          <w:tcPr>
            <w:tcW w:w="1401" w:type="pct"/>
            <w:noWrap w:val="0"/>
            <w:vAlign w:val="center"/>
          </w:tcPr>
          <w:p w14:paraId="55CF686B">
            <w:pPr>
              <w:pStyle w:val="19"/>
              <w:bidi w:val="0"/>
            </w:pPr>
            <w:r>
              <w:t>≤</w:t>
            </w:r>
            <w:r>
              <w:rPr>
                <w:rFonts w:hint="eastAsia"/>
              </w:rPr>
              <w:t>1</w:t>
            </w:r>
          </w:p>
        </w:tc>
      </w:tr>
      <w:tr w14:paraId="223EA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5793D568">
            <w:pPr>
              <w:pStyle w:val="19"/>
              <w:numPr>
                <w:ilvl w:val="0"/>
                <w:numId w:val="6"/>
              </w:numPr>
              <w:bidi w:val="0"/>
              <w:ind w:left="0" w:leftChars="0" w:firstLine="0" w:firstLineChars="0"/>
            </w:pPr>
          </w:p>
        </w:tc>
        <w:tc>
          <w:tcPr>
            <w:tcW w:w="1334" w:type="pct"/>
            <w:noWrap w:val="0"/>
            <w:vAlign w:val="center"/>
          </w:tcPr>
          <w:p w14:paraId="621DAA8A">
            <w:pPr>
              <w:pStyle w:val="19"/>
              <w:bidi w:val="0"/>
            </w:pPr>
            <w:r>
              <w:t>硝酸盐氮</w:t>
            </w:r>
          </w:p>
        </w:tc>
        <w:tc>
          <w:tcPr>
            <w:tcW w:w="1583" w:type="pct"/>
            <w:noWrap w:val="0"/>
            <w:vAlign w:val="center"/>
          </w:tcPr>
          <w:p w14:paraId="15161FD8">
            <w:pPr>
              <w:pStyle w:val="19"/>
              <w:bidi w:val="0"/>
            </w:pPr>
            <w:r>
              <w:t>mg/L</w:t>
            </w:r>
          </w:p>
        </w:tc>
        <w:tc>
          <w:tcPr>
            <w:tcW w:w="1401" w:type="pct"/>
            <w:noWrap w:val="0"/>
            <w:vAlign w:val="center"/>
          </w:tcPr>
          <w:p w14:paraId="25686698">
            <w:pPr>
              <w:pStyle w:val="19"/>
              <w:bidi w:val="0"/>
            </w:pPr>
            <w:r>
              <w:t>≤20</w:t>
            </w:r>
          </w:p>
        </w:tc>
      </w:tr>
      <w:tr w14:paraId="1894F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59A34E80">
            <w:pPr>
              <w:pStyle w:val="19"/>
              <w:numPr>
                <w:ilvl w:val="0"/>
                <w:numId w:val="6"/>
              </w:numPr>
              <w:bidi w:val="0"/>
              <w:ind w:left="0" w:leftChars="0" w:firstLine="0" w:firstLineChars="0"/>
            </w:pPr>
          </w:p>
        </w:tc>
        <w:tc>
          <w:tcPr>
            <w:tcW w:w="1334" w:type="pct"/>
            <w:noWrap w:val="0"/>
            <w:vAlign w:val="center"/>
          </w:tcPr>
          <w:p w14:paraId="6819E3F7">
            <w:pPr>
              <w:pStyle w:val="19"/>
              <w:bidi w:val="0"/>
            </w:pPr>
            <w:r>
              <w:t>氰化物</w:t>
            </w:r>
          </w:p>
        </w:tc>
        <w:tc>
          <w:tcPr>
            <w:tcW w:w="1583" w:type="pct"/>
            <w:noWrap w:val="0"/>
            <w:vAlign w:val="center"/>
          </w:tcPr>
          <w:p w14:paraId="0165B32E">
            <w:pPr>
              <w:pStyle w:val="19"/>
              <w:bidi w:val="0"/>
            </w:pPr>
            <w:r>
              <w:t>mg/L</w:t>
            </w:r>
          </w:p>
        </w:tc>
        <w:tc>
          <w:tcPr>
            <w:tcW w:w="1401" w:type="pct"/>
            <w:noWrap w:val="0"/>
            <w:vAlign w:val="center"/>
          </w:tcPr>
          <w:p w14:paraId="77644DE7">
            <w:pPr>
              <w:pStyle w:val="19"/>
              <w:bidi w:val="0"/>
            </w:pPr>
            <w:r>
              <w:t>≤0.05</w:t>
            </w:r>
          </w:p>
        </w:tc>
      </w:tr>
      <w:tr w14:paraId="4B129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680" w:type="pct"/>
            <w:noWrap w:val="0"/>
            <w:vAlign w:val="center"/>
          </w:tcPr>
          <w:p w14:paraId="636182BF">
            <w:pPr>
              <w:pStyle w:val="19"/>
              <w:numPr>
                <w:ilvl w:val="0"/>
                <w:numId w:val="6"/>
              </w:numPr>
              <w:bidi w:val="0"/>
              <w:ind w:left="0" w:leftChars="0" w:firstLine="0" w:firstLineChars="0"/>
            </w:pPr>
          </w:p>
        </w:tc>
        <w:tc>
          <w:tcPr>
            <w:tcW w:w="1334" w:type="pct"/>
            <w:noWrap w:val="0"/>
            <w:vAlign w:val="center"/>
          </w:tcPr>
          <w:p w14:paraId="5EA78A97">
            <w:pPr>
              <w:pStyle w:val="19"/>
              <w:bidi w:val="0"/>
            </w:pPr>
            <w:r>
              <w:t>溶解性总固体</w:t>
            </w:r>
          </w:p>
        </w:tc>
        <w:tc>
          <w:tcPr>
            <w:tcW w:w="1583" w:type="pct"/>
            <w:noWrap w:val="0"/>
            <w:vAlign w:val="center"/>
          </w:tcPr>
          <w:p w14:paraId="0283DB10">
            <w:pPr>
              <w:pStyle w:val="19"/>
              <w:bidi w:val="0"/>
            </w:pPr>
            <w:r>
              <w:t>mg/L</w:t>
            </w:r>
          </w:p>
        </w:tc>
        <w:tc>
          <w:tcPr>
            <w:tcW w:w="1401" w:type="pct"/>
            <w:noWrap w:val="0"/>
            <w:vAlign w:val="center"/>
          </w:tcPr>
          <w:p w14:paraId="45FFA33D">
            <w:pPr>
              <w:pStyle w:val="19"/>
              <w:bidi w:val="0"/>
            </w:pPr>
            <w:r>
              <w:t>≤1000</w:t>
            </w:r>
          </w:p>
        </w:tc>
      </w:tr>
      <w:tr w14:paraId="2C1B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74D1CA28">
            <w:pPr>
              <w:pStyle w:val="19"/>
              <w:numPr>
                <w:ilvl w:val="0"/>
                <w:numId w:val="6"/>
              </w:numPr>
              <w:bidi w:val="0"/>
              <w:ind w:left="0" w:leftChars="0" w:firstLine="0" w:firstLineChars="0"/>
            </w:pPr>
          </w:p>
        </w:tc>
        <w:tc>
          <w:tcPr>
            <w:tcW w:w="1334" w:type="pct"/>
            <w:noWrap w:val="0"/>
            <w:vAlign w:val="center"/>
          </w:tcPr>
          <w:p w14:paraId="64EBFC4D">
            <w:pPr>
              <w:pStyle w:val="19"/>
              <w:bidi w:val="0"/>
            </w:pPr>
            <w:r>
              <w:t>硫酸盐</w:t>
            </w:r>
          </w:p>
        </w:tc>
        <w:tc>
          <w:tcPr>
            <w:tcW w:w="1583" w:type="pct"/>
            <w:noWrap w:val="0"/>
            <w:vAlign w:val="center"/>
          </w:tcPr>
          <w:p w14:paraId="723136EF">
            <w:pPr>
              <w:pStyle w:val="19"/>
              <w:bidi w:val="0"/>
            </w:pPr>
            <w:r>
              <w:t>mg/L</w:t>
            </w:r>
          </w:p>
        </w:tc>
        <w:tc>
          <w:tcPr>
            <w:tcW w:w="1401" w:type="pct"/>
            <w:noWrap w:val="0"/>
            <w:vAlign w:val="center"/>
          </w:tcPr>
          <w:p w14:paraId="56ECB773">
            <w:pPr>
              <w:pStyle w:val="19"/>
              <w:bidi w:val="0"/>
            </w:pPr>
            <w:r>
              <w:t>≤250</w:t>
            </w:r>
          </w:p>
        </w:tc>
      </w:tr>
      <w:tr w14:paraId="3EB00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680" w:type="pct"/>
            <w:noWrap w:val="0"/>
            <w:vAlign w:val="center"/>
          </w:tcPr>
          <w:p w14:paraId="27BDE2EA">
            <w:pPr>
              <w:pStyle w:val="19"/>
              <w:numPr>
                <w:ilvl w:val="0"/>
                <w:numId w:val="6"/>
              </w:numPr>
              <w:bidi w:val="0"/>
              <w:ind w:left="0" w:leftChars="0" w:firstLine="0" w:firstLineChars="0"/>
            </w:pPr>
          </w:p>
        </w:tc>
        <w:tc>
          <w:tcPr>
            <w:tcW w:w="1334" w:type="pct"/>
            <w:noWrap w:val="0"/>
            <w:vAlign w:val="center"/>
          </w:tcPr>
          <w:p w14:paraId="706363EF">
            <w:pPr>
              <w:pStyle w:val="19"/>
              <w:bidi w:val="0"/>
            </w:pPr>
            <w:r>
              <w:t>氯化物</w:t>
            </w:r>
          </w:p>
        </w:tc>
        <w:tc>
          <w:tcPr>
            <w:tcW w:w="1583" w:type="pct"/>
            <w:noWrap w:val="0"/>
            <w:vAlign w:val="center"/>
          </w:tcPr>
          <w:p w14:paraId="2A2B275C">
            <w:pPr>
              <w:pStyle w:val="19"/>
              <w:bidi w:val="0"/>
            </w:pPr>
            <w:r>
              <w:t>mg/L</w:t>
            </w:r>
          </w:p>
        </w:tc>
        <w:tc>
          <w:tcPr>
            <w:tcW w:w="1401" w:type="pct"/>
            <w:noWrap w:val="0"/>
            <w:vAlign w:val="center"/>
          </w:tcPr>
          <w:p w14:paraId="56F86FB5">
            <w:pPr>
              <w:pStyle w:val="19"/>
              <w:bidi w:val="0"/>
            </w:pPr>
            <w:r>
              <w:t>≤250</w:t>
            </w:r>
          </w:p>
        </w:tc>
      </w:tr>
      <w:tr w14:paraId="598F5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624B6811">
            <w:pPr>
              <w:pStyle w:val="19"/>
              <w:numPr>
                <w:ilvl w:val="0"/>
                <w:numId w:val="6"/>
              </w:numPr>
              <w:bidi w:val="0"/>
              <w:ind w:left="0" w:leftChars="0" w:firstLine="0" w:firstLineChars="0"/>
            </w:pPr>
          </w:p>
        </w:tc>
        <w:tc>
          <w:tcPr>
            <w:tcW w:w="1334" w:type="pct"/>
            <w:noWrap w:val="0"/>
            <w:vAlign w:val="center"/>
          </w:tcPr>
          <w:p w14:paraId="4922ED2C">
            <w:pPr>
              <w:pStyle w:val="19"/>
              <w:bidi w:val="0"/>
            </w:pPr>
            <w:r>
              <w:t>总硬度</w:t>
            </w:r>
          </w:p>
        </w:tc>
        <w:tc>
          <w:tcPr>
            <w:tcW w:w="1583" w:type="pct"/>
            <w:noWrap w:val="0"/>
            <w:vAlign w:val="center"/>
          </w:tcPr>
          <w:p w14:paraId="6FB6E630">
            <w:pPr>
              <w:pStyle w:val="19"/>
              <w:bidi w:val="0"/>
            </w:pPr>
            <w:r>
              <w:t>mg/L</w:t>
            </w:r>
          </w:p>
        </w:tc>
        <w:tc>
          <w:tcPr>
            <w:tcW w:w="1401" w:type="pct"/>
            <w:noWrap w:val="0"/>
            <w:vAlign w:val="center"/>
          </w:tcPr>
          <w:p w14:paraId="0495FFCD">
            <w:pPr>
              <w:pStyle w:val="19"/>
              <w:bidi w:val="0"/>
            </w:pPr>
            <w:r>
              <w:t>≤450</w:t>
            </w:r>
          </w:p>
        </w:tc>
      </w:tr>
      <w:tr w14:paraId="3865D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697175F3">
            <w:pPr>
              <w:pStyle w:val="19"/>
              <w:numPr>
                <w:ilvl w:val="0"/>
                <w:numId w:val="6"/>
              </w:numPr>
              <w:bidi w:val="0"/>
              <w:ind w:left="0" w:leftChars="0" w:firstLine="0" w:firstLineChars="0"/>
            </w:pPr>
          </w:p>
        </w:tc>
        <w:tc>
          <w:tcPr>
            <w:tcW w:w="1334" w:type="pct"/>
            <w:noWrap w:val="0"/>
            <w:vAlign w:val="center"/>
          </w:tcPr>
          <w:p w14:paraId="245588A7">
            <w:pPr>
              <w:pStyle w:val="19"/>
              <w:bidi w:val="0"/>
            </w:pPr>
            <w:r>
              <w:t>砷</w:t>
            </w:r>
          </w:p>
        </w:tc>
        <w:tc>
          <w:tcPr>
            <w:tcW w:w="1583" w:type="pct"/>
            <w:noWrap w:val="0"/>
            <w:vAlign w:val="center"/>
          </w:tcPr>
          <w:p w14:paraId="7C2EF4AC">
            <w:pPr>
              <w:pStyle w:val="19"/>
              <w:bidi w:val="0"/>
            </w:pPr>
            <w:r>
              <w:t>mg/L</w:t>
            </w:r>
          </w:p>
        </w:tc>
        <w:tc>
          <w:tcPr>
            <w:tcW w:w="1401" w:type="pct"/>
            <w:noWrap w:val="0"/>
            <w:vAlign w:val="center"/>
          </w:tcPr>
          <w:p w14:paraId="18D6981E">
            <w:pPr>
              <w:pStyle w:val="19"/>
              <w:bidi w:val="0"/>
            </w:pPr>
            <w:r>
              <w:t>≤0.01</w:t>
            </w:r>
          </w:p>
        </w:tc>
      </w:tr>
      <w:tr w14:paraId="34110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31B20268">
            <w:pPr>
              <w:pStyle w:val="19"/>
              <w:numPr>
                <w:ilvl w:val="0"/>
                <w:numId w:val="6"/>
              </w:numPr>
              <w:bidi w:val="0"/>
              <w:ind w:left="0" w:leftChars="0" w:firstLine="0" w:firstLineChars="0"/>
            </w:pPr>
          </w:p>
        </w:tc>
        <w:tc>
          <w:tcPr>
            <w:tcW w:w="1334" w:type="pct"/>
            <w:noWrap w:val="0"/>
            <w:vAlign w:val="center"/>
          </w:tcPr>
          <w:p w14:paraId="01CF1F92">
            <w:pPr>
              <w:pStyle w:val="19"/>
              <w:bidi w:val="0"/>
            </w:pPr>
            <w:r>
              <w:t>汞</w:t>
            </w:r>
          </w:p>
        </w:tc>
        <w:tc>
          <w:tcPr>
            <w:tcW w:w="1583" w:type="pct"/>
            <w:noWrap w:val="0"/>
            <w:vAlign w:val="center"/>
          </w:tcPr>
          <w:p w14:paraId="3FEC70DC">
            <w:pPr>
              <w:pStyle w:val="19"/>
              <w:bidi w:val="0"/>
            </w:pPr>
            <w:r>
              <w:t>mg/L</w:t>
            </w:r>
          </w:p>
        </w:tc>
        <w:tc>
          <w:tcPr>
            <w:tcW w:w="1401" w:type="pct"/>
            <w:noWrap w:val="0"/>
            <w:vAlign w:val="center"/>
          </w:tcPr>
          <w:p w14:paraId="0656D505">
            <w:pPr>
              <w:pStyle w:val="19"/>
              <w:bidi w:val="0"/>
            </w:pPr>
            <w:r>
              <w:t>≤0.001</w:t>
            </w:r>
          </w:p>
        </w:tc>
      </w:tr>
      <w:tr w14:paraId="5BD6F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680" w:type="pct"/>
            <w:noWrap w:val="0"/>
            <w:vAlign w:val="center"/>
          </w:tcPr>
          <w:p w14:paraId="3A7DE77E">
            <w:pPr>
              <w:pStyle w:val="19"/>
              <w:numPr>
                <w:ilvl w:val="0"/>
                <w:numId w:val="6"/>
              </w:numPr>
              <w:bidi w:val="0"/>
              <w:ind w:left="0" w:leftChars="0" w:firstLine="0" w:firstLineChars="0"/>
            </w:pPr>
          </w:p>
        </w:tc>
        <w:tc>
          <w:tcPr>
            <w:tcW w:w="1334" w:type="pct"/>
            <w:noWrap w:val="0"/>
            <w:vAlign w:val="center"/>
          </w:tcPr>
          <w:p w14:paraId="337F7BEC">
            <w:pPr>
              <w:pStyle w:val="19"/>
              <w:bidi w:val="0"/>
            </w:pPr>
            <w:r>
              <w:t>铅</w:t>
            </w:r>
          </w:p>
        </w:tc>
        <w:tc>
          <w:tcPr>
            <w:tcW w:w="1583" w:type="pct"/>
            <w:noWrap w:val="0"/>
            <w:vAlign w:val="center"/>
          </w:tcPr>
          <w:p w14:paraId="5EA22D56">
            <w:pPr>
              <w:pStyle w:val="19"/>
              <w:bidi w:val="0"/>
            </w:pPr>
            <w:r>
              <w:t>mg/L</w:t>
            </w:r>
          </w:p>
        </w:tc>
        <w:tc>
          <w:tcPr>
            <w:tcW w:w="1401" w:type="pct"/>
            <w:noWrap w:val="0"/>
            <w:vAlign w:val="center"/>
          </w:tcPr>
          <w:p w14:paraId="1D039D71">
            <w:pPr>
              <w:pStyle w:val="19"/>
              <w:bidi w:val="0"/>
            </w:pPr>
            <w:r>
              <w:t>≤0.01</w:t>
            </w:r>
          </w:p>
        </w:tc>
      </w:tr>
      <w:tr w14:paraId="615A3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0311FABC">
            <w:pPr>
              <w:pStyle w:val="19"/>
              <w:numPr>
                <w:ilvl w:val="0"/>
                <w:numId w:val="6"/>
              </w:numPr>
              <w:bidi w:val="0"/>
              <w:ind w:left="0" w:leftChars="0" w:firstLine="0" w:firstLineChars="0"/>
            </w:pPr>
          </w:p>
        </w:tc>
        <w:tc>
          <w:tcPr>
            <w:tcW w:w="1334" w:type="pct"/>
            <w:noWrap w:val="0"/>
            <w:vAlign w:val="center"/>
          </w:tcPr>
          <w:p w14:paraId="64E64BDC">
            <w:pPr>
              <w:pStyle w:val="19"/>
              <w:bidi w:val="0"/>
            </w:pPr>
            <w:r>
              <w:t>镉</w:t>
            </w:r>
          </w:p>
        </w:tc>
        <w:tc>
          <w:tcPr>
            <w:tcW w:w="1583" w:type="pct"/>
            <w:noWrap w:val="0"/>
            <w:vAlign w:val="center"/>
          </w:tcPr>
          <w:p w14:paraId="2BFA5402">
            <w:pPr>
              <w:pStyle w:val="19"/>
              <w:bidi w:val="0"/>
            </w:pPr>
            <w:r>
              <w:t>mg/L</w:t>
            </w:r>
          </w:p>
        </w:tc>
        <w:tc>
          <w:tcPr>
            <w:tcW w:w="1401" w:type="pct"/>
            <w:noWrap w:val="0"/>
            <w:vAlign w:val="center"/>
          </w:tcPr>
          <w:p w14:paraId="6E6695FF">
            <w:pPr>
              <w:pStyle w:val="19"/>
              <w:bidi w:val="0"/>
            </w:pPr>
            <w:r>
              <w:t>≤0.005</w:t>
            </w:r>
          </w:p>
        </w:tc>
      </w:tr>
      <w:tr w14:paraId="58A34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307C312B">
            <w:pPr>
              <w:pStyle w:val="19"/>
              <w:numPr>
                <w:ilvl w:val="0"/>
                <w:numId w:val="6"/>
              </w:numPr>
              <w:bidi w:val="0"/>
              <w:ind w:left="0" w:leftChars="0" w:firstLine="0" w:firstLineChars="0"/>
            </w:pPr>
          </w:p>
        </w:tc>
        <w:tc>
          <w:tcPr>
            <w:tcW w:w="1334" w:type="pct"/>
            <w:noWrap w:val="0"/>
            <w:vAlign w:val="center"/>
          </w:tcPr>
          <w:p w14:paraId="18752332">
            <w:pPr>
              <w:pStyle w:val="19"/>
              <w:bidi w:val="0"/>
            </w:pPr>
            <w:r>
              <w:t>铁</w:t>
            </w:r>
          </w:p>
        </w:tc>
        <w:tc>
          <w:tcPr>
            <w:tcW w:w="1583" w:type="pct"/>
            <w:noWrap w:val="0"/>
            <w:vAlign w:val="center"/>
          </w:tcPr>
          <w:p w14:paraId="5F0E2E50">
            <w:pPr>
              <w:pStyle w:val="19"/>
              <w:bidi w:val="0"/>
            </w:pPr>
            <w:r>
              <w:t>mg/L</w:t>
            </w:r>
          </w:p>
        </w:tc>
        <w:tc>
          <w:tcPr>
            <w:tcW w:w="1401" w:type="pct"/>
            <w:noWrap w:val="0"/>
            <w:vAlign w:val="center"/>
          </w:tcPr>
          <w:p w14:paraId="03A68006">
            <w:pPr>
              <w:pStyle w:val="19"/>
              <w:bidi w:val="0"/>
            </w:pPr>
            <w:r>
              <w:t>≤0.3</w:t>
            </w:r>
          </w:p>
        </w:tc>
      </w:tr>
      <w:tr w14:paraId="328B9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01607D43">
            <w:pPr>
              <w:pStyle w:val="19"/>
              <w:numPr>
                <w:ilvl w:val="0"/>
                <w:numId w:val="6"/>
              </w:numPr>
              <w:bidi w:val="0"/>
              <w:ind w:left="0" w:leftChars="0" w:firstLine="0" w:firstLineChars="0"/>
            </w:pPr>
          </w:p>
        </w:tc>
        <w:tc>
          <w:tcPr>
            <w:tcW w:w="1334" w:type="pct"/>
            <w:noWrap w:val="0"/>
            <w:vAlign w:val="center"/>
          </w:tcPr>
          <w:p w14:paraId="447305BF">
            <w:pPr>
              <w:pStyle w:val="19"/>
              <w:bidi w:val="0"/>
            </w:pPr>
            <w:r>
              <w:t>锰</w:t>
            </w:r>
          </w:p>
        </w:tc>
        <w:tc>
          <w:tcPr>
            <w:tcW w:w="1583" w:type="pct"/>
            <w:noWrap w:val="0"/>
            <w:vAlign w:val="center"/>
          </w:tcPr>
          <w:p w14:paraId="59F46691">
            <w:pPr>
              <w:pStyle w:val="19"/>
              <w:bidi w:val="0"/>
            </w:pPr>
            <w:r>
              <w:t>mg/L</w:t>
            </w:r>
          </w:p>
        </w:tc>
        <w:tc>
          <w:tcPr>
            <w:tcW w:w="1401" w:type="pct"/>
            <w:noWrap w:val="0"/>
            <w:vAlign w:val="center"/>
          </w:tcPr>
          <w:p w14:paraId="50F51F5F">
            <w:pPr>
              <w:pStyle w:val="19"/>
              <w:bidi w:val="0"/>
            </w:pPr>
            <w:r>
              <w:t>≤0.1</w:t>
            </w:r>
          </w:p>
        </w:tc>
      </w:tr>
      <w:tr w14:paraId="725B7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79A597DC">
            <w:pPr>
              <w:pStyle w:val="19"/>
              <w:numPr>
                <w:ilvl w:val="0"/>
                <w:numId w:val="6"/>
              </w:numPr>
              <w:bidi w:val="0"/>
              <w:ind w:left="0" w:leftChars="0" w:firstLine="0" w:firstLineChars="0"/>
            </w:pPr>
          </w:p>
        </w:tc>
        <w:tc>
          <w:tcPr>
            <w:tcW w:w="1334" w:type="pct"/>
            <w:noWrap w:val="0"/>
            <w:vAlign w:val="center"/>
          </w:tcPr>
          <w:p w14:paraId="1B0BC07C">
            <w:pPr>
              <w:pStyle w:val="19"/>
              <w:bidi w:val="0"/>
            </w:pPr>
            <w:r>
              <w:t>耗氧量</w:t>
            </w:r>
          </w:p>
        </w:tc>
        <w:tc>
          <w:tcPr>
            <w:tcW w:w="1583" w:type="pct"/>
            <w:noWrap w:val="0"/>
            <w:vAlign w:val="center"/>
          </w:tcPr>
          <w:p w14:paraId="39BC3E62">
            <w:pPr>
              <w:pStyle w:val="19"/>
              <w:bidi w:val="0"/>
            </w:pPr>
            <w:r>
              <w:t>mg/L</w:t>
            </w:r>
          </w:p>
        </w:tc>
        <w:tc>
          <w:tcPr>
            <w:tcW w:w="1401" w:type="pct"/>
            <w:noWrap w:val="0"/>
            <w:vAlign w:val="center"/>
          </w:tcPr>
          <w:p w14:paraId="7A6F67B1">
            <w:pPr>
              <w:pStyle w:val="19"/>
              <w:bidi w:val="0"/>
            </w:pPr>
            <w:r>
              <w:t>≤3.0</w:t>
            </w:r>
          </w:p>
        </w:tc>
      </w:tr>
      <w:tr w14:paraId="173F2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76A9416E">
            <w:pPr>
              <w:pStyle w:val="19"/>
              <w:numPr>
                <w:ilvl w:val="0"/>
                <w:numId w:val="6"/>
              </w:numPr>
              <w:bidi w:val="0"/>
              <w:ind w:left="0" w:leftChars="0" w:firstLine="0" w:firstLineChars="0"/>
            </w:pPr>
          </w:p>
        </w:tc>
        <w:tc>
          <w:tcPr>
            <w:tcW w:w="1334" w:type="pct"/>
            <w:noWrap w:val="0"/>
            <w:vAlign w:val="center"/>
          </w:tcPr>
          <w:p w14:paraId="1DC9D005">
            <w:pPr>
              <w:pStyle w:val="19"/>
              <w:bidi w:val="0"/>
            </w:pPr>
            <w:r>
              <w:t>氟化物</w:t>
            </w:r>
          </w:p>
        </w:tc>
        <w:tc>
          <w:tcPr>
            <w:tcW w:w="1583" w:type="pct"/>
            <w:noWrap w:val="0"/>
            <w:vAlign w:val="center"/>
          </w:tcPr>
          <w:p w14:paraId="35CC348E">
            <w:pPr>
              <w:pStyle w:val="19"/>
              <w:bidi w:val="0"/>
            </w:pPr>
            <w:r>
              <w:t>mg/L</w:t>
            </w:r>
          </w:p>
        </w:tc>
        <w:tc>
          <w:tcPr>
            <w:tcW w:w="1401" w:type="pct"/>
            <w:noWrap w:val="0"/>
            <w:vAlign w:val="center"/>
          </w:tcPr>
          <w:p w14:paraId="1EFF2A9A">
            <w:pPr>
              <w:pStyle w:val="19"/>
              <w:bidi w:val="0"/>
            </w:pPr>
            <w:r>
              <w:t>≤1.0</w:t>
            </w:r>
          </w:p>
        </w:tc>
      </w:tr>
      <w:tr w14:paraId="2FE3C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71AF095D">
            <w:pPr>
              <w:pStyle w:val="19"/>
              <w:numPr>
                <w:ilvl w:val="0"/>
                <w:numId w:val="6"/>
              </w:numPr>
              <w:bidi w:val="0"/>
              <w:ind w:left="0" w:leftChars="0" w:firstLine="0" w:firstLineChars="0"/>
            </w:pPr>
          </w:p>
        </w:tc>
        <w:tc>
          <w:tcPr>
            <w:tcW w:w="1334" w:type="pct"/>
            <w:noWrap w:val="0"/>
            <w:vAlign w:val="center"/>
          </w:tcPr>
          <w:p w14:paraId="7A02C97F">
            <w:pPr>
              <w:pStyle w:val="19"/>
              <w:bidi w:val="0"/>
            </w:pPr>
            <w:r>
              <w:t>总大肠菌群</w:t>
            </w:r>
          </w:p>
        </w:tc>
        <w:tc>
          <w:tcPr>
            <w:tcW w:w="1583" w:type="pct"/>
            <w:noWrap w:val="0"/>
            <w:vAlign w:val="center"/>
          </w:tcPr>
          <w:p w14:paraId="2A92E9B0">
            <w:pPr>
              <w:pStyle w:val="19"/>
              <w:bidi w:val="0"/>
            </w:pPr>
            <w:r>
              <w:t>CFU/100mL/100 mL</w:t>
            </w:r>
          </w:p>
        </w:tc>
        <w:tc>
          <w:tcPr>
            <w:tcW w:w="1401" w:type="pct"/>
            <w:noWrap w:val="0"/>
            <w:vAlign w:val="center"/>
          </w:tcPr>
          <w:p w14:paraId="41A262E6">
            <w:pPr>
              <w:pStyle w:val="19"/>
              <w:bidi w:val="0"/>
            </w:pPr>
            <w:r>
              <w:t>≤3.0</w:t>
            </w:r>
          </w:p>
        </w:tc>
      </w:tr>
      <w:tr w14:paraId="08213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0" w:type="pct"/>
            <w:noWrap w:val="0"/>
            <w:vAlign w:val="center"/>
          </w:tcPr>
          <w:p w14:paraId="2EF09B5B">
            <w:pPr>
              <w:pStyle w:val="19"/>
              <w:numPr>
                <w:ilvl w:val="0"/>
                <w:numId w:val="6"/>
              </w:numPr>
              <w:bidi w:val="0"/>
              <w:ind w:left="0" w:leftChars="0" w:firstLine="0" w:firstLineChars="0"/>
            </w:pPr>
          </w:p>
        </w:tc>
        <w:tc>
          <w:tcPr>
            <w:tcW w:w="1334" w:type="pct"/>
            <w:noWrap w:val="0"/>
            <w:vAlign w:val="center"/>
          </w:tcPr>
          <w:p w14:paraId="30C32300">
            <w:pPr>
              <w:pStyle w:val="19"/>
              <w:bidi w:val="0"/>
            </w:pPr>
            <w:r>
              <w:rPr>
                <w:rFonts w:hint="eastAsia"/>
              </w:rPr>
              <w:t>钠</w:t>
            </w:r>
          </w:p>
        </w:tc>
        <w:tc>
          <w:tcPr>
            <w:tcW w:w="1583" w:type="pct"/>
            <w:noWrap w:val="0"/>
            <w:vAlign w:val="center"/>
          </w:tcPr>
          <w:p w14:paraId="4650B562">
            <w:pPr>
              <w:pStyle w:val="19"/>
              <w:bidi w:val="0"/>
            </w:pPr>
            <w:r>
              <w:t>mg/L</w:t>
            </w:r>
          </w:p>
        </w:tc>
        <w:tc>
          <w:tcPr>
            <w:tcW w:w="1401" w:type="pct"/>
            <w:noWrap w:val="0"/>
            <w:vAlign w:val="center"/>
          </w:tcPr>
          <w:p w14:paraId="1CE09991">
            <w:pPr>
              <w:pStyle w:val="19"/>
              <w:bidi w:val="0"/>
            </w:pPr>
            <w:r>
              <w:t>≤</w:t>
            </w:r>
            <w:r>
              <w:rPr>
                <w:rFonts w:hint="eastAsia"/>
              </w:rPr>
              <w:t>200</w:t>
            </w:r>
          </w:p>
        </w:tc>
      </w:tr>
    </w:tbl>
    <w:p w14:paraId="0751997B">
      <w:pPr>
        <w:rPr>
          <w:color w:val="000000"/>
          <w:highlight w:val="none"/>
        </w:rPr>
      </w:pPr>
      <w:r>
        <w:rPr>
          <w:color w:val="000000"/>
          <w:highlight w:val="none"/>
        </w:rPr>
        <w:t>（3）声环境质量标准</w:t>
      </w:r>
    </w:p>
    <w:p w14:paraId="3D86C2FE">
      <w:pPr>
        <w:ind w:firstLine="480" w:firstLineChars="200"/>
        <w:rPr>
          <w:color w:val="000000"/>
          <w:highlight w:val="none"/>
        </w:rPr>
      </w:pPr>
      <w:r>
        <w:rPr>
          <w:color w:val="000000"/>
          <w:highlight w:val="none"/>
        </w:rPr>
        <w:t>根据</w:t>
      </w:r>
      <w:r>
        <w:rPr>
          <w:rFonts w:hint="eastAsia"/>
          <w:color w:val="000000"/>
          <w:highlight w:val="none"/>
          <w:lang w:val="en-US" w:eastAsia="zh-CN"/>
        </w:rPr>
        <w:t>本项目</w:t>
      </w:r>
      <w:r>
        <w:rPr>
          <w:color w:val="000000"/>
          <w:highlight w:val="none"/>
        </w:rPr>
        <w:t>所在区域的声环境</w:t>
      </w:r>
      <w:r>
        <w:rPr>
          <w:rFonts w:hint="eastAsia"/>
          <w:color w:val="000000"/>
          <w:highlight w:val="none"/>
          <w:lang w:val="en-US" w:eastAsia="zh-CN"/>
        </w:rPr>
        <w:t>功能区类别</w:t>
      </w:r>
      <w:r>
        <w:rPr>
          <w:color w:val="000000"/>
          <w:highlight w:val="none"/>
        </w:rPr>
        <w:t>，声环境质量评价标准采用《声环境质量标准》（GB3096-2008）中2类标准，详见表2.</w:t>
      </w:r>
      <w:r>
        <w:rPr>
          <w:rFonts w:hint="eastAsia"/>
          <w:color w:val="000000"/>
          <w:highlight w:val="none"/>
          <w:lang w:val="en-US" w:eastAsia="zh-CN"/>
        </w:rPr>
        <w:t>2</w:t>
      </w:r>
      <w:r>
        <w:rPr>
          <w:color w:val="000000"/>
          <w:highlight w:val="none"/>
        </w:rPr>
        <w:t>-3。</w:t>
      </w:r>
    </w:p>
    <w:p w14:paraId="4042D9BC">
      <w:pPr>
        <w:pStyle w:val="30"/>
        <w:bidi w:val="0"/>
      </w:pPr>
      <w:r>
        <w:t>表2.</w:t>
      </w:r>
      <w:r>
        <w:rPr>
          <w:rFonts w:hint="eastAsia"/>
          <w:lang w:val="en-US" w:eastAsia="zh-CN"/>
        </w:rPr>
        <w:t>2</w:t>
      </w:r>
      <w:r>
        <w:t>-</w:t>
      </w:r>
      <w:r>
        <w:rPr>
          <w:rFonts w:hint="eastAsia"/>
          <w:lang w:val="en-US" w:eastAsia="zh-CN"/>
        </w:rPr>
        <w:t xml:space="preserve">6 </w:t>
      </w:r>
      <w:r>
        <w:t xml:space="preserve">  声环境质量标准  单位：dB（A）</w:t>
      </w:r>
    </w:p>
    <w:tbl>
      <w:tblPr>
        <w:tblStyle w:val="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94"/>
        <w:gridCol w:w="2428"/>
        <w:gridCol w:w="2267"/>
        <w:gridCol w:w="2020"/>
      </w:tblGrid>
      <w:tr w14:paraId="478E2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59" w:type="pct"/>
            <w:vMerge w:val="restart"/>
            <w:tcBorders>
              <w:bottom w:val="nil"/>
            </w:tcBorders>
            <w:noWrap w:val="0"/>
            <w:vAlign w:val="center"/>
          </w:tcPr>
          <w:p w14:paraId="5B49CF53">
            <w:pPr>
              <w:pStyle w:val="19"/>
              <w:bidi w:val="0"/>
            </w:pPr>
            <w:r>
              <w:t>采用级别</w:t>
            </w:r>
          </w:p>
        </w:tc>
        <w:tc>
          <w:tcPr>
            <w:tcW w:w="2825" w:type="pct"/>
            <w:gridSpan w:val="2"/>
            <w:noWrap w:val="0"/>
            <w:vAlign w:val="center"/>
          </w:tcPr>
          <w:p w14:paraId="23FDB2E2">
            <w:pPr>
              <w:pStyle w:val="19"/>
              <w:bidi w:val="0"/>
            </w:pPr>
            <w:r>
              <w:t>标准值</w:t>
            </w:r>
          </w:p>
        </w:tc>
        <w:tc>
          <w:tcPr>
            <w:tcW w:w="1215" w:type="pct"/>
            <w:vMerge w:val="restart"/>
            <w:tcBorders>
              <w:bottom w:val="nil"/>
            </w:tcBorders>
            <w:noWrap w:val="0"/>
            <w:vAlign w:val="center"/>
          </w:tcPr>
          <w:p w14:paraId="55AC4E23">
            <w:pPr>
              <w:pStyle w:val="19"/>
              <w:bidi w:val="0"/>
            </w:pPr>
            <w:r>
              <w:t>标准来源</w:t>
            </w:r>
          </w:p>
        </w:tc>
      </w:tr>
      <w:tr w14:paraId="2C3F8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959" w:type="pct"/>
            <w:vMerge w:val="continue"/>
            <w:tcBorders>
              <w:top w:val="nil"/>
            </w:tcBorders>
            <w:noWrap w:val="0"/>
            <w:vAlign w:val="center"/>
          </w:tcPr>
          <w:p w14:paraId="56C37481">
            <w:pPr>
              <w:pStyle w:val="19"/>
              <w:bidi w:val="0"/>
            </w:pPr>
          </w:p>
        </w:tc>
        <w:tc>
          <w:tcPr>
            <w:tcW w:w="1461" w:type="pct"/>
            <w:noWrap w:val="0"/>
            <w:vAlign w:val="center"/>
          </w:tcPr>
          <w:p w14:paraId="0120966E">
            <w:pPr>
              <w:pStyle w:val="19"/>
              <w:bidi w:val="0"/>
            </w:pPr>
            <w:r>
              <w:t>昼间</w:t>
            </w:r>
          </w:p>
        </w:tc>
        <w:tc>
          <w:tcPr>
            <w:tcW w:w="1363" w:type="pct"/>
            <w:noWrap w:val="0"/>
            <w:vAlign w:val="center"/>
          </w:tcPr>
          <w:p w14:paraId="6743908E">
            <w:pPr>
              <w:pStyle w:val="19"/>
              <w:bidi w:val="0"/>
            </w:pPr>
            <w:r>
              <w:t>夜间</w:t>
            </w:r>
          </w:p>
        </w:tc>
        <w:tc>
          <w:tcPr>
            <w:tcW w:w="1215" w:type="pct"/>
            <w:vMerge w:val="continue"/>
            <w:tcBorders>
              <w:top w:val="nil"/>
            </w:tcBorders>
            <w:noWrap w:val="0"/>
            <w:vAlign w:val="center"/>
          </w:tcPr>
          <w:p w14:paraId="64C4BE1A">
            <w:pPr>
              <w:pStyle w:val="19"/>
              <w:bidi w:val="0"/>
            </w:pPr>
          </w:p>
        </w:tc>
      </w:tr>
      <w:tr w14:paraId="38542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959" w:type="pct"/>
            <w:noWrap w:val="0"/>
            <w:vAlign w:val="center"/>
          </w:tcPr>
          <w:p w14:paraId="097C5C32">
            <w:pPr>
              <w:pStyle w:val="19"/>
              <w:bidi w:val="0"/>
            </w:pPr>
            <w:r>
              <w:t>2类</w:t>
            </w:r>
          </w:p>
        </w:tc>
        <w:tc>
          <w:tcPr>
            <w:tcW w:w="1461" w:type="pct"/>
            <w:noWrap w:val="0"/>
            <w:vAlign w:val="center"/>
          </w:tcPr>
          <w:p w14:paraId="7FDC726C">
            <w:pPr>
              <w:pStyle w:val="19"/>
              <w:bidi w:val="0"/>
            </w:pPr>
            <w:r>
              <w:t>60</w:t>
            </w:r>
          </w:p>
        </w:tc>
        <w:tc>
          <w:tcPr>
            <w:tcW w:w="1363" w:type="pct"/>
            <w:noWrap w:val="0"/>
            <w:vAlign w:val="center"/>
          </w:tcPr>
          <w:p w14:paraId="0D488069">
            <w:pPr>
              <w:pStyle w:val="19"/>
              <w:bidi w:val="0"/>
            </w:pPr>
            <w:r>
              <w:t>50</w:t>
            </w:r>
          </w:p>
        </w:tc>
        <w:tc>
          <w:tcPr>
            <w:tcW w:w="1215" w:type="pct"/>
            <w:noWrap w:val="0"/>
            <w:vAlign w:val="center"/>
          </w:tcPr>
          <w:p w14:paraId="00B9821D">
            <w:pPr>
              <w:pStyle w:val="19"/>
              <w:bidi w:val="0"/>
            </w:pPr>
            <w:r>
              <w:t>GB3096-2008</w:t>
            </w:r>
          </w:p>
        </w:tc>
      </w:tr>
    </w:tbl>
    <w:p w14:paraId="7EC0CE22">
      <w:pPr>
        <w:rPr>
          <w:color w:val="000000"/>
          <w:highlight w:val="none"/>
        </w:rPr>
      </w:pPr>
      <w:r>
        <w:rPr>
          <w:color w:val="000000"/>
          <w:highlight w:val="none"/>
        </w:rPr>
        <w:t>（4）土壤环境质量标准</w:t>
      </w:r>
    </w:p>
    <w:p w14:paraId="5E2AE940">
      <w:pPr>
        <w:ind w:firstLine="480" w:firstLineChars="200"/>
        <w:rPr>
          <w:color w:val="000000"/>
          <w:highlight w:val="none"/>
        </w:rPr>
      </w:pPr>
      <w:r>
        <w:rPr>
          <w:color w:val="000000"/>
          <w:highlight w:val="none"/>
        </w:rPr>
        <w:t>根据2019年4月22日的部长信箱回复，畜禽养殖占地为设施农用地，不属于《农用地质量标准》中的农用地，农用地只有耕地、牧草地和园地三种。</w:t>
      </w:r>
    </w:p>
    <w:p w14:paraId="7D156A0E">
      <w:pPr>
        <w:ind w:firstLine="480" w:firstLineChars="200"/>
        <w:rPr>
          <w:color w:val="000000"/>
          <w:highlight w:val="none"/>
        </w:rPr>
      </w:pPr>
      <w:r>
        <w:rPr>
          <w:color w:val="000000"/>
          <w:highlight w:val="none"/>
        </w:rPr>
        <w:t>根据建设用地分类标准，设施农用地不属于建设用地，不适用于《土壤环境质量建设用地土壤污染风险管控标准（试行）》（GB36600-2018）。部长信箱回复，养殖项目的土壤质量执行《畜禽养殖产地环境评价规范》（HJ568-2010）中的表4放牧区和畜禽养殖场、养殖小区土壤环境质量评价指标限值，见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7</w:t>
      </w:r>
      <w:r>
        <w:rPr>
          <w:rFonts w:hint="eastAsia"/>
          <w:color w:val="000000"/>
          <w:highlight w:val="none"/>
        </w:rPr>
        <w:t>。</w:t>
      </w:r>
    </w:p>
    <w:p w14:paraId="3539687D">
      <w:pPr>
        <w:pStyle w:val="30"/>
        <w:bidi w:val="0"/>
      </w:pPr>
      <w:r>
        <w:t>表2.</w:t>
      </w:r>
      <w:r>
        <w:rPr>
          <w:rFonts w:hint="eastAsia"/>
          <w:lang w:val="en-US" w:eastAsia="zh-CN"/>
        </w:rPr>
        <w:t>2</w:t>
      </w:r>
      <w:r>
        <w:t>-</w:t>
      </w:r>
      <w:r>
        <w:rPr>
          <w:rFonts w:hint="eastAsia"/>
          <w:lang w:val="en-US" w:eastAsia="zh-CN"/>
        </w:rPr>
        <w:t>7</w:t>
      </w:r>
      <w:r>
        <w:t xml:space="preserve"> </w:t>
      </w:r>
      <w:r>
        <w:rPr>
          <w:rFonts w:hint="eastAsia"/>
          <w:lang w:val="en-US" w:eastAsia="zh-CN"/>
        </w:rPr>
        <w:t xml:space="preserve"> </w:t>
      </w:r>
      <w:r>
        <w:t xml:space="preserve"> 土壤环境质量评价指标限值 </w:t>
      </w:r>
      <w:r>
        <w:rPr>
          <w:rFonts w:hint="eastAsia"/>
          <w:lang w:val="en-US" w:eastAsia="zh-CN"/>
        </w:rPr>
        <w:t xml:space="preserve"> </w:t>
      </w:r>
      <w:r>
        <w:t xml:space="preserve"> 单位：mg/kg</w:t>
      </w:r>
    </w:p>
    <w:tbl>
      <w:tblPr>
        <w:tblStyle w:val="29"/>
        <w:tblW w:w="83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2423"/>
        <w:gridCol w:w="4178"/>
      </w:tblGrid>
      <w:tr w14:paraId="137F2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737" w:type="dxa"/>
            <w:noWrap w:val="0"/>
            <w:vAlign w:val="center"/>
          </w:tcPr>
          <w:p w14:paraId="331B5EB3">
            <w:pPr>
              <w:pStyle w:val="19"/>
              <w:bidi w:val="0"/>
            </w:pPr>
            <w:r>
              <w:t>序号</w:t>
            </w:r>
          </w:p>
        </w:tc>
        <w:tc>
          <w:tcPr>
            <w:tcW w:w="2423" w:type="dxa"/>
            <w:noWrap w:val="0"/>
            <w:vAlign w:val="center"/>
          </w:tcPr>
          <w:p w14:paraId="2286246F">
            <w:pPr>
              <w:pStyle w:val="19"/>
              <w:bidi w:val="0"/>
            </w:pPr>
            <w:r>
              <w:t>监测项目</w:t>
            </w:r>
          </w:p>
        </w:tc>
        <w:tc>
          <w:tcPr>
            <w:tcW w:w="4178" w:type="dxa"/>
            <w:noWrap w:val="0"/>
            <w:vAlign w:val="center"/>
          </w:tcPr>
          <w:p w14:paraId="181571DD">
            <w:pPr>
              <w:pStyle w:val="19"/>
              <w:bidi w:val="0"/>
            </w:pPr>
            <w:r>
              <w:t>养殖场、养殖小区</w:t>
            </w:r>
          </w:p>
        </w:tc>
      </w:tr>
      <w:tr w14:paraId="20B74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noWrap w:val="0"/>
            <w:vAlign w:val="center"/>
          </w:tcPr>
          <w:p w14:paraId="75B9E233">
            <w:pPr>
              <w:pStyle w:val="19"/>
              <w:bidi w:val="0"/>
            </w:pPr>
            <w:r>
              <w:t>1</w:t>
            </w:r>
          </w:p>
        </w:tc>
        <w:tc>
          <w:tcPr>
            <w:tcW w:w="2423" w:type="dxa"/>
            <w:noWrap w:val="0"/>
            <w:vAlign w:val="center"/>
          </w:tcPr>
          <w:p w14:paraId="5D87D0B5">
            <w:pPr>
              <w:pStyle w:val="19"/>
              <w:bidi w:val="0"/>
            </w:pPr>
            <w:r>
              <w:t>镉</w:t>
            </w:r>
          </w:p>
        </w:tc>
        <w:tc>
          <w:tcPr>
            <w:tcW w:w="4178" w:type="dxa"/>
            <w:noWrap w:val="0"/>
            <w:vAlign w:val="center"/>
          </w:tcPr>
          <w:p w14:paraId="2489635E">
            <w:pPr>
              <w:pStyle w:val="19"/>
              <w:bidi w:val="0"/>
            </w:pPr>
            <w:r>
              <w:t>1.0</w:t>
            </w:r>
          </w:p>
        </w:tc>
      </w:tr>
      <w:tr w14:paraId="6BC18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noWrap w:val="0"/>
            <w:vAlign w:val="center"/>
          </w:tcPr>
          <w:p w14:paraId="7C4A27D3">
            <w:pPr>
              <w:pStyle w:val="19"/>
              <w:bidi w:val="0"/>
            </w:pPr>
            <w:r>
              <w:t>2</w:t>
            </w:r>
          </w:p>
        </w:tc>
        <w:tc>
          <w:tcPr>
            <w:tcW w:w="2423" w:type="dxa"/>
            <w:noWrap w:val="0"/>
            <w:vAlign w:val="center"/>
          </w:tcPr>
          <w:p w14:paraId="13CDA464">
            <w:pPr>
              <w:pStyle w:val="19"/>
              <w:bidi w:val="0"/>
            </w:pPr>
            <w:r>
              <w:t>汞</w:t>
            </w:r>
          </w:p>
        </w:tc>
        <w:tc>
          <w:tcPr>
            <w:tcW w:w="4178" w:type="dxa"/>
            <w:noWrap w:val="0"/>
            <w:vAlign w:val="center"/>
          </w:tcPr>
          <w:p w14:paraId="236D874F">
            <w:pPr>
              <w:pStyle w:val="19"/>
              <w:bidi w:val="0"/>
            </w:pPr>
            <w:r>
              <w:t>1.5</w:t>
            </w:r>
          </w:p>
        </w:tc>
      </w:tr>
      <w:tr w14:paraId="3A6C3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noWrap w:val="0"/>
            <w:vAlign w:val="center"/>
          </w:tcPr>
          <w:p w14:paraId="12F924E4">
            <w:pPr>
              <w:pStyle w:val="19"/>
              <w:bidi w:val="0"/>
            </w:pPr>
            <w:r>
              <w:t>3</w:t>
            </w:r>
          </w:p>
        </w:tc>
        <w:tc>
          <w:tcPr>
            <w:tcW w:w="2423" w:type="dxa"/>
            <w:noWrap w:val="0"/>
            <w:vAlign w:val="center"/>
          </w:tcPr>
          <w:p w14:paraId="29251473">
            <w:pPr>
              <w:pStyle w:val="19"/>
              <w:bidi w:val="0"/>
            </w:pPr>
            <w:r>
              <w:t>砷</w:t>
            </w:r>
          </w:p>
        </w:tc>
        <w:tc>
          <w:tcPr>
            <w:tcW w:w="4178" w:type="dxa"/>
            <w:noWrap w:val="0"/>
            <w:vAlign w:val="center"/>
          </w:tcPr>
          <w:p w14:paraId="122A01C7">
            <w:pPr>
              <w:pStyle w:val="19"/>
              <w:bidi w:val="0"/>
            </w:pPr>
            <w:r>
              <w:t>40</w:t>
            </w:r>
          </w:p>
        </w:tc>
      </w:tr>
      <w:tr w14:paraId="4032F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noWrap w:val="0"/>
            <w:vAlign w:val="center"/>
          </w:tcPr>
          <w:p w14:paraId="61ED10DE">
            <w:pPr>
              <w:pStyle w:val="19"/>
              <w:bidi w:val="0"/>
            </w:pPr>
            <w:r>
              <w:t>4</w:t>
            </w:r>
          </w:p>
        </w:tc>
        <w:tc>
          <w:tcPr>
            <w:tcW w:w="2423" w:type="dxa"/>
            <w:noWrap w:val="0"/>
            <w:vAlign w:val="center"/>
          </w:tcPr>
          <w:p w14:paraId="76F6DCCB">
            <w:pPr>
              <w:pStyle w:val="19"/>
              <w:bidi w:val="0"/>
            </w:pPr>
            <w:r>
              <w:t>铜</w:t>
            </w:r>
          </w:p>
        </w:tc>
        <w:tc>
          <w:tcPr>
            <w:tcW w:w="4178" w:type="dxa"/>
            <w:noWrap w:val="0"/>
            <w:vAlign w:val="center"/>
          </w:tcPr>
          <w:p w14:paraId="396381A8">
            <w:pPr>
              <w:pStyle w:val="19"/>
              <w:bidi w:val="0"/>
            </w:pPr>
            <w:r>
              <w:t>400</w:t>
            </w:r>
          </w:p>
        </w:tc>
      </w:tr>
      <w:tr w14:paraId="301E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noWrap w:val="0"/>
            <w:vAlign w:val="center"/>
          </w:tcPr>
          <w:p w14:paraId="668E0D4E">
            <w:pPr>
              <w:pStyle w:val="19"/>
              <w:bidi w:val="0"/>
            </w:pPr>
            <w:r>
              <w:t>5</w:t>
            </w:r>
          </w:p>
        </w:tc>
        <w:tc>
          <w:tcPr>
            <w:tcW w:w="2423" w:type="dxa"/>
            <w:noWrap w:val="0"/>
            <w:vAlign w:val="center"/>
          </w:tcPr>
          <w:p w14:paraId="3714057D">
            <w:pPr>
              <w:pStyle w:val="19"/>
              <w:bidi w:val="0"/>
            </w:pPr>
            <w:r>
              <w:t>铅</w:t>
            </w:r>
          </w:p>
        </w:tc>
        <w:tc>
          <w:tcPr>
            <w:tcW w:w="4178" w:type="dxa"/>
            <w:noWrap w:val="0"/>
            <w:vAlign w:val="center"/>
          </w:tcPr>
          <w:p w14:paraId="35FB9B23">
            <w:pPr>
              <w:pStyle w:val="19"/>
              <w:bidi w:val="0"/>
            </w:pPr>
            <w:r>
              <w:t>500</w:t>
            </w:r>
          </w:p>
        </w:tc>
      </w:tr>
      <w:tr w14:paraId="5E77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noWrap w:val="0"/>
            <w:vAlign w:val="center"/>
          </w:tcPr>
          <w:p w14:paraId="307D9363">
            <w:pPr>
              <w:pStyle w:val="19"/>
              <w:bidi w:val="0"/>
            </w:pPr>
            <w:r>
              <w:t>6</w:t>
            </w:r>
          </w:p>
        </w:tc>
        <w:tc>
          <w:tcPr>
            <w:tcW w:w="2423" w:type="dxa"/>
            <w:noWrap w:val="0"/>
            <w:vAlign w:val="center"/>
          </w:tcPr>
          <w:p w14:paraId="5F2A9771">
            <w:pPr>
              <w:pStyle w:val="19"/>
              <w:bidi w:val="0"/>
            </w:pPr>
            <w:r>
              <w:t>铬</w:t>
            </w:r>
          </w:p>
        </w:tc>
        <w:tc>
          <w:tcPr>
            <w:tcW w:w="4178" w:type="dxa"/>
            <w:noWrap w:val="0"/>
            <w:vAlign w:val="center"/>
          </w:tcPr>
          <w:p w14:paraId="0DA0808B">
            <w:pPr>
              <w:pStyle w:val="19"/>
              <w:bidi w:val="0"/>
            </w:pPr>
            <w:r>
              <w:t>300</w:t>
            </w:r>
          </w:p>
        </w:tc>
      </w:tr>
      <w:tr w14:paraId="15708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noWrap w:val="0"/>
            <w:vAlign w:val="center"/>
          </w:tcPr>
          <w:p w14:paraId="1673AFEB">
            <w:pPr>
              <w:pStyle w:val="19"/>
              <w:bidi w:val="0"/>
            </w:pPr>
            <w:r>
              <w:t>7</w:t>
            </w:r>
          </w:p>
        </w:tc>
        <w:tc>
          <w:tcPr>
            <w:tcW w:w="2423" w:type="dxa"/>
            <w:noWrap w:val="0"/>
            <w:vAlign w:val="center"/>
          </w:tcPr>
          <w:p w14:paraId="5B5D290B">
            <w:pPr>
              <w:pStyle w:val="19"/>
              <w:bidi w:val="0"/>
            </w:pPr>
            <w:r>
              <w:t>锌</w:t>
            </w:r>
          </w:p>
        </w:tc>
        <w:tc>
          <w:tcPr>
            <w:tcW w:w="4178" w:type="dxa"/>
            <w:noWrap w:val="0"/>
            <w:vAlign w:val="center"/>
          </w:tcPr>
          <w:p w14:paraId="35717777">
            <w:pPr>
              <w:pStyle w:val="19"/>
              <w:bidi w:val="0"/>
            </w:pPr>
            <w:r>
              <w:t>500</w:t>
            </w:r>
          </w:p>
        </w:tc>
      </w:tr>
      <w:tr w14:paraId="2B0D4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noWrap w:val="0"/>
            <w:vAlign w:val="center"/>
          </w:tcPr>
          <w:p w14:paraId="169EF835">
            <w:pPr>
              <w:pStyle w:val="19"/>
              <w:bidi w:val="0"/>
            </w:pPr>
            <w:r>
              <w:t>8</w:t>
            </w:r>
          </w:p>
        </w:tc>
        <w:tc>
          <w:tcPr>
            <w:tcW w:w="2423" w:type="dxa"/>
            <w:noWrap w:val="0"/>
            <w:vAlign w:val="center"/>
          </w:tcPr>
          <w:p w14:paraId="09BB405B">
            <w:pPr>
              <w:pStyle w:val="19"/>
              <w:bidi w:val="0"/>
            </w:pPr>
            <w:r>
              <w:t>镍</w:t>
            </w:r>
          </w:p>
        </w:tc>
        <w:tc>
          <w:tcPr>
            <w:tcW w:w="4178" w:type="dxa"/>
            <w:noWrap w:val="0"/>
            <w:vAlign w:val="center"/>
          </w:tcPr>
          <w:p w14:paraId="14857472">
            <w:pPr>
              <w:pStyle w:val="19"/>
              <w:bidi w:val="0"/>
            </w:pPr>
            <w:r>
              <w:t>200</w:t>
            </w:r>
          </w:p>
        </w:tc>
      </w:tr>
      <w:tr w14:paraId="7AD5E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noWrap w:val="0"/>
            <w:vAlign w:val="center"/>
          </w:tcPr>
          <w:p w14:paraId="79C89C8C">
            <w:pPr>
              <w:pStyle w:val="19"/>
              <w:bidi w:val="0"/>
            </w:pPr>
            <w:r>
              <w:t>9</w:t>
            </w:r>
          </w:p>
        </w:tc>
        <w:tc>
          <w:tcPr>
            <w:tcW w:w="2423" w:type="dxa"/>
            <w:noWrap w:val="0"/>
            <w:vAlign w:val="center"/>
          </w:tcPr>
          <w:p w14:paraId="56466AAE">
            <w:pPr>
              <w:pStyle w:val="19"/>
              <w:bidi w:val="0"/>
            </w:pPr>
            <w:r>
              <w:t>六六六</w:t>
            </w:r>
          </w:p>
        </w:tc>
        <w:tc>
          <w:tcPr>
            <w:tcW w:w="4178" w:type="dxa"/>
            <w:noWrap w:val="0"/>
            <w:vAlign w:val="center"/>
          </w:tcPr>
          <w:p w14:paraId="70640E11">
            <w:pPr>
              <w:pStyle w:val="19"/>
              <w:bidi w:val="0"/>
            </w:pPr>
            <w:r>
              <w:t>1.0</w:t>
            </w:r>
          </w:p>
        </w:tc>
      </w:tr>
      <w:tr w14:paraId="12B3A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noWrap w:val="0"/>
            <w:vAlign w:val="center"/>
          </w:tcPr>
          <w:p w14:paraId="0BA0171C">
            <w:pPr>
              <w:pStyle w:val="19"/>
              <w:bidi w:val="0"/>
            </w:pPr>
            <w:r>
              <w:t>10</w:t>
            </w:r>
          </w:p>
        </w:tc>
        <w:tc>
          <w:tcPr>
            <w:tcW w:w="2423" w:type="dxa"/>
            <w:noWrap w:val="0"/>
            <w:vAlign w:val="center"/>
          </w:tcPr>
          <w:p w14:paraId="33659A96">
            <w:pPr>
              <w:pStyle w:val="19"/>
              <w:bidi w:val="0"/>
            </w:pPr>
            <w:r>
              <w:t>滴滴涕</w:t>
            </w:r>
          </w:p>
        </w:tc>
        <w:tc>
          <w:tcPr>
            <w:tcW w:w="4178" w:type="dxa"/>
            <w:noWrap w:val="0"/>
            <w:vAlign w:val="center"/>
          </w:tcPr>
          <w:p w14:paraId="06EA3458">
            <w:pPr>
              <w:pStyle w:val="19"/>
              <w:bidi w:val="0"/>
            </w:pPr>
            <w:r>
              <w:t>1.0</w:t>
            </w:r>
          </w:p>
        </w:tc>
      </w:tr>
      <w:tr w14:paraId="56177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noWrap w:val="0"/>
            <w:vAlign w:val="center"/>
          </w:tcPr>
          <w:p w14:paraId="37B434B1">
            <w:pPr>
              <w:pStyle w:val="19"/>
              <w:bidi w:val="0"/>
            </w:pPr>
            <w:r>
              <w:t>11</w:t>
            </w:r>
          </w:p>
        </w:tc>
        <w:tc>
          <w:tcPr>
            <w:tcW w:w="2423" w:type="dxa"/>
            <w:noWrap w:val="0"/>
            <w:vAlign w:val="center"/>
          </w:tcPr>
          <w:p w14:paraId="6ECC6958">
            <w:pPr>
              <w:pStyle w:val="19"/>
              <w:bidi w:val="0"/>
            </w:pPr>
            <w:r>
              <w:t>寄生虫卵数（个/kg 土）</w:t>
            </w:r>
          </w:p>
        </w:tc>
        <w:tc>
          <w:tcPr>
            <w:tcW w:w="4178" w:type="dxa"/>
            <w:noWrap w:val="0"/>
            <w:vAlign w:val="center"/>
          </w:tcPr>
          <w:p w14:paraId="30EC6398">
            <w:pPr>
              <w:pStyle w:val="19"/>
              <w:bidi w:val="0"/>
            </w:pPr>
            <w:r>
              <w:t>10</w:t>
            </w:r>
          </w:p>
        </w:tc>
      </w:tr>
      <w:tr w14:paraId="53573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8338" w:type="dxa"/>
            <w:gridSpan w:val="3"/>
            <w:noWrap w:val="0"/>
            <w:vAlign w:val="center"/>
          </w:tcPr>
          <w:p w14:paraId="0CD7FC80">
            <w:pPr>
              <w:pStyle w:val="19"/>
              <w:keepNext w:val="0"/>
              <w:keepLines w:val="0"/>
              <w:pageBreakBefore w:val="0"/>
              <w:widowControl w:val="0"/>
              <w:kinsoku/>
              <w:wordWrap/>
              <w:overflowPunct/>
              <w:topLinePunct w:val="0"/>
              <w:autoSpaceDE/>
              <w:autoSpaceDN/>
              <w:bidi w:val="0"/>
              <w:adjustRightInd/>
              <w:snapToGrid/>
              <w:jc w:val="both"/>
              <w:textAlignment w:val="auto"/>
            </w:pPr>
            <w:r>
              <w:t>注：（1）重金属（铬主要是三价）和砷均按元素量计，适用于阳离子交换量＞5cmol（+）/kg的土壤。若≤5cmol（+）/kg，其标准值为表内数值的半数。</w:t>
            </w:r>
          </w:p>
          <w:p w14:paraId="2212DB4D">
            <w:pPr>
              <w:pStyle w:val="19"/>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t>（2）六六六为四种异构体总量，滴滴涕为四种衍生物总量</w:t>
            </w:r>
          </w:p>
        </w:tc>
      </w:tr>
    </w:tbl>
    <w:p w14:paraId="1717662F">
      <w:pPr>
        <w:pStyle w:val="28"/>
        <w:bidi w:val="0"/>
        <w:rPr>
          <w:rFonts w:hint="default"/>
          <w:lang w:val="en-US" w:eastAsia="zh-CN"/>
        </w:rPr>
      </w:pPr>
      <w:r>
        <w:rPr>
          <w:rFonts w:hint="eastAsia"/>
          <w:lang w:val="en-US" w:eastAsia="zh-CN"/>
        </w:rPr>
        <w:t>污染物排放标准</w:t>
      </w:r>
    </w:p>
    <w:p w14:paraId="707FB527">
      <w:pPr>
        <w:rPr>
          <w:color w:val="000000"/>
          <w:highlight w:val="none"/>
        </w:rPr>
      </w:pPr>
      <w:r>
        <w:rPr>
          <w:color w:val="000000"/>
          <w:highlight w:val="none"/>
        </w:rPr>
        <w:t>（1）废气</w:t>
      </w:r>
    </w:p>
    <w:p w14:paraId="16D59676">
      <w:pPr>
        <w:rPr>
          <w:color w:val="000000"/>
          <w:highlight w:val="none"/>
        </w:rPr>
      </w:pPr>
      <w:r>
        <w:rPr>
          <w:color w:val="000000"/>
          <w:highlight w:val="none"/>
        </w:rPr>
        <w:t>①施工期</w:t>
      </w:r>
    </w:p>
    <w:p w14:paraId="2A01CB8E">
      <w:pPr>
        <w:ind w:firstLine="480" w:firstLineChars="200"/>
        <w:rPr>
          <w:color w:val="000000"/>
          <w:highlight w:val="none"/>
        </w:rPr>
      </w:pPr>
      <w:r>
        <w:rPr>
          <w:rFonts w:hint="eastAsia"/>
          <w:color w:val="000000"/>
          <w:highlight w:val="none"/>
          <w:lang w:val="en-US" w:eastAsia="zh-CN"/>
        </w:rPr>
        <w:t>本</w:t>
      </w:r>
      <w:r>
        <w:rPr>
          <w:color w:val="000000"/>
          <w:highlight w:val="none"/>
        </w:rPr>
        <w:t>项目施工期施工场地扬尘排放执行《大气污染物综合排放标准》（GB16297</w:t>
      </w:r>
      <w:r>
        <w:rPr>
          <w:rFonts w:hint="eastAsia"/>
          <w:color w:val="000000"/>
          <w:highlight w:val="none"/>
          <w:lang w:val="en-US" w:eastAsia="zh-CN"/>
        </w:rPr>
        <w:t>-</w:t>
      </w:r>
      <w:r>
        <w:rPr>
          <w:color w:val="000000"/>
          <w:highlight w:val="none"/>
        </w:rPr>
        <w:t>1996）表2中无组织排放监控浓度限值（周界外浓度最高点≤1.0mg/m</w:t>
      </w:r>
      <w:r>
        <w:rPr>
          <w:color w:val="000000"/>
          <w:highlight w:val="none"/>
          <w:vertAlign w:val="superscript"/>
        </w:rPr>
        <w:t>3</w:t>
      </w:r>
      <w:r>
        <w:rPr>
          <w:color w:val="000000"/>
          <w:highlight w:val="none"/>
        </w:rPr>
        <w:t>）。</w:t>
      </w:r>
    </w:p>
    <w:p w14:paraId="5EA00E1B">
      <w:pPr>
        <w:rPr>
          <w:color w:val="000000"/>
          <w:highlight w:val="none"/>
        </w:rPr>
      </w:pPr>
      <w:r>
        <w:rPr>
          <w:color w:val="000000"/>
          <w:highlight w:val="none"/>
        </w:rPr>
        <w:t>②运营期</w:t>
      </w:r>
    </w:p>
    <w:p w14:paraId="7988B531">
      <w:pPr>
        <w:spacing w:line="360" w:lineRule="auto"/>
        <w:ind w:firstLine="480" w:firstLineChars="200"/>
        <w:jc w:val="left"/>
        <w:rPr>
          <w:rFonts w:hint="eastAsia" w:ascii="Times New Roman" w:hAnsi="Times New Roman" w:eastAsia="宋体" w:cs="宋体"/>
          <w:b w:val="0"/>
          <w:bCs w:val="0"/>
          <w:color w:val="000000"/>
          <w:kern w:val="0"/>
          <w:szCs w:val="24"/>
          <w:highlight w:val="none"/>
          <w:lang w:val="en-US" w:eastAsia="zh-CN"/>
        </w:rPr>
      </w:pPr>
      <w:r>
        <w:rPr>
          <w:rFonts w:ascii="Times New Roman" w:hAnsi="Times New Roman" w:eastAsia="宋体" w:cs="宋体"/>
          <w:b w:val="0"/>
          <w:bCs w:val="0"/>
          <w:color w:val="000000"/>
          <w:kern w:val="0"/>
          <w:szCs w:val="24"/>
          <w:highlight w:val="none"/>
        </w:rPr>
        <w:t>本项目运营期废气污染源主要为</w:t>
      </w:r>
      <w:r>
        <w:rPr>
          <w:rFonts w:hint="eastAsia" w:ascii="Times New Roman" w:hAnsi="Times New Roman" w:eastAsia="宋体" w:cs="宋体"/>
          <w:b w:val="0"/>
          <w:bCs w:val="0"/>
          <w:color w:val="000000"/>
          <w:kern w:val="0"/>
          <w:szCs w:val="24"/>
          <w:highlight w:val="none"/>
          <w:lang w:val="en-US" w:eastAsia="zh-CN"/>
        </w:rPr>
        <w:t>生物质锅炉烟气、育肥</w:t>
      </w:r>
      <w:r>
        <w:rPr>
          <w:rFonts w:ascii="Times New Roman" w:hAnsi="Times New Roman" w:eastAsia="宋体" w:cs="宋体"/>
          <w:b w:val="0"/>
          <w:bCs w:val="0"/>
          <w:color w:val="000000"/>
          <w:kern w:val="0"/>
          <w:szCs w:val="24"/>
          <w:highlight w:val="none"/>
        </w:rPr>
        <w:t>舍、</w:t>
      </w:r>
      <w:r>
        <w:rPr>
          <w:rFonts w:hint="eastAsia" w:ascii="Times New Roman" w:hAnsi="Times New Roman" w:eastAsia="宋体" w:cs="宋体"/>
          <w:b w:val="0"/>
          <w:bCs w:val="0"/>
          <w:color w:val="000000"/>
          <w:kern w:val="0"/>
          <w:szCs w:val="24"/>
          <w:highlight w:val="none"/>
        </w:rPr>
        <w:t>堆</w:t>
      </w:r>
      <w:r>
        <w:rPr>
          <w:rFonts w:hint="eastAsia" w:cs="宋体"/>
          <w:b w:val="0"/>
          <w:bCs w:val="0"/>
          <w:color w:val="000000"/>
          <w:kern w:val="0"/>
          <w:szCs w:val="24"/>
          <w:highlight w:val="none"/>
          <w:lang w:val="en-US" w:eastAsia="zh-CN"/>
        </w:rPr>
        <w:t>肥</w:t>
      </w:r>
      <w:r>
        <w:rPr>
          <w:rFonts w:hint="eastAsia" w:ascii="Times New Roman" w:hAnsi="Times New Roman" w:eastAsia="宋体" w:cs="宋体"/>
          <w:b w:val="0"/>
          <w:bCs w:val="0"/>
          <w:color w:val="000000"/>
          <w:kern w:val="0"/>
          <w:szCs w:val="24"/>
          <w:highlight w:val="none"/>
        </w:rPr>
        <w:t>场</w:t>
      </w:r>
      <w:r>
        <w:rPr>
          <w:rFonts w:ascii="Times New Roman" w:hAnsi="Times New Roman" w:eastAsia="宋体" w:cs="宋体"/>
          <w:b w:val="0"/>
          <w:bCs w:val="0"/>
          <w:color w:val="000000"/>
          <w:kern w:val="0"/>
          <w:szCs w:val="24"/>
          <w:highlight w:val="none"/>
        </w:rPr>
        <w:t>、</w:t>
      </w:r>
      <w:r>
        <w:rPr>
          <w:rFonts w:hint="eastAsia" w:ascii="Times New Roman" w:hAnsi="Times New Roman" w:eastAsia="宋体" w:cs="宋体"/>
          <w:b w:val="0"/>
          <w:bCs w:val="0"/>
          <w:color w:val="000000"/>
          <w:kern w:val="0"/>
          <w:szCs w:val="24"/>
          <w:highlight w:val="none"/>
        </w:rPr>
        <w:t>干湿分离</w:t>
      </w:r>
      <w:r>
        <w:rPr>
          <w:rFonts w:hint="eastAsia" w:cs="宋体"/>
          <w:b w:val="0"/>
          <w:bCs w:val="0"/>
          <w:color w:val="000000"/>
          <w:kern w:val="0"/>
          <w:szCs w:val="24"/>
          <w:highlight w:val="none"/>
          <w:lang w:val="en-US" w:eastAsia="zh-CN"/>
        </w:rPr>
        <w:t>房</w:t>
      </w:r>
      <w:r>
        <w:rPr>
          <w:rFonts w:ascii="Times New Roman" w:hAnsi="Times New Roman" w:eastAsia="宋体" w:cs="宋体"/>
          <w:b w:val="0"/>
          <w:bCs w:val="0"/>
          <w:color w:val="000000"/>
          <w:kern w:val="0"/>
          <w:szCs w:val="24"/>
          <w:highlight w:val="none"/>
        </w:rPr>
        <w:t>、</w:t>
      </w:r>
      <w:r>
        <w:rPr>
          <w:rFonts w:hint="eastAsia" w:cs="宋体"/>
          <w:b w:val="0"/>
          <w:bCs w:val="0"/>
          <w:color w:val="000000"/>
          <w:kern w:val="0"/>
          <w:szCs w:val="24"/>
          <w:highlight w:val="none"/>
          <w:lang w:val="en-US" w:eastAsia="zh-CN"/>
        </w:rPr>
        <w:t>粪污处理池</w:t>
      </w:r>
      <w:r>
        <w:rPr>
          <w:rFonts w:hint="eastAsia" w:ascii="Times New Roman" w:hAnsi="Times New Roman" w:eastAsia="宋体" w:cs="宋体"/>
          <w:b w:val="0"/>
          <w:bCs w:val="0"/>
          <w:color w:val="000000"/>
          <w:kern w:val="0"/>
          <w:szCs w:val="24"/>
          <w:highlight w:val="none"/>
        </w:rPr>
        <w:t>池</w:t>
      </w:r>
      <w:r>
        <w:rPr>
          <w:rFonts w:ascii="Times New Roman" w:hAnsi="Times New Roman" w:eastAsia="宋体" w:cs="宋体"/>
          <w:b w:val="0"/>
          <w:bCs w:val="0"/>
          <w:color w:val="000000"/>
          <w:kern w:val="0"/>
          <w:szCs w:val="24"/>
          <w:highlight w:val="none"/>
        </w:rPr>
        <w:t>等产生的恶臭。</w:t>
      </w:r>
      <w:r>
        <w:rPr>
          <w:rFonts w:hint="eastAsia" w:ascii="Times New Roman" w:hAnsi="Times New Roman" w:eastAsia="宋体" w:cs="宋体"/>
          <w:b w:val="0"/>
          <w:bCs w:val="0"/>
          <w:color w:val="000000"/>
          <w:kern w:val="0"/>
          <w:szCs w:val="24"/>
          <w:highlight w:val="none"/>
          <w:lang w:val="en-US" w:eastAsia="zh-CN"/>
        </w:rPr>
        <w:t>其中，生物质锅炉烟气中的SO</w:t>
      </w:r>
      <w:r>
        <w:rPr>
          <w:rFonts w:hint="eastAsia" w:ascii="Times New Roman" w:hAnsi="Times New Roman" w:eastAsia="宋体" w:cs="宋体"/>
          <w:b w:val="0"/>
          <w:bCs w:val="0"/>
          <w:color w:val="000000"/>
          <w:kern w:val="0"/>
          <w:szCs w:val="24"/>
          <w:highlight w:val="none"/>
          <w:vertAlign w:val="subscript"/>
          <w:lang w:val="en-US" w:eastAsia="zh-CN"/>
        </w:rPr>
        <w:t>2</w:t>
      </w:r>
      <w:r>
        <w:rPr>
          <w:rFonts w:hint="eastAsia" w:ascii="Times New Roman" w:hAnsi="Times New Roman" w:eastAsia="宋体" w:cs="宋体"/>
          <w:b w:val="0"/>
          <w:bCs w:val="0"/>
          <w:color w:val="000000"/>
          <w:kern w:val="0"/>
          <w:szCs w:val="24"/>
          <w:highlight w:val="none"/>
          <w:vertAlign w:val="baseline"/>
          <w:lang w:val="en-US" w:eastAsia="zh-CN"/>
        </w:rPr>
        <w:t>、NO</w:t>
      </w:r>
      <w:r>
        <w:rPr>
          <w:rFonts w:hint="eastAsia" w:ascii="Times New Roman" w:hAnsi="Times New Roman" w:eastAsia="宋体" w:cs="宋体"/>
          <w:b w:val="0"/>
          <w:bCs w:val="0"/>
          <w:color w:val="000000"/>
          <w:kern w:val="0"/>
          <w:szCs w:val="24"/>
          <w:highlight w:val="none"/>
          <w:vertAlign w:val="subscript"/>
          <w:lang w:val="en-US" w:eastAsia="zh-CN"/>
        </w:rPr>
        <w:t>2</w:t>
      </w:r>
      <w:r>
        <w:rPr>
          <w:rFonts w:hint="eastAsia" w:ascii="Times New Roman" w:hAnsi="Times New Roman" w:eastAsia="宋体" w:cs="宋体"/>
          <w:b w:val="0"/>
          <w:bCs w:val="0"/>
          <w:color w:val="000000"/>
          <w:kern w:val="0"/>
          <w:szCs w:val="24"/>
          <w:highlight w:val="none"/>
          <w:vertAlign w:val="baseline"/>
          <w:lang w:val="en-US" w:eastAsia="zh-CN"/>
        </w:rPr>
        <w:t>、</w:t>
      </w:r>
      <w:r>
        <w:rPr>
          <w:rFonts w:hint="eastAsia" w:cs="宋体"/>
          <w:b w:val="0"/>
          <w:bCs w:val="0"/>
          <w:color w:val="000000"/>
          <w:kern w:val="0"/>
          <w:szCs w:val="24"/>
          <w:highlight w:val="none"/>
          <w:vertAlign w:val="baseline"/>
          <w:lang w:val="en-US" w:eastAsia="zh-CN"/>
        </w:rPr>
        <w:t>颗粒物参照</w:t>
      </w:r>
      <w:r>
        <w:rPr>
          <w:rFonts w:hint="eastAsia" w:ascii="Times New Roman" w:hAnsi="Times New Roman" w:eastAsia="宋体" w:cs="宋体"/>
          <w:b w:val="0"/>
          <w:bCs w:val="0"/>
          <w:color w:val="000000"/>
          <w:kern w:val="0"/>
          <w:szCs w:val="24"/>
          <w:highlight w:val="none"/>
          <w:vertAlign w:val="baseline"/>
          <w:lang w:val="en-US" w:eastAsia="zh-CN"/>
        </w:rPr>
        <w:t>执行《锅炉</w:t>
      </w:r>
      <w:r>
        <w:rPr>
          <w:rFonts w:hint="eastAsia" w:cs="宋体"/>
          <w:b w:val="0"/>
          <w:bCs w:val="0"/>
          <w:color w:val="000000"/>
          <w:kern w:val="0"/>
          <w:szCs w:val="24"/>
          <w:highlight w:val="none"/>
          <w:vertAlign w:val="baseline"/>
          <w:lang w:val="en-US" w:eastAsia="zh-CN"/>
        </w:rPr>
        <w:t>大气</w:t>
      </w:r>
      <w:r>
        <w:rPr>
          <w:rFonts w:hint="eastAsia" w:ascii="Times New Roman" w:hAnsi="Times New Roman" w:eastAsia="宋体" w:cs="宋体"/>
          <w:b w:val="0"/>
          <w:bCs w:val="0"/>
          <w:color w:val="000000"/>
          <w:kern w:val="0"/>
          <w:szCs w:val="24"/>
          <w:highlight w:val="none"/>
          <w:vertAlign w:val="baseline"/>
          <w:lang w:val="en-US" w:eastAsia="zh-CN"/>
        </w:rPr>
        <w:t>污染物排放标准》（GB13271-2014）表2中的燃煤锅炉标准限值；</w:t>
      </w:r>
      <w:r>
        <w:rPr>
          <w:rFonts w:ascii="Times New Roman" w:hAnsi="Times New Roman" w:eastAsia="宋体" w:cs="宋体"/>
          <w:b w:val="0"/>
          <w:bCs w:val="0"/>
          <w:color w:val="000000"/>
          <w:kern w:val="0"/>
          <w:szCs w:val="24"/>
          <w:highlight w:val="none"/>
        </w:rPr>
        <w:t>NH</w:t>
      </w:r>
      <w:r>
        <w:rPr>
          <w:rFonts w:ascii="Times New Roman" w:hAnsi="Times New Roman" w:eastAsia="宋体" w:cs="宋体"/>
          <w:b w:val="0"/>
          <w:bCs w:val="0"/>
          <w:color w:val="000000"/>
          <w:kern w:val="0"/>
          <w:szCs w:val="24"/>
          <w:highlight w:val="none"/>
          <w:vertAlign w:val="subscript"/>
        </w:rPr>
        <w:t>3</w:t>
      </w:r>
      <w:r>
        <w:rPr>
          <w:rFonts w:ascii="Times New Roman" w:hAnsi="Times New Roman" w:eastAsia="宋体" w:cs="宋体"/>
          <w:b w:val="0"/>
          <w:bCs w:val="0"/>
          <w:color w:val="000000"/>
          <w:kern w:val="0"/>
          <w:szCs w:val="24"/>
          <w:highlight w:val="none"/>
        </w:rPr>
        <w:t>、H</w:t>
      </w:r>
      <w:r>
        <w:rPr>
          <w:rFonts w:ascii="Times New Roman" w:hAnsi="Times New Roman" w:eastAsia="宋体" w:cs="宋体"/>
          <w:b w:val="0"/>
          <w:bCs w:val="0"/>
          <w:color w:val="000000"/>
          <w:kern w:val="0"/>
          <w:szCs w:val="24"/>
          <w:highlight w:val="none"/>
          <w:vertAlign w:val="subscript"/>
        </w:rPr>
        <w:t>2</w:t>
      </w:r>
      <w:r>
        <w:rPr>
          <w:rFonts w:ascii="Times New Roman" w:hAnsi="Times New Roman" w:eastAsia="宋体" w:cs="宋体"/>
          <w:b w:val="0"/>
          <w:bCs w:val="0"/>
          <w:color w:val="000000"/>
          <w:kern w:val="0"/>
          <w:szCs w:val="24"/>
          <w:highlight w:val="none"/>
        </w:rPr>
        <w:t>S无组织排放标准值执行《恶臭污染物排放标准》（GB14554-93）中新污染源二级标准（氨</w:t>
      </w:r>
      <w:r>
        <w:rPr>
          <w:rFonts w:hint="eastAsia" w:ascii="Times New Roman" w:hAnsi="Times New Roman" w:eastAsia="宋体" w:cs="宋体"/>
          <w:b w:val="0"/>
          <w:bCs w:val="0"/>
          <w:color w:val="000000"/>
          <w:kern w:val="0"/>
          <w:szCs w:val="24"/>
          <w:highlight w:val="none"/>
          <w:lang w:val="en-US" w:eastAsia="zh-CN"/>
        </w:rPr>
        <w:t>1.5</w:t>
      </w:r>
      <w:r>
        <w:rPr>
          <w:rFonts w:ascii="Times New Roman" w:hAnsi="Times New Roman" w:eastAsia="宋体" w:cs="宋体"/>
          <w:b w:val="0"/>
          <w:bCs w:val="0"/>
          <w:color w:val="000000"/>
          <w:kern w:val="0"/>
          <w:szCs w:val="24"/>
          <w:highlight w:val="none"/>
        </w:rPr>
        <w:t>mg/m</w:t>
      </w:r>
      <w:r>
        <w:rPr>
          <w:rFonts w:ascii="Times New Roman" w:hAnsi="Times New Roman" w:eastAsia="宋体" w:cs="宋体"/>
          <w:b w:val="0"/>
          <w:bCs w:val="0"/>
          <w:color w:val="000000"/>
          <w:kern w:val="0"/>
          <w:szCs w:val="24"/>
          <w:highlight w:val="none"/>
          <w:vertAlign w:val="superscript"/>
        </w:rPr>
        <w:t>3</w:t>
      </w:r>
      <w:r>
        <w:rPr>
          <w:rFonts w:ascii="Times New Roman" w:hAnsi="Times New Roman" w:eastAsia="宋体" w:cs="宋体"/>
          <w:b w:val="0"/>
          <w:bCs w:val="0"/>
          <w:color w:val="000000"/>
          <w:kern w:val="0"/>
          <w:szCs w:val="24"/>
          <w:highlight w:val="none"/>
        </w:rPr>
        <w:t>，硫化氢0.0</w:t>
      </w:r>
      <w:r>
        <w:rPr>
          <w:rFonts w:hint="eastAsia" w:ascii="Times New Roman" w:hAnsi="Times New Roman" w:eastAsia="宋体" w:cs="宋体"/>
          <w:b w:val="0"/>
          <w:bCs w:val="0"/>
          <w:color w:val="000000"/>
          <w:kern w:val="0"/>
          <w:szCs w:val="24"/>
          <w:highlight w:val="none"/>
          <w:lang w:val="en-US" w:eastAsia="zh-CN"/>
        </w:rPr>
        <w:t>6</w:t>
      </w:r>
      <w:r>
        <w:rPr>
          <w:rFonts w:ascii="Times New Roman" w:hAnsi="Times New Roman" w:eastAsia="宋体" w:cs="宋体"/>
          <w:b w:val="0"/>
          <w:bCs w:val="0"/>
          <w:color w:val="000000"/>
          <w:kern w:val="0"/>
          <w:szCs w:val="24"/>
          <w:highlight w:val="none"/>
        </w:rPr>
        <w:t>mg/m</w:t>
      </w:r>
      <w:r>
        <w:rPr>
          <w:rFonts w:ascii="Times New Roman" w:hAnsi="Times New Roman" w:eastAsia="宋体" w:cs="宋体"/>
          <w:b w:val="0"/>
          <w:bCs w:val="0"/>
          <w:color w:val="000000"/>
          <w:kern w:val="0"/>
          <w:szCs w:val="24"/>
          <w:highlight w:val="none"/>
          <w:vertAlign w:val="superscript"/>
        </w:rPr>
        <w:t>3</w:t>
      </w:r>
      <w:r>
        <w:rPr>
          <w:rFonts w:ascii="Times New Roman" w:hAnsi="Times New Roman" w:eastAsia="宋体" w:cs="宋体"/>
          <w:b w:val="0"/>
          <w:bCs w:val="0"/>
          <w:color w:val="000000"/>
          <w:kern w:val="0"/>
          <w:szCs w:val="24"/>
          <w:highlight w:val="none"/>
        </w:rPr>
        <w:t>）；</w:t>
      </w:r>
      <w:r>
        <w:rPr>
          <w:rFonts w:hint="eastAsia" w:ascii="Times New Roman" w:hAnsi="Times New Roman" w:eastAsia="宋体" w:cs="宋体"/>
          <w:b w:val="0"/>
          <w:bCs w:val="0"/>
          <w:color w:val="000000"/>
          <w:kern w:val="0"/>
          <w:szCs w:val="24"/>
          <w:highlight w:val="none"/>
          <w:lang w:val="en-US" w:eastAsia="zh-CN"/>
        </w:rPr>
        <w:t>臭气浓度无组织排放执行《畜禽养殖业污染物排放标准》（GB18596-2001）中表7集约化畜禽养殖业恶臭污染物排放标准</w:t>
      </w:r>
      <w:r>
        <w:rPr>
          <w:rFonts w:hint="eastAsia" w:cs="宋体"/>
          <w:b w:val="0"/>
          <w:bCs w:val="0"/>
          <w:color w:val="000000"/>
          <w:kern w:val="0"/>
          <w:szCs w:val="24"/>
          <w:highlight w:val="none"/>
          <w:lang w:val="en-US" w:eastAsia="zh-CN"/>
        </w:rPr>
        <w:t>，具体见下表</w:t>
      </w:r>
      <w:r>
        <w:rPr>
          <w:rFonts w:ascii="Times New Roman" w:hAnsi="Times New Roman" w:eastAsia="宋体" w:cs="宋体"/>
          <w:b w:val="0"/>
          <w:bCs w:val="0"/>
          <w:color w:val="000000"/>
          <w:kern w:val="0"/>
          <w:szCs w:val="24"/>
          <w:highlight w:val="none"/>
        </w:rPr>
        <w:t>。</w:t>
      </w:r>
    </w:p>
    <w:p w14:paraId="3983D82D">
      <w:pPr>
        <w:pStyle w:val="30"/>
        <w:bidi w:val="0"/>
        <w:rPr>
          <w:rFonts w:hint="default"/>
        </w:rPr>
      </w:pPr>
      <w:r>
        <w:rPr>
          <w:rFonts w:hint="default"/>
        </w:rPr>
        <w:t>表2.</w:t>
      </w:r>
      <w:r>
        <w:rPr>
          <w:rFonts w:hint="eastAsia"/>
          <w:lang w:val="en-US" w:eastAsia="zh-CN"/>
        </w:rPr>
        <w:t>2</w:t>
      </w:r>
      <w:r>
        <w:rPr>
          <w:rFonts w:hint="default"/>
        </w:rPr>
        <w:t>-</w:t>
      </w:r>
      <w:r>
        <w:rPr>
          <w:rFonts w:hint="eastAsia"/>
          <w:lang w:val="en-US" w:eastAsia="zh-CN"/>
        </w:rPr>
        <w:t>8</w:t>
      </w:r>
      <w:r>
        <w:rPr>
          <w:rFonts w:hint="default"/>
        </w:rPr>
        <w:t xml:space="preserve"> </w:t>
      </w:r>
      <w:r>
        <w:rPr>
          <w:rFonts w:hint="eastAsia"/>
          <w:lang w:val="en-US" w:eastAsia="zh-CN"/>
        </w:rPr>
        <w:t xml:space="preserve"> </w:t>
      </w:r>
      <w:r>
        <w:rPr>
          <w:rFonts w:hint="default"/>
        </w:rPr>
        <w:t xml:space="preserve"> 运营期大气污染物排放标准</w:t>
      </w:r>
    </w:p>
    <w:tbl>
      <w:tblPr>
        <w:tblStyle w:val="29"/>
        <w:tblW w:w="85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2"/>
        <w:gridCol w:w="1149"/>
        <w:gridCol w:w="1155"/>
        <w:gridCol w:w="1000"/>
        <w:gridCol w:w="950"/>
        <w:gridCol w:w="3771"/>
      </w:tblGrid>
      <w:tr w14:paraId="7905F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jc w:val="center"/>
        </w:trPr>
        <w:tc>
          <w:tcPr>
            <w:tcW w:w="492" w:type="dxa"/>
            <w:noWrap w:val="0"/>
            <w:vAlign w:val="center"/>
          </w:tcPr>
          <w:p w14:paraId="218884C3">
            <w:pPr>
              <w:pStyle w:val="19"/>
              <w:bidi w:val="0"/>
              <w:rPr>
                <w:rFonts w:hint="default"/>
              </w:rPr>
            </w:pPr>
            <w:r>
              <w:rPr>
                <w:rFonts w:hint="default"/>
              </w:rPr>
              <w:t>序号</w:t>
            </w:r>
          </w:p>
        </w:tc>
        <w:tc>
          <w:tcPr>
            <w:tcW w:w="1149" w:type="dxa"/>
            <w:noWrap w:val="0"/>
            <w:vAlign w:val="center"/>
          </w:tcPr>
          <w:p w14:paraId="4590C4CB">
            <w:pPr>
              <w:pStyle w:val="19"/>
              <w:bidi w:val="0"/>
              <w:rPr>
                <w:rFonts w:hint="default"/>
              </w:rPr>
            </w:pPr>
            <w:r>
              <w:rPr>
                <w:rFonts w:hint="default"/>
              </w:rPr>
              <w:t>排放方式</w:t>
            </w:r>
          </w:p>
        </w:tc>
        <w:tc>
          <w:tcPr>
            <w:tcW w:w="1155" w:type="dxa"/>
            <w:noWrap w:val="0"/>
            <w:vAlign w:val="center"/>
          </w:tcPr>
          <w:p w14:paraId="1F4AC09B">
            <w:pPr>
              <w:pStyle w:val="19"/>
              <w:bidi w:val="0"/>
              <w:rPr>
                <w:rFonts w:hint="default"/>
              </w:rPr>
            </w:pPr>
            <w:r>
              <w:rPr>
                <w:rFonts w:hint="default"/>
              </w:rPr>
              <w:t>污染因子</w:t>
            </w:r>
          </w:p>
        </w:tc>
        <w:tc>
          <w:tcPr>
            <w:tcW w:w="1000" w:type="dxa"/>
            <w:noWrap w:val="0"/>
            <w:vAlign w:val="center"/>
          </w:tcPr>
          <w:p w14:paraId="0311FDDA">
            <w:pPr>
              <w:pStyle w:val="19"/>
              <w:bidi w:val="0"/>
              <w:rPr>
                <w:rFonts w:hint="default"/>
              </w:rPr>
            </w:pPr>
            <w:r>
              <w:rPr>
                <w:rFonts w:hint="default"/>
              </w:rPr>
              <w:t>标准值</w:t>
            </w:r>
          </w:p>
        </w:tc>
        <w:tc>
          <w:tcPr>
            <w:tcW w:w="950" w:type="dxa"/>
            <w:noWrap w:val="0"/>
            <w:vAlign w:val="center"/>
          </w:tcPr>
          <w:p w14:paraId="6E0FBFEE">
            <w:pPr>
              <w:pStyle w:val="19"/>
              <w:bidi w:val="0"/>
              <w:rPr>
                <w:rFonts w:hint="default"/>
              </w:rPr>
            </w:pPr>
            <w:r>
              <w:rPr>
                <w:rFonts w:hint="default"/>
              </w:rPr>
              <w:t>单位</w:t>
            </w:r>
          </w:p>
        </w:tc>
        <w:tc>
          <w:tcPr>
            <w:tcW w:w="3771" w:type="dxa"/>
            <w:noWrap w:val="0"/>
            <w:vAlign w:val="center"/>
          </w:tcPr>
          <w:p w14:paraId="2750B0A1">
            <w:pPr>
              <w:pStyle w:val="19"/>
              <w:bidi w:val="0"/>
              <w:rPr>
                <w:rFonts w:hint="default"/>
              </w:rPr>
            </w:pPr>
            <w:r>
              <w:rPr>
                <w:rFonts w:hint="default"/>
              </w:rPr>
              <w:t>标准来源</w:t>
            </w:r>
          </w:p>
        </w:tc>
      </w:tr>
      <w:tr w14:paraId="6FE51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jc w:val="center"/>
        </w:trPr>
        <w:tc>
          <w:tcPr>
            <w:tcW w:w="492" w:type="dxa"/>
            <w:noWrap w:val="0"/>
            <w:vAlign w:val="center"/>
          </w:tcPr>
          <w:p w14:paraId="162FCC4B">
            <w:pPr>
              <w:pStyle w:val="19"/>
              <w:bidi w:val="0"/>
              <w:rPr>
                <w:rFonts w:hint="default"/>
                <w:lang w:val="en-US" w:eastAsia="zh-CN"/>
              </w:rPr>
            </w:pPr>
            <w:r>
              <w:rPr>
                <w:rFonts w:hint="eastAsia"/>
                <w:lang w:val="en-US" w:eastAsia="zh-CN"/>
              </w:rPr>
              <w:t>1</w:t>
            </w:r>
          </w:p>
        </w:tc>
        <w:tc>
          <w:tcPr>
            <w:tcW w:w="1149" w:type="dxa"/>
            <w:vMerge w:val="restart"/>
            <w:noWrap w:val="0"/>
            <w:vAlign w:val="center"/>
          </w:tcPr>
          <w:p w14:paraId="1292CCA4">
            <w:pPr>
              <w:pStyle w:val="19"/>
              <w:bidi w:val="0"/>
              <w:rPr>
                <w:rFonts w:hint="default"/>
                <w:lang w:val="en-US" w:eastAsia="zh-CN"/>
              </w:rPr>
            </w:pPr>
            <w:r>
              <w:rPr>
                <w:rFonts w:hint="eastAsia"/>
                <w:lang w:val="en-US" w:eastAsia="zh-CN"/>
              </w:rPr>
              <w:t>有组织</w:t>
            </w:r>
          </w:p>
        </w:tc>
        <w:tc>
          <w:tcPr>
            <w:tcW w:w="1155" w:type="dxa"/>
            <w:noWrap w:val="0"/>
            <w:vAlign w:val="center"/>
          </w:tcPr>
          <w:p w14:paraId="02AFC8E5">
            <w:pPr>
              <w:pStyle w:val="19"/>
              <w:bidi w:val="0"/>
              <w:rPr>
                <w:rFonts w:hint="default"/>
                <w:lang w:val="en-US" w:eastAsia="zh-CN"/>
              </w:rPr>
            </w:pPr>
            <w:r>
              <w:rPr>
                <w:rFonts w:hint="eastAsia"/>
                <w:lang w:val="en-US" w:eastAsia="zh-CN"/>
              </w:rPr>
              <w:t>颗粒物</w:t>
            </w:r>
          </w:p>
        </w:tc>
        <w:tc>
          <w:tcPr>
            <w:tcW w:w="1000" w:type="dxa"/>
            <w:noWrap w:val="0"/>
            <w:vAlign w:val="center"/>
          </w:tcPr>
          <w:p w14:paraId="5482938A">
            <w:pPr>
              <w:pStyle w:val="19"/>
              <w:bidi w:val="0"/>
              <w:rPr>
                <w:rFonts w:hint="default"/>
                <w:lang w:val="en-US" w:eastAsia="zh-CN"/>
              </w:rPr>
            </w:pPr>
            <w:r>
              <w:rPr>
                <w:rFonts w:hint="eastAsia"/>
                <w:lang w:val="en-US" w:eastAsia="zh-CN"/>
              </w:rPr>
              <w:t>50</w:t>
            </w:r>
          </w:p>
        </w:tc>
        <w:tc>
          <w:tcPr>
            <w:tcW w:w="950" w:type="dxa"/>
            <w:noWrap w:val="0"/>
            <w:vAlign w:val="center"/>
          </w:tcPr>
          <w:p w14:paraId="45F76FC5">
            <w:pPr>
              <w:pStyle w:val="19"/>
              <w:bidi w:val="0"/>
              <w:rPr>
                <w:rFonts w:hint="default"/>
                <w:lang w:val="en-US" w:eastAsia="zh-CN"/>
              </w:rPr>
            </w:pPr>
            <w:r>
              <w:rPr>
                <w:rFonts w:hint="default"/>
                <w:lang w:val="en-US" w:eastAsia="zh-CN"/>
              </w:rPr>
              <w:t>mg/m</w:t>
            </w:r>
            <w:r>
              <w:rPr>
                <w:rFonts w:hint="default"/>
                <w:vertAlign w:val="superscript"/>
                <w:lang w:val="en-US" w:eastAsia="zh-CN"/>
              </w:rPr>
              <w:t>3</w:t>
            </w:r>
          </w:p>
        </w:tc>
        <w:tc>
          <w:tcPr>
            <w:tcW w:w="3771" w:type="dxa"/>
            <w:vMerge w:val="restart"/>
            <w:noWrap w:val="0"/>
            <w:vAlign w:val="center"/>
          </w:tcPr>
          <w:p w14:paraId="79C9503D">
            <w:pPr>
              <w:pStyle w:val="19"/>
              <w:bidi w:val="0"/>
              <w:rPr>
                <w:rFonts w:hint="eastAsia"/>
                <w:lang w:val="en-US" w:eastAsia="zh-CN"/>
              </w:rPr>
            </w:pPr>
            <w:r>
              <w:rPr>
                <w:rFonts w:hint="eastAsia" w:ascii="Times New Roman" w:hAnsi="Times New Roman" w:eastAsia="宋体" w:cs="宋体"/>
                <w:b w:val="0"/>
                <w:bCs w:val="0"/>
                <w:color w:val="000000"/>
                <w:kern w:val="0"/>
                <w:szCs w:val="24"/>
                <w:highlight w:val="none"/>
                <w:vertAlign w:val="baseline"/>
                <w:lang w:val="en-US" w:eastAsia="zh-CN"/>
              </w:rPr>
              <w:t>《锅炉污染物排放标准》（GB13271-2014）表2中的燃煤锅炉标准限值</w:t>
            </w:r>
          </w:p>
        </w:tc>
      </w:tr>
      <w:tr w14:paraId="63EF1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jc w:val="center"/>
        </w:trPr>
        <w:tc>
          <w:tcPr>
            <w:tcW w:w="492" w:type="dxa"/>
            <w:noWrap w:val="0"/>
            <w:vAlign w:val="center"/>
          </w:tcPr>
          <w:p w14:paraId="032DEEF1">
            <w:pPr>
              <w:pStyle w:val="19"/>
              <w:bidi w:val="0"/>
              <w:rPr>
                <w:rFonts w:hint="default"/>
                <w:lang w:val="en-US" w:eastAsia="zh-CN"/>
              </w:rPr>
            </w:pPr>
            <w:r>
              <w:rPr>
                <w:rFonts w:hint="eastAsia"/>
                <w:lang w:val="en-US" w:eastAsia="zh-CN"/>
              </w:rPr>
              <w:t>2</w:t>
            </w:r>
          </w:p>
        </w:tc>
        <w:tc>
          <w:tcPr>
            <w:tcW w:w="1149" w:type="dxa"/>
            <w:vMerge w:val="continue"/>
            <w:noWrap w:val="0"/>
            <w:vAlign w:val="center"/>
          </w:tcPr>
          <w:p w14:paraId="0EA36688">
            <w:pPr>
              <w:pStyle w:val="19"/>
              <w:bidi w:val="0"/>
              <w:rPr>
                <w:rFonts w:hint="eastAsia"/>
                <w:lang w:val="en-US" w:eastAsia="zh-CN"/>
              </w:rPr>
            </w:pPr>
          </w:p>
        </w:tc>
        <w:tc>
          <w:tcPr>
            <w:tcW w:w="1155" w:type="dxa"/>
            <w:noWrap w:val="0"/>
            <w:vAlign w:val="center"/>
          </w:tcPr>
          <w:p w14:paraId="35149E6B">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二氧化硫</w:t>
            </w:r>
          </w:p>
        </w:tc>
        <w:tc>
          <w:tcPr>
            <w:tcW w:w="1000" w:type="dxa"/>
            <w:noWrap w:val="0"/>
            <w:vAlign w:val="center"/>
          </w:tcPr>
          <w:p w14:paraId="18D8F2F1">
            <w:pPr>
              <w:pStyle w:val="19"/>
              <w:bidi w:val="0"/>
              <w:rPr>
                <w:rFonts w:hint="default"/>
                <w:lang w:val="en-US" w:eastAsia="zh-CN"/>
              </w:rPr>
            </w:pPr>
            <w:r>
              <w:rPr>
                <w:rFonts w:hint="eastAsia"/>
                <w:lang w:val="en-US" w:eastAsia="zh-CN"/>
              </w:rPr>
              <w:t>300</w:t>
            </w:r>
          </w:p>
        </w:tc>
        <w:tc>
          <w:tcPr>
            <w:tcW w:w="950" w:type="dxa"/>
            <w:noWrap w:val="0"/>
            <w:vAlign w:val="center"/>
          </w:tcPr>
          <w:p w14:paraId="6939CABF">
            <w:pPr>
              <w:pStyle w:val="19"/>
              <w:bidi w:val="0"/>
              <w:rPr>
                <w:rFonts w:hint="default"/>
                <w:lang w:val="en-US" w:eastAsia="zh-CN"/>
              </w:rPr>
            </w:pPr>
            <w:r>
              <w:rPr>
                <w:rFonts w:hint="default"/>
                <w:lang w:val="en-US" w:eastAsia="zh-CN"/>
              </w:rPr>
              <w:t>mg/m</w:t>
            </w:r>
            <w:r>
              <w:rPr>
                <w:rFonts w:hint="default"/>
                <w:vertAlign w:val="superscript"/>
                <w:lang w:val="en-US" w:eastAsia="zh-CN"/>
              </w:rPr>
              <w:t>3</w:t>
            </w:r>
          </w:p>
        </w:tc>
        <w:tc>
          <w:tcPr>
            <w:tcW w:w="3771" w:type="dxa"/>
            <w:vMerge w:val="continue"/>
            <w:noWrap w:val="0"/>
            <w:vAlign w:val="center"/>
          </w:tcPr>
          <w:p w14:paraId="6F608AEF">
            <w:pPr>
              <w:pStyle w:val="19"/>
              <w:bidi w:val="0"/>
              <w:rPr>
                <w:rFonts w:hint="eastAsia"/>
                <w:lang w:val="en-US" w:eastAsia="zh-CN"/>
              </w:rPr>
            </w:pPr>
          </w:p>
        </w:tc>
      </w:tr>
      <w:tr w14:paraId="2724E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jc w:val="center"/>
        </w:trPr>
        <w:tc>
          <w:tcPr>
            <w:tcW w:w="492" w:type="dxa"/>
            <w:noWrap w:val="0"/>
            <w:vAlign w:val="center"/>
          </w:tcPr>
          <w:p w14:paraId="39E8F7DB">
            <w:pPr>
              <w:pStyle w:val="19"/>
              <w:bidi w:val="0"/>
              <w:rPr>
                <w:rFonts w:hint="default"/>
                <w:lang w:val="en-US" w:eastAsia="zh-CN"/>
              </w:rPr>
            </w:pPr>
            <w:r>
              <w:rPr>
                <w:rFonts w:hint="eastAsia"/>
                <w:lang w:val="en-US" w:eastAsia="zh-CN"/>
              </w:rPr>
              <w:t>3</w:t>
            </w:r>
          </w:p>
        </w:tc>
        <w:tc>
          <w:tcPr>
            <w:tcW w:w="1149" w:type="dxa"/>
            <w:vMerge w:val="continue"/>
            <w:noWrap w:val="0"/>
            <w:vAlign w:val="center"/>
          </w:tcPr>
          <w:p w14:paraId="7F4ED728">
            <w:pPr>
              <w:pStyle w:val="19"/>
              <w:bidi w:val="0"/>
              <w:rPr>
                <w:rFonts w:hint="eastAsia"/>
                <w:lang w:val="en-US" w:eastAsia="zh-CN"/>
              </w:rPr>
            </w:pPr>
          </w:p>
        </w:tc>
        <w:tc>
          <w:tcPr>
            <w:tcW w:w="1155" w:type="dxa"/>
            <w:noWrap w:val="0"/>
            <w:vAlign w:val="center"/>
          </w:tcPr>
          <w:p w14:paraId="3D236EA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氮氧化物</w:t>
            </w:r>
          </w:p>
        </w:tc>
        <w:tc>
          <w:tcPr>
            <w:tcW w:w="1000" w:type="dxa"/>
            <w:noWrap w:val="0"/>
            <w:vAlign w:val="center"/>
          </w:tcPr>
          <w:p w14:paraId="3CE713BE">
            <w:pPr>
              <w:pStyle w:val="19"/>
              <w:bidi w:val="0"/>
              <w:rPr>
                <w:rFonts w:hint="default"/>
                <w:lang w:val="en-US" w:eastAsia="zh-CN"/>
              </w:rPr>
            </w:pPr>
            <w:r>
              <w:rPr>
                <w:rFonts w:hint="eastAsia"/>
                <w:lang w:val="en-US" w:eastAsia="zh-CN"/>
              </w:rPr>
              <w:t>300</w:t>
            </w:r>
          </w:p>
        </w:tc>
        <w:tc>
          <w:tcPr>
            <w:tcW w:w="950" w:type="dxa"/>
            <w:noWrap w:val="0"/>
            <w:vAlign w:val="center"/>
          </w:tcPr>
          <w:p w14:paraId="527E523B">
            <w:pPr>
              <w:pStyle w:val="19"/>
              <w:bidi w:val="0"/>
              <w:rPr>
                <w:rFonts w:hint="default"/>
                <w:lang w:val="en-US" w:eastAsia="zh-CN"/>
              </w:rPr>
            </w:pPr>
            <w:r>
              <w:rPr>
                <w:rFonts w:hint="default"/>
                <w:lang w:val="en-US" w:eastAsia="zh-CN"/>
              </w:rPr>
              <w:t>mg/m</w:t>
            </w:r>
            <w:r>
              <w:rPr>
                <w:rFonts w:hint="default"/>
                <w:vertAlign w:val="superscript"/>
                <w:lang w:val="en-US" w:eastAsia="zh-CN"/>
              </w:rPr>
              <w:t>3</w:t>
            </w:r>
          </w:p>
        </w:tc>
        <w:tc>
          <w:tcPr>
            <w:tcW w:w="3771" w:type="dxa"/>
            <w:vMerge w:val="continue"/>
            <w:noWrap w:val="0"/>
            <w:vAlign w:val="center"/>
          </w:tcPr>
          <w:p w14:paraId="5D22C675">
            <w:pPr>
              <w:pStyle w:val="19"/>
              <w:bidi w:val="0"/>
              <w:rPr>
                <w:rFonts w:hint="eastAsia"/>
                <w:lang w:val="en-US" w:eastAsia="zh-CN"/>
              </w:rPr>
            </w:pPr>
          </w:p>
        </w:tc>
      </w:tr>
      <w:tr w14:paraId="5B2CE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jc w:val="center"/>
        </w:trPr>
        <w:tc>
          <w:tcPr>
            <w:tcW w:w="492" w:type="dxa"/>
            <w:noWrap w:val="0"/>
            <w:vAlign w:val="center"/>
          </w:tcPr>
          <w:p w14:paraId="1DA9C895">
            <w:pPr>
              <w:pStyle w:val="19"/>
              <w:bidi w:val="0"/>
              <w:rPr>
                <w:rFonts w:hint="default"/>
                <w:lang w:val="en-US" w:eastAsia="zh-CN"/>
              </w:rPr>
            </w:pPr>
            <w:r>
              <w:rPr>
                <w:rFonts w:hint="eastAsia"/>
                <w:lang w:val="en-US" w:eastAsia="zh-CN"/>
              </w:rPr>
              <w:t>4</w:t>
            </w:r>
          </w:p>
        </w:tc>
        <w:tc>
          <w:tcPr>
            <w:tcW w:w="1149" w:type="dxa"/>
            <w:vMerge w:val="restart"/>
            <w:noWrap w:val="0"/>
            <w:vAlign w:val="center"/>
          </w:tcPr>
          <w:p w14:paraId="21DE5C94">
            <w:pPr>
              <w:pStyle w:val="19"/>
              <w:bidi w:val="0"/>
              <w:rPr>
                <w:rFonts w:hint="eastAsia"/>
                <w:lang w:val="en-US" w:eastAsia="zh-CN"/>
              </w:rPr>
            </w:pPr>
            <w:r>
              <w:rPr>
                <w:rFonts w:hint="eastAsia"/>
                <w:lang w:val="en-US" w:eastAsia="zh-CN"/>
              </w:rPr>
              <w:t>无组织</w:t>
            </w:r>
          </w:p>
        </w:tc>
        <w:tc>
          <w:tcPr>
            <w:tcW w:w="1155" w:type="dxa"/>
            <w:noWrap w:val="0"/>
            <w:vAlign w:val="center"/>
          </w:tcPr>
          <w:p w14:paraId="12845084">
            <w:pPr>
              <w:pStyle w:val="19"/>
              <w:bidi w:val="0"/>
              <w:rPr>
                <w:rFonts w:hint="default"/>
                <w:lang w:val="en-US" w:eastAsia="zh-CN"/>
              </w:rPr>
            </w:pPr>
            <w:r>
              <w:rPr>
                <w:rFonts w:hint="default"/>
                <w:lang w:val="en-US" w:eastAsia="zh-CN"/>
              </w:rPr>
              <w:t>氨</w:t>
            </w:r>
          </w:p>
        </w:tc>
        <w:tc>
          <w:tcPr>
            <w:tcW w:w="1000" w:type="dxa"/>
            <w:noWrap w:val="0"/>
            <w:vAlign w:val="center"/>
          </w:tcPr>
          <w:p w14:paraId="60904DD0">
            <w:pPr>
              <w:pStyle w:val="19"/>
              <w:bidi w:val="0"/>
              <w:rPr>
                <w:rFonts w:hint="default"/>
                <w:lang w:val="en-US" w:eastAsia="zh-CN"/>
              </w:rPr>
            </w:pPr>
            <w:r>
              <w:rPr>
                <w:rFonts w:hint="eastAsia"/>
                <w:lang w:val="en-US" w:eastAsia="zh-CN"/>
              </w:rPr>
              <w:t>1.5</w:t>
            </w:r>
          </w:p>
        </w:tc>
        <w:tc>
          <w:tcPr>
            <w:tcW w:w="950" w:type="dxa"/>
            <w:noWrap w:val="0"/>
            <w:vAlign w:val="center"/>
          </w:tcPr>
          <w:p w14:paraId="13FD3B2E">
            <w:pPr>
              <w:pStyle w:val="19"/>
              <w:bidi w:val="0"/>
              <w:rPr>
                <w:rFonts w:hint="default"/>
                <w:lang w:val="en-US" w:eastAsia="zh-CN"/>
              </w:rPr>
            </w:pPr>
            <w:r>
              <w:rPr>
                <w:rFonts w:hint="default"/>
                <w:lang w:val="en-US" w:eastAsia="zh-CN"/>
              </w:rPr>
              <w:t>mg/m</w:t>
            </w:r>
            <w:r>
              <w:rPr>
                <w:rFonts w:hint="default"/>
                <w:vertAlign w:val="superscript"/>
                <w:lang w:val="en-US" w:eastAsia="zh-CN"/>
              </w:rPr>
              <w:t>3</w:t>
            </w:r>
          </w:p>
        </w:tc>
        <w:tc>
          <w:tcPr>
            <w:tcW w:w="3771" w:type="dxa"/>
            <w:vMerge w:val="restart"/>
            <w:noWrap w:val="0"/>
            <w:vAlign w:val="center"/>
          </w:tcPr>
          <w:p w14:paraId="4A9B1E0E">
            <w:pPr>
              <w:pStyle w:val="19"/>
              <w:bidi w:val="0"/>
              <w:rPr>
                <w:rFonts w:hint="default"/>
                <w:lang w:val="en-US" w:eastAsia="zh-CN"/>
              </w:rPr>
            </w:pPr>
            <w:r>
              <w:rPr>
                <w:rFonts w:hint="eastAsia"/>
                <w:lang w:val="en-US" w:eastAsia="zh-CN"/>
              </w:rPr>
              <w:t>《恶臭污染物排放标准》（GB14554-93）中新污染源二级标准</w:t>
            </w:r>
          </w:p>
        </w:tc>
      </w:tr>
      <w:tr w14:paraId="05383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jc w:val="center"/>
        </w:trPr>
        <w:tc>
          <w:tcPr>
            <w:tcW w:w="492" w:type="dxa"/>
            <w:noWrap w:val="0"/>
            <w:vAlign w:val="center"/>
          </w:tcPr>
          <w:p w14:paraId="7823DE3D">
            <w:pPr>
              <w:pStyle w:val="19"/>
              <w:bidi w:val="0"/>
              <w:rPr>
                <w:rFonts w:hint="default"/>
                <w:lang w:val="en-US" w:eastAsia="zh-CN"/>
              </w:rPr>
            </w:pPr>
            <w:r>
              <w:rPr>
                <w:rFonts w:hint="eastAsia"/>
                <w:lang w:val="en-US" w:eastAsia="zh-CN"/>
              </w:rPr>
              <w:t>5</w:t>
            </w:r>
          </w:p>
        </w:tc>
        <w:tc>
          <w:tcPr>
            <w:tcW w:w="1149" w:type="dxa"/>
            <w:vMerge w:val="continue"/>
            <w:noWrap w:val="0"/>
            <w:vAlign w:val="center"/>
          </w:tcPr>
          <w:p w14:paraId="6A631B9A">
            <w:pPr>
              <w:pStyle w:val="19"/>
              <w:bidi w:val="0"/>
              <w:rPr>
                <w:rFonts w:hint="eastAsia"/>
                <w:lang w:val="en-US" w:eastAsia="zh-CN"/>
              </w:rPr>
            </w:pPr>
          </w:p>
        </w:tc>
        <w:tc>
          <w:tcPr>
            <w:tcW w:w="1155" w:type="dxa"/>
            <w:noWrap w:val="0"/>
            <w:vAlign w:val="center"/>
          </w:tcPr>
          <w:p w14:paraId="58085941">
            <w:pPr>
              <w:pStyle w:val="19"/>
              <w:bidi w:val="0"/>
              <w:rPr>
                <w:rFonts w:hint="eastAsia"/>
                <w:lang w:val="en-US" w:eastAsia="zh-CN"/>
              </w:rPr>
            </w:pPr>
            <w:r>
              <w:rPr>
                <w:rFonts w:hint="eastAsia"/>
                <w:lang w:val="en-US" w:eastAsia="zh-CN"/>
              </w:rPr>
              <w:t>硫化氢</w:t>
            </w:r>
          </w:p>
        </w:tc>
        <w:tc>
          <w:tcPr>
            <w:tcW w:w="1000" w:type="dxa"/>
            <w:noWrap w:val="0"/>
            <w:vAlign w:val="center"/>
          </w:tcPr>
          <w:p w14:paraId="3D63B6F5">
            <w:pPr>
              <w:pStyle w:val="19"/>
              <w:bidi w:val="0"/>
              <w:rPr>
                <w:rFonts w:hint="default"/>
                <w:lang w:val="en-US" w:eastAsia="zh-CN"/>
              </w:rPr>
            </w:pPr>
            <w:r>
              <w:rPr>
                <w:rFonts w:hint="eastAsia"/>
                <w:lang w:val="en-US" w:eastAsia="zh-CN"/>
              </w:rPr>
              <w:t>0.06</w:t>
            </w:r>
          </w:p>
        </w:tc>
        <w:tc>
          <w:tcPr>
            <w:tcW w:w="950" w:type="dxa"/>
            <w:noWrap w:val="0"/>
            <w:vAlign w:val="center"/>
          </w:tcPr>
          <w:p w14:paraId="35F02996">
            <w:pPr>
              <w:pStyle w:val="19"/>
              <w:bidi w:val="0"/>
              <w:rPr>
                <w:rFonts w:hint="eastAsia"/>
                <w:lang w:val="en-US" w:eastAsia="zh-CN"/>
              </w:rPr>
            </w:pPr>
            <w:r>
              <w:rPr>
                <w:rFonts w:hint="default"/>
                <w:lang w:val="en-US" w:eastAsia="zh-CN"/>
              </w:rPr>
              <w:t>mg/m</w:t>
            </w:r>
            <w:r>
              <w:rPr>
                <w:rFonts w:hint="default"/>
                <w:vertAlign w:val="superscript"/>
                <w:lang w:val="en-US" w:eastAsia="zh-CN"/>
              </w:rPr>
              <w:t>3</w:t>
            </w:r>
          </w:p>
        </w:tc>
        <w:tc>
          <w:tcPr>
            <w:tcW w:w="3771" w:type="dxa"/>
            <w:vMerge w:val="continue"/>
            <w:noWrap w:val="0"/>
            <w:vAlign w:val="center"/>
          </w:tcPr>
          <w:p w14:paraId="41A947D6">
            <w:pPr>
              <w:pStyle w:val="19"/>
              <w:bidi w:val="0"/>
              <w:rPr>
                <w:rFonts w:hint="eastAsia"/>
                <w:lang w:val="en-US" w:eastAsia="zh-CN"/>
              </w:rPr>
            </w:pPr>
          </w:p>
        </w:tc>
      </w:tr>
      <w:tr w14:paraId="60344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1" w:hRule="atLeast"/>
          <w:jc w:val="center"/>
        </w:trPr>
        <w:tc>
          <w:tcPr>
            <w:tcW w:w="492" w:type="dxa"/>
            <w:noWrap w:val="0"/>
            <w:vAlign w:val="center"/>
          </w:tcPr>
          <w:p w14:paraId="414FFC61">
            <w:pPr>
              <w:pStyle w:val="19"/>
              <w:bidi w:val="0"/>
              <w:rPr>
                <w:rFonts w:hint="default"/>
                <w:lang w:val="en-US" w:eastAsia="zh-CN"/>
              </w:rPr>
            </w:pPr>
            <w:r>
              <w:rPr>
                <w:rFonts w:hint="eastAsia"/>
                <w:lang w:val="en-US" w:eastAsia="zh-CN"/>
              </w:rPr>
              <w:t>6</w:t>
            </w:r>
          </w:p>
        </w:tc>
        <w:tc>
          <w:tcPr>
            <w:tcW w:w="2304" w:type="dxa"/>
            <w:gridSpan w:val="2"/>
            <w:noWrap w:val="0"/>
            <w:vAlign w:val="center"/>
          </w:tcPr>
          <w:p w14:paraId="033C9250">
            <w:pPr>
              <w:pStyle w:val="19"/>
              <w:bidi w:val="0"/>
              <w:rPr>
                <w:rFonts w:hint="eastAsia"/>
                <w:lang w:val="en-US" w:eastAsia="zh-CN"/>
              </w:rPr>
            </w:pPr>
            <w:r>
              <w:rPr>
                <w:rFonts w:hint="eastAsia"/>
                <w:lang w:val="en-US" w:eastAsia="zh-CN"/>
              </w:rPr>
              <w:t>臭气浓度</w:t>
            </w:r>
          </w:p>
        </w:tc>
        <w:tc>
          <w:tcPr>
            <w:tcW w:w="1000" w:type="dxa"/>
            <w:noWrap w:val="0"/>
            <w:vAlign w:val="center"/>
          </w:tcPr>
          <w:p w14:paraId="581BBBB8">
            <w:pPr>
              <w:pStyle w:val="19"/>
              <w:bidi w:val="0"/>
              <w:rPr>
                <w:rFonts w:hint="default"/>
                <w:lang w:val="en-US" w:eastAsia="zh-CN"/>
              </w:rPr>
            </w:pPr>
            <w:r>
              <w:rPr>
                <w:rFonts w:hint="eastAsia"/>
                <w:lang w:val="en-US" w:eastAsia="zh-CN"/>
              </w:rPr>
              <w:t>70</w:t>
            </w:r>
          </w:p>
        </w:tc>
        <w:tc>
          <w:tcPr>
            <w:tcW w:w="950" w:type="dxa"/>
            <w:noWrap w:val="0"/>
            <w:vAlign w:val="center"/>
          </w:tcPr>
          <w:p w14:paraId="2E354108">
            <w:pPr>
              <w:pStyle w:val="19"/>
              <w:bidi w:val="0"/>
              <w:rPr>
                <w:rFonts w:hint="eastAsia"/>
                <w:lang w:val="en-US" w:eastAsia="zh-CN"/>
              </w:rPr>
            </w:pPr>
            <w:r>
              <w:rPr>
                <w:rFonts w:hint="eastAsia"/>
                <w:lang w:val="en-US" w:eastAsia="zh-CN"/>
              </w:rPr>
              <w:t>无量纲</w:t>
            </w:r>
          </w:p>
        </w:tc>
        <w:tc>
          <w:tcPr>
            <w:tcW w:w="3771" w:type="dxa"/>
            <w:noWrap w:val="0"/>
            <w:vAlign w:val="center"/>
          </w:tcPr>
          <w:p w14:paraId="1F4A70DA">
            <w:pPr>
              <w:pStyle w:val="19"/>
              <w:bidi w:val="0"/>
              <w:rPr>
                <w:rFonts w:hint="eastAsia"/>
                <w:lang w:val="en-US" w:eastAsia="zh-CN"/>
              </w:rPr>
            </w:pPr>
            <w:r>
              <w:rPr>
                <w:rFonts w:hint="eastAsia"/>
                <w:lang w:val="en-US" w:eastAsia="zh-CN"/>
              </w:rPr>
              <w:t>《畜禽养殖业污染物排放标准》（GB18596-2001）中表7集约化畜禽养殖业恶臭污染物排放标准</w:t>
            </w:r>
          </w:p>
        </w:tc>
      </w:tr>
    </w:tbl>
    <w:p w14:paraId="1B8F8497">
      <w:pPr>
        <w:rPr>
          <w:color w:val="000000"/>
          <w:highlight w:val="none"/>
        </w:rPr>
      </w:pPr>
      <w:r>
        <w:rPr>
          <w:color w:val="000000"/>
          <w:highlight w:val="none"/>
        </w:rPr>
        <w:t>（2）废水</w:t>
      </w:r>
    </w:p>
    <w:p w14:paraId="46A3C773">
      <w:pPr>
        <w:ind w:firstLine="480" w:firstLineChars="200"/>
        <w:rPr>
          <w:color w:val="000000"/>
          <w:highlight w:val="none"/>
        </w:rPr>
      </w:pPr>
      <w:r>
        <w:rPr>
          <w:color w:val="000000"/>
          <w:highlight w:val="none"/>
        </w:rPr>
        <w:t>根据《畜禽养殖业污染防治技术规范》（HJ/T81-2001）的规定，对污水进行沼气发酵，沼气发酵产物沼液应符合《粪便无害化卫生要求》（GB7959-2012）的相关要求，具体执行标准见表2.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9</w:t>
      </w:r>
      <w:r>
        <w:rPr>
          <w:color w:val="000000"/>
          <w:highlight w:val="none"/>
        </w:rPr>
        <w:t>。本项目废水应满足《畜禽养殖业污染物排放标准》（GB18596-2001）表4最高允许排水量、表5养殖业污染物最高允许日均排放浓度值，标准值见表2.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10和表2.2-11</w:t>
      </w:r>
      <w:r>
        <w:rPr>
          <w:color w:val="000000"/>
          <w:highlight w:val="none"/>
        </w:rPr>
        <w:t>。</w:t>
      </w:r>
    </w:p>
    <w:p w14:paraId="0085C4B7">
      <w:pPr>
        <w:pStyle w:val="30"/>
        <w:bidi w:val="0"/>
      </w:pPr>
      <w:r>
        <w:t>表2.</w:t>
      </w:r>
      <w:r>
        <w:rPr>
          <w:rFonts w:hint="eastAsia"/>
          <w:lang w:val="en-US" w:eastAsia="zh-CN"/>
        </w:rPr>
        <w:t>2</w:t>
      </w:r>
      <w:r>
        <w:t>-</w:t>
      </w:r>
      <w:r>
        <w:rPr>
          <w:rFonts w:hint="eastAsia"/>
          <w:lang w:val="en-US" w:eastAsia="zh-CN"/>
        </w:rPr>
        <w:t>9</w:t>
      </w:r>
      <w:r>
        <w:t xml:space="preserve"> </w:t>
      </w:r>
      <w:r>
        <w:rPr>
          <w:rFonts w:hint="eastAsia"/>
          <w:lang w:val="en-US" w:eastAsia="zh-CN"/>
        </w:rPr>
        <w:t xml:space="preserve"> </w:t>
      </w:r>
      <w:r>
        <w:t xml:space="preserve"> 沼气发酵的卫生标准</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15"/>
        <w:gridCol w:w="2465"/>
        <w:gridCol w:w="4829"/>
      </w:tblGrid>
      <w:tr w14:paraId="14FD1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1" w:type="pct"/>
            <w:noWrap w:val="0"/>
            <w:vAlign w:val="center"/>
          </w:tcPr>
          <w:p w14:paraId="37C5E7D6">
            <w:pPr>
              <w:pStyle w:val="19"/>
              <w:bidi w:val="0"/>
            </w:pPr>
            <w:r>
              <w:t>编号</w:t>
            </w:r>
          </w:p>
        </w:tc>
        <w:tc>
          <w:tcPr>
            <w:tcW w:w="1483" w:type="pct"/>
            <w:noWrap w:val="0"/>
            <w:vAlign w:val="center"/>
          </w:tcPr>
          <w:p w14:paraId="4FCEF34F">
            <w:pPr>
              <w:pStyle w:val="19"/>
              <w:bidi w:val="0"/>
            </w:pPr>
            <w:r>
              <w:t>项目</w:t>
            </w:r>
          </w:p>
        </w:tc>
        <w:tc>
          <w:tcPr>
            <w:tcW w:w="2905" w:type="pct"/>
            <w:noWrap w:val="0"/>
            <w:vAlign w:val="center"/>
          </w:tcPr>
          <w:p w14:paraId="18B1BC93">
            <w:pPr>
              <w:pStyle w:val="19"/>
              <w:bidi w:val="0"/>
            </w:pPr>
            <w:r>
              <w:t>卫生标准</w:t>
            </w:r>
          </w:p>
        </w:tc>
      </w:tr>
      <w:tr w14:paraId="2C274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1" w:type="pct"/>
            <w:noWrap w:val="0"/>
            <w:vAlign w:val="center"/>
          </w:tcPr>
          <w:p w14:paraId="1EEC1574">
            <w:pPr>
              <w:pStyle w:val="19"/>
              <w:bidi w:val="0"/>
            </w:pPr>
            <w:r>
              <w:t>1</w:t>
            </w:r>
          </w:p>
        </w:tc>
        <w:tc>
          <w:tcPr>
            <w:tcW w:w="1483" w:type="pct"/>
            <w:noWrap w:val="0"/>
            <w:vAlign w:val="center"/>
          </w:tcPr>
          <w:p w14:paraId="138163D7">
            <w:pPr>
              <w:pStyle w:val="19"/>
              <w:bidi w:val="0"/>
            </w:pPr>
            <w:r>
              <w:t>寄生虫卵沉降率</w:t>
            </w:r>
          </w:p>
        </w:tc>
        <w:tc>
          <w:tcPr>
            <w:tcW w:w="2905" w:type="pct"/>
            <w:noWrap w:val="0"/>
            <w:vAlign w:val="center"/>
          </w:tcPr>
          <w:p w14:paraId="18BFAEFD">
            <w:pPr>
              <w:pStyle w:val="19"/>
              <w:bidi w:val="0"/>
            </w:pPr>
            <w:r>
              <w:t>95％以上</w:t>
            </w:r>
          </w:p>
        </w:tc>
      </w:tr>
      <w:tr w14:paraId="3118D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1" w:type="pct"/>
            <w:noWrap w:val="0"/>
            <w:vAlign w:val="center"/>
          </w:tcPr>
          <w:p w14:paraId="22DDB575">
            <w:pPr>
              <w:pStyle w:val="19"/>
              <w:bidi w:val="0"/>
            </w:pPr>
            <w:r>
              <w:t>2</w:t>
            </w:r>
          </w:p>
        </w:tc>
        <w:tc>
          <w:tcPr>
            <w:tcW w:w="1483" w:type="pct"/>
            <w:noWrap w:val="0"/>
            <w:vAlign w:val="center"/>
          </w:tcPr>
          <w:p w14:paraId="34374777">
            <w:pPr>
              <w:pStyle w:val="19"/>
              <w:bidi w:val="0"/>
            </w:pPr>
            <w:r>
              <w:t>血吸虫卵和钩虫卵</w:t>
            </w:r>
          </w:p>
        </w:tc>
        <w:tc>
          <w:tcPr>
            <w:tcW w:w="2905" w:type="pct"/>
            <w:noWrap w:val="0"/>
            <w:vAlign w:val="center"/>
          </w:tcPr>
          <w:p w14:paraId="065D8536">
            <w:pPr>
              <w:pStyle w:val="19"/>
              <w:bidi w:val="0"/>
            </w:pPr>
            <w:r>
              <w:t>在使用粪液中不得检出活的血吸虫卵和钩虫卵</w:t>
            </w:r>
          </w:p>
        </w:tc>
      </w:tr>
      <w:tr w14:paraId="70670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1" w:type="pct"/>
            <w:noWrap w:val="0"/>
            <w:vAlign w:val="center"/>
          </w:tcPr>
          <w:p w14:paraId="3046DA82">
            <w:pPr>
              <w:pStyle w:val="19"/>
              <w:bidi w:val="0"/>
            </w:pPr>
            <w:r>
              <w:t>3</w:t>
            </w:r>
          </w:p>
        </w:tc>
        <w:tc>
          <w:tcPr>
            <w:tcW w:w="1483" w:type="pct"/>
            <w:noWrap w:val="0"/>
            <w:vAlign w:val="center"/>
          </w:tcPr>
          <w:p w14:paraId="35807E11">
            <w:pPr>
              <w:pStyle w:val="19"/>
              <w:bidi w:val="0"/>
            </w:pPr>
            <w:r>
              <w:t>粪大肠菌值</w:t>
            </w:r>
          </w:p>
        </w:tc>
        <w:tc>
          <w:tcPr>
            <w:tcW w:w="2905" w:type="pct"/>
            <w:noWrap w:val="0"/>
            <w:vAlign w:val="center"/>
          </w:tcPr>
          <w:p w14:paraId="303161D4">
            <w:pPr>
              <w:pStyle w:val="19"/>
              <w:bidi w:val="0"/>
            </w:pPr>
            <w:r>
              <w:t>常温沼气发酵10-4</w:t>
            </w:r>
          </w:p>
          <w:p w14:paraId="7762B5DD">
            <w:pPr>
              <w:pStyle w:val="19"/>
              <w:bidi w:val="0"/>
            </w:pPr>
            <w:r>
              <w:t>高温沼气发酵10-1～10-2</w:t>
            </w:r>
          </w:p>
        </w:tc>
      </w:tr>
      <w:tr w14:paraId="63417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11" w:type="pct"/>
            <w:noWrap w:val="0"/>
            <w:vAlign w:val="center"/>
          </w:tcPr>
          <w:p w14:paraId="1B060239">
            <w:pPr>
              <w:pStyle w:val="19"/>
              <w:bidi w:val="0"/>
            </w:pPr>
            <w:r>
              <w:t>4</w:t>
            </w:r>
          </w:p>
        </w:tc>
        <w:tc>
          <w:tcPr>
            <w:tcW w:w="1483" w:type="pct"/>
            <w:noWrap w:val="0"/>
            <w:vAlign w:val="center"/>
          </w:tcPr>
          <w:p w14:paraId="779DFF2A">
            <w:pPr>
              <w:pStyle w:val="19"/>
              <w:bidi w:val="0"/>
            </w:pPr>
            <w:r>
              <w:t>蚊子、苍蝇</w:t>
            </w:r>
          </w:p>
        </w:tc>
        <w:tc>
          <w:tcPr>
            <w:tcW w:w="2905" w:type="pct"/>
            <w:noWrap w:val="0"/>
            <w:vAlign w:val="center"/>
          </w:tcPr>
          <w:p w14:paraId="4F55A692">
            <w:pPr>
              <w:pStyle w:val="19"/>
              <w:bidi w:val="0"/>
            </w:pPr>
            <w:r>
              <w:t>有效地控制</w:t>
            </w:r>
            <w:r>
              <w:rPr>
                <w:rFonts w:hint="eastAsia"/>
              </w:rPr>
              <w:t>蚊蝇滋生</w:t>
            </w:r>
            <w:r>
              <w:t>，粪液中无孑孓，池的周围无活的蛆、蛹或新羽化的成蝇</w:t>
            </w:r>
          </w:p>
        </w:tc>
      </w:tr>
    </w:tbl>
    <w:p w14:paraId="5A7E4A29">
      <w:pPr>
        <w:pStyle w:val="30"/>
        <w:bidi w:val="0"/>
        <w:rPr>
          <w:rFonts w:hint="default" w:eastAsia="宋体"/>
          <w:lang w:val="en-US" w:eastAsia="zh-CN"/>
        </w:rPr>
      </w:pPr>
      <w:r>
        <w:rPr>
          <w:rFonts w:hint="eastAsia"/>
          <w:lang w:val="en-US" w:eastAsia="zh-CN"/>
        </w:rPr>
        <w:t>表2.2-10   集约化畜禽养殖业干清粪工艺最高允许排水量</w:t>
      </w:r>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76"/>
        <w:gridCol w:w="1222"/>
        <w:gridCol w:w="1222"/>
        <w:gridCol w:w="1222"/>
        <w:gridCol w:w="1222"/>
        <w:gridCol w:w="1223"/>
        <w:gridCol w:w="1223"/>
      </w:tblGrid>
      <w:tr w14:paraId="38D05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87" w:type="pct"/>
            <w:noWrap w:val="0"/>
            <w:vAlign w:val="center"/>
          </w:tcPr>
          <w:p w14:paraId="2EF17BDA">
            <w:pPr>
              <w:pStyle w:val="19"/>
              <w:bidi w:val="0"/>
              <w:rPr>
                <w:rFonts w:hint="eastAsia" w:eastAsia="宋体"/>
                <w:lang w:eastAsia="zh-CN"/>
              </w:rPr>
            </w:pPr>
            <w:r>
              <w:rPr>
                <w:rFonts w:hint="eastAsia"/>
                <w:lang w:val="en-US" w:eastAsia="zh-CN"/>
              </w:rPr>
              <w:t>种类</w:t>
            </w:r>
          </w:p>
        </w:tc>
        <w:tc>
          <w:tcPr>
            <w:tcW w:w="1470" w:type="pct"/>
            <w:gridSpan w:val="2"/>
            <w:noWrap w:val="0"/>
            <w:vAlign w:val="center"/>
          </w:tcPr>
          <w:p w14:paraId="73791FAC">
            <w:pPr>
              <w:pStyle w:val="19"/>
              <w:bidi w:val="0"/>
              <w:rPr>
                <w:rFonts w:hint="eastAsia"/>
                <w:lang w:val="en-US" w:eastAsia="zh-CN"/>
              </w:rPr>
            </w:pPr>
            <w:r>
              <w:rPr>
                <w:rFonts w:hint="eastAsia"/>
                <w:lang w:val="en-US" w:eastAsia="zh-CN"/>
              </w:rPr>
              <w:t>猪</w:t>
            </w:r>
          </w:p>
          <w:p w14:paraId="3D43ED87">
            <w:pPr>
              <w:pStyle w:val="19"/>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vertAlign w:val="baseline"/>
                <w:lang w:val="en-US" w:eastAsia="zh-CN"/>
              </w:rPr>
              <w:t>/（百头·d）</w:t>
            </w:r>
            <w:r>
              <w:rPr>
                <w:rFonts w:hint="eastAsia"/>
                <w:lang w:val="en-US" w:eastAsia="zh-CN"/>
              </w:rPr>
              <w:t>]</w:t>
            </w:r>
          </w:p>
        </w:tc>
        <w:tc>
          <w:tcPr>
            <w:tcW w:w="1470" w:type="pct"/>
            <w:gridSpan w:val="2"/>
            <w:noWrap w:val="0"/>
            <w:vAlign w:val="center"/>
          </w:tcPr>
          <w:p w14:paraId="122493FB">
            <w:pPr>
              <w:pStyle w:val="19"/>
              <w:bidi w:val="0"/>
              <w:rPr>
                <w:rFonts w:hint="eastAsia" w:eastAsia="宋体"/>
                <w:lang w:val="en-US" w:eastAsia="zh-CN"/>
              </w:rPr>
            </w:pPr>
            <w:r>
              <w:rPr>
                <w:rFonts w:hint="eastAsia"/>
                <w:lang w:val="en-US" w:eastAsia="zh-CN"/>
              </w:rPr>
              <w:t>鸡</w:t>
            </w:r>
          </w:p>
          <w:p w14:paraId="16F24E87">
            <w:pPr>
              <w:pStyle w:val="19"/>
              <w:bidi w:val="0"/>
            </w:pPr>
            <w:r>
              <w:rPr>
                <w:rFonts w:hint="eastAsia"/>
                <w:lang w:val="en-US" w:eastAsia="zh-CN"/>
              </w:rPr>
              <w:t>[m</w:t>
            </w:r>
            <w:r>
              <w:rPr>
                <w:rFonts w:hint="eastAsia"/>
                <w:vertAlign w:val="superscript"/>
                <w:lang w:val="en-US" w:eastAsia="zh-CN"/>
              </w:rPr>
              <w:t>3</w:t>
            </w:r>
            <w:r>
              <w:rPr>
                <w:rFonts w:hint="eastAsia"/>
                <w:vertAlign w:val="baseline"/>
                <w:lang w:val="en-US" w:eastAsia="zh-CN"/>
              </w:rPr>
              <w:t>/（千只·d）</w:t>
            </w:r>
            <w:r>
              <w:rPr>
                <w:rFonts w:hint="eastAsia"/>
                <w:lang w:val="en-US" w:eastAsia="zh-CN"/>
              </w:rPr>
              <w:t>]</w:t>
            </w:r>
          </w:p>
        </w:tc>
        <w:tc>
          <w:tcPr>
            <w:tcW w:w="1470" w:type="pct"/>
            <w:gridSpan w:val="2"/>
            <w:noWrap w:val="0"/>
            <w:vAlign w:val="center"/>
          </w:tcPr>
          <w:p w14:paraId="680554A4">
            <w:pPr>
              <w:pStyle w:val="19"/>
              <w:bidi w:val="0"/>
              <w:rPr>
                <w:rFonts w:hint="eastAsia" w:eastAsia="宋体"/>
                <w:lang w:val="en-US" w:eastAsia="zh-CN"/>
              </w:rPr>
            </w:pPr>
            <w:r>
              <w:rPr>
                <w:rFonts w:hint="eastAsia"/>
                <w:lang w:val="en-US" w:eastAsia="zh-CN"/>
              </w:rPr>
              <w:t>牛</w:t>
            </w:r>
          </w:p>
          <w:p w14:paraId="2F85E744">
            <w:pPr>
              <w:pStyle w:val="19"/>
              <w:bidi w:val="0"/>
            </w:pPr>
            <w:r>
              <w:rPr>
                <w:rFonts w:hint="eastAsia"/>
                <w:lang w:val="en-US" w:eastAsia="zh-CN"/>
              </w:rPr>
              <w:t>[m</w:t>
            </w:r>
            <w:r>
              <w:rPr>
                <w:rFonts w:hint="eastAsia"/>
                <w:vertAlign w:val="superscript"/>
                <w:lang w:val="en-US" w:eastAsia="zh-CN"/>
              </w:rPr>
              <w:t>3</w:t>
            </w:r>
            <w:r>
              <w:rPr>
                <w:rFonts w:hint="eastAsia"/>
                <w:vertAlign w:val="baseline"/>
                <w:lang w:val="en-US" w:eastAsia="zh-CN"/>
              </w:rPr>
              <w:t>/（百头·d）</w:t>
            </w:r>
            <w:r>
              <w:rPr>
                <w:rFonts w:hint="eastAsia"/>
                <w:lang w:val="en-US" w:eastAsia="zh-CN"/>
              </w:rPr>
              <w:t>]</w:t>
            </w:r>
          </w:p>
        </w:tc>
      </w:tr>
      <w:tr w14:paraId="066F5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87" w:type="pct"/>
            <w:noWrap w:val="0"/>
            <w:vAlign w:val="center"/>
          </w:tcPr>
          <w:p w14:paraId="25A432D4">
            <w:pPr>
              <w:pStyle w:val="19"/>
              <w:bidi w:val="0"/>
              <w:rPr>
                <w:rFonts w:hint="default"/>
                <w:lang w:val="en-US" w:eastAsia="zh-CN"/>
              </w:rPr>
            </w:pPr>
            <w:r>
              <w:rPr>
                <w:rFonts w:hint="eastAsia"/>
                <w:lang w:val="en-US" w:eastAsia="zh-CN"/>
              </w:rPr>
              <w:t>季节</w:t>
            </w:r>
          </w:p>
        </w:tc>
        <w:tc>
          <w:tcPr>
            <w:tcW w:w="735" w:type="pct"/>
            <w:noWrap w:val="0"/>
            <w:vAlign w:val="center"/>
          </w:tcPr>
          <w:p w14:paraId="2BD95939">
            <w:pPr>
              <w:pStyle w:val="19"/>
              <w:bidi w:val="0"/>
              <w:rPr>
                <w:rFonts w:hint="eastAsia" w:eastAsia="宋体"/>
                <w:lang w:val="en-US" w:eastAsia="zh-CN"/>
              </w:rPr>
            </w:pPr>
            <w:r>
              <w:rPr>
                <w:rFonts w:hint="eastAsia"/>
                <w:lang w:val="en-US" w:eastAsia="zh-CN"/>
              </w:rPr>
              <w:t>冬季</w:t>
            </w:r>
          </w:p>
        </w:tc>
        <w:tc>
          <w:tcPr>
            <w:tcW w:w="735" w:type="pct"/>
            <w:noWrap w:val="0"/>
            <w:vAlign w:val="center"/>
          </w:tcPr>
          <w:p w14:paraId="265CB331">
            <w:pPr>
              <w:pStyle w:val="19"/>
              <w:bidi w:val="0"/>
              <w:rPr>
                <w:rFonts w:hint="eastAsia" w:eastAsia="宋体"/>
                <w:lang w:val="en-US" w:eastAsia="zh-CN"/>
              </w:rPr>
            </w:pPr>
            <w:r>
              <w:rPr>
                <w:rFonts w:hint="eastAsia"/>
                <w:lang w:val="en-US" w:eastAsia="zh-CN"/>
              </w:rPr>
              <w:t>夏季</w:t>
            </w:r>
          </w:p>
        </w:tc>
        <w:tc>
          <w:tcPr>
            <w:tcW w:w="735" w:type="pct"/>
            <w:noWrap w:val="0"/>
            <w:vAlign w:val="center"/>
          </w:tcPr>
          <w:p w14:paraId="458018EF">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冬季</w:t>
            </w:r>
          </w:p>
        </w:tc>
        <w:tc>
          <w:tcPr>
            <w:tcW w:w="735" w:type="pct"/>
            <w:noWrap w:val="0"/>
            <w:vAlign w:val="center"/>
          </w:tcPr>
          <w:p w14:paraId="66A3B1B5">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夏季</w:t>
            </w:r>
          </w:p>
        </w:tc>
        <w:tc>
          <w:tcPr>
            <w:tcW w:w="735" w:type="pct"/>
            <w:noWrap w:val="0"/>
            <w:vAlign w:val="center"/>
          </w:tcPr>
          <w:p w14:paraId="34C0495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冬季</w:t>
            </w:r>
          </w:p>
        </w:tc>
        <w:tc>
          <w:tcPr>
            <w:tcW w:w="735" w:type="pct"/>
            <w:noWrap w:val="0"/>
            <w:vAlign w:val="center"/>
          </w:tcPr>
          <w:p w14:paraId="7D9B6E6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夏季</w:t>
            </w:r>
          </w:p>
        </w:tc>
      </w:tr>
      <w:tr w14:paraId="0A029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87" w:type="pct"/>
            <w:noWrap w:val="0"/>
            <w:vAlign w:val="center"/>
          </w:tcPr>
          <w:p w14:paraId="6D30AC4F">
            <w:pPr>
              <w:pStyle w:val="19"/>
              <w:bidi w:val="0"/>
            </w:pPr>
            <w:r>
              <w:t>标准值</w:t>
            </w:r>
          </w:p>
        </w:tc>
        <w:tc>
          <w:tcPr>
            <w:tcW w:w="735" w:type="pct"/>
            <w:noWrap w:val="0"/>
            <w:vAlign w:val="center"/>
          </w:tcPr>
          <w:p w14:paraId="26F144B6">
            <w:pPr>
              <w:pStyle w:val="19"/>
              <w:bidi w:val="0"/>
              <w:rPr>
                <w:rFonts w:hint="default" w:eastAsia="宋体"/>
                <w:lang w:val="en-US" w:eastAsia="zh-CN"/>
              </w:rPr>
            </w:pPr>
            <w:r>
              <w:rPr>
                <w:rFonts w:hint="eastAsia"/>
                <w:lang w:val="en-US" w:eastAsia="zh-CN"/>
              </w:rPr>
              <w:t>2.5</w:t>
            </w:r>
          </w:p>
        </w:tc>
        <w:tc>
          <w:tcPr>
            <w:tcW w:w="735" w:type="pct"/>
            <w:noWrap w:val="0"/>
            <w:vAlign w:val="center"/>
          </w:tcPr>
          <w:p w14:paraId="05215D81">
            <w:pPr>
              <w:pStyle w:val="19"/>
              <w:bidi w:val="0"/>
              <w:rPr>
                <w:rFonts w:hint="default" w:eastAsia="宋体"/>
                <w:lang w:val="en-US" w:eastAsia="zh-CN"/>
              </w:rPr>
            </w:pPr>
            <w:r>
              <w:rPr>
                <w:rFonts w:hint="eastAsia"/>
                <w:lang w:val="en-US" w:eastAsia="zh-CN"/>
              </w:rPr>
              <w:t>3.5</w:t>
            </w:r>
          </w:p>
        </w:tc>
        <w:tc>
          <w:tcPr>
            <w:tcW w:w="735" w:type="pct"/>
            <w:noWrap w:val="0"/>
            <w:vAlign w:val="center"/>
          </w:tcPr>
          <w:p w14:paraId="500622A5">
            <w:pPr>
              <w:pStyle w:val="19"/>
              <w:bidi w:val="0"/>
              <w:rPr>
                <w:rFonts w:hint="default" w:eastAsia="宋体"/>
                <w:lang w:val="en-US" w:eastAsia="zh-CN"/>
              </w:rPr>
            </w:pPr>
            <w:r>
              <w:rPr>
                <w:rFonts w:hint="eastAsia"/>
                <w:lang w:val="en-US" w:eastAsia="zh-CN"/>
              </w:rPr>
              <w:t>0.8</w:t>
            </w:r>
          </w:p>
        </w:tc>
        <w:tc>
          <w:tcPr>
            <w:tcW w:w="735" w:type="pct"/>
            <w:noWrap w:val="0"/>
            <w:vAlign w:val="center"/>
          </w:tcPr>
          <w:p w14:paraId="76D91476">
            <w:pPr>
              <w:pStyle w:val="19"/>
              <w:bidi w:val="0"/>
              <w:rPr>
                <w:rFonts w:hint="default" w:eastAsia="宋体"/>
                <w:lang w:val="en-US" w:eastAsia="zh-CN"/>
              </w:rPr>
            </w:pPr>
            <w:r>
              <w:rPr>
                <w:rFonts w:hint="eastAsia"/>
                <w:lang w:val="en-US" w:eastAsia="zh-CN"/>
              </w:rPr>
              <w:t>1.2</w:t>
            </w:r>
          </w:p>
        </w:tc>
        <w:tc>
          <w:tcPr>
            <w:tcW w:w="735" w:type="pct"/>
            <w:noWrap w:val="0"/>
            <w:vAlign w:val="center"/>
          </w:tcPr>
          <w:p w14:paraId="73194BFD">
            <w:pPr>
              <w:pStyle w:val="19"/>
              <w:bidi w:val="0"/>
              <w:rPr>
                <w:rFonts w:hint="default" w:eastAsia="宋体"/>
                <w:lang w:val="en-US" w:eastAsia="zh-CN"/>
              </w:rPr>
            </w:pPr>
            <w:r>
              <w:rPr>
                <w:rFonts w:hint="eastAsia"/>
                <w:lang w:val="en-US" w:eastAsia="zh-CN"/>
              </w:rPr>
              <w:t>20</w:t>
            </w:r>
          </w:p>
        </w:tc>
        <w:tc>
          <w:tcPr>
            <w:tcW w:w="735" w:type="pct"/>
            <w:noWrap w:val="0"/>
            <w:vAlign w:val="center"/>
          </w:tcPr>
          <w:p w14:paraId="67F86845">
            <w:pPr>
              <w:pStyle w:val="19"/>
              <w:bidi w:val="0"/>
              <w:rPr>
                <w:rFonts w:hint="default" w:eastAsia="宋体"/>
                <w:lang w:val="en-US" w:eastAsia="zh-CN"/>
              </w:rPr>
            </w:pPr>
            <w:r>
              <w:rPr>
                <w:rFonts w:hint="eastAsia"/>
                <w:lang w:val="en-US" w:eastAsia="zh-CN"/>
              </w:rPr>
              <w:t>30</w:t>
            </w:r>
          </w:p>
        </w:tc>
      </w:tr>
    </w:tbl>
    <w:p w14:paraId="55A90C9A">
      <w:pPr>
        <w:pStyle w:val="30"/>
        <w:bidi w:val="0"/>
      </w:pPr>
      <w:r>
        <w:t>表2.</w:t>
      </w:r>
      <w:r>
        <w:rPr>
          <w:rFonts w:hint="eastAsia"/>
          <w:lang w:val="en-US" w:eastAsia="zh-CN"/>
        </w:rPr>
        <w:t>2</w:t>
      </w:r>
      <w:r>
        <w:t>-</w:t>
      </w:r>
      <w:r>
        <w:rPr>
          <w:rFonts w:hint="eastAsia"/>
          <w:lang w:val="en-US" w:eastAsia="zh-CN"/>
        </w:rPr>
        <w:t>11</w:t>
      </w:r>
      <w:r>
        <w:t xml:space="preserve"> </w:t>
      </w:r>
      <w:r>
        <w:rPr>
          <w:rFonts w:hint="eastAsia"/>
          <w:lang w:val="en-US" w:eastAsia="zh-CN"/>
        </w:rPr>
        <w:t xml:space="preserve"> </w:t>
      </w:r>
      <w:r>
        <w:t xml:space="preserve"> 集约化畜禽养殖业水污染物最高允许日均排放浓度</w:t>
      </w:r>
    </w:p>
    <w:tbl>
      <w:tblPr>
        <w:tblStyle w:val="29"/>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7"/>
        <w:gridCol w:w="1220"/>
        <w:gridCol w:w="1155"/>
        <w:gridCol w:w="903"/>
        <w:gridCol w:w="881"/>
        <w:gridCol w:w="1165"/>
        <w:gridCol w:w="1411"/>
        <w:gridCol w:w="873"/>
      </w:tblGrid>
      <w:tr w14:paraId="667E0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419" w:type="pct"/>
            <w:noWrap w:val="0"/>
            <w:vAlign w:val="center"/>
          </w:tcPr>
          <w:p w14:paraId="3EBDFD2E">
            <w:pPr>
              <w:pStyle w:val="19"/>
              <w:bidi w:val="0"/>
            </w:pPr>
            <w:r>
              <w:t>控制项目</w:t>
            </w:r>
          </w:p>
        </w:tc>
        <w:tc>
          <w:tcPr>
            <w:tcW w:w="734" w:type="pct"/>
            <w:noWrap w:val="0"/>
            <w:vAlign w:val="center"/>
          </w:tcPr>
          <w:p w14:paraId="67BD0311">
            <w:pPr>
              <w:pStyle w:val="19"/>
              <w:bidi w:val="0"/>
            </w:pPr>
            <w:r>
              <w:t>五日生化需氧量（mg/L）</w:t>
            </w:r>
          </w:p>
        </w:tc>
        <w:tc>
          <w:tcPr>
            <w:tcW w:w="695" w:type="pct"/>
            <w:noWrap w:val="0"/>
            <w:vAlign w:val="center"/>
          </w:tcPr>
          <w:p w14:paraId="5A092D52">
            <w:pPr>
              <w:pStyle w:val="19"/>
              <w:bidi w:val="0"/>
            </w:pPr>
            <w:r>
              <w:t>化学需氧量（mg/L）</w:t>
            </w:r>
          </w:p>
        </w:tc>
        <w:tc>
          <w:tcPr>
            <w:tcW w:w="543" w:type="pct"/>
            <w:noWrap w:val="0"/>
            <w:vAlign w:val="center"/>
          </w:tcPr>
          <w:p w14:paraId="328D691E">
            <w:pPr>
              <w:pStyle w:val="19"/>
              <w:bidi w:val="0"/>
            </w:pPr>
            <w:r>
              <w:t>悬浮物（mg/L）</w:t>
            </w:r>
          </w:p>
        </w:tc>
        <w:tc>
          <w:tcPr>
            <w:tcW w:w="530" w:type="pct"/>
            <w:noWrap w:val="0"/>
            <w:vAlign w:val="center"/>
          </w:tcPr>
          <w:p w14:paraId="5A2186CE">
            <w:pPr>
              <w:pStyle w:val="19"/>
              <w:bidi w:val="0"/>
            </w:pPr>
            <w:r>
              <w:t>氨氮（mg/L）</w:t>
            </w:r>
          </w:p>
        </w:tc>
        <w:tc>
          <w:tcPr>
            <w:tcW w:w="701" w:type="pct"/>
            <w:noWrap w:val="0"/>
            <w:vAlign w:val="center"/>
          </w:tcPr>
          <w:p w14:paraId="0B1275AA">
            <w:pPr>
              <w:pStyle w:val="19"/>
              <w:bidi w:val="0"/>
            </w:pPr>
            <w:r>
              <w:t>总磷以P计（mg/L）</w:t>
            </w:r>
          </w:p>
        </w:tc>
        <w:tc>
          <w:tcPr>
            <w:tcW w:w="849" w:type="pct"/>
            <w:noWrap w:val="0"/>
            <w:vAlign w:val="center"/>
          </w:tcPr>
          <w:p w14:paraId="725D7A77">
            <w:pPr>
              <w:pStyle w:val="19"/>
              <w:bidi w:val="0"/>
            </w:pPr>
            <w:r>
              <w:t>粪大肠杆菌（个 /100mL）</w:t>
            </w:r>
          </w:p>
        </w:tc>
        <w:tc>
          <w:tcPr>
            <w:tcW w:w="525" w:type="pct"/>
            <w:noWrap w:val="0"/>
            <w:vAlign w:val="center"/>
          </w:tcPr>
          <w:p w14:paraId="44AA3815">
            <w:pPr>
              <w:pStyle w:val="19"/>
              <w:bidi w:val="0"/>
            </w:pPr>
            <w:r>
              <w:t>蛔虫卵（个/L）</w:t>
            </w:r>
          </w:p>
        </w:tc>
      </w:tr>
      <w:tr w14:paraId="2F00C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419" w:type="pct"/>
            <w:noWrap w:val="0"/>
            <w:vAlign w:val="center"/>
          </w:tcPr>
          <w:p w14:paraId="315DE53B">
            <w:pPr>
              <w:pStyle w:val="19"/>
              <w:bidi w:val="0"/>
            </w:pPr>
            <w:r>
              <w:t>标准值</w:t>
            </w:r>
          </w:p>
        </w:tc>
        <w:tc>
          <w:tcPr>
            <w:tcW w:w="734" w:type="pct"/>
            <w:noWrap w:val="0"/>
            <w:vAlign w:val="center"/>
          </w:tcPr>
          <w:p w14:paraId="2E62199E">
            <w:pPr>
              <w:pStyle w:val="19"/>
              <w:bidi w:val="0"/>
            </w:pPr>
            <w:r>
              <w:t>150</w:t>
            </w:r>
          </w:p>
        </w:tc>
        <w:tc>
          <w:tcPr>
            <w:tcW w:w="695" w:type="pct"/>
            <w:noWrap w:val="0"/>
            <w:vAlign w:val="center"/>
          </w:tcPr>
          <w:p w14:paraId="245305BD">
            <w:pPr>
              <w:pStyle w:val="19"/>
              <w:bidi w:val="0"/>
            </w:pPr>
            <w:r>
              <w:t>400</w:t>
            </w:r>
          </w:p>
        </w:tc>
        <w:tc>
          <w:tcPr>
            <w:tcW w:w="543" w:type="pct"/>
            <w:noWrap w:val="0"/>
            <w:vAlign w:val="center"/>
          </w:tcPr>
          <w:p w14:paraId="62AE5520">
            <w:pPr>
              <w:pStyle w:val="19"/>
              <w:bidi w:val="0"/>
            </w:pPr>
            <w:r>
              <w:t>200</w:t>
            </w:r>
          </w:p>
        </w:tc>
        <w:tc>
          <w:tcPr>
            <w:tcW w:w="530" w:type="pct"/>
            <w:noWrap w:val="0"/>
            <w:vAlign w:val="center"/>
          </w:tcPr>
          <w:p w14:paraId="73E0FF53">
            <w:pPr>
              <w:pStyle w:val="19"/>
              <w:bidi w:val="0"/>
            </w:pPr>
            <w:r>
              <w:t>80</w:t>
            </w:r>
          </w:p>
        </w:tc>
        <w:tc>
          <w:tcPr>
            <w:tcW w:w="701" w:type="pct"/>
            <w:noWrap w:val="0"/>
            <w:vAlign w:val="center"/>
          </w:tcPr>
          <w:p w14:paraId="715DC170">
            <w:pPr>
              <w:pStyle w:val="19"/>
              <w:bidi w:val="0"/>
            </w:pPr>
            <w:r>
              <w:t>8.0</w:t>
            </w:r>
          </w:p>
        </w:tc>
        <w:tc>
          <w:tcPr>
            <w:tcW w:w="849" w:type="pct"/>
            <w:noWrap w:val="0"/>
            <w:vAlign w:val="center"/>
          </w:tcPr>
          <w:p w14:paraId="5D072EB9">
            <w:pPr>
              <w:pStyle w:val="19"/>
              <w:bidi w:val="0"/>
            </w:pPr>
            <w:r>
              <w:t>1000</w:t>
            </w:r>
          </w:p>
        </w:tc>
        <w:tc>
          <w:tcPr>
            <w:tcW w:w="525" w:type="pct"/>
            <w:noWrap w:val="0"/>
            <w:vAlign w:val="center"/>
          </w:tcPr>
          <w:p w14:paraId="29C10A4E">
            <w:pPr>
              <w:pStyle w:val="19"/>
              <w:bidi w:val="0"/>
            </w:pPr>
            <w:r>
              <w:t>2.0</w:t>
            </w:r>
          </w:p>
        </w:tc>
      </w:tr>
    </w:tbl>
    <w:p w14:paraId="27B5DB73">
      <w:pPr>
        <w:rPr>
          <w:color w:val="000000"/>
          <w:highlight w:val="none"/>
        </w:rPr>
      </w:pPr>
      <w:r>
        <w:rPr>
          <w:color w:val="000000"/>
          <w:highlight w:val="none"/>
        </w:rPr>
        <w:t>（3）噪声排放标准</w:t>
      </w:r>
    </w:p>
    <w:p w14:paraId="36038859">
      <w:pPr>
        <w:ind w:firstLine="480" w:firstLineChars="200"/>
        <w:rPr>
          <w:color w:val="000000"/>
          <w:highlight w:val="none"/>
        </w:rPr>
      </w:pPr>
      <w:r>
        <w:rPr>
          <w:color w:val="000000"/>
          <w:highlight w:val="none"/>
        </w:rPr>
        <w:t>本项目施工期噪声执行《建筑施工场界环境噪声排放标准》（GB12523-2011）相关标准；运营期厂界噪声执行《工业企业厂界环境噪声排放标准》（GB12348-2008）中的2类标准，见表2.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12</w:t>
      </w:r>
      <w:r>
        <w:rPr>
          <w:color w:val="000000"/>
          <w:highlight w:val="none"/>
        </w:rPr>
        <w:t>。</w:t>
      </w:r>
    </w:p>
    <w:p w14:paraId="26ECED0F">
      <w:pPr>
        <w:pStyle w:val="30"/>
        <w:bidi w:val="0"/>
      </w:pPr>
      <w:r>
        <w:t>表2.</w:t>
      </w:r>
      <w:r>
        <w:rPr>
          <w:rFonts w:hint="eastAsia"/>
          <w:lang w:val="en-US" w:eastAsia="zh-CN"/>
        </w:rPr>
        <w:t>2</w:t>
      </w:r>
      <w:r>
        <w:t>-</w:t>
      </w:r>
      <w:r>
        <w:rPr>
          <w:rFonts w:hint="eastAsia"/>
          <w:lang w:val="en-US" w:eastAsia="zh-CN"/>
        </w:rPr>
        <w:t>12</w:t>
      </w:r>
      <w:r>
        <w:t xml:space="preserve"> </w:t>
      </w:r>
      <w:r>
        <w:rPr>
          <w:rFonts w:hint="eastAsia"/>
          <w:lang w:val="en-US" w:eastAsia="zh-CN"/>
        </w:rPr>
        <w:t xml:space="preserve"> </w:t>
      </w:r>
      <w:r>
        <w:t xml:space="preserve"> 噪声排放标准  （单位：dB（A））</w:t>
      </w:r>
    </w:p>
    <w:tbl>
      <w:tblPr>
        <w:tblStyle w:val="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6"/>
        <w:gridCol w:w="1224"/>
        <w:gridCol w:w="4107"/>
        <w:gridCol w:w="988"/>
        <w:gridCol w:w="994"/>
      </w:tblGrid>
      <w:tr w14:paraId="2F4A8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599" w:type="pct"/>
            <w:vMerge w:val="restart"/>
            <w:tcBorders>
              <w:bottom w:val="nil"/>
            </w:tcBorders>
            <w:noWrap w:val="0"/>
            <w:vAlign w:val="center"/>
          </w:tcPr>
          <w:p w14:paraId="57E4558F">
            <w:pPr>
              <w:pStyle w:val="19"/>
              <w:bidi w:val="0"/>
            </w:pPr>
            <w:r>
              <w:t>功能区</w:t>
            </w:r>
          </w:p>
        </w:tc>
        <w:tc>
          <w:tcPr>
            <w:tcW w:w="736" w:type="pct"/>
            <w:vMerge w:val="restart"/>
            <w:tcBorders>
              <w:bottom w:val="nil"/>
            </w:tcBorders>
            <w:noWrap w:val="0"/>
            <w:vAlign w:val="center"/>
          </w:tcPr>
          <w:p w14:paraId="2EC7388F">
            <w:pPr>
              <w:pStyle w:val="19"/>
              <w:bidi w:val="0"/>
            </w:pPr>
            <w:r>
              <w:t>功能区类型</w:t>
            </w:r>
          </w:p>
        </w:tc>
        <w:tc>
          <w:tcPr>
            <w:tcW w:w="2470" w:type="pct"/>
            <w:vMerge w:val="restart"/>
            <w:tcBorders>
              <w:bottom w:val="nil"/>
            </w:tcBorders>
            <w:noWrap w:val="0"/>
            <w:vAlign w:val="center"/>
          </w:tcPr>
          <w:p w14:paraId="65EDBE42">
            <w:pPr>
              <w:pStyle w:val="19"/>
              <w:bidi w:val="0"/>
            </w:pPr>
            <w:r>
              <w:t>执行的标准与级别</w:t>
            </w:r>
          </w:p>
        </w:tc>
        <w:tc>
          <w:tcPr>
            <w:tcW w:w="1192" w:type="pct"/>
            <w:gridSpan w:val="2"/>
            <w:noWrap w:val="0"/>
            <w:vAlign w:val="center"/>
          </w:tcPr>
          <w:p w14:paraId="7D8C5967">
            <w:pPr>
              <w:pStyle w:val="19"/>
              <w:bidi w:val="0"/>
            </w:pPr>
            <w:r>
              <w:t>标准值〔dB（A）〕</w:t>
            </w:r>
          </w:p>
        </w:tc>
      </w:tr>
      <w:tr w14:paraId="5D8DC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599" w:type="pct"/>
            <w:vMerge w:val="continue"/>
            <w:tcBorders>
              <w:top w:val="nil"/>
            </w:tcBorders>
            <w:noWrap w:val="0"/>
            <w:vAlign w:val="center"/>
          </w:tcPr>
          <w:p w14:paraId="60EEB846">
            <w:pPr>
              <w:pStyle w:val="19"/>
              <w:bidi w:val="0"/>
            </w:pPr>
          </w:p>
        </w:tc>
        <w:tc>
          <w:tcPr>
            <w:tcW w:w="736" w:type="pct"/>
            <w:vMerge w:val="continue"/>
            <w:tcBorders>
              <w:top w:val="nil"/>
            </w:tcBorders>
            <w:noWrap w:val="0"/>
            <w:vAlign w:val="center"/>
          </w:tcPr>
          <w:p w14:paraId="6B39303B">
            <w:pPr>
              <w:pStyle w:val="19"/>
              <w:bidi w:val="0"/>
            </w:pPr>
          </w:p>
        </w:tc>
        <w:tc>
          <w:tcPr>
            <w:tcW w:w="2470" w:type="pct"/>
            <w:vMerge w:val="continue"/>
            <w:tcBorders>
              <w:top w:val="nil"/>
            </w:tcBorders>
            <w:noWrap w:val="0"/>
            <w:vAlign w:val="center"/>
          </w:tcPr>
          <w:p w14:paraId="4B3D6761">
            <w:pPr>
              <w:pStyle w:val="19"/>
              <w:bidi w:val="0"/>
            </w:pPr>
          </w:p>
        </w:tc>
        <w:tc>
          <w:tcPr>
            <w:tcW w:w="594" w:type="pct"/>
            <w:noWrap w:val="0"/>
            <w:vAlign w:val="center"/>
          </w:tcPr>
          <w:p w14:paraId="5EACCC6C">
            <w:pPr>
              <w:pStyle w:val="19"/>
              <w:bidi w:val="0"/>
            </w:pPr>
            <w:r>
              <w:t>昼间</w:t>
            </w:r>
          </w:p>
        </w:tc>
        <w:tc>
          <w:tcPr>
            <w:tcW w:w="597" w:type="pct"/>
            <w:noWrap w:val="0"/>
            <w:vAlign w:val="center"/>
          </w:tcPr>
          <w:p w14:paraId="3F99CC59">
            <w:pPr>
              <w:pStyle w:val="19"/>
              <w:bidi w:val="0"/>
            </w:pPr>
            <w:r>
              <w:t>夜间</w:t>
            </w:r>
          </w:p>
        </w:tc>
      </w:tr>
      <w:tr w14:paraId="5A6D7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599" w:type="pct"/>
            <w:vMerge w:val="restart"/>
            <w:tcBorders>
              <w:bottom w:val="nil"/>
            </w:tcBorders>
            <w:noWrap w:val="0"/>
            <w:vAlign w:val="center"/>
          </w:tcPr>
          <w:p w14:paraId="69F4B6AA">
            <w:pPr>
              <w:pStyle w:val="19"/>
              <w:bidi w:val="0"/>
            </w:pPr>
            <w:r>
              <w:t>厂界噪声</w:t>
            </w:r>
          </w:p>
        </w:tc>
        <w:tc>
          <w:tcPr>
            <w:tcW w:w="736" w:type="pct"/>
            <w:vMerge w:val="restart"/>
            <w:tcBorders>
              <w:bottom w:val="nil"/>
            </w:tcBorders>
            <w:noWrap w:val="0"/>
            <w:vAlign w:val="center"/>
          </w:tcPr>
          <w:p w14:paraId="3C0FC5FC">
            <w:pPr>
              <w:pStyle w:val="19"/>
              <w:bidi w:val="0"/>
            </w:pPr>
            <w:r>
              <w:t>2类</w:t>
            </w:r>
          </w:p>
        </w:tc>
        <w:tc>
          <w:tcPr>
            <w:tcW w:w="2470" w:type="pct"/>
            <w:noWrap w:val="0"/>
            <w:vAlign w:val="center"/>
          </w:tcPr>
          <w:p w14:paraId="6EB3ADF4">
            <w:pPr>
              <w:pStyle w:val="19"/>
              <w:bidi w:val="0"/>
            </w:pPr>
            <w:r>
              <w:t>《建筑施工场界环境噪声排放标准》（GB12523-2011）</w:t>
            </w:r>
          </w:p>
        </w:tc>
        <w:tc>
          <w:tcPr>
            <w:tcW w:w="594" w:type="pct"/>
            <w:noWrap w:val="0"/>
            <w:vAlign w:val="center"/>
          </w:tcPr>
          <w:p w14:paraId="135AF0E4">
            <w:pPr>
              <w:pStyle w:val="19"/>
              <w:bidi w:val="0"/>
            </w:pPr>
            <w:r>
              <w:t>70</w:t>
            </w:r>
          </w:p>
        </w:tc>
        <w:tc>
          <w:tcPr>
            <w:tcW w:w="597" w:type="pct"/>
            <w:noWrap w:val="0"/>
            <w:vAlign w:val="center"/>
          </w:tcPr>
          <w:p w14:paraId="610A0415">
            <w:pPr>
              <w:pStyle w:val="19"/>
              <w:bidi w:val="0"/>
            </w:pPr>
            <w:r>
              <w:t>55</w:t>
            </w:r>
          </w:p>
        </w:tc>
      </w:tr>
      <w:tr w14:paraId="5FDBE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99" w:type="pct"/>
            <w:vMerge w:val="continue"/>
            <w:tcBorders>
              <w:top w:val="nil"/>
            </w:tcBorders>
            <w:noWrap w:val="0"/>
            <w:vAlign w:val="center"/>
          </w:tcPr>
          <w:p w14:paraId="49320EE7">
            <w:pPr>
              <w:pStyle w:val="19"/>
              <w:bidi w:val="0"/>
            </w:pPr>
          </w:p>
        </w:tc>
        <w:tc>
          <w:tcPr>
            <w:tcW w:w="736" w:type="pct"/>
            <w:vMerge w:val="continue"/>
            <w:tcBorders>
              <w:top w:val="nil"/>
            </w:tcBorders>
            <w:noWrap w:val="0"/>
            <w:vAlign w:val="center"/>
          </w:tcPr>
          <w:p w14:paraId="528CD58E">
            <w:pPr>
              <w:pStyle w:val="19"/>
              <w:bidi w:val="0"/>
            </w:pPr>
          </w:p>
        </w:tc>
        <w:tc>
          <w:tcPr>
            <w:tcW w:w="2470" w:type="pct"/>
            <w:noWrap w:val="0"/>
            <w:vAlign w:val="center"/>
          </w:tcPr>
          <w:p w14:paraId="4FC3DA99">
            <w:pPr>
              <w:pStyle w:val="19"/>
              <w:bidi w:val="0"/>
            </w:pPr>
            <w:r>
              <w:t xml:space="preserve">《工业企业厂界环境噪声排放标准》（GB12348-2008）中 </w:t>
            </w:r>
            <w:r>
              <w:rPr>
                <w:rFonts w:hint="eastAsia"/>
                <w:lang w:val="en-US" w:eastAsia="zh-CN"/>
              </w:rPr>
              <w:t>2</w:t>
            </w:r>
            <w:r>
              <w:t xml:space="preserve"> 类标准</w:t>
            </w:r>
          </w:p>
        </w:tc>
        <w:tc>
          <w:tcPr>
            <w:tcW w:w="594" w:type="pct"/>
            <w:noWrap w:val="0"/>
            <w:vAlign w:val="center"/>
          </w:tcPr>
          <w:p w14:paraId="30448926">
            <w:pPr>
              <w:pStyle w:val="19"/>
              <w:bidi w:val="0"/>
            </w:pPr>
            <w:r>
              <w:t>60</w:t>
            </w:r>
          </w:p>
        </w:tc>
        <w:tc>
          <w:tcPr>
            <w:tcW w:w="597" w:type="pct"/>
            <w:noWrap w:val="0"/>
            <w:vAlign w:val="center"/>
          </w:tcPr>
          <w:p w14:paraId="1475AE41">
            <w:pPr>
              <w:pStyle w:val="19"/>
              <w:bidi w:val="0"/>
            </w:pPr>
            <w:r>
              <w:t>50</w:t>
            </w:r>
          </w:p>
        </w:tc>
      </w:tr>
    </w:tbl>
    <w:p w14:paraId="01EAE49D">
      <w:pPr>
        <w:rPr>
          <w:color w:val="000000"/>
          <w:highlight w:val="none"/>
        </w:rPr>
      </w:pPr>
      <w:r>
        <w:rPr>
          <w:color w:val="000000"/>
          <w:highlight w:val="none"/>
        </w:rPr>
        <w:t>（4）固废污染控制标准</w:t>
      </w:r>
    </w:p>
    <w:p w14:paraId="2EC291E1">
      <w:pPr>
        <w:rPr>
          <w:color w:val="000000"/>
          <w:highlight w:val="none"/>
        </w:rPr>
      </w:pPr>
      <w:r>
        <w:rPr>
          <w:color w:val="000000"/>
          <w:highlight w:val="none"/>
        </w:rPr>
        <w:t>①固废排放参考《畜禽养殖业污染物排放标准》（GB18596-2001）、《畜禽养殖业污染防治技术规范》（HJ/T81-2001）、《畜禽粪便无害化处理技术规范》（GB/T36195-2018）和《畜禽粪便还田技术规范》（GB/T25246-2010）中粪便堆肥无害化卫生要求的相关规定。</w:t>
      </w:r>
    </w:p>
    <w:p w14:paraId="7A4C3009">
      <w:pPr>
        <w:ind w:firstLine="480" w:firstLineChars="200"/>
        <w:rPr>
          <w:color w:val="000000"/>
          <w:highlight w:val="none"/>
        </w:rPr>
      </w:pPr>
      <w:r>
        <w:rPr>
          <w:color w:val="000000"/>
          <w:highlight w:val="none"/>
        </w:rPr>
        <w:t>《畜禽养殖业污染物排放标准》（GB18596-2001）中规定：用于直接还田的畜禽粪便，必须进行无害化处理。经无害化处理后的废渣应符合表2.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13</w:t>
      </w:r>
      <w:r>
        <w:rPr>
          <w:color w:val="000000"/>
          <w:highlight w:val="none"/>
        </w:rPr>
        <w:t>的规定。</w:t>
      </w:r>
    </w:p>
    <w:p w14:paraId="05E79054">
      <w:pPr>
        <w:pStyle w:val="30"/>
        <w:bidi w:val="0"/>
      </w:pPr>
      <w:r>
        <w:t>表2.</w:t>
      </w:r>
      <w:r>
        <w:rPr>
          <w:rFonts w:hint="eastAsia"/>
          <w:lang w:val="en-US" w:eastAsia="zh-CN"/>
        </w:rPr>
        <w:t>2-13</w:t>
      </w:r>
      <w:r>
        <w:t xml:space="preserve"> </w:t>
      </w:r>
      <w:r>
        <w:rPr>
          <w:rFonts w:hint="eastAsia"/>
          <w:lang w:val="en-US" w:eastAsia="zh-CN"/>
        </w:rPr>
        <w:t xml:space="preserve"> </w:t>
      </w:r>
      <w:r>
        <w:rPr>
          <w:rFonts w:hint="eastAsia"/>
        </w:rPr>
        <w:t xml:space="preserve"> </w:t>
      </w:r>
      <w:r>
        <w:t>《畜禽养殖业污染物排放标准》（GB18596-2001）中的规定</w:t>
      </w:r>
    </w:p>
    <w:tbl>
      <w:tblPr>
        <w:tblStyle w:val="29"/>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56"/>
        <w:gridCol w:w="4156"/>
      </w:tblGrid>
      <w:tr w14:paraId="66879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00" w:type="pct"/>
            <w:noWrap w:val="0"/>
            <w:vAlign w:val="center"/>
          </w:tcPr>
          <w:p w14:paraId="329B08C4">
            <w:pPr>
              <w:pStyle w:val="19"/>
              <w:bidi w:val="0"/>
            </w:pPr>
            <w:r>
              <w:t>控制项目</w:t>
            </w:r>
          </w:p>
        </w:tc>
        <w:tc>
          <w:tcPr>
            <w:tcW w:w="2500" w:type="pct"/>
            <w:noWrap w:val="0"/>
            <w:vAlign w:val="center"/>
          </w:tcPr>
          <w:p w14:paraId="4CDB0DC8">
            <w:pPr>
              <w:pStyle w:val="19"/>
              <w:bidi w:val="0"/>
            </w:pPr>
            <w:r>
              <w:t>指标</w:t>
            </w:r>
          </w:p>
        </w:tc>
      </w:tr>
      <w:tr w14:paraId="5E71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500" w:type="pct"/>
            <w:noWrap w:val="0"/>
            <w:vAlign w:val="center"/>
          </w:tcPr>
          <w:p w14:paraId="1C447B36">
            <w:pPr>
              <w:pStyle w:val="19"/>
              <w:bidi w:val="0"/>
            </w:pPr>
            <w:r>
              <w:t>蛔虫卵</w:t>
            </w:r>
          </w:p>
        </w:tc>
        <w:tc>
          <w:tcPr>
            <w:tcW w:w="2500" w:type="pct"/>
            <w:noWrap w:val="0"/>
            <w:vAlign w:val="center"/>
          </w:tcPr>
          <w:p w14:paraId="12400EBA">
            <w:pPr>
              <w:pStyle w:val="19"/>
              <w:bidi w:val="0"/>
            </w:pPr>
            <w:r>
              <w:t>死亡率≥95%</w:t>
            </w:r>
          </w:p>
        </w:tc>
      </w:tr>
      <w:tr w14:paraId="43427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500" w:type="pct"/>
            <w:noWrap w:val="0"/>
            <w:vAlign w:val="center"/>
          </w:tcPr>
          <w:p w14:paraId="7C230C2A">
            <w:pPr>
              <w:pStyle w:val="19"/>
              <w:bidi w:val="0"/>
            </w:pPr>
            <w:r>
              <w:t>粪大肠菌群数</w:t>
            </w:r>
          </w:p>
        </w:tc>
        <w:tc>
          <w:tcPr>
            <w:tcW w:w="2500" w:type="pct"/>
            <w:noWrap w:val="0"/>
            <w:vAlign w:val="center"/>
          </w:tcPr>
          <w:p w14:paraId="21610282">
            <w:pPr>
              <w:pStyle w:val="19"/>
              <w:bidi w:val="0"/>
            </w:pPr>
            <w:r>
              <w:t>≤105个kg</w:t>
            </w:r>
          </w:p>
        </w:tc>
      </w:tr>
    </w:tbl>
    <w:p w14:paraId="5DA5FA37">
      <w:pPr>
        <w:ind w:firstLine="480" w:firstLineChars="200"/>
        <w:rPr>
          <w:color w:val="000000"/>
          <w:highlight w:val="none"/>
        </w:rPr>
      </w:pPr>
      <w:r>
        <w:rPr>
          <w:color w:val="000000"/>
          <w:highlight w:val="none"/>
        </w:rPr>
        <w:t>《畜禽养殖业污染防治技术规范》（HJ/T81-2001）中规定：畜禽粪便必须经过无害化处理，并且须符合《粪便无害化卫生要求》（GB7959-2012）后，才能进行土地利用，禁止未经处理的畜禽粪便直接施入农田，《粪便无害化卫生要求》（GB7959-2012）中的有关规定具体见表2.</w:t>
      </w:r>
      <w:r>
        <w:rPr>
          <w:rFonts w:hint="eastAsia"/>
          <w:color w:val="000000"/>
          <w:highlight w:val="none"/>
          <w:lang w:val="en-US" w:eastAsia="zh-CN"/>
        </w:rPr>
        <w:t>2</w:t>
      </w:r>
      <w:r>
        <w:rPr>
          <w:color w:val="000000"/>
          <w:highlight w:val="none"/>
        </w:rPr>
        <w:t>-1</w:t>
      </w:r>
      <w:r>
        <w:rPr>
          <w:rFonts w:hint="eastAsia"/>
          <w:color w:val="000000"/>
          <w:highlight w:val="none"/>
          <w:lang w:val="en-US" w:eastAsia="zh-CN"/>
        </w:rPr>
        <w:t>4</w:t>
      </w:r>
      <w:r>
        <w:rPr>
          <w:color w:val="000000"/>
          <w:highlight w:val="none"/>
        </w:rPr>
        <w:t>。</w:t>
      </w:r>
    </w:p>
    <w:p w14:paraId="6EF56AE7">
      <w:pPr>
        <w:pStyle w:val="30"/>
        <w:bidi w:val="0"/>
      </w:pPr>
      <w:r>
        <w:t>表2.</w:t>
      </w:r>
      <w:r>
        <w:rPr>
          <w:rFonts w:hint="eastAsia"/>
          <w:lang w:val="en-US" w:eastAsia="zh-CN"/>
        </w:rPr>
        <w:t>2</w:t>
      </w:r>
      <w:r>
        <w:t>-1</w:t>
      </w:r>
      <w:r>
        <w:rPr>
          <w:rFonts w:hint="eastAsia"/>
          <w:lang w:val="en-US" w:eastAsia="zh-CN"/>
        </w:rPr>
        <w:t xml:space="preserve">4  </w:t>
      </w:r>
      <w:r>
        <w:t xml:space="preserve"> 《粪便无害化卫生要求》（GB7959-2012）中的规定</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93"/>
        <w:gridCol w:w="2484"/>
        <w:gridCol w:w="3233"/>
      </w:tblGrid>
      <w:tr w14:paraId="55402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560" w:type="pct"/>
            <w:noWrap w:val="0"/>
            <w:vAlign w:val="center"/>
          </w:tcPr>
          <w:p w14:paraId="08C069F8">
            <w:pPr>
              <w:pStyle w:val="19"/>
              <w:bidi w:val="0"/>
            </w:pPr>
            <w:r>
              <w:t>项目</w:t>
            </w:r>
          </w:p>
        </w:tc>
        <w:tc>
          <w:tcPr>
            <w:tcW w:w="3439" w:type="pct"/>
            <w:gridSpan w:val="2"/>
            <w:noWrap w:val="0"/>
            <w:vAlign w:val="center"/>
          </w:tcPr>
          <w:p w14:paraId="3BB67CAE">
            <w:pPr>
              <w:pStyle w:val="19"/>
              <w:bidi w:val="0"/>
            </w:pPr>
            <w:r>
              <w:t>卫生要求</w:t>
            </w:r>
          </w:p>
        </w:tc>
      </w:tr>
      <w:tr w14:paraId="27578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560" w:type="pct"/>
            <w:vMerge w:val="restart"/>
            <w:tcBorders>
              <w:bottom w:val="nil"/>
            </w:tcBorders>
            <w:noWrap w:val="0"/>
            <w:vAlign w:val="center"/>
          </w:tcPr>
          <w:p w14:paraId="488E06B4">
            <w:pPr>
              <w:pStyle w:val="19"/>
              <w:bidi w:val="0"/>
            </w:pPr>
            <w:r>
              <w:t>温度与持续时间</w:t>
            </w:r>
          </w:p>
        </w:tc>
        <w:tc>
          <w:tcPr>
            <w:tcW w:w="1494" w:type="pct"/>
            <w:vMerge w:val="restart"/>
            <w:tcBorders>
              <w:bottom w:val="nil"/>
            </w:tcBorders>
            <w:noWrap w:val="0"/>
            <w:vAlign w:val="center"/>
          </w:tcPr>
          <w:p w14:paraId="677E88A1">
            <w:pPr>
              <w:pStyle w:val="19"/>
              <w:bidi w:val="0"/>
            </w:pPr>
            <w:r>
              <w:t>人工</w:t>
            </w:r>
          </w:p>
        </w:tc>
        <w:tc>
          <w:tcPr>
            <w:tcW w:w="1945" w:type="pct"/>
            <w:noWrap w:val="0"/>
            <w:vAlign w:val="center"/>
          </w:tcPr>
          <w:p w14:paraId="04E428D0">
            <w:pPr>
              <w:pStyle w:val="19"/>
              <w:bidi w:val="0"/>
            </w:pPr>
            <w:r>
              <w:t>堆温≥50℃</w:t>
            </w:r>
            <w:r>
              <w:rPr>
                <w:rFonts w:hint="eastAsia"/>
              </w:rPr>
              <w:t>，</w:t>
            </w:r>
            <w:r>
              <w:t>至少持续10d</w:t>
            </w:r>
          </w:p>
        </w:tc>
      </w:tr>
      <w:tr w14:paraId="00E81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560" w:type="pct"/>
            <w:vMerge w:val="continue"/>
            <w:tcBorders>
              <w:top w:val="nil"/>
              <w:bottom w:val="nil"/>
            </w:tcBorders>
            <w:noWrap w:val="0"/>
            <w:vAlign w:val="center"/>
          </w:tcPr>
          <w:p w14:paraId="64727E8B">
            <w:pPr>
              <w:pStyle w:val="19"/>
              <w:bidi w:val="0"/>
            </w:pPr>
          </w:p>
        </w:tc>
        <w:tc>
          <w:tcPr>
            <w:tcW w:w="1494" w:type="pct"/>
            <w:vMerge w:val="continue"/>
            <w:tcBorders>
              <w:top w:val="nil"/>
            </w:tcBorders>
            <w:noWrap w:val="0"/>
            <w:vAlign w:val="center"/>
          </w:tcPr>
          <w:p w14:paraId="57BA8482">
            <w:pPr>
              <w:pStyle w:val="19"/>
              <w:bidi w:val="0"/>
            </w:pPr>
          </w:p>
        </w:tc>
        <w:tc>
          <w:tcPr>
            <w:tcW w:w="1945" w:type="pct"/>
            <w:noWrap w:val="0"/>
            <w:vAlign w:val="center"/>
          </w:tcPr>
          <w:p w14:paraId="78ACA4BF">
            <w:pPr>
              <w:pStyle w:val="19"/>
              <w:bidi w:val="0"/>
            </w:pPr>
            <w:r>
              <w:t>堆温≥60℃</w:t>
            </w:r>
            <w:r>
              <w:rPr>
                <w:rFonts w:hint="eastAsia"/>
              </w:rPr>
              <w:t>，</w:t>
            </w:r>
            <w:r>
              <w:t>至少持续5d</w:t>
            </w:r>
          </w:p>
        </w:tc>
      </w:tr>
      <w:tr w14:paraId="79244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560" w:type="pct"/>
            <w:vMerge w:val="continue"/>
            <w:tcBorders>
              <w:top w:val="nil"/>
            </w:tcBorders>
            <w:noWrap w:val="0"/>
            <w:vAlign w:val="center"/>
          </w:tcPr>
          <w:p w14:paraId="1DB41D02">
            <w:pPr>
              <w:pStyle w:val="19"/>
              <w:bidi w:val="0"/>
            </w:pPr>
          </w:p>
        </w:tc>
        <w:tc>
          <w:tcPr>
            <w:tcW w:w="1494" w:type="pct"/>
            <w:noWrap w:val="0"/>
            <w:vAlign w:val="center"/>
          </w:tcPr>
          <w:p w14:paraId="43C8F8BF">
            <w:pPr>
              <w:pStyle w:val="19"/>
              <w:bidi w:val="0"/>
            </w:pPr>
            <w:r>
              <w:t>机械</w:t>
            </w:r>
          </w:p>
        </w:tc>
        <w:tc>
          <w:tcPr>
            <w:tcW w:w="1945" w:type="pct"/>
            <w:noWrap w:val="0"/>
            <w:vAlign w:val="center"/>
          </w:tcPr>
          <w:p w14:paraId="26F584F6">
            <w:pPr>
              <w:pStyle w:val="19"/>
              <w:bidi w:val="0"/>
            </w:pPr>
            <w:r>
              <w:t>堆温≥50℃</w:t>
            </w:r>
            <w:r>
              <w:rPr>
                <w:rFonts w:hint="eastAsia"/>
              </w:rPr>
              <w:t>，</w:t>
            </w:r>
            <w:r>
              <w:t>至少持续2d</w:t>
            </w:r>
          </w:p>
        </w:tc>
      </w:tr>
      <w:tr w14:paraId="11972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560" w:type="pct"/>
            <w:noWrap w:val="0"/>
            <w:vAlign w:val="center"/>
          </w:tcPr>
          <w:p w14:paraId="5ACE2A19">
            <w:pPr>
              <w:pStyle w:val="19"/>
              <w:bidi w:val="0"/>
            </w:pPr>
            <w:r>
              <w:t>蛔虫卵死亡率</w:t>
            </w:r>
          </w:p>
        </w:tc>
        <w:tc>
          <w:tcPr>
            <w:tcW w:w="3439" w:type="pct"/>
            <w:gridSpan w:val="2"/>
            <w:noWrap w:val="0"/>
            <w:vAlign w:val="center"/>
          </w:tcPr>
          <w:p w14:paraId="27795533">
            <w:pPr>
              <w:pStyle w:val="19"/>
              <w:bidi w:val="0"/>
            </w:pPr>
            <w:r>
              <w:t>≥95%</w:t>
            </w:r>
          </w:p>
        </w:tc>
      </w:tr>
      <w:tr w14:paraId="5B9CB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60" w:type="pct"/>
            <w:noWrap w:val="0"/>
            <w:vAlign w:val="center"/>
          </w:tcPr>
          <w:p w14:paraId="0BAB7F5C">
            <w:pPr>
              <w:pStyle w:val="19"/>
              <w:bidi w:val="0"/>
            </w:pPr>
            <w:r>
              <w:t>粪大肠菌值</w:t>
            </w:r>
          </w:p>
        </w:tc>
        <w:tc>
          <w:tcPr>
            <w:tcW w:w="3439" w:type="pct"/>
            <w:gridSpan w:val="2"/>
            <w:noWrap w:val="0"/>
            <w:vAlign w:val="center"/>
          </w:tcPr>
          <w:p w14:paraId="621FE8C8">
            <w:pPr>
              <w:pStyle w:val="19"/>
              <w:bidi w:val="0"/>
            </w:pPr>
            <w:r>
              <w:t>≥10-2</w:t>
            </w:r>
          </w:p>
        </w:tc>
      </w:tr>
      <w:tr w14:paraId="26275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560" w:type="pct"/>
            <w:noWrap w:val="0"/>
            <w:vAlign w:val="center"/>
          </w:tcPr>
          <w:p w14:paraId="2A9F4354">
            <w:pPr>
              <w:pStyle w:val="19"/>
              <w:bidi w:val="0"/>
            </w:pPr>
            <w:r>
              <w:t>沙门氏菌</w:t>
            </w:r>
          </w:p>
        </w:tc>
        <w:tc>
          <w:tcPr>
            <w:tcW w:w="3439" w:type="pct"/>
            <w:gridSpan w:val="2"/>
            <w:noWrap w:val="0"/>
            <w:vAlign w:val="center"/>
          </w:tcPr>
          <w:p w14:paraId="71AFD79B">
            <w:pPr>
              <w:pStyle w:val="19"/>
              <w:bidi w:val="0"/>
            </w:pPr>
            <w:r>
              <w:t>不得检出</w:t>
            </w:r>
          </w:p>
        </w:tc>
      </w:tr>
    </w:tbl>
    <w:p w14:paraId="3DC921C4">
      <w:pPr>
        <w:ind w:firstLine="480" w:firstLineChars="200"/>
        <w:rPr>
          <w:color w:val="000000"/>
          <w:highlight w:val="none"/>
        </w:rPr>
      </w:pPr>
      <w:r>
        <w:rPr>
          <w:color w:val="000000"/>
          <w:highlight w:val="none"/>
        </w:rPr>
        <w:t>根据《畜禽粪便无害化处理技术规范》（GB/T36195-2018）中固体畜禽粪便经过堆肥处理后应符合固体畜禽粪便堆肥处理卫生学要求，具体见表2.</w:t>
      </w:r>
      <w:r>
        <w:rPr>
          <w:rFonts w:hint="eastAsia"/>
          <w:color w:val="000000"/>
          <w:highlight w:val="none"/>
          <w:lang w:val="en-US" w:eastAsia="zh-CN"/>
        </w:rPr>
        <w:t>2</w:t>
      </w:r>
      <w:r>
        <w:rPr>
          <w:color w:val="000000"/>
          <w:highlight w:val="none"/>
        </w:rPr>
        <w:t>-</w:t>
      </w:r>
      <w:r>
        <w:rPr>
          <w:rFonts w:hint="eastAsia"/>
          <w:color w:val="000000"/>
          <w:highlight w:val="none"/>
          <w:lang w:val="en-US" w:eastAsia="zh-CN"/>
        </w:rPr>
        <w:t>15</w:t>
      </w:r>
      <w:r>
        <w:rPr>
          <w:color w:val="000000"/>
          <w:highlight w:val="none"/>
        </w:rPr>
        <w:t>。</w:t>
      </w:r>
    </w:p>
    <w:p w14:paraId="34AFD70B">
      <w:pPr>
        <w:pStyle w:val="30"/>
        <w:bidi w:val="0"/>
      </w:pPr>
      <w:r>
        <w:t>表2.</w:t>
      </w:r>
      <w:r>
        <w:rPr>
          <w:rFonts w:hint="eastAsia"/>
          <w:lang w:val="en-US" w:eastAsia="zh-CN"/>
        </w:rPr>
        <w:t>2</w:t>
      </w:r>
      <w:r>
        <w:t>-1</w:t>
      </w:r>
      <w:r>
        <w:rPr>
          <w:rFonts w:hint="eastAsia"/>
          <w:lang w:val="en-US" w:eastAsia="zh-CN"/>
        </w:rPr>
        <w:t>5</w:t>
      </w:r>
      <w:r>
        <w:t xml:space="preserve"> </w:t>
      </w:r>
      <w:r>
        <w:rPr>
          <w:rFonts w:hint="eastAsia"/>
          <w:lang w:val="en-US" w:eastAsia="zh-CN"/>
        </w:rPr>
        <w:t xml:space="preserve"> </w:t>
      </w:r>
      <w:r>
        <w:t xml:space="preserve"> 《畜禽粪便无害化处理技术规范》（GB/T36195-2018）中的规定</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56"/>
        <w:gridCol w:w="4156"/>
      </w:tblGrid>
      <w:tr w14:paraId="344E4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2500" w:type="pct"/>
            <w:noWrap w:val="0"/>
            <w:vAlign w:val="center"/>
          </w:tcPr>
          <w:p w14:paraId="241D687C">
            <w:pPr>
              <w:pStyle w:val="19"/>
              <w:bidi w:val="0"/>
            </w:pPr>
            <w:r>
              <w:t>控制项目</w:t>
            </w:r>
          </w:p>
        </w:tc>
        <w:tc>
          <w:tcPr>
            <w:tcW w:w="2500" w:type="pct"/>
            <w:noWrap w:val="0"/>
            <w:vAlign w:val="center"/>
          </w:tcPr>
          <w:p w14:paraId="593E964E">
            <w:pPr>
              <w:pStyle w:val="19"/>
              <w:bidi w:val="0"/>
            </w:pPr>
            <w:r>
              <w:t>指标</w:t>
            </w:r>
          </w:p>
        </w:tc>
      </w:tr>
      <w:tr w14:paraId="67D65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jc w:val="center"/>
        </w:trPr>
        <w:tc>
          <w:tcPr>
            <w:tcW w:w="2500" w:type="pct"/>
            <w:noWrap w:val="0"/>
            <w:vAlign w:val="center"/>
          </w:tcPr>
          <w:p w14:paraId="571EE793">
            <w:pPr>
              <w:pStyle w:val="19"/>
              <w:bidi w:val="0"/>
            </w:pPr>
            <w:r>
              <w:t>蛔虫卵</w:t>
            </w:r>
          </w:p>
        </w:tc>
        <w:tc>
          <w:tcPr>
            <w:tcW w:w="2500" w:type="pct"/>
            <w:noWrap w:val="0"/>
            <w:vAlign w:val="center"/>
          </w:tcPr>
          <w:p w14:paraId="4E59F278">
            <w:pPr>
              <w:pStyle w:val="19"/>
              <w:bidi w:val="0"/>
            </w:pPr>
            <w:r>
              <w:t>死亡率≥95%</w:t>
            </w:r>
          </w:p>
        </w:tc>
      </w:tr>
      <w:tr w14:paraId="62DE9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2500" w:type="pct"/>
            <w:noWrap w:val="0"/>
            <w:vAlign w:val="center"/>
          </w:tcPr>
          <w:p w14:paraId="59DACEE0">
            <w:pPr>
              <w:pStyle w:val="19"/>
              <w:bidi w:val="0"/>
            </w:pPr>
            <w:r>
              <w:t>粪大肠菌群数</w:t>
            </w:r>
          </w:p>
        </w:tc>
        <w:tc>
          <w:tcPr>
            <w:tcW w:w="2500" w:type="pct"/>
            <w:noWrap w:val="0"/>
            <w:vAlign w:val="center"/>
          </w:tcPr>
          <w:p w14:paraId="5C38F94B">
            <w:pPr>
              <w:pStyle w:val="19"/>
              <w:bidi w:val="0"/>
            </w:pPr>
            <w:r>
              <w:t>≤10</w:t>
            </w:r>
            <w:r>
              <w:rPr>
                <w:vertAlign w:val="superscript"/>
              </w:rPr>
              <w:t>5</w:t>
            </w:r>
            <w:r>
              <w:t>个</w:t>
            </w:r>
            <w:r>
              <w:rPr>
                <w:rFonts w:hint="eastAsia"/>
                <w:lang w:val="en-US" w:eastAsia="zh-CN"/>
              </w:rPr>
              <w:t>/</w:t>
            </w:r>
            <w:r>
              <w:t>kg</w:t>
            </w:r>
          </w:p>
        </w:tc>
      </w:tr>
    </w:tbl>
    <w:p w14:paraId="00F8CBFD">
      <w:pPr>
        <w:rPr>
          <w:color w:val="000000"/>
          <w:highlight w:val="none"/>
        </w:rPr>
      </w:pPr>
      <w:r>
        <w:rPr>
          <w:rFonts w:hint="eastAsia" w:ascii="宋体" w:hAnsi="宋体"/>
          <w:color w:val="000000"/>
          <w:highlight w:val="none"/>
        </w:rPr>
        <w:t>②</w:t>
      </w:r>
      <w:r>
        <w:rPr>
          <w:color w:val="000000"/>
          <w:highlight w:val="none"/>
        </w:rPr>
        <w:t>医疗废物</w:t>
      </w:r>
    </w:p>
    <w:p w14:paraId="0C6B41B4">
      <w:pPr>
        <w:ind w:firstLine="480" w:firstLineChars="200"/>
        <w:rPr>
          <w:color w:val="000000"/>
          <w:highlight w:val="none"/>
        </w:rPr>
      </w:pPr>
      <w:r>
        <w:rPr>
          <w:color w:val="000000"/>
          <w:highlight w:val="none"/>
        </w:rPr>
        <w:t>《国家危险废物名录》（2021版）中规定</w:t>
      </w:r>
      <w:r>
        <w:rPr>
          <w:rFonts w:hint="eastAsia"/>
          <w:color w:val="000000"/>
          <w:highlight w:val="none"/>
        </w:rPr>
        <w:t>“</w:t>
      </w:r>
      <w:r>
        <w:rPr>
          <w:color w:val="000000"/>
          <w:highlight w:val="none"/>
        </w:rPr>
        <w:t>为防治动物传染病而需要收集和处置的废物</w:t>
      </w:r>
      <w:r>
        <w:rPr>
          <w:rFonts w:hint="eastAsia"/>
          <w:color w:val="000000"/>
          <w:highlight w:val="none"/>
        </w:rPr>
        <w:t>”</w:t>
      </w:r>
      <w:r>
        <w:rPr>
          <w:color w:val="000000"/>
          <w:highlight w:val="none"/>
        </w:rPr>
        <w:t>划归为医疗废物。医疗废物按照《医疗废物集中处置技术 规范（试行）》规定，设置</w:t>
      </w:r>
      <w:r>
        <w:rPr>
          <w:rFonts w:hint="eastAsia"/>
          <w:color w:val="000000"/>
          <w:highlight w:val="none"/>
          <w:lang w:eastAsia="zh-CN"/>
        </w:rPr>
        <w:t>危废暂存间</w:t>
      </w:r>
      <w:r>
        <w:rPr>
          <w:color w:val="000000"/>
          <w:highlight w:val="none"/>
        </w:rPr>
        <w:t>，对医疗废弃物进行分类暂存。对于存在传染性的医疗废物，必须按照《危险废物贮存污染控制标准》（GB18597-20</w:t>
      </w:r>
      <w:r>
        <w:rPr>
          <w:rFonts w:hint="eastAsia"/>
          <w:color w:val="000000"/>
          <w:highlight w:val="none"/>
        </w:rPr>
        <w:t>23</w:t>
      </w:r>
      <w:r>
        <w:rPr>
          <w:color w:val="000000"/>
          <w:highlight w:val="none"/>
        </w:rPr>
        <w:t>）中的相关规定进行收集管理，医疗垃圾最终交由当地有医疗废物处置资质的单位统一处置，危险废物转移过程中按照危险废物转移管理办法中的相关要求执行。</w:t>
      </w:r>
    </w:p>
    <w:p w14:paraId="33BF9922">
      <w:pPr>
        <w:rPr>
          <w:color w:val="000000"/>
          <w:highlight w:val="none"/>
        </w:rPr>
      </w:pPr>
      <w:r>
        <w:rPr>
          <w:rFonts w:hint="eastAsia" w:ascii="宋体" w:hAnsi="宋体"/>
          <w:color w:val="000000"/>
          <w:highlight w:val="none"/>
        </w:rPr>
        <w:t>③</w:t>
      </w:r>
      <w:r>
        <w:rPr>
          <w:color w:val="000000"/>
          <w:highlight w:val="none"/>
        </w:rPr>
        <w:t>一般固废</w:t>
      </w:r>
    </w:p>
    <w:p w14:paraId="65C74DD1">
      <w:pPr>
        <w:rPr>
          <w:rFonts w:hint="default"/>
          <w:lang w:val="en-US" w:eastAsia="zh-CN"/>
        </w:rPr>
      </w:pPr>
      <w:r>
        <w:rPr>
          <w:color w:val="000000"/>
          <w:highlight w:val="none"/>
        </w:rPr>
        <w:t>一般固废的贮存</w:t>
      </w:r>
      <w:r>
        <w:rPr>
          <w:rFonts w:hint="eastAsia"/>
          <w:color w:val="000000"/>
          <w:highlight w:val="none"/>
          <w:lang w:val="en-US" w:eastAsia="zh-CN"/>
        </w:rPr>
        <w:t>场所应按照《一般工业固体废物贮存和填埋污染控制标准》（GB18599-2020）中的要求建设，</w:t>
      </w:r>
      <w:r>
        <w:rPr>
          <w:color w:val="000000"/>
          <w:highlight w:val="none"/>
        </w:rPr>
        <w:t>满足相应防渗漏、防雨淋、防扬尘等环境保护要求，委托第三方运输、利用、处置工业固体废物时，应</w:t>
      </w:r>
      <w:r>
        <w:rPr>
          <w:rFonts w:hint="eastAsia"/>
          <w:color w:val="000000"/>
          <w:highlight w:val="none"/>
          <w:lang w:val="en-US" w:eastAsia="zh-CN"/>
        </w:rPr>
        <w:t>核实其</w:t>
      </w:r>
      <w:r>
        <w:rPr>
          <w:color w:val="000000"/>
          <w:highlight w:val="none"/>
        </w:rPr>
        <w:t>资格和能力。</w:t>
      </w:r>
    </w:p>
    <w:p w14:paraId="2F4760BB">
      <w:pPr>
        <w:pStyle w:val="26"/>
        <w:bidi w:val="0"/>
        <w:rPr>
          <w:rFonts w:hint="default"/>
          <w:lang w:val="en-US" w:eastAsia="zh-CN"/>
        </w:rPr>
      </w:pPr>
      <w:bookmarkStart w:id="10" w:name="_Toc5977"/>
      <w:r>
        <w:rPr>
          <w:rFonts w:hint="eastAsia"/>
          <w:lang w:val="en-US" w:eastAsia="zh-CN"/>
        </w:rPr>
        <w:t>评价工作等级和评价范围</w:t>
      </w:r>
      <w:bookmarkEnd w:id="10"/>
    </w:p>
    <w:p w14:paraId="0E39B148">
      <w:pPr>
        <w:pStyle w:val="27"/>
        <w:bidi w:val="0"/>
        <w:rPr>
          <w:rFonts w:hint="default"/>
          <w:lang w:val="en-US" w:eastAsia="zh-CN"/>
        </w:rPr>
      </w:pPr>
      <w:r>
        <w:rPr>
          <w:rFonts w:hint="eastAsia"/>
          <w:lang w:val="en-US" w:eastAsia="zh-CN"/>
        </w:rPr>
        <w:t>评价工作等级</w:t>
      </w:r>
    </w:p>
    <w:p w14:paraId="7D61CD79">
      <w:pPr>
        <w:pStyle w:val="28"/>
        <w:bidi w:val="0"/>
        <w:rPr>
          <w:rFonts w:hint="default"/>
          <w:lang w:val="en-US" w:eastAsia="zh-CN"/>
        </w:rPr>
      </w:pPr>
      <w:r>
        <w:rPr>
          <w:rFonts w:hint="eastAsia"/>
          <w:lang w:val="en-US" w:eastAsia="zh-CN"/>
        </w:rPr>
        <w:t>大气环境</w:t>
      </w:r>
    </w:p>
    <w:p w14:paraId="329F379D">
      <w:pPr>
        <w:rPr>
          <w:rFonts w:hint="eastAsia"/>
          <w:color w:val="000000"/>
          <w:highlight w:val="none"/>
          <w:lang w:val="en-US" w:eastAsia="zh-CN"/>
        </w:rPr>
      </w:pPr>
      <w:r>
        <w:rPr>
          <w:rFonts w:hint="eastAsia"/>
          <w:lang w:val="en-US" w:eastAsia="zh-CN"/>
        </w:rPr>
        <w:t>根据</w:t>
      </w:r>
      <w:r>
        <w:rPr>
          <w:color w:val="000000"/>
          <w:highlight w:val="none"/>
        </w:rPr>
        <w:t>《环境影响评价技术导则大气环境》</w:t>
      </w:r>
      <w:r>
        <w:rPr>
          <w:rFonts w:hint="eastAsia"/>
          <w:color w:val="000000"/>
          <w:highlight w:val="none"/>
          <w:lang w:eastAsia="zh-CN"/>
        </w:rPr>
        <w:t>（</w:t>
      </w:r>
      <w:r>
        <w:rPr>
          <w:color w:val="000000"/>
          <w:highlight w:val="none"/>
        </w:rPr>
        <w:t>HJ2.2-2018</w:t>
      </w:r>
      <w:r>
        <w:rPr>
          <w:rFonts w:hint="eastAsia"/>
          <w:color w:val="000000"/>
          <w:highlight w:val="none"/>
          <w:lang w:eastAsia="zh-CN"/>
        </w:rPr>
        <w:t>）</w:t>
      </w:r>
      <w:r>
        <w:rPr>
          <w:rFonts w:hint="eastAsia"/>
          <w:color w:val="000000"/>
          <w:highlight w:val="none"/>
          <w:lang w:val="en-US" w:eastAsia="zh-CN"/>
        </w:rPr>
        <w:t>中的要求，</w:t>
      </w:r>
      <w:r>
        <w:rPr>
          <w:color w:val="000000"/>
          <w:highlight w:val="none"/>
        </w:rPr>
        <w:t>采用</w:t>
      </w:r>
      <w:r>
        <w:rPr>
          <w:rFonts w:hint="eastAsia"/>
          <w:color w:val="000000"/>
          <w:highlight w:val="none"/>
          <w:lang w:val="en-US" w:eastAsia="zh-CN"/>
        </w:rPr>
        <w:t>导则附录A推荐模型中估算模型分别计算项目污染源的最大环境影响，然后按评价工作分级判据进行分级，具体如下：</w:t>
      </w:r>
    </w:p>
    <w:p w14:paraId="30F918BB">
      <w:pPr>
        <w:rPr>
          <w:color w:val="000000"/>
          <w:highlight w:val="none"/>
        </w:rPr>
      </w:pPr>
      <w:r>
        <w:rPr>
          <w:color w:val="000000"/>
          <w:highlight w:val="none"/>
        </w:rPr>
        <w:t>推荐估算模式—AERSCREEN，选择本项目特征污染物</w:t>
      </w:r>
      <w:r>
        <w:rPr>
          <w:rFonts w:hint="eastAsia"/>
          <w:color w:val="000000"/>
          <w:highlight w:val="none"/>
          <w:lang w:val="en-US" w:eastAsia="zh-CN"/>
        </w:rPr>
        <w:t>SO</w:t>
      </w:r>
      <w:r>
        <w:rPr>
          <w:rFonts w:hint="eastAsia"/>
          <w:color w:val="000000"/>
          <w:highlight w:val="none"/>
          <w:vertAlign w:val="subscript"/>
          <w:lang w:val="en-US" w:eastAsia="zh-CN"/>
        </w:rPr>
        <w:t>2</w:t>
      </w:r>
      <w:r>
        <w:rPr>
          <w:rFonts w:hint="eastAsia"/>
          <w:color w:val="000000"/>
          <w:highlight w:val="none"/>
          <w:vertAlign w:val="baseline"/>
          <w:lang w:val="en-US" w:eastAsia="zh-CN"/>
        </w:rPr>
        <w:t>、NO</w:t>
      </w:r>
      <w:r>
        <w:rPr>
          <w:rFonts w:hint="eastAsia"/>
          <w:color w:val="000000"/>
          <w:highlight w:val="none"/>
          <w:vertAlign w:val="subscript"/>
          <w:lang w:val="en-US" w:eastAsia="zh-CN"/>
        </w:rPr>
        <w:t>2</w:t>
      </w:r>
      <w:r>
        <w:rPr>
          <w:rFonts w:hint="eastAsia"/>
          <w:color w:val="000000"/>
          <w:highlight w:val="none"/>
          <w:vertAlign w:val="baseline"/>
          <w:lang w:val="en-US" w:eastAsia="zh-CN"/>
        </w:rPr>
        <w:t>、PM</w:t>
      </w:r>
      <w:r>
        <w:rPr>
          <w:rFonts w:hint="eastAsia"/>
          <w:color w:val="000000"/>
          <w:highlight w:val="none"/>
          <w:vertAlign w:val="subscript"/>
          <w:lang w:val="en-US" w:eastAsia="zh-CN"/>
        </w:rPr>
        <w:t>10</w:t>
      </w:r>
      <w:r>
        <w:rPr>
          <w:rFonts w:hint="eastAsia"/>
          <w:color w:val="000000"/>
          <w:highlight w:val="none"/>
          <w:vertAlign w:val="baseline"/>
          <w:lang w:val="en-US" w:eastAsia="zh-CN"/>
        </w:rPr>
        <w:t>、</w:t>
      </w:r>
      <w:r>
        <w:rPr>
          <w:color w:val="000000"/>
          <w:highlight w:val="none"/>
        </w:rPr>
        <w:t>NH</w:t>
      </w:r>
      <w:r>
        <w:rPr>
          <w:color w:val="000000"/>
          <w:highlight w:val="none"/>
          <w:vertAlign w:val="subscript"/>
        </w:rPr>
        <w:t>3</w:t>
      </w:r>
      <w:r>
        <w:rPr>
          <w:color w:val="000000"/>
          <w:highlight w:val="none"/>
        </w:rPr>
        <w:t>、H</w:t>
      </w:r>
      <w:r>
        <w:rPr>
          <w:color w:val="000000"/>
          <w:highlight w:val="none"/>
          <w:vertAlign w:val="subscript"/>
        </w:rPr>
        <w:t>2</w:t>
      </w:r>
      <w:r>
        <w:rPr>
          <w:color w:val="000000"/>
          <w:highlight w:val="none"/>
        </w:rPr>
        <w:t>S作为</w:t>
      </w:r>
      <w:r>
        <w:rPr>
          <w:rFonts w:hint="eastAsia"/>
          <w:color w:val="000000"/>
          <w:highlight w:val="none"/>
          <w:lang w:val="en-US" w:eastAsia="zh-CN"/>
        </w:rPr>
        <w:t>等级判定因子</w:t>
      </w:r>
      <w:r>
        <w:rPr>
          <w:color w:val="000000"/>
          <w:highlight w:val="none"/>
        </w:rPr>
        <w:t>，计算其最大地面浓度占标率Pi及其地面浓度达</w:t>
      </w:r>
      <w:r>
        <w:rPr>
          <w:rFonts w:hint="eastAsia"/>
          <w:color w:val="000000"/>
          <w:highlight w:val="none"/>
          <w:lang w:val="en-US" w:eastAsia="zh-CN"/>
        </w:rPr>
        <w:t>到</w:t>
      </w:r>
      <w:r>
        <w:rPr>
          <w:color w:val="000000"/>
          <w:highlight w:val="none"/>
        </w:rPr>
        <w:t>标准限值10%时所对应的最远距离D</w:t>
      </w:r>
      <w:r>
        <w:rPr>
          <w:color w:val="000000"/>
          <w:highlight w:val="none"/>
          <w:vertAlign w:val="subscript"/>
        </w:rPr>
        <w:t>10%</w:t>
      </w:r>
      <w:r>
        <w:rPr>
          <w:color w:val="000000"/>
          <w:highlight w:val="none"/>
        </w:rPr>
        <w:t>。其中Pi定义为：</w:t>
      </w:r>
    </w:p>
    <w:p w14:paraId="69EEFE65">
      <w:pPr>
        <w:ind w:firstLine="480" w:firstLineChars="200"/>
        <w:rPr>
          <w:color w:val="000000"/>
          <w:highlight w:val="none"/>
        </w:rPr>
      </w:pPr>
      <w:r>
        <w:rPr>
          <w:color w:val="000000"/>
          <w:highlight w:val="none"/>
        </w:rPr>
        <w:t>Pi=（Ci/C0i）×100%</w:t>
      </w:r>
    </w:p>
    <w:p w14:paraId="3768CEDC">
      <w:pPr>
        <w:ind w:firstLine="480" w:firstLineChars="200"/>
        <w:rPr>
          <w:color w:val="000000"/>
          <w:highlight w:val="none"/>
        </w:rPr>
      </w:pPr>
      <w:r>
        <w:rPr>
          <w:color w:val="000000"/>
          <w:highlight w:val="none"/>
        </w:rPr>
        <w:t>式中：Pi——第i个污染物的最大地面浓度占标率，%；</w:t>
      </w:r>
    </w:p>
    <w:p w14:paraId="08871979">
      <w:pPr>
        <w:ind w:firstLine="480" w:firstLineChars="200"/>
        <w:rPr>
          <w:color w:val="000000"/>
          <w:highlight w:val="none"/>
        </w:rPr>
      </w:pPr>
      <w:r>
        <w:rPr>
          <w:color w:val="000000"/>
          <w:highlight w:val="none"/>
        </w:rPr>
        <w:t>Ci——采用估算模式计算出的第i个污染物的最大地面浓度μg/m</w:t>
      </w:r>
      <w:r>
        <w:rPr>
          <w:color w:val="000000"/>
          <w:highlight w:val="none"/>
          <w:vertAlign w:val="superscript"/>
        </w:rPr>
        <w:t>3</w:t>
      </w:r>
      <w:r>
        <w:rPr>
          <w:rFonts w:hint="eastAsia"/>
          <w:color w:val="000000"/>
          <w:highlight w:val="none"/>
        </w:rPr>
        <w:t>；</w:t>
      </w:r>
    </w:p>
    <w:p w14:paraId="1F547D4C">
      <w:pPr>
        <w:ind w:firstLine="480" w:firstLineChars="200"/>
        <w:rPr>
          <w:color w:val="000000"/>
          <w:highlight w:val="none"/>
        </w:rPr>
      </w:pPr>
      <w:r>
        <w:rPr>
          <w:color w:val="000000"/>
          <w:highlight w:val="none"/>
        </w:rPr>
        <w:t>C0i——第i个污染物的环境空气质量标准，μg/m</w:t>
      </w:r>
      <w:r>
        <w:rPr>
          <w:color w:val="000000"/>
          <w:highlight w:val="none"/>
          <w:vertAlign w:val="superscript"/>
        </w:rPr>
        <w:t>3</w:t>
      </w:r>
      <w:r>
        <w:rPr>
          <w:color w:val="000000"/>
          <w:highlight w:val="none"/>
        </w:rPr>
        <w:t>；</w:t>
      </w:r>
    </w:p>
    <w:p w14:paraId="13551619">
      <w:pPr>
        <w:ind w:firstLine="480" w:firstLineChars="200"/>
        <w:rPr>
          <w:color w:val="000000"/>
          <w:highlight w:val="none"/>
        </w:rPr>
      </w:pPr>
      <w:r>
        <w:rPr>
          <w:color w:val="000000"/>
          <w:highlight w:val="none"/>
        </w:rPr>
        <w:t>C0i一般</w:t>
      </w:r>
      <w:r>
        <w:rPr>
          <w:rFonts w:hint="eastAsia"/>
          <w:color w:val="000000"/>
          <w:highlight w:val="none"/>
        </w:rPr>
        <w:t>选用《环境空气质量标准》（GB3095-2012）中1小时平均质量浓度的二级浓度限值。对仅有8h平均质量浓度限值、日平均质量浓度限值或年平均质量浓度限值的，可分别按2倍、3倍、6倍折算为1h平均质量浓度限值</w:t>
      </w:r>
      <w:r>
        <w:rPr>
          <w:color w:val="000000"/>
          <w:highlight w:val="none"/>
        </w:rPr>
        <w:t>。</w:t>
      </w:r>
    </w:p>
    <w:p w14:paraId="40B34350">
      <w:pPr>
        <w:ind w:firstLine="480" w:firstLineChars="200"/>
        <w:rPr>
          <w:rFonts w:hint="eastAsia"/>
          <w:color w:val="000000"/>
          <w:highlight w:val="none"/>
        </w:rPr>
      </w:pPr>
      <w:r>
        <w:rPr>
          <w:rFonts w:hint="eastAsia"/>
          <w:color w:val="000000"/>
          <w:highlight w:val="none"/>
        </w:rPr>
        <w:t>评价工作等级按表</w:t>
      </w:r>
      <w:r>
        <w:rPr>
          <w:rFonts w:hint="eastAsia"/>
          <w:color w:val="000000"/>
          <w:highlight w:val="none"/>
          <w:lang w:val="en-US" w:eastAsia="zh-CN"/>
        </w:rPr>
        <w:t>2.3-1</w:t>
      </w:r>
      <w:r>
        <w:rPr>
          <w:rFonts w:hint="eastAsia"/>
          <w:color w:val="000000"/>
          <w:highlight w:val="none"/>
        </w:rPr>
        <w:t>进行划分，如污染物数i大于1，取P值中最大者（P</w:t>
      </w:r>
      <w:r>
        <w:rPr>
          <w:rFonts w:hint="eastAsia"/>
          <w:color w:val="000000"/>
          <w:highlight w:val="none"/>
          <w:vertAlign w:val="subscript"/>
        </w:rPr>
        <w:t>max</w:t>
      </w:r>
      <w:r>
        <w:rPr>
          <w:rFonts w:hint="eastAsia"/>
          <w:color w:val="000000"/>
          <w:highlight w:val="none"/>
        </w:rPr>
        <w:t>）。</w:t>
      </w:r>
    </w:p>
    <w:p w14:paraId="5A740347">
      <w:pPr>
        <w:pStyle w:val="30"/>
        <w:bidi w:val="0"/>
      </w:pPr>
      <w:r>
        <w:t>表2.</w:t>
      </w:r>
      <w:r>
        <w:rPr>
          <w:rFonts w:hint="eastAsia"/>
          <w:lang w:val="en-US" w:eastAsia="zh-CN"/>
        </w:rPr>
        <w:t>3</w:t>
      </w:r>
      <w:r>
        <w:t>-1</w:t>
      </w:r>
      <w:r>
        <w:rPr>
          <w:rFonts w:hint="eastAsia"/>
          <w:lang w:val="en-US" w:eastAsia="zh-CN"/>
        </w:rPr>
        <w:t xml:space="preserve"> </w:t>
      </w:r>
      <w:r>
        <w:t xml:space="preserve">  评价工作等级</w:t>
      </w:r>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Layout w:type="autofit"/>
        <w:tblCellMar>
          <w:top w:w="0" w:type="dxa"/>
          <w:left w:w="0" w:type="dxa"/>
          <w:bottom w:w="0" w:type="dxa"/>
          <w:right w:w="0" w:type="dxa"/>
        </w:tblCellMar>
      </w:tblPr>
      <w:tblGrid>
        <w:gridCol w:w="3439"/>
        <w:gridCol w:w="4871"/>
      </w:tblGrid>
      <w:tr w14:paraId="1923B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346" w:hRule="atLeast"/>
          <w:jc w:val="center"/>
        </w:trPr>
        <w:tc>
          <w:tcPr>
            <w:tcW w:w="2069" w:type="pct"/>
            <w:tcBorders>
              <w:tl2br w:val="nil"/>
              <w:tr2bl w:val="nil"/>
            </w:tcBorders>
            <w:noWrap w:val="0"/>
            <w:vAlign w:val="top"/>
          </w:tcPr>
          <w:p w14:paraId="2F2C0DB1">
            <w:pPr>
              <w:pStyle w:val="19"/>
              <w:bidi w:val="0"/>
            </w:pPr>
            <w:r>
              <w:t>评价工作等级</w:t>
            </w:r>
          </w:p>
        </w:tc>
        <w:tc>
          <w:tcPr>
            <w:tcW w:w="2930" w:type="pct"/>
            <w:tcBorders>
              <w:tl2br w:val="nil"/>
              <w:tr2bl w:val="nil"/>
            </w:tcBorders>
            <w:noWrap w:val="0"/>
            <w:vAlign w:val="top"/>
          </w:tcPr>
          <w:p w14:paraId="6B06D5AB">
            <w:pPr>
              <w:pStyle w:val="19"/>
              <w:bidi w:val="0"/>
            </w:pPr>
            <w:r>
              <w:t>评价工作等级判据</w:t>
            </w:r>
          </w:p>
        </w:tc>
      </w:tr>
      <w:tr w14:paraId="7C145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351" w:hRule="atLeast"/>
          <w:jc w:val="center"/>
        </w:trPr>
        <w:tc>
          <w:tcPr>
            <w:tcW w:w="2069" w:type="pct"/>
            <w:tcBorders>
              <w:tl2br w:val="nil"/>
              <w:tr2bl w:val="nil"/>
            </w:tcBorders>
            <w:noWrap w:val="0"/>
            <w:vAlign w:val="top"/>
          </w:tcPr>
          <w:p w14:paraId="7043EC4B">
            <w:pPr>
              <w:pStyle w:val="19"/>
              <w:bidi w:val="0"/>
            </w:pPr>
            <w:r>
              <w:t>一级</w:t>
            </w:r>
          </w:p>
        </w:tc>
        <w:tc>
          <w:tcPr>
            <w:tcW w:w="2930" w:type="pct"/>
            <w:tcBorders>
              <w:tl2br w:val="nil"/>
              <w:tr2bl w:val="nil"/>
            </w:tcBorders>
            <w:noWrap w:val="0"/>
            <w:vAlign w:val="top"/>
          </w:tcPr>
          <w:p w14:paraId="63CA0221">
            <w:pPr>
              <w:pStyle w:val="19"/>
              <w:bidi w:val="0"/>
            </w:pPr>
            <w:r>
              <w:t>Pmax≥10%</w:t>
            </w:r>
          </w:p>
        </w:tc>
      </w:tr>
      <w:tr w14:paraId="7B9CB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353" w:hRule="atLeast"/>
          <w:jc w:val="center"/>
        </w:trPr>
        <w:tc>
          <w:tcPr>
            <w:tcW w:w="2069" w:type="pct"/>
            <w:tcBorders>
              <w:tl2br w:val="nil"/>
              <w:tr2bl w:val="nil"/>
            </w:tcBorders>
            <w:noWrap w:val="0"/>
            <w:vAlign w:val="top"/>
          </w:tcPr>
          <w:p w14:paraId="653FD6ED">
            <w:pPr>
              <w:pStyle w:val="19"/>
              <w:bidi w:val="0"/>
            </w:pPr>
            <w:r>
              <w:t>二级</w:t>
            </w:r>
          </w:p>
        </w:tc>
        <w:tc>
          <w:tcPr>
            <w:tcW w:w="2930" w:type="pct"/>
            <w:tcBorders>
              <w:tl2br w:val="nil"/>
              <w:tr2bl w:val="nil"/>
            </w:tcBorders>
            <w:noWrap w:val="0"/>
            <w:vAlign w:val="top"/>
          </w:tcPr>
          <w:p w14:paraId="138EE951">
            <w:pPr>
              <w:pStyle w:val="19"/>
              <w:bidi w:val="0"/>
            </w:pPr>
            <w:r>
              <w:t>1%≤Pmax＜10%</w:t>
            </w:r>
          </w:p>
        </w:tc>
      </w:tr>
      <w:tr w14:paraId="2C054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CellMar>
            <w:top w:w="0" w:type="dxa"/>
            <w:left w:w="0" w:type="dxa"/>
            <w:bottom w:w="0" w:type="dxa"/>
            <w:right w:w="0" w:type="dxa"/>
          </w:tblCellMar>
        </w:tblPrEx>
        <w:trPr>
          <w:trHeight w:val="372" w:hRule="atLeast"/>
          <w:jc w:val="center"/>
        </w:trPr>
        <w:tc>
          <w:tcPr>
            <w:tcW w:w="2069" w:type="pct"/>
            <w:tcBorders>
              <w:tl2br w:val="nil"/>
              <w:tr2bl w:val="nil"/>
            </w:tcBorders>
            <w:noWrap w:val="0"/>
            <w:vAlign w:val="top"/>
          </w:tcPr>
          <w:p w14:paraId="5AE78544">
            <w:pPr>
              <w:pStyle w:val="19"/>
              <w:bidi w:val="0"/>
            </w:pPr>
            <w:r>
              <w:t>三级</w:t>
            </w:r>
          </w:p>
        </w:tc>
        <w:tc>
          <w:tcPr>
            <w:tcW w:w="2930" w:type="pct"/>
            <w:tcBorders>
              <w:tl2br w:val="nil"/>
              <w:tr2bl w:val="nil"/>
            </w:tcBorders>
            <w:noWrap w:val="0"/>
            <w:vAlign w:val="top"/>
          </w:tcPr>
          <w:p w14:paraId="1A2CC048">
            <w:pPr>
              <w:pStyle w:val="19"/>
              <w:bidi w:val="0"/>
            </w:pPr>
            <w:r>
              <w:t>Pmax＜1%</w:t>
            </w:r>
          </w:p>
        </w:tc>
      </w:tr>
    </w:tbl>
    <w:p w14:paraId="36ABB690">
      <w:pPr>
        <w:rPr>
          <w:color w:val="000000"/>
          <w:highlight w:val="none"/>
        </w:rPr>
      </w:pPr>
      <w:r>
        <w:rPr>
          <w:color w:val="000000"/>
          <w:highlight w:val="none"/>
        </w:rPr>
        <w:t>（2）废气污染源参数</w:t>
      </w:r>
    </w:p>
    <w:p w14:paraId="02239C85">
      <w:pPr>
        <w:rPr>
          <w:color w:val="000000"/>
          <w:highlight w:val="none"/>
        </w:rPr>
      </w:pPr>
      <w:r>
        <w:rPr>
          <w:color w:val="000000"/>
          <w:highlight w:val="none"/>
        </w:rPr>
        <w:t>本项目各污染源参数</w:t>
      </w:r>
      <w:r>
        <w:rPr>
          <w:rFonts w:hint="eastAsia"/>
          <w:color w:val="000000"/>
          <w:highlight w:val="none"/>
          <w:lang w:val="en-US" w:eastAsia="zh-CN"/>
        </w:rPr>
        <w:t>具体</w:t>
      </w:r>
      <w:r>
        <w:rPr>
          <w:color w:val="000000"/>
          <w:highlight w:val="none"/>
        </w:rPr>
        <w:t>见表2.</w:t>
      </w:r>
      <w:r>
        <w:rPr>
          <w:rFonts w:hint="eastAsia"/>
          <w:color w:val="000000"/>
          <w:highlight w:val="none"/>
          <w:lang w:val="en-US" w:eastAsia="zh-CN"/>
        </w:rPr>
        <w:t>3</w:t>
      </w:r>
      <w:r>
        <w:rPr>
          <w:color w:val="000000"/>
          <w:highlight w:val="none"/>
        </w:rPr>
        <w:t>-2</w:t>
      </w:r>
      <w:r>
        <w:rPr>
          <w:rFonts w:hint="eastAsia"/>
          <w:color w:val="000000"/>
          <w:highlight w:val="none"/>
          <w:lang w:val="en-US" w:eastAsia="zh-CN"/>
        </w:rPr>
        <w:t>和表2.3-3</w:t>
      </w:r>
      <w:r>
        <w:rPr>
          <w:color w:val="000000"/>
          <w:highlight w:val="none"/>
        </w:rPr>
        <w:t>。</w:t>
      </w:r>
    </w:p>
    <w:p w14:paraId="0AC6B9BD">
      <w:pPr>
        <w:pStyle w:val="30"/>
        <w:bidi w:val="0"/>
        <w:rPr>
          <w:rFonts w:hint="default"/>
          <w:highlight w:val="none"/>
          <w:lang w:val="en-US" w:eastAsia="zh-CN"/>
        </w:rPr>
      </w:pPr>
      <w:r>
        <w:rPr>
          <w:rFonts w:hint="eastAsia"/>
          <w:highlight w:val="none"/>
          <w:lang w:val="en-US" w:eastAsia="zh-CN"/>
        </w:rPr>
        <w:t>表2.3-2   主要废气污染源参数一览表（点源）</w:t>
      </w:r>
    </w:p>
    <w:tbl>
      <w:tblPr>
        <w:tblStyle w:val="29"/>
        <w:tblW w:w="501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59"/>
        <w:gridCol w:w="1084"/>
        <w:gridCol w:w="1026"/>
        <w:gridCol w:w="725"/>
        <w:gridCol w:w="680"/>
        <w:gridCol w:w="784"/>
        <w:gridCol w:w="590"/>
        <w:gridCol w:w="765"/>
        <w:gridCol w:w="844"/>
        <w:gridCol w:w="792"/>
      </w:tblGrid>
      <w:tr w14:paraId="4F0CB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6" w:hRule="atLeast"/>
        </w:trPr>
        <w:tc>
          <w:tcPr>
            <w:tcW w:w="634" w:type="pct"/>
            <w:vMerge w:val="restart"/>
            <w:noWrap w:val="0"/>
            <w:vAlign w:val="center"/>
          </w:tcPr>
          <w:p w14:paraId="637CD150">
            <w:pPr>
              <w:pStyle w:val="19"/>
              <w:bidi w:val="0"/>
              <w:jc w:val="center"/>
              <w:rPr>
                <w:highlight w:val="none"/>
              </w:rPr>
            </w:pPr>
            <w:r>
              <w:rPr>
                <w:highlight w:val="none"/>
              </w:rPr>
              <w:t>污染源名称</w:t>
            </w:r>
          </w:p>
        </w:tc>
        <w:tc>
          <w:tcPr>
            <w:tcW w:w="1263" w:type="pct"/>
            <w:gridSpan w:val="2"/>
            <w:noWrap w:val="0"/>
            <w:vAlign w:val="center"/>
          </w:tcPr>
          <w:p w14:paraId="3A766092">
            <w:pPr>
              <w:pStyle w:val="19"/>
              <w:bidi w:val="0"/>
              <w:jc w:val="center"/>
              <w:rPr>
                <w:highlight w:val="none"/>
              </w:rPr>
            </w:pPr>
            <w:r>
              <w:rPr>
                <w:highlight w:val="none"/>
              </w:rPr>
              <w:t>排气筒底部中心坐标</w:t>
            </w:r>
          </w:p>
        </w:tc>
        <w:tc>
          <w:tcPr>
            <w:tcW w:w="434" w:type="pct"/>
            <w:vMerge w:val="restart"/>
            <w:noWrap w:val="0"/>
            <w:vAlign w:val="center"/>
          </w:tcPr>
          <w:p w14:paraId="5F7540CB">
            <w:pPr>
              <w:pStyle w:val="19"/>
              <w:bidi w:val="0"/>
              <w:jc w:val="center"/>
              <w:rPr>
                <w:highlight w:val="none"/>
              </w:rPr>
            </w:pPr>
            <w:r>
              <w:rPr>
                <w:highlight w:val="none"/>
              </w:rPr>
              <w:t>排气筒底部海 拔高度(m)</w:t>
            </w:r>
          </w:p>
        </w:tc>
        <w:tc>
          <w:tcPr>
            <w:tcW w:w="1687" w:type="pct"/>
            <w:gridSpan w:val="4"/>
            <w:noWrap w:val="0"/>
            <w:vAlign w:val="center"/>
          </w:tcPr>
          <w:p w14:paraId="20DDC445">
            <w:pPr>
              <w:pStyle w:val="19"/>
              <w:bidi w:val="0"/>
              <w:jc w:val="center"/>
              <w:rPr>
                <w:highlight w:val="none"/>
              </w:rPr>
            </w:pPr>
            <w:r>
              <w:rPr>
                <w:highlight w:val="none"/>
              </w:rPr>
              <w:t>排气筒参数</w:t>
            </w:r>
          </w:p>
        </w:tc>
        <w:tc>
          <w:tcPr>
            <w:tcW w:w="505" w:type="pct"/>
            <w:vMerge w:val="restart"/>
            <w:noWrap w:val="0"/>
            <w:vAlign w:val="center"/>
          </w:tcPr>
          <w:p w14:paraId="5CA8DBD7">
            <w:pPr>
              <w:pStyle w:val="19"/>
              <w:bidi w:val="0"/>
              <w:jc w:val="center"/>
              <w:rPr>
                <w:highlight w:val="none"/>
              </w:rPr>
            </w:pPr>
            <w:r>
              <w:rPr>
                <w:highlight w:val="none"/>
              </w:rPr>
              <w:t>污染物名称</w:t>
            </w:r>
          </w:p>
        </w:tc>
        <w:tc>
          <w:tcPr>
            <w:tcW w:w="474" w:type="pct"/>
            <w:vMerge w:val="restart"/>
            <w:noWrap w:val="0"/>
            <w:vAlign w:val="center"/>
          </w:tcPr>
          <w:p w14:paraId="241A058D">
            <w:pPr>
              <w:pStyle w:val="19"/>
              <w:bidi w:val="0"/>
              <w:jc w:val="center"/>
              <w:rPr>
                <w:highlight w:val="none"/>
              </w:rPr>
            </w:pPr>
            <w:r>
              <w:rPr>
                <w:highlight w:val="none"/>
              </w:rPr>
              <w:t>排放速率(kg/h)</w:t>
            </w:r>
          </w:p>
        </w:tc>
      </w:tr>
      <w:tr w14:paraId="64F52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3" w:hRule="atLeast"/>
        </w:trPr>
        <w:tc>
          <w:tcPr>
            <w:tcW w:w="634" w:type="pct"/>
            <w:vMerge w:val="continue"/>
            <w:noWrap w:val="0"/>
            <w:vAlign w:val="center"/>
          </w:tcPr>
          <w:p w14:paraId="2C90475A">
            <w:pPr>
              <w:pStyle w:val="19"/>
              <w:bidi w:val="0"/>
              <w:jc w:val="center"/>
              <w:rPr>
                <w:highlight w:val="none"/>
              </w:rPr>
            </w:pPr>
          </w:p>
        </w:tc>
        <w:tc>
          <w:tcPr>
            <w:tcW w:w="649" w:type="pct"/>
            <w:noWrap w:val="0"/>
            <w:vAlign w:val="center"/>
          </w:tcPr>
          <w:p w14:paraId="37331C29">
            <w:pPr>
              <w:pStyle w:val="19"/>
              <w:bidi w:val="0"/>
              <w:jc w:val="center"/>
              <w:rPr>
                <w:highlight w:val="none"/>
              </w:rPr>
            </w:pPr>
            <w:r>
              <w:rPr>
                <w:highlight w:val="none"/>
              </w:rPr>
              <w:t>X</w:t>
            </w:r>
          </w:p>
        </w:tc>
        <w:tc>
          <w:tcPr>
            <w:tcW w:w="614" w:type="pct"/>
            <w:noWrap w:val="0"/>
            <w:vAlign w:val="center"/>
          </w:tcPr>
          <w:p w14:paraId="75BC8723">
            <w:pPr>
              <w:pStyle w:val="19"/>
              <w:bidi w:val="0"/>
              <w:jc w:val="center"/>
              <w:rPr>
                <w:highlight w:val="none"/>
              </w:rPr>
            </w:pPr>
            <w:r>
              <w:rPr>
                <w:highlight w:val="none"/>
              </w:rPr>
              <w:t>Y</w:t>
            </w:r>
          </w:p>
        </w:tc>
        <w:tc>
          <w:tcPr>
            <w:tcW w:w="434" w:type="pct"/>
            <w:vMerge w:val="continue"/>
            <w:noWrap w:val="0"/>
            <w:vAlign w:val="center"/>
          </w:tcPr>
          <w:p w14:paraId="64D1DCAA">
            <w:pPr>
              <w:pStyle w:val="19"/>
              <w:bidi w:val="0"/>
              <w:jc w:val="center"/>
              <w:rPr>
                <w:highlight w:val="none"/>
              </w:rPr>
            </w:pPr>
          </w:p>
        </w:tc>
        <w:tc>
          <w:tcPr>
            <w:tcW w:w="407" w:type="pct"/>
            <w:noWrap w:val="0"/>
            <w:vAlign w:val="center"/>
          </w:tcPr>
          <w:p w14:paraId="64185ABE">
            <w:pPr>
              <w:pStyle w:val="19"/>
              <w:bidi w:val="0"/>
              <w:jc w:val="center"/>
              <w:rPr>
                <w:highlight w:val="none"/>
              </w:rPr>
            </w:pPr>
            <w:r>
              <w:rPr>
                <w:highlight w:val="none"/>
              </w:rPr>
              <w:t>排气筒高度(m)</w:t>
            </w:r>
          </w:p>
        </w:tc>
        <w:tc>
          <w:tcPr>
            <w:tcW w:w="469" w:type="pct"/>
            <w:noWrap w:val="0"/>
            <w:vAlign w:val="center"/>
          </w:tcPr>
          <w:p w14:paraId="7500B1D4">
            <w:pPr>
              <w:pStyle w:val="19"/>
              <w:bidi w:val="0"/>
              <w:jc w:val="center"/>
              <w:rPr>
                <w:highlight w:val="none"/>
              </w:rPr>
            </w:pPr>
            <w:r>
              <w:rPr>
                <w:highlight w:val="none"/>
              </w:rPr>
              <w:t>排气筒出口内径(m)</w:t>
            </w:r>
          </w:p>
        </w:tc>
        <w:tc>
          <w:tcPr>
            <w:tcW w:w="353" w:type="pct"/>
            <w:noWrap w:val="0"/>
            <w:vAlign w:val="center"/>
          </w:tcPr>
          <w:p w14:paraId="4195D2B6">
            <w:pPr>
              <w:pStyle w:val="19"/>
              <w:bidi w:val="0"/>
              <w:jc w:val="center"/>
              <w:rPr>
                <w:highlight w:val="none"/>
              </w:rPr>
            </w:pPr>
            <w:r>
              <w:rPr>
                <w:highlight w:val="none"/>
              </w:rPr>
              <w:t>烟气温度(℃)</w:t>
            </w:r>
          </w:p>
        </w:tc>
        <w:tc>
          <w:tcPr>
            <w:tcW w:w="455" w:type="pct"/>
            <w:noWrap w:val="0"/>
            <w:vAlign w:val="center"/>
          </w:tcPr>
          <w:p w14:paraId="2C1DFFE3">
            <w:pPr>
              <w:pStyle w:val="19"/>
              <w:bidi w:val="0"/>
              <w:jc w:val="center"/>
              <w:rPr>
                <w:highlight w:val="none"/>
              </w:rPr>
            </w:pPr>
            <w:r>
              <w:rPr>
                <w:highlight w:val="none"/>
              </w:rPr>
              <w:t>烟气流速(m/s)</w:t>
            </w:r>
          </w:p>
        </w:tc>
        <w:tc>
          <w:tcPr>
            <w:tcW w:w="505" w:type="pct"/>
            <w:vMerge w:val="continue"/>
            <w:noWrap w:val="0"/>
            <w:vAlign w:val="center"/>
          </w:tcPr>
          <w:p w14:paraId="468AE504">
            <w:pPr>
              <w:pStyle w:val="19"/>
              <w:bidi w:val="0"/>
              <w:jc w:val="center"/>
              <w:rPr>
                <w:highlight w:val="none"/>
              </w:rPr>
            </w:pPr>
          </w:p>
        </w:tc>
        <w:tc>
          <w:tcPr>
            <w:tcW w:w="474" w:type="pct"/>
            <w:vMerge w:val="continue"/>
            <w:noWrap w:val="0"/>
            <w:vAlign w:val="center"/>
          </w:tcPr>
          <w:p w14:paraId="17732BB0">
            <w:pPr>
              <w:pStyle w:val="19"/>
              <w:bidi w:val="0"/>
              <w:jc w:val="center"/>
              <w:rPr>
                <w:highlight w:val="none"/>
              </w:rPr>
            </w:pPr>
          </w:p>
        </w:tc>
      </w:tr>
      <w:tr w14:paraId="6CAC6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634" w:type="pct"/>
            <w:vMerge w:val="restart"/>
            <w:noWrap w:val="0"/>
            <w:vAlign w:val="center"/>
          </w:tcPr>
          <w:p w14:paraId="33F9DCE2">
            <w:pPr>
              <w:pStyle w:val="19"/>
              <w:bidi w:val="0"/>
              <w:jc w:val="center"/>
              <w:rPr>
                <w:rFonts w:hint="default"/>
                <w:lang w:val="en-US"/>
              </w:rPr>
            </w:pPr>
            <w:r>
              <w:rPr>
                <w:rFonts w:hint="eastAsia"/>
                <w:lang w:val="en-US" w:eastAsia="zh-CN"/>
              </w:rPr>
              <w:t>1#</w:t>
            </w:r>
            <w:r>
              <w:t>生物质锅炉排口</w:t>
            </w:r>
            <w:r>
              <w:rPr>
                <w:rFonts w:hint="eastAsia"/>
                <w:lang w:val="en-US" w:eastAsia="zh-CN"/>
              </w:rPr>
              <w:t>（DA001）</w:t>
            </w:r>
          </w:p>
        </w:tc>
        <w:tc>
          <w:tcPr>
            <w:tcW w:w="649" w:type="pct"/>
            <w:vMerge w:val="restart"/>
            <w:noWrap w:val="0"/>
            <w:vAlign w:val="center"/>
          </w:tcPr>
          <w:p w14:paraId="5DF88FCB">
            <w:pPr>
              <w:pStyle w:val="19"/>
              <w:bidi w:val="0"/>
              <w:jc w:val="center"/>
              <w:rPr>
                <w:rFonts w:hint="default" w:eastAsia="宋体"/>
                <w:lang w:val="en-US" w:eastAsia="zh-CN"/>
              </w:rPr>
            </w:pPr>
            <w:r>
              <w:rPr>
                <w:rFonts w:hint="eastAsia"/>
                <w:lang w:val="en-US" w:eastAsia="zh-CN"/>
              </w:rPr>
              <w:t>21.96</w:t>
            </w:r>
          </w:p>
        </w:tc>
        <w:tc>
          <w:tcPr>
            <w:tcW w:w="614" w:type="pct"/>
            <w:vMerge w:val="restart"/>
            <w:noWrap w:val="0"/>
            <w:vAlign w:val="center"/>
          </w:tcPr>
          <w:p w14:paraId="4E7D1E48">
            <w:pPr>
              <w:pStyle w:val="19"/>
              <w:bidi w:val="0"/>
              <w:jc w:val="center"/>
              <w:rPr>
                <w:rFonts w:hint="default" w:eastAsia="宋体"/>
                <w:lang w:val="en-US" w:eastAsia="zh-CN"/>
              </w:rPr>
            </w:pPr>
            <w:r>
              <w:rPr>
                <w:rFonts w:hint="eastAsia"/>
                <w:lang w:val="en-US" w:eastAsia="zh-CN"/>
              </w:rPr>
              <w:t>195.11</w:t>
            </w:r>
          </w:p>
        </w:tc>
        <w:tc>
          <w:tcPr>
            <w:tcW w:w="434" w:type="pct"/>
            <w:vMerge w:val="restart"/>
            <w:noWrap w:val="0"/>
            <w:vAlign w:val="center"/>
          </w:tcPr>
          <w:p w14:paraId="25B22AF2">
            <w:pPr>
              <w:pStyle w:val="19"/>
              <w:bidi w:val="0"/>
              <w:jc w:val="center"/>
              <w:rPr>
                <w:rFonts w:hint="default" w:eastAsia="宋体"/>
                <w:lang w:val="en-US" w:eastAsia="zh-CN"/>
              </w:rPr>
            </w:pPr>
            <w:r>
              <w:rPr>
                <w:rFonts w:hint="eastAsia"/>
                <w:lang w:val="en-US" w:eastAsia="zh-CN"/>
              </w:rPr>
              <w:t>289</w:t>
            </w:r>
          </w:p>
        </w:tc>
        <w:tc>
          <w:tcPr>
            <w:tcW w:w="407" w:type="pct"/>
            <w:vMerge w:val="restart"/>
            <w:noWrap w:val="0"/>
            <w:vAlign w:val="center"/>
          </w:tcPr>
          <w:p w14:paraId="5A00DAD9">
            <w:pPr>
              <w:pStyle w:val="19"/>
              <w:bidi w:val="0"/>
              <w:jc w:val="center"/>
              <w:rPr>
                <w:rFonts w:hint="default" w:eastAsia="宋体"/>
                <w:lang w:val="en-US" w:eastAsia="zh-CN"/>
              </w:rPr>
            </w:pPr>
            <w:r>
              <w:rPr>
                <w:rFonts w:hint="eastAsia"/>
                <w:lang w:val="en-US" w:eastAsia="zh-CN"/>
              </w:rPr>
              <w:t>15</w:t>
            </w:r>
          </w:p>
        </w:tc>
        <w:tc>
          <w:tcPr>
            <w:tcW w:w="469" w:type="pct"/>
            <w:vMerge w:val="restart"/>
            <w:noWrap w:val="0"/>
            <w:vAlign w:val="center"/>
          </w:tcPr>
          <w:p w14:paraId="57281104">
            <w:pPr>
              <w:pStyle w:val="19"/>
              <w:bidi w:val="0"/>
              <w:jc w:val="center"/>
              <w:rPr>
                <w:rFonts w:hint="default" w:eastAsia="宋体"/>
                <w:lang w:val="en-US" w:eastAsia="zh-CN"/>
              </w:rPr>
            </w:pPr>
            <w:r>
              <w:rPr>
                <w:rFonts w:hint="eastAsia"/>
                <w:lang w:val="en-US" w:eastAsia="zh-CN"/>
              </w:rPr>
              <w:t>0.3</w:t>
            </w:r>
          </w:p>
        </w:tc>
        <w:tc>
          <w:tcPr>
            <w:tcW w:w="353" w:type="pct"/>
            <w:vMerge w:val="restart"/>
            <w:noWrap w:val="0"/>
            <w:vAlign w:val="center"/>
          </w:tcPr>
          <w:p w14:paraId="3D835FE6">
            <w:pPr>
              <w:pStyle w:val="19"/>
              <w:bidi w:val="0"/>
              <w:jc w:val="center"/>
              <w:rPr>
                <w:rFonts w:hint="default" w:eastAsia="宋体"/>
                <w:lang w:val="en-US" w:eastAsia="zh-CN"/>
              </w:rPr>
            </w:pPr>
            <w:r>
              <w:rPr>
                <w:rFonts w:hint="eastAsia"/>
                <w:lang w:val="en-US" w:eastAsia="zh-CN"/>
              </w:rPr>
              <w:t>120</w:t>
            </w:r>
          </w:p>
        </w:tc>
        <w:tc>
          <w:tcPr>
            <w:tcW w:w="455" w:type="pct"/>
            <w:vMerge w:val="restart"/>
            <w:noWrap w:val="0"/>
            <w:vAlign w:val="center"/>
          </w:tcPr>
          <w:p w14:paraId="28B7A01D">
            <w:pPr>
              <w:pStyle w:val="19"/>
              <w:bidi w:val="0"/>
              <w:jc w:val="center"/>
              <w:rPr>
                <w:rFonts w:hint="default" w:eastAsia="宋体"/>
                <w:lang w:val="en-US" w:eastAsia="zh-CN"/>
              </w:rPr>
            </w:pPr>
            <w:r>
              <w:rPr>
                <w:rFonts w:hint="eastAsia"/>
                <w:lang w:val="en-US" w:eastAsia="zh-CN"/>
              </w:rPr>
              <w:t>10.72</w:t>
            </w:r>
          </w:p>
        </w:tc>
        <w:tc>
          <w:tcPr>
            <w:tcW w:w="505" w:type="pct"/>
            <w:noWrap w:val="0"/>
            <w:vAlign w:val="center"/>
          </w:tcPr>
          <w:p w14:paraId="68950247">
            <w:pPr>
              <w:pStyle w:val="19"/>
              <w:bidi w:val="0"/>
              <w:ind w:firstLine="0" w:firstLineChars="0"/>
              <w:jc w:val="center"/>
              <w:rPr>
                <w:rFonts w:hint="default" w:ascii="Times New Roman" w:hAnsi="Times New Roman" w:eastAsia="宋体" w:cs="Times New Roman"/>
                <w:kern w:val="2"/>
                <w:sz w:val="21"/>
                <w:szCs w:val="22"/>
                <w:vertAlign w:val="baseline"/>
                <w:lang w:val="en-US" w:eastAsia="zh-CN" w:bidi="ar-SA"/>
              </w:rPr>
            </w:pPr>
            <w:r>
              <w:rPr>
                <w:rFonts w:hint="eastAsia"/>
                <w:lang w:val="en-US" w:eastAsia="zh-CN"/>
              </w:rPr>
              <w:t>PM</w:t>
            </w:r>
            <w:r>
              <w:rPr>
                <w:rFonts w:hint="eastAsia"/>
                <w:vertAlign w:val="subscript"/>
                <w:lang w:val="en-US" w:eastAsia="zh-CN"/>
              </w:rPr>
              <w:t>10</w:t>
            </w:r>
          </w:p>
        </w:tc>
        <w:tc>
          <w:tcPr>
            <w:tcW w:w="474" w:type="pct"/>
            <w:noWrap w:val="0"/>
            <w:vAlign w:val="center"/>
          </w:tcPr>
          <w:p w14:paraId="347A870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r>
      <w:tr w14:paraId="2B66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634" w:type="pct"/>
            <w:vMerge w:val="continue"/>
            <w:noWrap w:val="0"/>
            <w:vAlign w:val="center"/>
          </w:tcPr>
          <w:p w14:paraId="5C5D2ED7">
            <w:pPr>
              <w:pStyle w:val="19"/>
              <w:bidi w:val="0"/>
              <w:jc w:val="center"/>
            </w:pPr>
          </w:p>
        </w:tc>
        <w:tc>
          <w:tcPr>
            <w:tcW w:w="649" w:type="pct"/>
            <w:vMerge w:val="continue"/>
            <w:noWrap w:val="0"/>
            <w:vAlign w:val="center"/>
          </w:tcPr>
          <w:p w14:paraId="670DEB66">
            <w:pPr>
              <w:pStyle w:val="19"/>
              <w:bidi w:val="0"/>
              <w:jc w:val="center"/>
            </w:pPr>
          </w:p>
        </w:tc>
        <w:tc>
          <w:tcPr>
            <w:tcW w:w="614" w:type="pct"/>
            <w:vMerge w:val="continue"/>
            <w:noWrap w:val="0"/>
            <w:vAlign w:val="center"/>
          </w:tcPr>
          <w:p w14:paraId="361195BC">
            <w:pPr>
              <w:pStyle w:val="19"/>
              <w:bidi w:val="0"/>
              <w:jc w:val="center"/>
            </w:pPr>
          </w:p>
        </w:tc>
        <w:tc>
          <w:tcPr>
            <w:tcW w:w="434" w:type="pct"/>
            <w:vMerge w:val="continue"/>
            <w:noWrap w:val="0"/>
            <w:vAlign w:val="center"/>
          </w:tcPr>
          <w:p w14:paraId="648B977C">
            <w:pPr>
              <w:pStyle w:val="19"/>
              <w:bidi w:val="0"/>
              <w:jc w:val="center"/>
            </w:pPr>
          </w:p>
        </w:tc>
        <w:tc>
          <w:tcPr>
            <w:tcW w:w="407" w:type="pct"/>
            <w:vMerge w:val="continue"/>
            <w:noWrap w:val="0"/>
            <w:vAlign w:val="center"/>
          </w:tcPr>
          <w:p w14:paraId="03F5AEDB">
            <w:pPr>
              <w:pStyle w:val="19"/>
              <w:bidi w:val="0"/>
              <w:jc w:val="center"/>
            </w:pPr>
          </w:p>
        </w:tc>
        <w:tc>
          <w:tcPr>
            <w:tcW w:w="469" w:type="pct"/>
            <w:vMerge w:val="continue"/>
            <w:noWrap w:val="0"/>
            <w:vAlign w:val="center"/>
          </w:tcPr>
          <w:p w14:paraId="329F8AD7">
            <w:pPr>
              <w:pStyle w:val="19"/>
              <w:bidi w:val="0"/>
              <w:jc w:val="center"/>
            </w:pPr>
          </w:p>
        </w:tc>
        <w:tc>
          <w:tcPr>
            <w:tcW w:w="353" w:type="pct"/>
            <w:vMerge w:val="continue"/>
            <w:noWrap w:val="0"/>
            <w:vAlign w:val="center"/>
          </w:tcPr>
          <w:p w14:paraId="0C8785DB">
            <w:pPr>
              <w:pStyle w:val="19"/>
              <w:bidi w:val="0"/>
              <w:jc w:val="center"/>
            </w:pPr>
          </w:p>
        </w:tc>
        <w:tc>
          <w:tcPr>
            <w:tcW w:w="455" w:type="pct"/>
            <w:vMerge w:val="continue"/>
            <w:noWrap w:val="0"/>
            <w:vAlign w:val="center"/>
          </w:tcPr>
          <w:p w14:paraId="0C8ED71F">
            <w:pPr>
              <w:pStyle w:val="19"/>
              <w:bidi w:val="0"/>
              <w:jc w:val="center"/>
            </w:pPr>
          </w:p>
        </w:tc>
        <w:tc>
          <w:tcPr>
            <w:tcW w:w="505" w:type="pct"/>
            <w:noWrap w:val="0"/>
            <w:vAlign w:val="center"/>
          </w:tcPr>
          <w:p w14:paraId="47616D24">
            <w:pPr>
              <w:pStyle w:val="19"/>
              <w:bidi w:val="0"/>
              <w:ind w:firstLine="0" w:firstLineChars="0"/>
              <w:jc w:val="center"/>
              <w:rPr>
                <w:rFonts w:ascii="Times New Roman" w:hAnsi="Times New Roman" w:eastAsia="宋体" w:cs="Times New Roman"/>
                <w:kern w:val="2"/>
                <w:sz w:val="21"/>
                <w:szCs w:val="22"/>
                <w:lang w:val="en-US" w:eastAsia="zh-CN" w:bidi="ar-SA"/>
              </w:rPr>
            </w:pPr>
            <w:r>
              <w:t>SO</w:t>
            </w:r>
            <w:r>
              <w:rPr>
                <w:vertAlign w:val="subscript"/>
              </w:rPr>
              <w:t>2</w:t>
            </w:r>
          </w:p>
        </w:tc>
        <w:tc>
          <w:tcPr>
            <w:tcW w:w="474" w:type="pct"/>
            <w:noWrap w:val="0"/>
            <w:vAlign w:val="center"/>
          </w:tcPr>
          <w:p w14:paraId="5BFC779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r>
      <w:tr w14:paraId="69470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634" w:type="pct"/>
            <w:vMerge w:val="continue"/>
            <w:noWrap w:val="0"/>
            <w:vAlign w:val="center"/>
          </w:tcPr>
          <w:p w14:paraId="45BFCF46">
            <w:pPr>
              <w:pStyle w:val="19"/>
              <w:bidi w:val="0"/>
              <w:jc w:val="center"/>
            </w:pPr>
          </w:p>
        </w:tc>
        <w:tc>
          <w:tcPr>
            <w:tcW w:w="649" w:type="pct"/>
            <w:vMerge w:val="continue"/>
            <w:noWrap w:val="0"/>
            <w:vAlign w:val="center"/>
          </w:tcPr>
          <w:p w14:paraId="21307A3D">
            <w:pPr>
              <w:pStyle w:val="19"/>
              <w:bidi w:val="0"/>
              <w:jc w:val="center"/>
            </w:pPr>
          </w:p>
        </w:tc>
        <w:tc>
          <w:tcPr>
            <w:tcW w:w="614" w:type="pct"/>
            <w:vMerge w:val="continue"/>
            <w:noWrap w:val="0"/>
            <w:vAlign w:val="center"/>
          </w:tcPr>
          <w:p w14:paraId="5A908AE8">
            <w:pPr>
              <w:pStyle w:val="19"/>
              <w:bidi w:val="0"/>
              <w:jc w:val="center"/>
            </w:pPr>
          </w:p>
        </w:tc>
        <w:tc>
          <w:tcPr>
            <w:tcW w:w="434" w:type="pct"/>
            <w:vMerge w:val="continue"/>
            <w:noWrap w:val="0"/>
            <w:vAlign w:val="center"/>
          </w:tcPr>
          <w:p w14:paraId="187BE689">
            <w:pPr>
              <w:pStyle w:val="19"/>
              <w:bidi w:val="0"/>
              <w:jc w:val="center"/>
            </w:pPr>
          </w:p>
        </w:tc>
        <w:tc>
          <w:tcPr>
            <w:tcW w:w="407" w:type="pct"/>
            <w:vMerge w:val="continue"/>
            <w:noWrap w:val="0"/>
            <w:vAlign w:val="center"/>
          </w:tcPr>
          <w:p w14:paraId="116571C7">
            <w:pPr>
              <w:pStyle w:val="19"/>
              <w:bidi w:val="0"/>
              <w:jc w:val="center"/>
            </w:pPr>
          </w:p>
        </w:tc>
        <w:tc>
          <w:tcPr>
            <w:tcW w:w="469" w:type="pct"/>
            <w:vMerge w:val="continue"/>
            <w:noWrap w:val="0"/>
            <w:vAlign w:val="center"/>
          </w:tcPr>
          <w:p w14:paraId="15235B10">
            <w:pPr>
              <w:pStyle w:val="19"/>
              <w:bidi w:val="0"/>
              <w:jc w:val="center"/>
            </w:pPr>
          </w:p>
        </w:tc>
        <w:tc>
          <w:tcPr>
            <w:tcW w:w="353" w:type="pct"/>
            <w:vMerge w:val="continue"/>
            <w:noWrap w:val="0"/>
            <w:vAlign w:val="center"/>
          </w:tcPr>
          <w:p w14:paraId="78A73CA2">
            <w:pPr>
              <w:pStyle w:val="19"/>
              <w:bidi w:val="0"/>
              <w:jc w:val="center"/>
            </w:pPr>
          </w:p>
        </w:tc>
        <w:tc>
          <w:tcPr>
            <w:tcW w:w="455" w:type="pct"/>
            <w:vMerge w:val="continue"/>
            <w:noWrap w:val="0"/>
            <w:vAlign w:val="center"/>
          </w:tcPr>
          <w:p w14:paraId="26078935">
            <w:pPr>
              <w:pStyle w:val="19"/>
              <w:bidi w:val="0"/>
              <w:jc w:val="center"/>
            </w:pPr>
          </w:p>
        </w:tc>
        <w:tc>
          <w:tcPr>
            <w:tcW w:w="505" w:type="pct"/>
            <w:noWrap w:val="0"/>
            <w:vAlign w:val="center"/>
          </w:tcPr>
          <w:p w14:paraId="39906AA7">
            <w:pPr>
              <w:pStyle w:val="19"/>
              <w:bidi w:val="0"/>
              <w:ind w:firstLine="0" w:firstLineChars="0"/>
              <w:jc w:val="center"/>
              <w:rPr>
                <w:rFonts w:ascii="Times New Roman" w:hAnsi="Times New Roman" w:eastAsia="宋体" w:cs="Times New Roman"/>
                <w:kern w:val="2"/>
                <w:sz w:val="21"/>
                <w:szCs w:val="22"/>
                <w:lang w:val="en-US" w:eastAsia="zh-CN" w:bidi="ar-SA"/>
              </w:rPr>
            </w:pPr>
            <w:r>
              <w:t>NOx</w:t>
            </w:r>
          </w:p>
        </w:tc>
        <w:tc>
          <w:tcPr>
            <w:tcW w:w="474" w:type="pct"/>
            <w:noWrap w:val="0"/>
            <w:vAlign w:val="center"/>
          </w:tcPr>
          <w:p w14:paraId="5E7E1FAF">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0.3122</w:t>
            </w:r>
          </w:p>
        </w:tc>
      </w:tr>
      <w:tr w14:paraId="7BE16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 w:hRule="atLeast"/>
        </w:trPr>
        <w:tc>
          <w:tcPr>
            <w:tcW w:w="634" w:type="pct"/>
            <w:vMerge w:val="restart"/>
            <w:noWrap w:val="0"/>
            <w:vAlign w:val="center"/>
          </w:tcPr>
          <w:p w14:paraId="6B719EE7">
            <w:pPr>
              <w:pStyle w:val="19"/>
              <w:bidi w:val="0"/>
              <w:jc w:val="center"/>
              <w:rPr>
                <w:rFonts w:hint="default" w:eastAsia="宋体"/>
                <w:lang w:val="en-US" w:eastAsia="zh-CN"/>
              </w:rPr>
            </w:pPr>
            <w:r>
              <w:rPr>
                <w:rFonts w:hint="eastAsia"/>
                <w:lang w:val="en-US" w:eastAsia="zh-CN"/>
              </w:rPr>
              <w:t>2#</w:t>
            </w:r>
            <w:r>
              <w:t>生物质锅炉排口</w:t>
            </w:r>
            <w:r>
              <w:rPr>
                <w:rFonts w:hint="eastAsia"/>
                <w:lang w:val="en-US" w:eastAsia="zh-CN"/>
              </w:rPr>
              <w:t>（DA002）</w:t>
            </w:r>
          </w:p>
        </w:tc>
        <w:tc>
          <w:tcPr>
            <w:tcW w:w="649" w:type="pct"/>
            <w:vMerge w:val="restart"/>
            <w:noWrap w:val="0"/>
            <w:vAlign w:val="center"/>
          </w:tcPr>
          <w:p w14:paraId="193D85E3">
            <w:pPr>
              <w:pStyle w:val="19"/>
              <w:bidi w:val="0"/>
              <w:jc w:val="center"/>
              <w:rPr>
                <w:rFonts w:hint="default" w:eastAsia="宋体"/>
                <w:lang w:val="en-US" w:eastAsia="zh-CN"/>
              </w:rPr>
            </w:pPr>
            <w:r>
              <w:rPr>
                <w:rFonts w:hint="eastAsia"/>
                <w:lang w:val="en-US" w:eastAsia="zh-CN"/>
              </w:rPr>
              <w:t>180.6</w:t>
            </w:r>
          </w:p>
        </w:tc>
        <w:tc>
          <w:tcPr>
            <w:tcW w:w="614" w:type="pct"/>
            <w:vMerge w:val="restart"/>
            <w:noWrap w:val="0"/>
            <w:vAlign w:val="center"/>
          </w:tcPr>
          <w:p w14:paraId="3B99D0DD">
            <w:pPr>
              <w:pStyle w:val="19"/>
              <w:bidi w:val="0"/>
              <w:jc w:val="center"/>
              <w:rPr>
                <w:rFonts w:hint="default" w:eastAsia="宋体"/>
                <w:lang w:val="en-US" w:eastAsia="zh-CN"/>
              </w:rPr>
            </w:pPr>
            <w:r>
              <w:rPr>
                <w:rFonts w:hint="eastAsia"/>
                <w:lang w:val="en-US" w:eastAsia="zh-CN"/>
              </w:rPr>
              <w:t>545.87</w:t>
            </w:r>
          </w:p>
        </w:tc>
        <w:tc>
          <w:tcPr>
            <w:tcW w:w="434" w:type="pct"/>
            <w:vMerge w:val="restart"/>
            <w:noWrap w:val="0"/>
            <w:vAlign w:val="center"/>
          </w:tcPr>
          <w:p w14:paraId="508E914F">
            <w:pPr>
              <w:pStyle w:val="19"/>
              <w:bidi w:val="0"/>
              <w:jc w:val="center"/>
              <w:rPr>
                <w:rFonts w:hint="default" w:eastAsia="宋体"/>
                <w:lang w:val="en-US" w:eastAsia="zh-CN"/>
              </w:rPr>
            </w:pPr>
            <w:r>
              <w:rPr>
                <w:rFonts w:hint="eastAsia"/>
                <w:lang w:val="en-US" w:eastAsia="zh-CN"/>
              </w:rPr>
              <w:t>286</w:t>
            </w:r>
          </w:p>
        </w:tc>
        <w:tc>
          <w:tcPr>
            <w:tcW w:w="407" w:type="pct"/>
            <w:vMerge w:val="restart"/>
            <w:noWrap w:val="0"/>
            <w:vAlign w:val="center"/>
          </w:tcPr>
          <w:p w14:paraId="7C6C2285">
            <w:pPr>
              <w:pStyle w:val="19"/>
              <w:bidi w:val="0"/>
              <w:jc w:val="center"/>
            </w:pPr>
            <w:r>
              <w:t>15</w:t>
            </w:r>
          </w:p>
        </w:tc>
        <w:tc>
          <w:tcPr>
            <w:tcW w:w="469" w:type="pct"/>
            <w:vMerge w:val="restart"/>
            <w:noWrap w:val="0"/>
            <w:vAlign w:val="center"/>
          </w:tcPr>
          <w:p w14:paraId="06182EB2">
            <w:pPr>
              <w:pStyle w:val="19"/>
              <w:bidi w:val="0"/>
              <w:jc w:val="center"/>
              <w:rPr>
                <w:rFonts w:hint="default" w:eastAsia="宋体"/>
                <w:lang w:val="en-US" w:eastAsia="zh-CN"/>
              </w:rPr>
            </w:pPr>
            <w:r>
              <w:rPr>
                <w:rFonts w:hint="eastAsia"/>
                <w:lang w:val="en-US" w:eastAsia="zh-CN"/>
              </w:rPr>
              <w:t>0.3</w:t>
            </w:r>
          </w:p>
        </w:tc>
        <w:tc>
          <w:tcPr>
            <w:tcW w:w="353" w:type="pct"/>
            <w:vMerge w:val="restart"/>
            <w:noWrap w:val="0"/>
            <w:vAlign w:val="center"/>
          </w:tcPr>
          <w:p w14:paraId="232CD4AB">
            <w:pPr>
              <w:pStyle w:val="19"/>
              <w:bidi w:val="0"/>
              <w:jc w:val="center"/>
              <w:rPr>
                <w:rFonts w:hint="default" w:eastAsia="宋体"/>
                <w:lang w:val="en-US" w:eastAsia="zh-CN"/>
              </w:rPr>
            </w:pPr>
            <w:r>
              <w:rPr>
                <w:rFonts w:hint="eastAsia"/>
                <w:lang w:val="en-US" w:eastAsia="zh-CN"/>
              </w:rPr>
              <w:t>120</w:t>
            </w:r>
          </w:p>
        </w:tc>
        <w:tc>
          <w:tcPr>
            <w:tcW w:w="455" w:type="pct"/>
            <w:vMerge w:val="restart"/>
            <w:noWrap w:val="0"/>
            <w:vAlign w:val="center"/>
          </w:tcPr>
          <w:p w14:paraId="36EAC181">
            <w:pPr>
              <w:pStyle w:val="19"/>
              <w:bidi w:val="0"/>
              <w:jc w:val="center"/>
            </w:pPr>
            <w:r>
              <w:rPr>
                <w:rFonts w:hint="eastAsia"/>
                <w:lang w:val="en-US" w:eastAsia="zh-CN"/>
              </w:rPr>
              <w:t>10.72</w:t>
            </w:r>
          </w:p>
        </w:tc>
        <w:tc>
          <w:tcPr>
            <w:tcW w:w="505" w:type="pct"/>
            <w:noWrap w:val="0"/>
            <w:vAlign w:val="center"/>
          </w:tcPr>
          <w:p w14:paraId="6E10DF2E">
            <w:pPr>
              <w:pStyle w:val="19"/>
              <w:bidi w:val="0"/>
              <w:jc w:val="center"/>
              <w:rPr>
                <w:rFonts w:hint="default" w:eastAsia="宋体"/>
                <w:vertAlign w:val="baseline"/>
                <w:lang w:val="en-US" w:eastAsia="zh-CN"/>
              </w:rPr>
            </w:pPr>
            <w:r>
              <w:rPr>
                <w:rFonts w:hint="eastAsia"/>
                <w:lang w:val="en-US" w:eastAsia="zh-CN"/>
              </w:rPr>
              <w:t>PM</w:t>
            </w:r>
            <w:r>
              <w:rPr>
                <w:rFonts w:hint="eastAsia"/>
                <w:vertAlign w:val="subscript"/>
                <w:lang w:val="en-US" w:eastAsia="zh-CN"/>
              </w:rPr>
              <w:t>10</w:t>
            </w:r>
          </w:p>
        </w:tc>
        <w:tc>
          <w:tcPr>
            <w:tcW w:w="474" w:type="pct"/>
            <w:noWrap w:val="0"/>
            <w:vAlign w:val="center"/>
          </w:tcPr>
          <w:p w14:paraId="1B4314C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r>
      <w:tr w14:paraId="00139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634" w:type="pct"/>
            <w:vMerge w:val="continue"/>
            <w:noWrap w:val="0"/>
            <w:vAlign w:val="center"/>
          </w:tcPr>
          <w:p w14:paraId="2D03B2EC">
            <w:pPr>
              <w:pStyle w:val="19"/>
              <w:bidi w:val="0"/>
              <w:jc w:val="center"/>
            </w:pPr>
          </w:p>
        </w:tc>
        <w:tc>
          <w:tcPr>
            <w:tcW w:w="649" w:type="pct"/>
            <w:vMerge w:val="continue"/>
            <w:noWrap w:val="0"/>
            <w:vAlign w:val="center"/>
          </w:tcPr>
          <w:p w14:paraId="211B8EA7">
            <w:pPr>
              <w:pStyle w:val="19"/>
              <w:bidi w:val="0"/>
              <w:jc w:val="center"/>
            </w:pPr>
          </w:p>
        </w:tc>
        <w:tc>
          <w:tcPr>
            <w:tcW w:w="614" w:type="pct"/>
            <w:vMerge w:val="continue"/>
            <w:noWrap w:val="0"/>
            <w:vAlign w:val="center"/>
          </w:tcPr>
          <w:p w14:paraId="5BC38F7D">
            <w:pPr>
              <w:pStyle w:val="19"/>
              <w:bidi w:val="0"/>
              <w:jc w:val="center"/>
            </w:pPr>
          </w:p>
        </w:tc>
        <w:tc>
          <w:tcPr>
            <w:tcW w:w="434" w:type="pct"/>
            <w:vMerge w:val="continue"/>
            <w:noWrap w:val="0"/>
            <w:vAlign w:val="center"/>
          </w:tcPr>
          <w:p w14:paraId="1EE6017C">
            <w:pPr>
              <w:pStyle w:val="19"/>
              <w:bidi w:val="0"/>
              <w:jc w:val="center"/>
            </w:pPr>
          </w:p>
        </w:tc>
        <w:tc>
          <w:tcPr>
            <w:tcW w:w="407" w:type="pct"/>
            <w:vMerge w:val="continue"/>
            <w:noWrap w:val="0"/>
            <w:vAlign w:val="center"/>
          </w:tcPr>
          <w:p w14:paraId="49314C21">
            <w:pPr>
              <w:pStyle w:val="19"/>
              <w:bidi w:val="0"/>
              <w:jc w:val="center"/>
            </w:pPr>
          </w:p>
        </w:tc>
        <w:tc>
          <w:tcPr>
            <w:tcW w:w="469" w:type="pct"/>
            <w:vMerge w:val="continue"/>
            <w:noWrap w:val="0"/>
            <w:vAlign w:val="center"/>
          </w:tcPr>
          <w:p w14:paraId="692FB895">
            <w:pPr>
              <w:pStyle w:val="19"/>
              <w:bidi w:val="0"/>
              <w:jc w:val="center"/>
            </w:pPr>
          </w:p>
        </w:tc>
        <w:tc>
          <w:tcPr>
            <w:tcW w:w="353" w:type="pct"/>
            <w:vMerge w:val="continue"/>
            <w:noWrap w:val="0"/>
            <w:vAlign w:val="center"/>
          </w:tcPr>
          <w:p w14:paraId="74EF17F1">
            <w:pPr>
              <w:pStyle w:val="19"/>
              <w:bidi w:val="0"/>
              <w:jc w:val="center"/>
            </w:pPr>
          </w:p>
        </w:tc>
        <w:tc>
          <w:tcPr>
            <w:tcW w:w="455" w:type="pct"/>
            <w:vMerge w:val="continue"/>
            <w:noWrap w:val="0"/>
            <w:vAlign w:val="center"/>
          </w:tcPr>
          <w:p w14:paraId="7E83B5B3">
            <w:pPr>
              <w:pStyle w:val="19"/>
              <w:bidi w:val="0"/>
              <w:jc w:val="center"/>
            </w:pPr>
          </w:p>
        </w:tc>
        <w:tc>
          <w:tcPr>
            <w:tcW w:w="505" w:type="pct"/>
            <w:noWrap w:val="0"/>
            <w:vAlign w:val="center"/>
          </w:tcPr>
          <w:p w14:paraId="107E87ED">
            <w:pPr>
              <w:pStyle w:val="19"/>
              <w:bidi w:val="0"/>
              <w:jc w:val="center"/>
            </w:pPr>
            <w:r>
              <w:t>SO</w:t>
            </w:r>
            <w:r>
              <w:rPr>
                <w:vertAlign w:val="subscript"/>
              </w:rPr>
              <w:t>2</w:t>
            </w:r>
          </w:p>
        </w:tc>
        <w:tc>
          <w:tcPr>
            <w:tcW w:w="474" w:type="pct"/>
            <w:noWrap w:val="0"/>
            <w:vAlign w:val="center"/>
          </w:tcPr>
          <w:p w14:paraId="53A23AF6">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r>
      <w:tr w14:paraId="53C42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4" w:type="pct"/>
            <w:vMerge w:val="continue"/>
            <w:noWrap w:val="0"/>
            <w:vAlign w:val="center"/>
          </w:tcPr>
          <w:p w14:paraId="664D0384">
            <w:pPr>
              <w:pStyle w:val="19"/>
              <w:bidi w:val="0"/>
              <w:jc w:val="center"/>
            </w:pPr>
          </w:p>
        </w:tc>
        <w:tc>
          <w:tcPr>
            <w:tcW w:w="649" w:type="pct"/>
            <w:vMerge w:val="continue"/>
            <w:noWrap w:val="0"/>
            <w:vAlign w:val="center"/>
          </w:tcPr>
          <w:p w14:paraId="34DC336D">
            <w:pPr>
              <w:pStyle w:val="19"/>
              <w:bidi w:val="0"/>
              <w:jc w:val="center"/>
            </w:pPr>
          </w:p>
        </w:tc>
        <w:tc>
          <w:tcPr>
            <w:tcW w:w="614" w:type="pct"/>
            <w:vMerge w:val="continue"/>
            <w:noWrap w:val="0"/>
            <w:vAlign w:val="center"/>
          </w:tcPr>
          <w:p w14:paraId="228C0FBA">
            <w:pPr>
              <w:pStyle w:val="19"/>
              <w:bidi w:val="0"/>
              <w:jc w:val="center"/>
            </w:pPr>
          </w:p>
        </w:tc>
        <w:tc>
          <w:tcPr>
            <w:tcW w:w="434" w:type="pct"/>
            <w:vMerge w:val="continue"/>
            <w:noWrap w:val="0"/>
            <w:vAlign w:val="center"/>
          </w:tcPr>
          <w:p w14:paraId="64250132">
            <w:pPr>
              <w:pStyle w:val="19"/>
              <w:bidi w:val="0"/>
              <w:jc w:val="center"/>
            </w:pPr>
          </w:p>
        </w:tc>
        <w:tc>
          <w:tcPr>
            <w:tcW w:w="407" w:type="pct"/>
            <w:vMerge w:val="continue"/>
            <w:noWrap w:val="0"/>
            <w:vAlign w:val="center"/>
          </w:tcPr>
          <w:p w14:paraId="74711065">
            <w:pPr>
              <w:pStyle w:val="19"/>
              <w:bidi w:val="0"/>
              <w:jc w:val="center"/>
            </w:pPr>
          </w:p>
        </w:tc>
        <w:tc>
          <w:tcPr>
            <w:tcW w:w="469" w:type="pct"/>
            <w:vMerge w:val="continue"/>
            <w:noWrap w:val="0"/>
            <w:vAlign w:val="center"/>
          </w:tcPr>
          <w:p w14:paraId="4C2D80EA">
            <w:pPr>
              <w:pStyle w:val="19"/>
              <w:bidi w:val="0"/>
              <w:jc w:val="center"/>
            </w:pPr>
          </w:p>
        </w:tc>
        <w:tc>
          <w:tcPr>
            <w:tcW w:w="353" w:type="pct"/>
            <w:vMerge w:val="continue"/>
            <w:noWrap w:val="0"/>
            <w:vAlign w:val="center"/>
          </w:tcPr>
          <w:p w14:paraId="341D9633">
            <w:pPr>
              <w:pStyle w:val="19"/>
              <w:bidi w:val="0"/>
              <w:jc w:val="center"/>
            </w:pPr>
          </w:p>
        </w:tc>
        <w:tc>
          <w:tcPr>
            <w:tcW w:w="455" w:type="pct"/>
            <w:vMerge w:val="continue"/>
            <w:noWrap w:val="0"/>
            <w:vAlign w:val="center"/>
          </w:tcPr>
          <w:p w14:paraId="55E6B243">
            <w:pPr>
              <w:pStyle w:val="19"/>
              <w:bidi w:val="0"/>
              <w:jc w:val="center"/>
            </w:pPr>
          </w:p>
        </w:tc>
        <w:tc>
          <w:tcPr>
            <w:tcW w:w="505" w:type="pct"/>
            <w:noWrap w:val="0"/>
            <w:vAlign w:val="center"/>
          </w:tcPr>
          <w:p w14:paraId="4B086559">
            <w:pPr>
              <w:pStyle w:val="19"/>
              <w:bidi w:val="0"/>
              <w:jc w:val="center"/>
            </w:pPr>
            <w:r>
              <w:t>NOx</w:t>
            </w:r>
          </w:p>
        </w:tc>
        <w:tc>
          <w:tcPr>
            <w:tcW w:w="474" w:type="pct"/>
            <w:noWrap w:val="0"/>
            <w:vAlign w:val="center"/>
          </w:tcPr>
          <w:p w14:paraId="15337F1D">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0.3122</w:t>
            </w:r>
          </w:p>
        </w:tc>
      </w:tr>
      <w:tr w14:paraId="6054F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4" w:type="pct"/>
            <w:vMerge w:val="restart"/>
            <w:noWrap w:val="0"/>
            <w:vAlign w:val="center"/>
          </w:tcPr>
          <w:p w14:paraId="3013D201">
            <w:pPr>
              <w:pStyle w:val="19"/>
              <w:bidi w:val="0"/>
              <w:jc w:val="center"/>
              <w:rPr>
                <w:rFonts w:hint="default"/>
                <w:lang w:val="en-US"/>
              </w:rPr>
            </w:pPr>
            <w:r>
              <w:rPr>
                <w:rFonts w:hint="eastAsia"/>
                <w:lang w:val="en-US" w:eastAsia="zh-CN"/>
              </w:rPr>
              <w:t>3#</w:t>
            </w:r>
            <w:r>
              <w:t>生物质锅炉排口</w:t>
            </w:r>
            <w:r>
              <w:rPr>
                <w:rFonts w:hint="eastAsia"/>
                <w:lang w:val="en-US" w:eastAsia="zh-CN"/>
              </w:rPr>
              <w:t>（DA003）</w:t>
            </w:r>
          </w:p>
        </w:tc>
        <w:tc>
          <w:tcPr>
            <w:tcW w:w="649" w:type="pct"/>
            <w:vMerge w:val="restart"/>
            <w:noWrap w:val="0"/>
            <w:vAlign w:val="center"/>
          </w:tcPr>
          <w:p w14:paraId="10E69FA1">
            <w:pPr>
              <w:pStyle w:val="19"/>
              <w:bidi w:val="0"/>
              <w:jc w:val="center"/>
              <w:rPr>
                <w:rFonts w:hint="default" w:eastAsia="宋体"/>
                <w:lang w:val="en-US" w:eastAsia="zh-CN"/>
              </w:rPr>
            </w:pPr>
            <w:r>
              <w:rPr>
                <w:rFonts w:hint="eastAsia"/>
                <w:lang w:val="en-US" w:eastAsia="zh-CN"/>
              </w:rPr>
              <w:t>232.88</w:t>
            </w:r>
          </w:p>
        </w:tc>
        <w:tc>
          <w:tcPr>
            <w:tcW w:w="614" w:type="pct"/>
            <w:vMerge w:val="restart"/>
            <w:noWrap w:val="0"/>
            <w:vAlign w:val="center"/>
          </w:tcPr>
          <w:p w14:paraId="5CF25662">
            <w:pPr>
              <w:pStyle w:val="19"/>
              <w:bidi w:val="0"/>
              <w:jc w:val="center"/>
              <w:rPr>
                <w:rFonts w:hint="default" w:eastAsia="宋体"/>
                <w:lang w:val="en-US" w:eastAsia="zh-CN"/>
              </w:rPr>
            </w:pPr>
            <w:r>
              <w:rPr>
                <w:rFonts w:hint="eastAsia"/>
                <w:lang w:val="en-US" w:eastAsia="zh-CN"/>
              </w:rPr>
              <w:t>632.32</w:t>
            </w:r>
          </w:p>
        </w:tc>
        <w:tc>
          <w:tcPr>
            <w:tcW w:w="434" w:type="pct"/>
            <w:vMerge w:val="restart"/>
            <w:noWrap w:val="0"/>
            <w:vAlign w:val="center"/>
          </w:tcPr>
          <w:p w14:paraId="69F91C3A">
            <w:pPr>
              <w:pStyle w:val="19"/>
              <w:bidi w:val="0"/>
              <w:jc w:val="center"/>
              <w:rPr>
                <w:rFonts w:hint="default" w:eastAsia="宋体"/>
                <w:lang w:val="en-US" w:eastAsia="zh-CN"/>
              </w:rPr>
            </w:pPr>
            <w:r>
              <w:rPr>
                <w:rFonts w:hint="eastAsia"/>
                <w:lang w:val="en-US" w:eastAsia="zh-CN"/>
              </w:rPr>
              <w:t>287</w:t>
            </w:r>
          </w:p>
        </w:tc>
        <w:tc>
          <w:tcPr>
            <w:tcW w:w="407" w:type="pct"/>
            <w:vMerge w:val="restart"/>
            <w:noWrap w:val="0"/>
            <w:vAlign w:val="center"/>
          </w:tcPr>
          <w:p w14:paraId="610AD0DF">
            <w:pPr>
              <w:pStyle w:val="19"/>
              <w:bidi w:val="0"/>
              <w:jc w:val="center"/>
              <w:rPr>
                <w:rFonts w:hint="default" w:eastAsia="宋体"/>
                <w:lang w:val="en-US" w:eastAsia="zh-CN"/>
              </w:rPr>
            </w:pPr>
            <w:r>
              <w:rPr>
                <w:rFonts w:hint="eastAsia"/>
                <w:lang w:val="en-US" w:eastAsia="zh-CN"/>
              </w:rPr>
              <w:t>15</w:t>
            </w:r>
          </w:p>
        </w:tc>
        <w:tc>
          <w:tcPr>
            <w:tcW w:w="469" w:type="pct"/>
            <w:vMerge w:val="restart"/>
            <w:noWrap w:val="0"/>
            <w:vAlign w:val="center"/>
          </w:tcPr>
          <w:p w14:paraId="2AB76B2D">
            <w:pPr>
              <w:pStyle w:val="19"/>
              <w:bidi w:val="0"/>
              <w:jc w:val="center"/>
              <w:rPr>
                <w:rFonts w:hint="default" w:eastAsia="宋体"/>
                <w:lang w:val="en-US" w:eastAsia="zh-CN"/>
              </w:rPr>
            </w:pPr>
            <w:r>
              <w:rPr>
                <w:rFonts w:hint="eastAsia"/>
                <w:lang w:val="en-US" w:eastAsia="zh-CN"/>
              </w:rPr>
              <w:t>0.3</w:t>
            </w:r>
          </w:p>
        </w:tc>
        <w:tc>
          <w:tcPr>
            <w:tcW w:w="353" w:type="pct"/>
            <w:vMerge w:val="restart"/>
            <w:noWrap w:val="0"/>
            <w:vAlign w:val="center"/>
          </w:tcPr>
          <w:p w14:paraId="5875EA72">
            <w:pPr>
              <w:pStyle w:val="19"/>
              <w:bidi w:val="0"/>
              <w:jc w:val="center"/>
              <w:rPr>
                <w:rFonts w:hint="default" w:eastAsia="宋体"/>
                <w:lang w:val="en-US" w:eastAsia="zh-CN"/>
              </w:rPr>
            </w:pPr>
            <w:r>
              <w:rPr>
                <w:rFonts w:hint="eastAsia"/>
                <w:lang w:val="en-US" w:eastAsia="zh-CN"/>
              </w:rPr>
              <w:t>120</w:t>
            </w:r>
          </w:p>
        </w:tc>
        <w:tc>
          <w:tcPr>
            <w:tcW w:w="455" w:type="pct"/>
            <w:vMerge w:val="restart"/>
            <w:noWrap w:val="0"/>
            <w:vAlign w:val="center"/>
          </w:tcPr>
          <w:p w14:paraId="3CE9C80B">
            <w:pPr>
              <w:pStyle w:val="19"/>
              <w:bidi w:val="0"/>
              <w:jc w:val="center"/>
            </w:pPr>
            <w:r>
              <w:rPr>
                <w:rFonts w:hint="eastAsia"/>
                <w:lang w:val="en-US" w:eastAsia="zh-CN"/>
              </w:rPr>
              <w:t>10.72</w:t>
            </w:r>
          </w:p>
        </w:tc>
        <w:tc>
          <w:tcPr>
            <w:tcW w:w="505" w:type="pct"/>
            <w:noWrap w:val="0"/>
            <w:vAlign w:val="center"/>
          </w:tcPr>
          <w:p w14:paraId="0A19DE77">
            <w:pPr>
              <w:pStyle w:val="19"/>
              <w:bidi w:val="0"/>
              <w:ind w:firstLine="0" w:firstLineChars="0"/>
              <w:jc w:val="center"/>
              <w:rPr>
                <w:rFonts w:hint="default" w:ascii="Times New Roman" w:hAnsi="Times New Roman" w:eastAsia="宋体" w:cs="Times New Roman"/>
                <w:kern w:val="2"/>
                <w:sz w:val="21"/>
                <w:szCs w:val="22"/>
                <w:vertAlign w:val="baseline"/>
                <w:lang w:val="en-US" w:eastAsia="zh-CN" w:bidi="ar-SA"/>
              </w:rPr>
            </w:pPr>
            <w:r>
              <w:rPr>
                <w:rFonts w:hint="eastAsia"/>
                <w:lang w:val="en-US" w:eastAsia="zh-CN"/>
              </w:rPr>
              <w:t>PM</w:t>
            </w:r>
            <w:r>
              <w:rPr>
                <w:rFonts w:hint="eastAsia"/>
                <w:vertAlign w:val="subscript"/>
                <w:lang w:val="en-US" w:eastAsia="zh-CN"/>
              </w:rPr>
              <w:t>10</w:t>
            </w:r>
          </w:p>
        </w:tc>
        <w:tc>
          <w:tcPr>
            <w:tcW w:w="474" w:type="pct"/>
            <w:noWrap w:val="0"/>
            <w:vAlign w:val="center"/>
          </w:tcPr>
          <w:p w14:paraId="26E4E36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r>
      <w:tr w14:paraId="163FB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4" w:type="pct"/>
            <w:vMerge w:val="continue"/>
            <w:noWrap w:val="0"/>
            <w:vAlign w:val="center"/>
          </w:tcPr>
          <w:p w14:paraId="05C34C25">
            <w:pPr>
              <w:pStyle w:val="19"/>
              <w:bidi w:val="0"/>
              <w:jc w:val="center"/>
            </w:pPr>
          </w:p>
        </w:tc>
        <w:tc>
          <w:tcPr>
            <w:tcW w:w="649" w:type="pct"/>
            <w:vMerge w:val="continue"/>
            <w:noWrap w:val="0"/>
            <w:vAlign w:val="center"/>
          </w:tcPr>
          <w:p w14:paraId="484B8C9D">
            <w:pPr>
              <w:pStyle w:val="19"/>
              <w:bidi w:val="0"/>
              <w:jc w:val="center"/>
            </w:pPr>
          </w:p>
        </w:tc>
        <w:tc>
          <w:tcPr>
            <w:tcW w:w="614" w:type="pct"/>
            <w:vMerge w:val="continue"/>
            <w:noWrap w:val="0"/>
            <w:vAlign w:val="center"/>
          </w:tcPr>
          <w:p w14:paraId="07466593">
            <w:pPr>
              <w:pStyle w:val="19"/>
              <w:bidi w:val="0"/>
              <w:jc w:val="center"/>
            </w:pPr>
          </w:p>
        </w:tc>
        <w:tc>
          <w:tcPr>
            <w:tcW w:w="434" w:type="pct"/>
            <w:vMerge w:val="continue"/>
            <w:noWrap w:val="0"/>
            <w:vAlign w:val="center"/>
          </w:tcPr>
          <w:p w14:paraId="144FC625">
            <w:pPr>
              <w:pStyle w:val="19"/>
              <w:bidi w:val="0"/>
              <w:jc w:val="center"/>
            </w:pPr>
          </w:p>
        </w:tc>
        <w:tc>
          <w:tcPr>
            <w:tcW w:w="407" w:type="pct"/>
            <w:vMerge w:val="continue"/>
            <w:noWrap w:val="0"/>
            <w:vAlign w:val="center"/>
          </w:tcPr>
          <w:p w14:paraId="6E919B6A">
            <w:pPr>
              <w:pStyle w:val="19"/>
              <w:bidi w:val="0"/>
              <w:jc w:val="center"/>
            </w:pPr>
          </w:p>
        </w:tc>
        <w:tc>
          <w:tcPr>
            <w:tcW w:w="469" w:type="pct"/>
            <w:vMerge w:val="continue"/>
            <w:noWrap w:val="0"/>
            <w:vAlign w:val="center"/>
          </w:tcPr>
          <w:p w14:paraId="14B35DCF">
            <w:pPr>
              <w:pStyle w:val="19"/>
              <w:bidi w:val="0"/>
              <w:jc w:val="center"/>
            </w:pPr>
          </w:p>
        </w:tc>
        <w:tc>
          <w:tcPr>
            <w:tcW w:w="353" w:type="pct"/>
            <w:vMerge w:val="continue"/>
            <w:noWrap w:val="0"/>
            <w:vAlign w:val="center"/>
          </w:tcPr>
          <w:p w14:paraId="34981B6B">
            <w:pPr>
              <w:pStyle w:val="19"/>
              <w:bidi w:val="0"/>
              <w:jc w:val="center"/>
            </w:pPr>
          </w:p>
        </w:tc>
        <w:tc>
          <w:tcPr>
            <w:tcW w:w="455" w:type="pct"/>
            <w:vMerge w:val="continue"/>
            <w:noWrap w:val="0"/>
            <w:vAlign w:val="center"/>
          </w:tcPr>
          <w:p w14:paraId="047B278E">
            <w:pPr>
              <w:pStyle w:val="19"/>
              <w:bidi w:val="0"/>
              <w:jc w:val="center"/>
            </w:pPr>
          </w:p>
        </w:tc>
        <w:tc>
          <w:tcPr>
            <w:tcW w:w="505" w:type="pct"/>
            <w:noWrap w:val="0"/>
            <w:vAlign w:val="center"/>
          </w:tcPr>
          <w:p w14:paraId="727CED68">
            <w:pPr>
              <w:pStyle w:val="19"/>
              <w:bidi w:val="0"/>
              <w:ind w:firstLine="0" w:firstLineChars="0"/>
              <w:jc w:val="center"/>
              <w:rPr>
                <w:rFonts w:ascii="Times New Roman" w:hAnsi="Times New Roman" w:eastAsia="宋体" w:cs="Times New Roman"/>
                <w:kern w:val="2"/>
                <w:sz w:val="21"/>
                <w:szCs w:val="22"/>
                <w:lang w:val="en-US" w:eastAsia="zh-CN" w:bidi="ar-SA"/>
              </w:rPr>
            </w:pPr>
            <w:r>
              <w:t>SO</w:t>
            </w:r>
            <w:r>
              <w:rPr>
                <w:vertAlign w:val="subscript"/>
              </w:rPr>
              <w:t>2</w:t>
            </w:r>
          </w:p>
        </w:tc>
        <w:tc>
          <w:tcPr>
            <w:tcW w:w="474" w:type="pct"/>
            <w:noWrap w:val="0"/>
            <w:vAlign w:val="center"/>
          </w:tcPr>
          <w:p w14:paraId="5F33D612">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r>
      <w:tr w14:paraId="22186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4" w:type="pct"/>
            <w:vMerge w:val="continue"/>
            <w:noWrap w:val="0"/>
            <w:vAlign w:val="center"/>
          </w:tcPr>
          <w:p w14:paraId="64A48250">
            <w:pPr>
              <w:pStyle w:val="19"/>
              <w:bidi w:val="0"/>
              <w:jc w:val="center"/>
            </w:pPr>
          </w:p>
        </w:tc>
        <w:tc>
          <w:tcPr>
            <w:tcW w:w="649" w:type="pct"/>
            <w:vMerge w:val="continue"/>
            <w:noWrap w:val="0"/>
            <w:vAlign w:val="center"/>
          </w:tcPr>
          <w:p w14:paraId="1EBA1791">
            <w:pPr>
              <w:pStyle w:val="19"/>
              <w:bidi w:val="0"/>
              <w:jc w:val="center"/>
            </w:pPr>
          </w:p>
        </w:tc>
        <w:tc>
          <w:tcPr>
            <w:tcW w:w="614" w:type="pct"/>
            <w:vMerge w:val="continue"/>
            <w:noWrap w:val="0"/>
            <w:vAlign w:val="center"/>
          </w:tcPr>
          <w:p w14:paraId="7285E6B1">
            <w:pPr>
              <w:pStyle w:val="19"/>
              <w:bidi w:val="0"/>
              <w:jc w:val="center"/>
            </w:pPr>
          </w:p>
        </w:tc>
        <w:tc>
          <w:tcPr>
            <w:tcW w:w="434" w:type="pct"/>
            <w:vMerge w:val="continue"/>
            <w:noWrap w:val="0"/>
            <w:vAlign w:val="center"/>
          </w:tcPr>
          <w:p w14:paraId="28769F11">
            <w:pPr>
              <w:pStyle w:val="19"/>
              <w:bidi w:val="0"/>
              <w:jc w:val="center"/>
            </w:pPr>
          </w:p>
        </w:tc>
        <w:tc>
          <w:tcPr>
            <w:tcW w:w="407" w:type="pct"/>
            <w:vMerge w:val="continue"/>
            <w:noWrap w:val="0"/>
            <w:vAlign w:val="center"/>
          </w:tcPr>
          <w:p w14:paraId="5B3FBBDE">
            <w:pPr>
              <w:pStyle w:val="19"/>
              <w:bidi w:val="0"/>
              <w:jc w:val="center"/>
            </w:pPr>
          </w:p>
        </w:tc>
        <w:tc>
          <w:tcPr>
            <w:tcW w:w="469" w:type="pct"/>
            <w:vMerge w:val="continue"/>
            <w:noWrap w:val="0"/>
            <w:vAlign w:val="center"/>
          </w:tcPr>
          <w:p w14:paraId="3B0F2698">
            <w:pPr>
              <w:pStyle w:val="19"/>
              <w:bidi w:val="0"/>
              <w:jc w:val="center"/>
            </w:pPr>
          </w:p>
        </w:tc>
        <w:tc>
          <w:tcPr>
            <w:tcW w:w="353" w:type="pct"/>
            <w:vMerge w:val="continue"/>
            <w:noWrap w:val="0"/>
            <w:vAlign w:val="center"/>
          </w:tcPr>
          <w:p w14:paraId="21F05C48">
            <w:pPr>
              <w:pStyle w:val="19"/>
              <w:bidi w:val="0"/>
              <w:jc w:val="center"/>
            </w:pPr>
          </w:p>
        </w:tc>
        <w:tc>
          <w:tcPr>
            <w:tcW w:w="455" w:type="pct"/>
            <w:vMerge w:val="continue"/>
            <w:noWrap w:val="0"/>
            <w:vAlign w:val="center"/>
          </w:tcPr>
          <w:p w14:paraId="4861FEAC">
            <w:pPr>
              <w:pStyle w:val="19"/>
              <w:bidi w:val="0"/>
              <w:jc w:val="center"/>
            </w:pPr>
          </w:p>
        </w:tc>
        <w:tc>
          <w:tcPr>
            <w:tcW w:w="505" w:type="pct"/>
            <w:noWrap w:val="0"/>
            <w:vAlign w:val="center"/>
          </w:tcPr>
          <w:p w14:paraId="432D0F01">
            <w:pPr>
              <w:pStyle w:val="19"/>
              <w:bidi w:val="0"/>
              <w:ind w:firstLine="0" w:firstLineChars="0"/>
              <w:jc w:val="center"/>
              <w:rPr>
                <w:rFonts w:ascii="Times New Roman" w:hAnsi="Times New Roman" w:eastAsia="宋体" w:cs="Times New Roman"/>
                <w:kern w:val="2"/>
                <w:sz w:val="21"/>
                <w:szCs w:val="22"/>
                <w:lang w:val="en-US" w:eastAsia="zh-CN" w:bidi="ar-SA"/>
              </w:rPr>
            </w:pPr>
            <w:r>
              <w:t>NOx</w:t>
            </w:r>
          </w:p>
        </w:tc>
        <w:tc>
          <w:tcPr>
            <w:tcW w:w="474" w:type="pct"/>
            <w:noWrap w:val="0"/>
            <w:vAlign w:val="center"/>
          </w:tcPr>
          <w:p w14:paraId="695A08B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0.3122</w:t>
            </w:r>
          </w:p>
        </w:tc>
      </w:tr>
      <w:tr w14:paraId="05234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4" w:type="pct"/>
            <w:vMerge w:val="restart"/>
            <w:noWrap w:val="0"/>
            <w:vAlign w:val="center"/>
          </w:tcPr>
          <w:p w14:paraId="4746EC15">
            <w:pPr>
              <w:pStyle w:val="19"/>
              <w:bidi w:val="0"/>
              <w:jc w:val="center"/>
              <w:rPr>
                <w:rFonts w:hint="default" w:eastAsia="宋体"/>
                <w:lang w:val="en-US" w:eastAsia="zh-CN"/>
              </w:rPr>
            </w:pPr>
            <w:r>
              <w:rPr>
                <w:rFonts w:hint="eastAsia"/>
                <w:lang w:val="en-US" w:eastAsia="zh-CN"/>
              </w:rPr>
              <w:t>堆肥场生物除臭装置（DA004）</w:t>
            </w:r>
          </w:p>
        </w:tc>
        <w:tc>
          <w:tcPr>
            <w:tcW w:w="649" w:type="pct"/>
            <w:vMerge w:val="restart"/>
            <w:noWrap w:val="0"/>
            <w:vAlign w:val="center"/>
          </w:tcPr>
          <w:p w14:paraId="320C4A97">
            <w:pPr>
              <w:pStyle w:val="19"/>
              <w:bidi w:val="0"/>
              <w:jc w:val="center"/>
              <w:rPr>
                <w:rFonts w:hint="default" w:eastAsia="宋体"/>
                <w:lang w:val="en-US" w:eastAsia="zh-CN"/>
              </w:rPr>
            </w:pPr>
            <w:r>
              <w:rPr>
                <w:rFonts w:hint="eastAsia"/>
                <w:lang w:val="en-US" w:eastAsia="zh-CN"/>
              </w:rPr>
              <w:t>251.35</w:t>
            </w:r>
          </w:p>
        </w:tc>
        <w:tc>
          <w:tcPr>
            <w:tcW w:w="614" w:type="pct"/>
            <w:vMerge w:val="restart"/>
            <w:noWrap w:val="0"/>
            <w:vAlign w:val="center"/>
          </w:tcPr>
          <w:p w14:paraId="3645E4C0">
            <w:pPr>
              <w:pStyle w:val="19"/>
              <w:bidi w:val="0"/>
              <w:jc w:val="center"/>
              <w:rPr>
                <w:rFonts w:hint="default" w:eastAsia="宋体"/>
                <w:lang w:val="en-US" w:eastAsia="zh-CN"/>
              </w:rPr>
            </w:pPr>
            <w:r>
              <w:rPr>
                <w:rFonts w:hint="eastAsia"/>
                <w:lang w:val="en-US" w:eastAsia="zh-CN"/>
              </w:rPr>
              <w:t>534.06</w:t>
            </w:r>
          </w:p>
        </w:tc>
        <w:tc>
          <w:tcPr>
            <w:tcW w:w="434" w:type="pct"/>
            <w:vMerge w:val="restart"/>
            <w:noWrap w:val="0"/>
            <w:vAlign w:val="center"/>
          </w:tcPr>
          <w:p w14:paraId="31FE43A9">
            <w:pPr>
              <w:pStyle w:val="19"/>
              <w:bidi w:val="0"/>
              <w:jc w:val="center"/>
              <w:rPr>
                <w:rFonts w:hint="default" w:eastAsia="宋体"/>
                <w:lang w:val="en-US" w:eastAsia="zh-CN"/>
              </w:rPr>
            </w:pPr>
            <w:r>
              <w:rPr>
                <w:rFonts w:hint="eastAsia"/>
                <w:lang w:val="en-US" w:eastAsia="zh-CN"/>
              </w:rPr>
              <w:t>287</w:t>
            </w:r>
          </w:p>
        </w:tc>
        <w:tc>
          <w:tcPr>
            <w:tcW w:w="407" w:type="pct"/>
            <w:vMerge w:val="restart"/>
            <w:noWrap w:val="0"/>
            <w:vAlign w:val="center"/>
          </w:tcPr>
          <w:p w14:paraId="08D2C6CB">
            <w:pPr>
              <w:pStyle w:val="19"/>
              <w:bidi w:val="0"/>
              <w:jc w:val="center"/>
              <w:rPr>
                <w:rFonts w:hint="default" w:eastAsia="宋体"/>
                <w:lang w:val="en-US" w:eastAsia="zh-CN"/>
              </w:rPr>
            </w:pPr>
            <w:r>
              <w:rPr>
                <w:rFonts w:hint="eastAsia"/>
                <w:lang w:val="en-US" w:eastAsia="zh-CN"/>
              </w:rPr>
              <w:t>15</w:t>
            </w:r>
          </w:p>
        </w:tc>
        <w:tc>
          <w:tcPr>
            <w:tcW w:w="469" w:type="pct"/>
            <w:vMerge w:val="restart"/>
            <w:noWrap w:val="0"/>
            <w:vAlign w:val="center"/>
          </w:tcPr>
          <w:p w14:paraId="075DAFE7">
            <w:pPr>
              <w:pStyle w:val="19"/>
              <w:bidi w:val="0"/>
              <w:jc w:val="center"/>
              <w:rPr>
                <w:rFonts w:hint="default" w:eastAsia="宋体"/>
                <w:lang w:val="en-US" w:eastAsia="zh-CN"/>
              </w:rPr>
            </w:pPr>
            <w:r>
              <w:rPr>
                <w:rFonts w:hint="eastAsia"/>
                <w:lang w:val="en-US" w:eastAsia="zh-CN"/>
              </w:rPr>
              <w:t>0.5</w:t>
            </w:r>
          </w:p>
        </w:tc>
        <w:tc>
          <w:tcPr>
            <w:tcW w:w="353" w:type="pct"/>
            <w:vMerge w:val="restart"/>
            <w:noWrap w:val="0"/>
            <w:vAlign w:val="center"/>
          </w:tcPr>
          <w:p w14:paraId="1378AA7E">
            <w:pPr>
              <w:pStyle w:val="19"/>
              <w:bidi w:val="0"/>
              <w:jc w:val="center"/>
              <w:rPr>
                <w:rFonts w:hint="default" w:eastAsia="宋体"/>
                <w:lang w:val="en-US" w:eastAsia="zh-CN"/>
              </w:rPr>
            </w:pPr>
            <w:r>
              <w:rPr>
                <w:rFonts w:hint="eastAsia"/>
                <w:lang w:val="en-US" w:eastAsia="zh-CN"/>
              </w:rPr>
              <w:t>25</w:t>
            </w:r>
          </w:p>
        </w:tc>
        <w:tc>
          <w:tcPr>
            <w:tcW w:w="455" w:type="pct"/>
            <w:vMerge w:val="restart"/>
            <w:noWrap w:val="0"/>
            <w:vAlign w:val="center"/>
          </w:tcPr>
          <w:p w14:paraId="73ED7F48">
            <w:pPr>
              <w:pStyle w:val="19"/>
              <w:bidi w:val="0"/>
              <w:jc w:val="center"/>
              <w:rPr>
                <w:rFonts w:hint="default" w:eastAsia="宋体"/>
                <w:lang w:val="en-US" w:eastAsia="zh-CN"/>
              </w:rPr>
            </w:pPr>
            <w:r>
              <w:rPr>
                <w:rFonts w:hint="eastAsia"/>
                <w:lang w:val="en-US" w:eastAsia="zh-CN"/>
              </w:rPr>
              <w:t>5.95</w:t>
            </w:r>
          </w:p>
        </w:tc>
        <w:tc>
          <w:tcPr>
            <w:tcW w:w="505" w:type="pct"/>
            <w:noWrap w:val="0"/>
            <w:vAlign w:val="center"/>
          </w:tcPr>
          <w:p w14:paraId="3D3F52CD">
            <w:pPr>
              <w:pStyle w:val="19"/>
              <w:bidi w:val="0"/>
              <w:ind w:firstLine="0" w:firstLineChars="0"/>
              <w:rPr>
                <w:rFonts w:ascii="Times New Roman" w:hAnsi="Times New Roman" w:eastAsia="宋体" w:cs="Times New Roman"/>
                <w:kern w:val="2"/>
                <w:sz w:val="21"/>
                <w:szCs w:val="22"/>
                <w:lang w:val="en-US" w:eastAsia="zh-CN" w:bidi="ar-SA"/>
              </w:rPr>
            </w:pPr>
            <w:r>
              <w:t>NH</w:t>
            </w:r>
            <w:r>
              <w:rPr>
                <w:vertAlign w:val="subscript"/>
              </w:rPr>
              <w:t>3</w:t>
            </w:r>
          </w:p>
        </w:tc>
        <w:tc>
          <w:tcPr>
            <w:tcW w:w="474" w:type="pct"/>
            <w:noWrap w:val="0"/>
            <w:vAlign w:val="center"/>
          </w:tcPr>
          <w:p w14:paraId="3F4652F5">
            <w:pPr>
              <w:pStyle w:val="19"/>
              <w:bidi w:val="0"/>
              <w:jc w:val="center"/>
              <w:rPr>
                <w:rFonts w:hint="default" w:eastAsia="宋体"/>
                <w:lang w:val="en-US" w:eastAsia="zh-CN"/>
              </w:rPr>
            </w:pPr>
            <w:r>
              <w:rPr>
                <w:rFonts w:hint="eastAsia"/>
                <w:lang w:val="en-US" w:eastAsia="zh-CN"/>
              </w:rPr>
              <w:t>0.03</w:t>
            </w:r>
          </w:p>
        </w:tc>
      </w:tr>
      <w:tr w14:paraId="52DEA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4" w:type="pct"/>
            <w:vMerge w:val="continue"/>
            <w:noWrap w:val="0"/>
            <w:vAlign w:val="center"/>
          </w:tcPr>
          <w:p w14:paraId="2D32147A">
            <w:pPr>
              <w:pStyle w:val="19"/>
              <w:bidi w:val="0"/>
              <w:jc w:val="center"/>
            </w:pPr>
          </w:p>
        </w:tc>
        <w:tc>
          <w:tcPr>
            <w:tcW w:w="649" w:type="pct"/>
            <w:vMerge w:val="continue"/>
            <w:noWrap w:val="0"/>
            <w:vAlign w:val="center"/>
          </w:tcPr>
          <w:p w14:paraId="6EF6D115">
            <w:pPr>
              <w:pStyle w:val="19"/>
              <w:bidi w:val="0"/>
              <w:jc w:val="center"/>
            </w:pPr>
          </w:p>
        </w:tc>
        <w:tc>
          <w:tcPr>
            <w:tcW w:w="614" w:type="pct"/>
            <w:vMerge w:val="continue"/>
            <w:noWrap w:val="0"/>
            <w:vAlign w:val="center"/>
          </w:tcPr>
          <w:p w14:paraId="613FC1A7">
            <w:pPr>
              <w:pStyle w:val="19"/>
              <w:bidi w:val="0"/>
              <w:jc w:val="center"/>
            </w:pPr>
          </w:p>
        </w:tc>
        <w:tc>
          <w:tcPr>
            <w:tcW w:w="434" w:type="pct"/>
            <w:vMerge w:val="continue"/>
            <w:noWrap w:val="0"/>
            <w:vAlign w:val="center"/>
          </w:tcPr>
          <w:p w14:paraId="50BA3AD0">
            <w:pPr>
              <w:pStyle w:val="19"/>
              <w:bidi w:val="0"/>
              <w:jc w:val="center"/>
            </w:pPr>
          </w:p>
        </w:tc>
        <w:tc>
          <w:tcPr>
            <w:tcW w:w="407" w:type="pct"/>
            <w:vMerge w:val="continue"/>
            <w:noWrap w:val="0"/>
            <w:vAlign w:val="center"/>
          </w:tcPr>
          <w:p w14:paraId="60749D27">
            <w:pPr>
              <w:pStyle w:val="19"/>
              <w:bidi w:val="0"/>
              <w:jc w:val="center"/>
            </w:pPr>
          </w:p>
        </w:tc>
        <w:tc>
          <w:tcPr>
            <w:tcW w:w="469" w:type="pct"/>
            <w:vMerge w:val="continue"/>
            <w:noWrap w:val="0"/>
            <w:vAlign w:val="center"/>
          </w:tcPr>
          <w:p w14:paraId="058F281A">
            <w:pPr>
              <w:pStyle w:val="19"/>
              <w:bidi w:val="0"/>
              <w:jc w:val="center"/>
            </w:pPr>
          </w:p>
        </w:tc>
        <w:tc>
          <w:tcPr>
            <w:tcW w:w="353" w:type="pct"/>
            <w:vMerge w:val="continue"/>
            <w:noWrap w:val="0"/>
            <w:vAlign w:val="center"/>
          </w:tcPr>
          <w:p w14:paraId="0A0F7864">
            <w:pPr>
              <w:pStyle w:val="19"/>
              <w:bidi w:val="0"/>
              <w:jc w:val="center"/>
            </w:pPr>
          </w:p>
        </w:tc>
        <w:tc>
          <w:tcPr>
            <w:tcW w:w="455" w:type="pct"/>
            <w:vMerge w:val="continue"/>
            <w:noWrap w:val="0"/>
            <w:vAlign w:val="center"/>
          </w:tcPr>
          <w:p w14:paraId="03CA2A24">
            <w:pPr>
              <w:pStyle w:val="19"/>
              <w:bidi w:val="0"/>
              <w:jc w:val="center"/>
            </w:pPr>
          </w:p>
        </w:tc>
        <w:tc>
          <w:tcPr>
            <w:tcW w:w="505" w:type="pct"/>
            <w:noWrap w:val="0"/>
            <w:vAlign w:val="center"/>
          </w:tcPr>
          <w:p w14:paraId="60ECFA11">
            <w:pPr>
              <w:pStyle w:val="19"/>
              <w:bidi w:val="0"/>
              <w:ind w:firstLine="0" w:firstLineChars="0"/>
              <w:rPr>
                <w:rFonts w:ascii="Times New Roman" w:hAnsi="Times New Roman" w:eastAsia="宋体" w:cs="Times New Roman"/>
                <w:kern w:val="2"/>
                <w:sz w:val="21"/>
                <w:szCs w:val="22"/>
                <w:lang w:val="en-US" w:eastAsia="zh-CN" w:bidi="ar-SA"/>
              </w:rPr>
            </w:pPr>
            <w:r>
              <w:t>H</w:t>
            </w:r>
            <w:r>
              <w:rPr>
                <w:vertAlign w:val="subscript"/>
              </w:rPr>
              <w:t>2</w:t>
            </w:r>
            <w:r>
              <w:t>S</w:t>
            </w:r>
          </w:p>
        </w:tc>
        <w:tc>
          <w:tcPr>
            <w:tcW w:w="474" w:type="pct"/>
            <w:noWrap w:val="0"/>
            <w:vAlign w:val="center"/>
          </w:tcPr>
          <w:p w14:paraId="72FCBD41">
            <w:pPr>
              <w:pStyle w:val="19"/>
              <w:bidi w:val="0"/>
              <w:jc w:val="center"/>
              <w:rPr>
                <w:rFonts w:hint="default" w:eastAsia="宋体"/>
                <w:lang w:val="en-US" w:eastAsia="zh-CN"/>
              </w:rPr>
            </w:pPr>
            <w:r>
              <w:rPr>
                <w:rFonts w:hint="eastAsia"/>
                <w:lang w:val="en-US" w:eastAsia="zh-CN"/>
              </w:rPr>
              <w:t>0.003</w:t>
            </w:r>
          </w:p>
        </w:tc>
      </w:tr>
    </w:tbl>
    <w:p w14:paraId="2E8E6E65">
      <w:pPr>
        <w:pStyle w:val="30"/>
        <w:bidi w:val="0"/>
        <w:rPr>
          <w:highlight w:val="none"/>
        </w:rPr>
      </w:pPr>
      <w:r>
        <w:rPr>
          <w:highlight w:val="none"/>
        </w:rPr>
        <w:t>表2.</w:t>
      </w:r>
      <w:r>
        <w:rPr>
          <w:rFonts w:hint="eastAsia"/>
          <w:highlight w:val="none"/>
          <w:lang w:val="en-US" w:eastAsia="zh-CN"/>
        </w:rPr>
        <w:t>3</w:t>
      </w:r>
      <w:r>
        <w:rPr>
          <w:highlight w:val="none"/>
        </w:rPr>
        <w:t>-</w:t>
      </w:r>
      <w:r>
        <w:rPr>
          <w:rFonts w:hint="eastAsia"/>
          <w:highlight w:val="none"/>
          <w:lang w:val="en-US" w:eastAsia="zh-CN"/>
        </w:rPr>
        <w:t xml:space="preserve">3 </w:t>
      </w:r>
      <w:r>
        <w:rPr>
          <w:highlight w:val="none"/>
        </w:rPr>
        <w:t xml:space="preserve">  </w:t>
      </w:r>
      <w:r>
        <w:rPr>
          <w:rFonts w:hint="eastAsia"/>
          <w:highlight w:val="none"/>
          <w:lang w:val="en-US" w:eastAsia="zh-CN"/>
        </w:rPr>
        <w:t>主要废气污染源参数一览表（面源）</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18"/>
        <w:gridCol w:w="897"/>
        <w:gridCol w:w="584"/>
        <w:gridCol w:w="584"/>
        <w:gridCol w:w="667"/>
        <w:gridCol w:w="568"/>
        <w:gridCol w:w="470"/>
        <w:gridCol w:w="668"/>
        <w:gridCol w:w="668"/>
        <w:gridCol w:w="618"/>
        <w:gridCol w:w="543"/>
        <w:gridCol w:w="889"/>
        <w:gridCol w:w="836"/>
      </w:tblGrid>
      <w:tr w14:paraId="66D57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91" w:type="pct"/>
            <w:vMerge w:val="restart"/>
            <w:tcBorders>
              <w:bottom w:val="nil"/>
            </w:tcBorders>
            <w:noWrap w:val="0"/>
            <w:textDirection w:val="tbRlV"/>
            <w:vAlign w:val="center"/>
          </w:tcPr>
          <w:p w14:paraId="3AF3169F">
            <w:pPr>
              <w:pStyle w:val="19"/>
              <w:bidi w:val="0"/>
              <w:rPr>
                <w:highlight w:val="none"/>
              </w:rPr>
            </w:pPr>
            <w:r>
              <w:rPr>
                <w:highlight w:val="none"/>
              </w:rPr>
              <w:t>编号</w:t>
            </w:r>
          </w:p>
        </w:tc>
        <w:tc>
          <w:tcPr>
            <w:tcW w:w="558" w:type="pct"/>
            <w:vMerge w:val="restart"/>
            <w:tcBorders>
              <w:bottom w:val="nil"/>
            </w:tcBorders>
            <w:noWrap w:val="0"/>
            <w:vAlign w:val="center"/>
          </w:tcPr>
          <w:p w14:paraId="1779CAC0">
            <w:pPr>
              <w:pStyle w:val="19"/>
              <w:bidi w:val="0"/>
              <w:rPr>
                <w:highlight w:val="none"/>
              </w:rPr>
            </w:pPr>
            <w:r>
              <w:rPr>
                <w:highlight w:val="none"/>
              </w:rPr>
              <w:t>名称</w:t>
            </w:r>
          </w:p>
        </w:tc>
        <w:tc>
          <w:tcPr>
            <w:tcW w:w="514" w:type="pct"/>
            <w:gridSpan w:val="2"/>
            <w:noWrap w:val="0"/>
            <w:vAlign w:val="center"/>
          </w:tcPr>
          <w:p w14:paraId="7F836F58">
            <w:pPr>
              <w:pStyle w:val="19"/>
              <w:bidi w:val="0"/>
              <w:rPr>
                <w:highlight w:val="none"/>
              </w:rPr>
            </w:pPr>
            <w:r>
              <w:rPr>
                <w:highlight w:val="none"/>
              </w:rPr>
              <w:t>面源起点坐标/m</w:t>
            </w:r>
          </w:p>
        </w:tc>
        <w:tc>
          <w:tcPr>
            <w:tcW w:w="420" w:type="pct"/>
            <w:vMerge w:val="restart"/>
            <w:tcBorders>
              <w:bottom w:val="nil"/>
            </w:tcBorders>
            <w:noWrap w:val="0"/>
            <w:vAlign w:val="center"/>
          </w:tcPr>
          <w:p w14:paraId="7541A978">
            <w:pPr>
              <w:pStyle w:val="19"/>
              <w:bidi w:val="0"/>
              <w:rPr>
                <w:highlight w:val="none"/>
              </w:rPr>
            </w:pPr>
            <w:r>
              <w:rPr>
                <w:highlight w:val="none"/>
              </w:rPr>
              <w:t>面源海拔高度</w:t>
            </w:r>
          </w:p>
          <w:p w14:paraId="42BF7251">
            <w:pPr>
              <w:pStyle w:val="19"/>
              <w:bidi w:val="0"/>
              <w:rPr>
                <w:highlight w:val="none"/>
              </w:rPr>
            </w:pPr>
            <w:r>
              <w:rPr>
                <w:highlight w:val="none"/>
              </w:rPr>
              <w:t>/m</w:t>
            </w:r>
          </w:p>
        </w:tc>
        <w:tc>
          <w:tcPr>
            <w:tcW w:w="360" w:type="pct"/>
            <w:vMerge w:val="restart"/>
            <w:tcBorders>
              <w:bottom w:val="nil"/>
            </w:tcBorders>
            <w:noWrap w:val="0"/>
            <w:vAlign w:val="center"/>
          </w:tcPr>
          <w:p w14:paraId="080583B0">
            <w:pPr>
              <w:pStyle w:val="19"/>
              <w:bidi w:val="0"/>
              <w:rPr>
                <w:highlight w:val="none"/>
              </w:rPr>
            </w:pPr>
            <w:r>
              <w:rPr>
                <w:highlight w:val="none"/>
              </w:rPr>
              <w:t>面源长度/m</w:t>
            </w:r>
          </w:p>
        </w:tc>
        <w:tc>
          <w:tcPr>
            <w:tcW w:w="301" w:type="pct"/>
            <w:vMerge w:val="restart"/>
            <w:tcBorders>
              <w:bottom w:val="nil"/>
            </w:tcBorders>
            <w:noWrap w:val="0"/>
            <w:vAlign w:val="center"/>
          </w:tcPr>
          <w:p w14:paraId="4682ECB6">
            <w:pPr>
              <w:pStyle w:val="19"/>
              <w:bidi w:val="0"/>
              <w:rPr>
                <w:highlight w:val="none"/>
              </w:rPr>
            </w:pPr>
            <w:r>
              <w:rPr>
                <w:highlight w:val="none"/>
              </w:rPr>
              <w:t>面源宽度/m</w:t>
            </w:r>
          </w:p>
        </w:tc>
        <w:tc>
          <w:tcPr>
            <w:tcW w:w="420" w:type="pct"/>
            <w:vMerge w:val="restart"/>
            <w:tcBorders>
              <w:bottom w:val="nil"/>
            </w:tcBorders>
            <w:noWrap w:val="0"/>
            <w:vAlign w:val="center"/>
          </w:tcPr>
          <w:p w14:paraId="0534D44D">
            <w:pPr>
              <w:pStyle w:val="19"/>
              <w:bidi w:val="0"/>
              <w:rPr>
                <w:highlight w:val="none"/>
              </w:rPr>
            </w:pPr>
            <w:r>
              <w:rPr>
                <w:highlight w:val="none"/>
              </w:rPr>
              <w:t>与正北向夹角/°</w:t>
            </w:r>
          </w:p>
        </w:tc>
        <w:tc>
          <w:tcPr>
            <w:tcW w:w="420" w:type="pct"/>
            <w:vMerge w:val="restart"/>
            <w:tcBorders>
              <w:bottom w:val="nil"/>
            </w:tcBorders>
            <w:noWrap w:val="0"/>
            <w:vAlign w:val="center"/>
          </w:tcPr>
          <w:p w14:paraId="0C57255B">
            <w:pPr>
              <w:pStyle w:val="19"/>
              <w:bidi w:val="0"/>
              <w:rPr>
                <w:highlight w:val="none"/>
              </w:rPr>
            </w:pPr>
            <w:r>
              <w:rPr>
                <w:highlight w:val="none"/>
              </w:rPr>
              <w:t>有效排放高度/m</w:t>
            </w:r>
          </w:p>
        </w:tc>
        <w:tc>
          <w:tcPr>
            <w:tcW w:w="390" w:type="pct"/>
            <w:vMerge w:val="restart"/>
            <w:tcBorders>
              <w:bottom w:val="nil"/>
            </w:tcBorders>
            <w:noWrap w:val="0"/>
            <w:vAlign w:val="center"/>
          </w:tcPr>
          <w:p w14:paraId="33B4CD04">
            <w:pPr>
              <w:pStyle w:val="19"/>
              <w:bidi w:val="0"/>
              <w:rPr>
                <w:highlight w:val="none"/>
              </w:rPr>
            </w:pPr>
            <w:r>
              <w:rPr>
                <w:highlight w:val="none"/>
              </w:rPr>
              <w:t>年排放小时数/h</w:t>
            </w:r>
          </w:p>
        </w:tc>
        <w:tc>
          <w:tcPr>
            <w:tcW w:w="345" w:type="pct"/>
            <w:vMerge w:val="restart"/>
            <w:tcBorders>
              <w:bottom w:val="nil"/>
            </w:tcBorders>
            <w:noWrap w:val="0"/>
            <w:vAlign w:val="center"/>
          </w:tcPr>
          <w:p w14:paraId="3D72682B">
            <w:pPr>
              <w:pStyle w:val="19"/>
              <w:bidi w:val="0"/>
              <w:rPr>
                <w:highlight w:val="none"/>
              </w:rPr>
            </w:pPr>
            <w:r>
              <w:rPr>
                <w:highlight w:val="none"/>
              </w:rPr>
              <w:t>排放工况</w:t>
            </w:r>
          </w:p>
        </w:tc>
        <w:tc>
          <w:tcPr>
            <w:tcW w:w="1074" w:type="pct"/>
            <w:gridSpan w:val="2"/>
            <w:noWrap w:val="0"/>
            <w:vAlign w:val="center"/>
          </w:tcPr>
          <w:p w14:paraId="4679CD74">
            <w:pPr>
              <w:pStyle w:val="19"/>
              <w:bidi w:val="0"/>
              <w:rPr>
                <w:highlight w:val="none"/>
              </w:rPr>
            </w:pPr>
            <w:r>
              <w:rPr>
                <w:highlight w:val="none"/>
              </w:rPr>
              <w:t>污染物排放速率/（kg/h）</w:t>
            </w:r>
          </w:p>
        </w:tc>
      </w:tr>
      <w:tr w14:paraId="31AB7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 w:hRule="atLeast"/>
        </w:trPr>
        <w:tc>
          <w:tcPr>
            <w:tcW w:w="191" w:type="pct"/>
            <w:vMerge w:val="continue"/>
            <w:tcBorders>
              <w:top w:val="nil"/>
            </w:tcBorders>
            <w:noWrap w:val="0"/>
            <w:textDirection w:val="tbRlV"/>
            <w:vAlign w:val="center"/>
          </w:tcPr>
          <w:p w14:paraId="060CF49E">
            <w:pPr>
              <w:pStyle w:val="19"/>
              <w:bidi w:val="0"/>
              <w:rPr>
                <w:highlight w:val="none"/>
              </w:rPr>
            </w:pPr>
          </w:p>
        </w:tc>
        <w:tc>
          <w:tcPr>
            <w:tcW w:w="558" w:type="pct"/>
            <w:vMerge w:val="continue"/>
            <w:tcBorders>
              <w:top w:val="nil"/>
            </w:tcBorders>
            <w:noWrap w:val="0"/>
            <w:vAlign w:val="center"/>
          </w:tcPr>
          <w:p w14:paraId="3409B9E3">
            <w:pPr>
              <w:pStyle w:val="19"/>
              <w:bidi w:val="0"/>
              <w:rPr>
                <w:highlight w:val="none"/>
              </w:rPr>
            </w:pPr>
          </w:p>
        </w:tc>
        <w:tc>
          <w:tcPr>
            <w:tcW w:w="271" w:type="pct"/>
            <w:noWrap w:val="0"/>
            <w:vAlign w:val="center"/>
          </w:tcPr>
          <w:p w14:paraId="2F6D1CC0">
            <w:pPr>
              <w:pStyle w:val="19"/>
              <w:bidi w:val="0"/>
              <w:rPr>
                <w:highlight w:val="none"/>
              </w:rPr>
            </w:pPr>
            <w:r>
              <w:rPr>
                <w:highlight w:val="none"/>
              </w:rPr>
              <w:t>X</w:t>
            </w:r>
          </w:p>
        </w:tc>
        <w:tc>
          <w:tcPr>
            <w:tcW w:w="242" w:type="pct"/>
            <w:noWrap w:val="0"/>
            <w:vAlign w:val="center"/>
          </w:tcPr>
          <w:p w14:paraId="666B3F89">
            <w:pPr>
              <w:pStyle w:val="19"/>
              <w:bidi w:val="0"/>
              <w:rPr>
                <w:highlight w:val="none"/>
              </w:rPr>
            </w:pPr>
            <w:r>
              <w:rPr>
                <w:highlight w:val="none"/>
              </w:rPr>
              <w:t>Y</w:t>
            </w:r>
          </w:p>
        </w:tc>
        <w:tc>
          <w:tcPr>
            <w:tcW w:w="420" w:type="pct"/>
            <w:vMerge w:val="continue"/>
            <w:tcBorders>
              <w:top w:val="nil"/>
            </w:tcBorders>
            <w:noWrap w:val="0"/>
            <w:vAlign w:val="center"/>
          </w:tcPr>
          <w:p w14:paraId="441B8E99">
            <w:pPr>
              <w:pStyle w:val="19"/>
              <w:bidi w:val="0"/>
              <w:rPr>
                <w:highlight w:val="none"/>
              </w:rPr>
            </w:pPr>
          </w:p>
        </w:tc>
        <w:tc>
          <w:tcPr>
            <w:tcW w:w="360" w:type="pct"/>
            <w:vMerge w:val="continue"/>
            <w:tcBorders>
              <w:top w:val="nil"/>
            </w:tcBorders>
            <w:noWrap w:val="0"/>
            <w:vAlign w:val="center"/>
          </w:tcPr>
          <w:p w14:paraId="65EC525A">
            <w:pPr>
              <w:pStyle w:val="19"/>
              <w:bidi w:val="0"/>
              <w:rPr>
                <w:highlight w:val="none"/>
              </w:rPr>
            </w:pPr>
          </w:p>
        </w:tc>
        <w:tc>
          <w:tcPr>
            <w:tcW w:w="301" w:type="pct"/>
            <w:vMerge w:val="continue"/>
            <w:tcBorders>
              <w:top w:val="nil"/>
            </w:tcBorders>
            <w:noWrap w:val="0"/>
            <w:vAlign w:val="center"/>
          </w:tcPr>
          <w:p w14:paraId="278CAE0D">
            <w:pPr>
              <w:pStyle w:val="19"/>
              <w:bidi w:val="0"/>
              <w:rPr>
                <w:highlight w:val="none"/>
              </w:rPr>
            </w:pPr>
          </w:p>
        </w:tc>
        <w:tc>
          <w:tcPr>
            <w:tcW w:w="420" w:type="pct"/>
            <w:vMerge w:val="continue"/>
            <w:tcBorders>
              <w:top w:val="nil"/>
            </w:tcBorders>
            <w:noWrap w:val="0"/>
            <w:vAlign w:val="center"/>
          </w:tcPr>
          <w:p w14:paraId="73387B40">
            <w:pPr>
              <w:pStyle w:val="19"/>
              <w:bidi w:val="0"/>
              <w:rPr>
                <w:highlight w:val="none"/>
              </w:rPr>
            </w:pPr>
          </w:p>
        </w:tc>
        <w:tc>
          <w:tcPr>
            <w:tcW w:w="420" w:type="pct"/>
            <w:vMerge w:val="continue"/>
            <w:tcBorders>
              <w:top w:val="nil"/>
            </w:tcBorders>
            <w:noWrap w:val="0"/>
            <w:vAlign w:val="center"/>
          </w:tcPr>
          <w:p w14:paraId="051E5943">
            <w:pPr>
              <w:pStyle w:val="19"/>
              <w:bidi w:val="0"/>
              <w:rPr>
                <w:highlight w:val="none"/>
              </w:rPr>
            </w:pPr>
          </w:p>
        </w:tc>
        <w:tc>
          <w:tcPr>
            <w:tcW w:w="390" w:type="pct"/>
            <w:vMerge w:val="continue"/>
            <w:tcBorders>
              <w:top w:val="nil"/>
            </w:tcBorders>
            <w:noWrap w:val="0"/>
            <w:vAlign w:val="center"/>
          </w:tcPr>
          <w:p w14:paraId="06B78551">
            <w:pPr>
              <w:pStyle w:val="19"/>
              <w:bidi w:val="0"/>
              <w:rPr>
                <w:highlight w:val="none"/>
              </w:rPr>
            </w:pPr>
          </w:p>
        </w:tc>
        <w:tc>
          <w:tcPr>
            <w:tcW w:w="345" w:type="pct"/>
            <w:vMerge w:val="continue"/>
            <w:tcBorders>
              <w:top w:val="nil"/>
            </w:tcBorders>
            <w:noWrap w:val="0"/>
            <w:vAlign w:val="center"/>
          </w:tcPr>
          <w:p w14:paraId="38B6AB62">
            <w:pPr>
              <w:pStyle w:val="19"/>
              <w:bidi w:val="0"/>
              <w:rPr>
                <w:highlight w:val="none"/>
              </w:rPr>
            </w:pPr>
          </w:p>
        </w:tc>
        <w:tc>
          <w:tcPr>
            <w:tcW w:w="553" w:type="pct"/>
            <w:noWrap w:val="0"/>
            <w:vAlign w:val="center"/>
          </w:tcPr>
          <w:p w14:paraId="10EA67DD">
            <w:pPr>
              <w:pStyle w:val="19"/>
              <w:bidi w:val="0"/>
              <w:rPr>
                <w:highlight w:val="none"/>
              </w:rPr>
            </w:pPr>
            <w:r>
              <w:rPr>
                <w:highlight w:val="none"/>
              </w:rPr>
              <w:t>NH</w:t>
            </w:r>
            <w:r>
              <w:rPr>
                <w:highlight w:val="none"/>
                <w:vertAlign w:val="subscript"/>
              </w:rPr>
              <w:t>3</w:t>
            </w:r>
          </w:p>
        </w:tc>
        <w:tc>
          <w:tcPr>
            <w:tcW w:w="520" w:type="pct"/>
            <w:noWrap w:val="0"/>
            <w:vAlign w:val="center"/>
          </w:tcPr>
          <w:p w14:paraId="11DA3F3D">
            <w:pPr>
              <w:pStyle w:val="19"/>
              <w:bidi w:val="0"/>
              <w:rPr>
                <w:highlight w:val="none"/>
              </w:rPr>
            </w:pPr>
            <w:r>
              <w:rPr>
                <w:highlight w:val="none"/>
              </w:rPr>
              <w:t>H</w:t>
            </w:r>
            <w:r>
              <w:rPr>
                <w:highlight w:val="none"/>
                <w:vertAlign w:val="subscript"/>
              </w:rPr>
              <w:t>2</w:t>
            </w:r>
            <w:r>
              <w:rPr>
                <w:highlight w:val="none"/>
              </w:rPr>
              <w:t>S</w:t>
            </w:r>
          </w:p>
        </w:tc>
      </w:tr>
      <w:tr w14:paraId="7CA8B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91" w:type="pct"/>
            <w:noWrap w:val="0"/>
            <w:vAlign w:val="center"/>
          </w:tcPr>
          <w:p w14:paraId="69CE3FDE">
            <w:pPr>
              <w:pStyle w:val="19"/>
              <w:bidi w:val="0"/>
            </w:pPr>
            <w:r>
              <w:t>1</w:t>
            </w:r>
          </w:p>
        </w:tc>
        <w:tc>
          <w:tcPr>
            <w:tcW w:w="558" w:type="pct"/>
            <w:noWrap w:val="0"/>
            <w:vAlign w:val="center"/>
          </w:tcPr>
          <w:p w14:paraId="1D167DAA">
            <w:pPr>
              <w:pStyle w:val="19"/>
              <w:bidi w:val="0"/>
              <w:rPr>
                <w:rFonts w:hint="eastAsia" w:eastAsia="宋体"/>
                <w:lang w:val="en-US" w:eastAsia="zh-CN"/>
              </w:rPr>
            </w:pPr>
            <w:r>
              <w:rPr>
                <w:rFonts w:hint="eastAsia"/>
                <w:lang w:val="en-US" w:eastAsia="zh-CN"/>
              </w:rPr>
              <w:t>厂区</w:t>
            </w:r>
          </w:p>
        </w:tc>
        <w:tc>
          <w:tcPr>
            <w:tcW w:w="271" w:type="pct"/>
            <w:noWrap w:val="0"/>
            <w:vAlign w:val="center"/>
          </w:tcPr>
          <w:p w14:paraId="055F4A5D">
            <w:pPr>
              <w:pStyle w:val="19"/>
              <w:bidi w:val="0"/>
              <w:rPr>
                <w:rFonts w:hint="default" w:eastAsia="宋体"/>
                <w:lang w:val="en-US" w:eastAsia="zh-CN"/>
              </w:rPr>
            </w:pPr>
            <w:r>
              <w:rPr>
                <w:rFonts w:hint="eastAsia"/>
                <w:lang w:val="en-US" w:eastAsia="zh-CN"/>
              </w:rPr>
              <w:t>128.52</w:t>
            </w:r>
          </w:p>
        </w:tc>
        <w:tc>
          <w:tcPr>
            <w:tcW w:w="242" w:type="pct"/>
            <w:noWrap w:val="0"/>
            <w:vAlign w:val="center"/>
          </w:tcPr>
          <w:p w14:paraId="6E967A88">
            <w:pPr>
              <w:pStyle w:val="19"/>
              <w:bidi w:val="0"/>
              <w:rPr>
                <w:rFonts w:hint="default" w:eastAsia="宋体"/>
                <w:lang w:val="en-US" w:eastAsia="zh-CN"/>
              </w:rPr>
            </w:pPr>
            <w:r>
              <w:rPr>
                <w:rFonts w:hint="eastAsia"/>
                <w:lang w:val="en-US" w:eastAsia="zh-CN"/>
              </w:rPr>
              <w:t>487.52</w:t>
            </w:r>
          </w:p>
        </w:tc>
        <w:tc>
          <w:tcPr>
            <w:tcW w:w="420" w:type="pct"/>
            <w:noWrap w:val="0"/>
            <w:vAlign w:val="center"/>
          </w:tcPr>
          <w:p w14:paraId="32F16E29">
            <w:pPr>
              <w:pStyle w:val="19"/>
              <w:bidi w:val="0"/>
              <w:rPr>
                <w:rFonts w:hint="default"/>
                <w:lang w:val="en-US"/>
              </w:rPr>
            </w:pPr>
            <w:r>
              <w:rPr>
                <w:rFonts w:hint="eastAsia"/>
                <w:lang w:val="en-US" w:eastAsia="zh-CN"/>
              </w:rPr>
              <w:t>288</w:t>
            </w:r>
          </w:p>
        </w:tc>
        <w:tc>
          <w:tcPr>
            <w:tcW w:w="360" w:type="pct"/>
            <w:noWrap w:val="0"/>
            <w:vAlign w:val="center"/>
          </w:tcPr>
          <w:p w14:paraId="239A3958">
            <w:pPr>
              <w:pStyle w:val="19"/>
              <w:bidi w:val="0"/>
              <w:rPr>
                <w:rFonts w:hint="default" w:eastAsia="宋体"/>
                <w:lang w:val="en-US" w:eastAsia="zh-CN"/>
              </w:rPr>
            </w:pPr>
            <w:r>
              <w:rPr>
                <w:rFonts w:hint="eastAsia"/>
                <w:lang w:val="en-US" w:eastAsia="zh-CN"/>
              </w:rPr>
              <w:t>927</w:t>
            </w:r>
          </w:p>
        </w:tc>
        <w:tc>
          <w:tcPr>
            <w:tcW w:w="301" w:type="pct"/>
            <w:noWrap w:val="0"/>
            <w:vAlign w:val="center"/>
          </w:tcPr>
          <w:p w14:paraId="26056D29">
            <w:pPr>
              <w:pStyle w:val="19"/>
              <w:bidi w:val="0"/>
              <w:rPr>
                <w:rFonts w:hint="default" w:eastAsia="宋体"/>
                <w:lang w:val="en-US" w:eastAsia="zh-CN"/>
              </w:rPr>
            </w:pPr>
            <w:r>
              <w:rPr>
                <w:rFonts w:hint="eastAsia"/>
                <w:lang w:val="en-US" w:eastAsia="zh-CN"/>
              </w:rPr>
              <w:t>228</w:t>
            </w:r>
          </w:p>
        </w:tc>
        <w:tc>
          <w:tcPr>
            <w:tcW w:w="420" w:type="pct"/>
            <w:noWrap w:val="0"/>
            <w:vAlign w:val="center"/>
          </w:tcPr>
          <w:p w14:paraId="22F45F82">
            <w:pPr>
              <w:pStyle w:val="19"/>
              <w:bidi w:val="0"/>
              <w:rPr>
                <w:rFonts w:hint="default" w:eastAsia="宋体"/>
                <w:lang w:val="en-US" w:eastAsia="zh-CN"/>
              </w:rPr>
            </w:pPr>
            <w:r>
              <w:rPr>
                <w:rFonts w:hint="eastAsia"/>
                <w:lang w:val="en-US" w:eastAsia="zh-CN"/>
              </w:rPr>
              <w:t>30</w:t>
            </w:r>
          </w:p>
        </w:tc>
        <w:tc>
          <w:tcPr>
            <w:tcW w:w="420" w:type="pct"/>
            <w:noWrap w:val="0"/>
            <w:vAlign w:val="center"/>
          </w:tcPr>
          <w:p w14:paraId="6E883C5F">
            <w:pPr>
              <w:pStyle w:val="19"/>
              <w:bidi w:val="0"/>
              <w:rPr>
                <w:rFonts w:hint="default" w:eastAsia="宋体"/>
                <w:lang w:val="en-US" w:eastAsia="zh-CN"/>
              </w:rPr>
            </w:pPr>
            <w:r>
              <w:rPr>
                <w:rFonts w:hint="eastAsia"/>
                <w:lang w:val="en-US" w:eastAsia="zh-CN"/>
              </w:rPr>
              <w:t>4.5</w:t>
            </w:r>
          </w:p>
        </w:tc>
        <w:tc>
          <w:tcPr>
            <w:tcW w:w="390" w:type="pct"/>
            <w:noWrap w:val="0"/>
            <w:vAlign w:val="center"/>
          </w:tcPr>
          <w:p w14:paraId="28F84825">
            <w:pPr>
              <w:pStyle w:val="19"/>
              <w:bidi w:val="0"/>
              <w:rPr>
                <w:rFonts w:hint="default" w:eastAsia="宋体"/>
                <w:lang w:val="en-US" w:eastAsia="zh-CN"/>
              </w:rPr>
            </w:pPr>
            <w:r>
              <w:rPr>
                <w:rFonts w:hint="eastAsia"/>
                <w:lang w:val="en-US" w:eastAsia="zh-CN"/>
              </w:rPr>
              <w:t>7200</w:t>
            </w:r>
          </w:p>
        </w:tc>
        <w:tc>
          <w:tcPr>
            <w:tcW w:w="345" w:type="pct"/>
            <w:noWrap w:val="0"/>
            <w:vAlign w:val="center"/>
          </w:tcPr>
          <w:p w14:paraId="537AFB17">
            <w:pPr>
              <w:pStyle w:val="19"/>
              <w:bidi w:val="0"/>
            </w:pPr>
            <w:r>
              <w:t>正常排放</w:t>
            </w:r>
          </w:p>
        </w:tc>
        <w:tc>
          <w:tcPr>
            <w:tcW w:w="553" w:type="pct"/>
            <w:noWrap w:val="0"/>
            <w:vAlign w:val="center"/>
          </w:tcPr>
          <w:p w14:paraId="6C9D0284">
            <w:pPr>
              <w:pStyle w:val="19"/>
              <w:bidi w:val="0"/>
              <w:rPr>
                <w:rFonts w:hint="default" w:eastAsia="宋体"/>
                <w:lang w:val="en-US" w:eastAsia="zh-CN"/>
              </w:rPr>
            </w:pPr>
            <w:r>
              <w:rPr>
                <w:rFonts w:hint="eastAsia"/>
                <w:lang w:val="en-US" w:eastAsia="zh-CN"/>
              </w:rPr>
              <w:t>0.392</w:t>
            </w:r>
          </w:p>
        </w:tc>
        <w:tc>
          <w:tcPr>
            <w:tcW w:w="520" w:type="pct"/>
            <w:noWrap w:val="0"/>
            <w:vAlign w:val="center"/>
          </w:tcPr>
          <w:p w14:paraId="3A0557EA">
            <w:pPr>
              <w:pStyle w:val="19"/>
              <w:bidi w:val="0"/>
              <w:rPr>
                <w:rFonts w:hint="default" w:eastAsia="宋体"/>
                <w:lang w:val="en-US" w:eastAsia="zh-CN"/>
              </w:rPr>
            </w:pPr>
            <w:r>
              <w:rPr>
                <w:rFonts w:hint="eastAsia"/>
                <w:lang w:val="en-US" w:eastAsia="zh-CN"/>
              </w:rPr>
              <w:t>0.042</w:t>
            </w:r>
          </w:p>
        </w:tc>
      </w:tr>
    </w:tbl>
    <w:p w14:paraId="552EE0E5">
      <w:pPr>
        <w:rPr>
          <w:color w:val="000000"/>
          <w:highlight w:val="none"/>
        </w:rPr>
      </w:pPr>
      <w:r>
        <w:rPr>
          <w:color w:val="000000"/>
          <w:highlight w:val="none"/>
        </w:rPr>
        <w:t>（3）估算模型参数</w:t>
      </w:r>
    </w:p>
    <w:p w14:paraId="57344927">
      <w:pPr>
        <w:ind w:firstLine="480" w:firstLineChars="200"/>
        <w:rPr>
          <w:color w:val="000000"/>
          <w:highlight w:val="none"/>
        </w:rPr>
      </w:pPr>
      <w:r>
        <w:rPr>
          <w:color w:val="000000"/>
          <w:highlight w:val="none"/>
        </w:rPr>
        <w:t>本次评价预测采用《环境影响评价技术导则大气环境》（HJ2.2-2018）推荐的ARESCREEN估算模式，估算污染物的最大落地浓度和距离，估算模型参数见表2.</w:t>
      </w:r>
      <w:r>
        <w:rPr>
          <w:rFonts w:hint="eastAsia"/>
          <w:color w:val="000000"/>
          <w:highlight w:val="none"/>
          <w:lang w:val="en-US" w:eastAsia="zh-CN"/>
        </w:rPr>
        <w:t>3</w:t>
      </w:r>
      <w:r>
        <w:rPr>
          <w:color w:val="000000"/>
          <w:highlight w:val="none"/>
        </w:rPr>
        <w:t>-</w:t>
      </w:r>
      <w:r>
        <w:rPr>
          <w:rFonts w:hint="eastAsia"/>
          <w:color w:val="000000"/>
          <w:highlight w:val="none"/>
          <w:lang w:val="en-US" w:eastAsia="zh-CN"/>
        </w:rPr>
        <w:t>4</w:t>
      </w:r>
      <w:r>
        <w:rPr>
          <w:color w:val="000000"/>
          <w:highlight w:val="none"/>
        </w:rPr>
        <w:t>。</w:t>
      </w:r>
    </w:p>
    <w:p w14:paraId="4B82CD92">
      <w:pPr>
        <w:pStyle w:val="30"/>
        <w:bidi w:val="0"/>
        <w:rPr>
          <w:highlight w:val="none"/>
        </w:rPr>
      </w:pPr>
      <w:r>
        <w:rPr>
          <w:highlight w:val="none"/>
        </w:rPr>
        <w:t>表2.</w:t>
      </w:r>
      <w:r>
        <w:rPr>
          <w:rFonts w:hint="eastAsia"/>
          <w:highlight w:val="none"/>
          <w:lang w:val="en-US" w:eastAsia="zh-CN"/>
        </w:rPr>
        <w:t>3</w:t>
      </w:r>
      <w:r>
        <w:rPr>
          <w:highlight w:val="none"/>
        </w:rPr>
        <w:t>-</w:t>
      </w:r>
      <w:r>
        <w:rPr>
          <w:rFonts w:hint="eastAsia"/>
          <w:highlight w:val="none"/>
          <w:lang w:val="en-US" w:eastAsia="zh-CN"/>
        </w:rPr>
        <w:t xml:space="preserve">4 </w:t>
      </w:r>
      <w:r>
        <w:rPr>
          <w:highlight w:val="none"/>
        </w:rPr>
        <w:t xml:space="preserve">  估算模型参数</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09"/>
        <w:gridCol w:w="2718"/>
        <w:gridCol w:w="3483"/>
      </w:tblGrid>
      <w:tr w14:paraId="7B626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04" w:type="pct"/>
            <w:gridSpan w:val="2"/>
            <w:noWrap w:val="0"/>
            <w:vAlign w:val="center"/>
          </w:tcPr>
          <w:p w14:paraId="1D176B86">
            <w:pPr>
              <w:pStyle w:val="19"/>
              <w:bidi w:val="0"/>
              <w:rPr>
                <w:highlight w:val="none"/>
              </w:rPr>
            </w:pPr>
            <w:r>
              <w:rPr>
                <w:highlight w:val="none"/>
              </w:rPr>
              <w:t>选项</w:t>
            </w:r>
          </w:p>
        </w:tc>
        <w:tc>
          <w:tcPr>
            <w:tcW w:w="2095" w:type="pct"/>
            <w:noWrap w:val="0"/>
            <w:vAlign w:val="center"/>
          </w:tcPr>
          <w:p w14:paraId="6BD22EC3">
            <w:pPr>
              <w:pStyle w:val="19"/>
              <w:bidi w:val="0"/>
              <w:rPr>
                <w:highlight w:val="none"/>
              </w:rPr>
            </w:pPr>
            <w:r>
              <w:rPr>
                <w:highlight w:val="none"/>
              </w:rPr>
              <w:t>取值</w:t>
            </w:r>
          </w:p>
        </w:tc>
      </w:tr>
      <w:tr w14:paraId="71894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69" w:type="pct"/>
            <w:vMerge w:val="restart"/>
            <w:tcBorders>
              <w:bottom w:val="nil"/>
            </w:tcBorders>
            <w:noWrap w:val="0"/>
            <w:vAlign w:val="center"/>
          </w:tcPr>
          <w:p w14:paraId="4ABB7663">
            <w:pPr>
              <w:pStyle w:val="19"/>
              <w:bidi w:val="0"/>
            </w:pPr>
            <w:r>
              <w:t>城市农村/选项</w:t>
            </w:r>
          </w:p>
        </w:tc>
        <w:tc>
          <w:tcPr>
            <w:tcW w:w="1635" w:type="pct"/>
            <w:noWrap w:val="0"/>
            <w:vAlign w:val="center"/>
          </w:tcPr>
          <w:p w14:paraId="7B36CE46">
            <w:pPr>
              <w:pStyle w:val="19"/>
              <w:bidi w:val="0"/>
            </w:pPr>
            <w:r>
              <w:t>城市/农村</w:t>
            </w:r>
          </w:p>
        </w:tc>
        <w:tc>
          <w:tcPr>
            <w:tcW w:w="2095" w:type="pct"/>
            <w:noWrap w:val="0"/>
            <w:vAlign w:val="center"/>
          </w:tcPr>
          <w:p w14:paraId="625EB0DB">
            <w:pPr>
              <w:pStyle w:val="19"/>
              <w:bidi w:val="0"/>
            </w:pPr>
            <w:r>
              <w:t>农村</w:t>
            </w:r>
          </w:p>
        </w:tc>
      </w:tr>
      <w:tr w14:paraId="32D35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69" w:type="pct"/>
            <w:vMerge w:val="continue"/>
            <w:tcBorders>
              <w:top w:val="nil"/>
            </w:tcBorders>
            <w:noWrap w:val="0"/>
            <w:vAlign w:val="center"/>
          </w:tcPr>
          <w:p w14:paraId="37BABA93">
            <w:pPr>
              <w:pStyle w:val="19"/>
              <w:bidi w:val="0"/>
            </w:pPr>
          </w:p>
        </w:tc>
        <w:tc>
          <w:tcPr>
            <w:tcW w:w="1635" w:type="pct"/>
            <w:noWrap w:val="0"/>
            <w:vAlign w:val="center"/>
          </w:tcPr>
          <w:p w14:paraId="294A2594">
            <w:pPr>
              <w:pStyle w:val="19"/>
              <w:bidi w:val="0"/>
            </w:pPr>
            <w:r>
              <w:t>人口数（城市人口数）</w:t>
            </w:r>
          </w:p>
        </w:tc>
        <w:tc>
          <w:tcPr>
            <w:tcW w:w="2095" w:type="pct"/>
            <w:noWrap w:val="0"/>
            <w:vAlign w:val="center"/>
          </w:tcPr>
          <w:p w14:paraId="36C4D244">
            <w:pPr>
              <w:pStyle w:val="19"/>
              <w:bidi w:val="0"/>
            </w:pPr>
            <w:r>
              <w:t>/</w:t>
            </w:r>
          </w:p>
        </w:tc>
      </w:tr>
      <w:tr w14:paraId="1D8BC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04" w:type="pct"/>
            <w:gridSpan w:val="2"/>
            <w:noWrap w:val="0"/>
            <w:vAlign w:val="center"/>
          </w:tcPr>
          <w:p w14:paraId="26C576E8">
            <w:pPr>
              <w:pStyle w:val="19"/>
              <w:bidi w:val="0"/>
            </w:pPr>
            <w:r>
              <w:t>最高环境温度</w:t>
            </w:r>
          </w:p>
        </w:tc>
        <w:tc>
          <w:tcPr>
            <w:tcW w:w="2095" w:type="pct"/>
            <w:noWrap w:val="0"/>
            <w:vAlign w:val="center"/>
          </w:tcPr>
          <w:p w14:paraId="7AD6D2BD">
            <w:pPr>
              <w:pStyle w:val="19"/>
              <w:bidi w:val="0"/>
            </w:pPr>
            <w:r>
              <w:t>43°C</w:t>
            </w:r>
          </w:p>
        </w:tc>
      </w:tr>
      <w:tr w14:paraId="4F2C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04" w:type="pct"/>
            <w:gridSpan w:val="2"/>
            <w:noWrap w:val="0"/>
            <w:vAlign w:val="center"/>
          </w:tcPr>
          <w:p w14:paraId="383AFA8A">
            <w:pPr>
              <w:pStyle w:val="19"/>
              <w:bidi w:val="0"/>
            </w:pPr>
            <w:r>
              <w:t>最低环境温度</w:t>
            </w:r>
          </w:p>
        </w:tc>
        <w:tc>
          <w:tcPr>
            <w:tcW w:w="2095" w:type="pct"/>
            <w:noWrap w:val="0"/>
            <w:vAlign w:val="center"/>
          </w:tcPr>
          <w:p w14:paraId="1DE2DF68">
            <w:pPr>
              <w:pStyle w:val="19"/>
              <w:bidi w:val="0"/>
            </w:pPr>
            <w:r>
              <w:t>-40°C</w:t>
            </w:r>
          </w:p>
        </w:tc>
      </w:tr>
      <w:tr w14:paraId="4C4B0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04" w:type="pct"/>
            <w:gridSpan w:val="2"/>
            <w:noWrap w:val="0"/>
            <w:vAlign w:val="center"/>
          </w:tcPr>
          <w:p w14:paraId="6D8F4A82">
            <w:pPr>
              <w:pStyle w:val="19"/>
              <w:bidi w:val="0"/>
            </w:pPr>
            <w:r>
              <w:t>土地利用类型</w:t>
            </w:r>
          </w:p>
        </w:tc>
        <w:tc>
          <w:tcPr>
            <w:tcW w:w="2095" w:type="pct"/>
            <w:noWrap w:val="0"/>
            <w:vAlign w:val="center"/>
          </w:tcPr>
          <w:p w14:paraId="0049512D">
            <w:pPr>
              <w:pStyle w:val="19"/>
              <w:bidi w:val="0"/>
            </w:pPr>
            <w:r>
              <w:rPr>
                <w:rFonts w:hint="eastAsia"/>
              </w:rPr>
              <w:t>沙漠化荒地</w:t>
            </w:r>
          </w:p>
        </w:tc>
      </w:tr>
      <w:tr w14:paraId="5D5DE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04" w:type="pct"/>
            <w:gridSpan w:val="2"/>
            <w:noWrap w:val="0"/>
            <w:vAlign w:val="center"/>
          </w:tcPr>
          <w:p w14:paraId="64F47122">
            <w:pPr>
              <w:pStyle w:val="19"/>
              <w:bidi w:val="0"/>
            </w:pPr>
            <w:r>
              <w:t>区域湿度条件</w:t>
            </w:r>
          </w:p>
        </w:tc>
        <w:tc>
          <w:tcPr>
            <w:tcW w:w="2095" w:type="pct"/>
            <w:noWrap w:val="0"/>
            <w:vAlign w:val="center"/>
          </w:tcPr>
          <w:p w14:paraId="03D09A4B">
            <w:pPr>
              <w:pStyle w:val="19"/>
              <w:bidi w:val="0"/>
            </w:pPr>
            <w:r>
              <w:t>干燥</w:t>
            </w:r>
          </w:p>
        </w:tc>
      </w:tr>
      <w:tr w14:paraId="50331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69" w:type="pct"/>
            <w:vMerge w:val="restart"/>
            <w:tcBorders>
              <w:bottom w:val="nil"/>
            </w:tcBorders>
            <w:noWrap w:val="0"/>
            <w:vAlign w:val="center"/>
          </w:tcPr>
          <w:p w14:paraId="451256C5">
            <w:pPr>
              <w:pStyle w:val="19"/>
              <w:bidi w:val="0"/>
            </w:pPr>
            <w:r>
              <w:t>是否考虑地形</w:t>
            </w:r>
          </w:p>
        </w:tc>
        <w:tc>
          <w:tcPr>
            <w:tcW w:w="1635" w:type="pct"/>
            <w:noWrap w:val="0"/>
            <w:vAlign w:val="center"/>
          </w:tcPr>
          <w:p w14:paraId="20329A70">
            <w:pPr>
              <w:pStyle w:val="19"/>
              <w:bidi w:val="0"/>
            </w:pPr>
            <w:r>
              <w:t>考虑地形</w:t>
            </w:r>
          </w:p>
        </w:tc>
        <w:tc>
          <w:tcPr>
            <w:tcW w:w="2095" w:type="pct"/>
            <w:noWrap w:val="0"/>
            <w:vAlign w:val="center"/>
          </w:tcPr>
          <w:p w14:paraId="7FAF60A7">
            <w:pPr>
              <w:pStyle w:val="19"/>
              <w:bidi w:val="0"/>
            </w:pPr>
            <w:r>
              <w:t>是</w:t>
            </w:r>
          </w:p>
        </w:tc>
      </w:tr>
      <w:tr w14:paraId="23034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69" w:type="pct"/>
            <w:vMerge w:val="continue"/>
            <w:tcBorders>
              <w:top w:val="nil"/>
            </w:tcBorders>
            <w:noWrap w:val="0"/>
            <w:vAlign w:val="center"/>
          </w:tcPr>
          <w:p w14:paraId="4B05299C">
            <w:pPr>
              <w:pStyle w:val="19"/>
              <w:bidi w:val="0"/>
            </w:pPr>
          </w:p>
        </w:tc>
        <w:tc>
          <w:tcPr>
            <w:tcW w:w="1635" w:type="pct"/>
            <w:noWrap w:val="0"/>
            <w:vAlign w:val="center"/>
          </w:tcPr>
          <w:p w14:paraId="2CB1C54B">
            <w:pPr>
              <w:pStyle w:val="19"/>
              <w:bidi w:val="0"/>
            </w:pPr>
            <w:r>
              <w:t>地形数据分辨率（m）</w:t>
            </w:r>
          </w:p>
        </w:tc>
        <w:tc>
          <w:tcPr>
            <w:tcW w:w="2095" w:type="pct"/>
            <w:noWrap w:val="0"/>
            <w:vAlign w:val="center"/>
          </w:tcPr>
          <w:p w14:paraId="29F0740D">
            <w:pPr>
              <w:pStyle w:val="19"/>
              <w:bidi w:val="0"/>
            </w:pPr>
            <w:r>
              <w:t>90</w:t>
            </w:r>
          </w:p>
        </w:tc>
      </w:tr>
      <w:tr w14:paraId="6C7F7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69" w:type="pct"/>
            <w:vMerge w:val="restart"/>
            <w:tcBorders>
              <w:bottom w:val="nil"/>
            </w:tcBorders>
            <w:noWrap w:val="0"/>
            <w:vAlign w:val="center"/>
          </w:tcPr>
          <w:p w14:paraId="31868875">
            <w:pPr>
              <w:pStyle w:val="19"/>
              <w:bidi w:val="0"/>
            </w:pPr>
            <w:r>
              <w:t>是否考虑海岸线熏烟</w:t>
            </w:r>
          </w:p>
        </w:tc>
        <w:tc>
          <w:tcPr>
            <w:tcW w:w="1635" w:type="pct"/>
            <w:noWrap w:val="0"/>
            <w:vAlign w:val="center"/>
          </w:tcPr>
          <w:p w14:paraId="6DCD2E97">
            <w:pPr>
              <w:pStyle w:val="19"/>
              <w:bidi w:val="0"/>
            </w:pPr>
            <w:r>
              <w:t>考虑海岸线熏烟</w:t>
            </w:r>
          </w:p>
        </w:tc>
        <w:tc>
          <w:tcPr>
            <w:tcW w:w="2095" w:type="pct"/>
            <w:noWrap w:val="0"/>
            <w:vAlign w:val="center"/>
          </w:tcPr>
          <w:p w14:paraId="4FBE5B4D">
            <w:pPr>
              <w:pStyle w:val="19"/>
              <w:bidi w:val="0"/>
            </w:pPr>
            <w:r>
              <w:t>否</w:t>
            </w:r>
          </w:p>
        </w:tc>
      </w:tr>
      <w:tr w14:paraId="32172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69" w:type="pct"/>
            <w:vMerge w:val="continue"/>
            <w:tcBorders>
              <w:top w:val="nil"/>
              <w:bottom w:val="nil"/>
            </w:tcBorders>
            <w:noWrap w:val="0"/>
            <w:vAlign w:val="center"/>
          </w:tcPr>
          <w:p w14:paraId="41984C20">
            <w:pPr>
              <w:pStyle w:val="19"/>
              <w:bidi w:val="0"/>
            </w:pPr>
          </w:p>
        </w:tc>
        <w:tc>
          <w:tcPr>
            <w:tcW w:w="1635" w:type="pct"/>
            <w:noWrap w:val="0"/>
            <w:vAlign w:val="center"/>
          </w:tcPr>
          <w:p w14:paraId="0449E0DA">
            <w:pPr>
              <w:pStyle w:val="19"/>
              <w:bidi w:val="0"/>
            </w:pPr>
            <w:r>
              <w:t>海岸线距离/km</w:t>
            </w:r>
          </w:p>
        </w:tc>
        <w:tc>
          <w:tcPr>
            <w:tcW w:w="2095" w:type="pct"/>
            <w:noWrap w:val="0"/>
            <w:vAlign w:val="center"/>
          </w:tcPr>
          <w:p w14:paraId="2A4D3024">
            <w:pPr>
              <w:pStyle w:val="19"/>
              <w:bidi w:val="0"/>
            </w:pPr>
            <w:r>
              <w:t>/</w:t>
            </w:r>
          </w:p>
        </w:tc>
      </w:tr>
      <w:tr w14:paraId="3BAAF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69" w:type="pct"/>
            <w:vMerge w:val="continue"/>
            <w:tcBorders>
              <w:top w:val="nil"/>
            </w:tcBorders>
            <w:noWrap w:val="0"/>
            <w:vAlign w:val="center"/>
          </w:tcPr>
          <w:p w14:paraId="152211E8">
            <w:pPr>
              <w:pStyle w:val="19"/>
              <w:bidi w:val="0"/>
            </w:pPr>
          </w:p>
        </w:tc>
        <w:tc>
          <w:tcPr>
            <w:tcW w:w="1635" w:type="pct"/>
            <w:noWrap w:val="0"/>
            <w:vAlign w:val="center"/>
          </w:tcPr>
          <w:p w14:paraId="032C3AF4">
            <w:pPr>
              <w:pStyle w:val="19"/>
              <w:bidi w:val="0"/>
            </w:pPr>
            <w:r>
              <w:t>海岸线方向/o</w:t>
            </w:r>
          </w:p>
        </w:tc>
        <w:tc>
          <w:tcPr>
            <w:tcW w:w="2095" w:type="pct"/>
            <w:noWrap w:val="0"/>
            <w:vAlign w:val="center"/>
          </w:tcPr>
          <w:p w14:paraId="47AA94BF">
            <w:pPr>
              <w:pStyle w:val="19"/>
              <w:bidi w:val="0"/>
            </w:pPr>
            <w:r>
              <w:t>/</w:t>
            </w:r>
          </w:p>
        </w:tc>
      </w:tr>
    </w:tbl>
    <w:p w14:paraId="5540923B">
      <w:pPr>
        <w:rPr>
          <w:color w:val="000000"/>
          <w:highlight w:val="none"/>
        </w:rPr>
      </w:pPr>
      <w:r>
        <w:rPr>
          <w:color w:val="000000"/>
          <w:highlight w:val="none"/>
        </w:rPr>
        <w:t>（4）评价工作等级确定</w:t>
      </w:r>
    </w:p>
    <w:p w14:paraId="11A22B97">
      <w:pPr>
        <w:rPr>
          <w:color w:val="000000"/>
          <w:highlight w:val="none"/>
        </w:rPr>
      </w:pPr>
      <w:r>
        <w:rPr>
          <w:color w:val="000000"/>
          <w:highlight w:val="none"/>
        </w:rPr>
        <w:t>本项目污染源正常排放污染物的Pmax和D10%预测结果见表2.</w:t>
      </w:r>
      <w:r>
        <w:rPr>
          <w:rFonts w:hint="eastAsia"/>
          <w:color w:val="000000"/>
          <w:highlight w:val="none"/>
          <w:lang w:val="en-US" w:eastAsia="zh-CN"/>
        </w:rPr>
        <w:t>3</w:t>
      </w:r>
      <w:r>
        <w:rPr>
          <w:color w:val="000000"/>
          <w:highlight w:val="none"/>
        </w:rPr>
        <w:t>-</w:t>
      </w:r>
      <w:r>
        <w:rPr>
          <w:rFonts w:hint="eastAsia"/>
          <w:color w:val="000000"/>
          <w:highlight w:val="none"/>
          <w:lang w:val="en-US" w:eastAsia="zh-CN"/>
        </w:rPr>
        <w:t>5</w:t>
      </w:r>
      <w:r>
        <w:rPr>
          <w:color w:val="000000"/>
          <w:highlight w:val="none"/>
        </w:rPr>
        <w:t>。</w:t>
      </w:r>
    </w:p>
    <w:p w14:paraId="03EDF0E1">
      <w:pPr>
        <w:pStyle w:val="30"/>
        <w:bidi w:val="0"/>
      </w:pPr>
      <w:r>
        <w:t>表2.</w:t>
      </w:r>
      <w:r>
        <w:rPr>
          <w:rFonts w:hint="eastAsia"/>
          <w:lang w:val="en-US" w:eastAsia="zh-CN"/>
        </w:rPr>
        <w:t>3</w:t>
      </w:r>
      <w:r>
        <w:t>-</w:t>
      </w:r>
      <w:r>
        <w:rPr>
          <w:rFonts w:hint="eastAsia"/>
          <w:lang w:val="en-US" w:eastAsia="zh-CN"/>
        </w:rPr>
        <w:t xml:space="preserve">5 </w:t>
      </w:r>
      <w:r>
        <w:t xml:space="preserve">  估算模型计算结果表</w:t>
      </w:r>
    </w:p>
    <w:tbl>
      <w:tblPr>
        <w:tblStyle w:val="29"/>
        <w:tblW w:w="503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59"/>
        <w:gridCol w:w="523"/>
        <w:gridCol w:w="856"/>
        <w:gridCol w:w="1082"/>
        <w:gridCol w:w="1633"/>
        <w:gridCol w:w="1199"/>
        <w:gridCol w:w="1245"/>
        <w:gridCol w:w="1074"/>
      </w:tblGrid>
      <w:tr w14:paraId="524C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jc w:val="center"/>
        </w:trPr>
        <w:tc>
          <w:tcPr>
            <w:tcW w:w="453" w:type="pct"/>
            <w:tcBorders>
              <w:top w:val="single" w:color="auto" w:sz="4" w:space="0"/>
              <w:left w:val="single" w:color="auto" w:sz="4" w:space="0"/>
              <w:bottom w:val="single" w:color="auto" w:sz="4" w:space="0"/>
              <w:right w:val="single" w:color="auto" w:sz="4" w:space="0"/>
            </w:tcBorders>
            <w:noWrap w:val="0"/>
            <w:vAlign w:val="center"/>
          </w:tcPr>
          <w:p w14:paraId="7AFF9FB4">
            <w:pPr>
              <w:pStyle w:val="19"/>
              <w:bidi w:val="0"/>
            </w:pPr>
            <w:r>
              <w:t>工况</w:t>
            </w:r>
          </w:p>
        </w:tc>
        <w:tc>
          <w:tcPr>
            <w:tcW w:w="823" w:type="pct"/>
            <w:gridSpan w:val="2"/>
            <w:tcBorders>
              <w:top w:val="single" w:color="auto" w:sz="4" w:space="0"/>
              <w:left w:val="single" w:color="auto" w:sz="4" w:space="0"/>
              <w:bottom w:val="single" w:color="auto" w:sz="4" w:space="0"/>
              <w:right w:val="single" w:color="auto" w:sz="4" w:space="0"/>
            </w:tcBorders>
            <w:noWrap w:val="0"/>
            <w:vAlign w:val="center"/>
          </w:tcPr>
          <w:p w14:paraId="4D94B3B0">
            <w:pPr>
              <w:pStyle w:val="19"/>
              <w:bidi w:val="0"/>
            </w:pPr>
            <w:r>
              <w:t>排放源</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6F3F39DB">
            <w:pPr>
              <w:pStyle w:val="19"/>
              <w:bidi w:val="0"/>
            </w:pPr>
            <w:r>
              <w:t>评价因子</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3E3C5522">
            <w:pPr>
              <w:pStyle w:val="19"/>
              <w:bidi w:val="0"/>
            </w:pPr>
            <w:r>
              <w:t>C</w:t>
            </w:r>
            <w:r>
              <w:rPr>
                <w:vertAlign w:val="subscript"/>
              </w:rPr>
              <w:t>max</w:t>
            </w:r>
            <w:r>
              <w:t>（</w:t>
            </w:r>
            <w:r>
              <w:rPr>
                <w:rFonts w:hint="default" w:ascii="Times New Roman" w:hAnsi="Times New Roman" w:cs="Times New Roman"/>
                <w:lang w:val="en-US" w:eastAsia="zh-CN"/>
              </w:rPr>
              <w:t>μ</w:t>
            </w:r>
            <w:r>
              <w:t>g/m</w:t>
            </w:r>
            <w:r>
              <w:rPr>
                <w:vertAlign w:val="superscript"/>
              </w:rPr>
              <w:t>3</w:t>
            </w:r>
            <w:r>
              <w:t>）</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B845E44">
            <w:pPr>
              <w:pStyle w:val="19"/>
              <w:bidi w:val="0"/>
            </w:pPr>
            <w:r>
              <w:t>P</w:t>
            </w:r>
            <w:r>
              <w:rPr>
                <w:vertAlign w:val="subscript"/>
              </w:rPr>
              <w:t>max</w:t>
            </w:r>
            <w:r>
              <w:t>（%）</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433EF30">
            <w:pPr>
              <w:pStyle w:val="19"/>
              <w:bidi w:val="0"/>
            </w:pPr>
            <w:r>
              <w:t>D</w:t>
            </w:r>
            <w:r>
              <w:rPr>
                <w:vertAlign w:val="subscript"/>
              </w:rPr>
              <w:t>10%</w:t>
            </w:r>
            <w:r>
              <w:t>（m）</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09853EBF">
            <w:pPr>
              <w:pStyle w:val="19"/>
              <w:bidi w:val="0"/>
            </w:pPr>
            <w:r>
              <w:t>评价等级</w:t>
            </w:r>
          </w:p>
        </w:tc>
      </w:tr>
      <w:tr w14:paraId="39782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restart"/>
            <w:tcBorders>
              <w:top w:val="single" w:color="auto" w:sz="4" w:space="0"/>
              <w:left w:val="single" w:color="auto" w:sz="4" w:space="0"/>
              <w:right w:val="single" w:color="auto" w:sz="4" w:space="0"/>
            </w:tcBorders>
            <w:noWrap w:val="0"/>
            <w:vAlign w:val="center"/>
          </w:tcPr>
          <w:p w14:paraId="728F6891">
            <w:pPr>
              <w:pStyle w:val="19"/>
              <w:bidi w:val="0"/>
            </w:pPr>
            <w:r>
              <w:t>正常</w:t>
            </w:r>
          </w:p>
          <w:p w14:paraId="1C38154A">
            <w:pPr>
              <w:pStyle w:val="19"/>
              <w:bidi w:val="0"/>
            </w:pPr>
            <w:r>
              <w:t>工况</w:t>
            </w:r>
          </w:p>
        </w:tc>
        <w:tc>
          <w:tcPr>
            <w:tcW w:w="312" w:type="pct"/>
            <w:vMerge w:val="restart"/>
            <w:tcBorders>
              <w:top w:val="single" w:color="auto" w:sz="4" w:space="0"/>
              <w:left w:val="single" w:color="auto" w:sz="4" w:space="0"/>
              <w:right w:val="single" w:color="auto" w:sz="4" w:space="0"/>
            </w:tcBorders>
            <w:noWrap w:val="0"/>
            <w:vAlign w:val="center"/>
          </w:tcPr>
          <w:p w14:paraId="7A681546">
            <w:pPr>
              <w:pStyle w:val="19"/>
              <w:bidi w:val="0"/>
              <w:rPr>
                <w:rFonts w:hint="eastAsia" w:eastAsia="宋体"/>
                <w:lang w:val="en-US" w:eastAsia="zh-CN"/>
              </w:rPr>
            </w:pPr>
            <w:r>
              <w:rPr>
                <w:rFonts w:hint="eastAsia"/>
                <w:lang w:val="en-US" w:eastAsia="zh-CN"/>
              </w:rPr>
              <w:t>有组织</w:t>
            </w:r>
          </w:p>
        </w:tc>
        <w:tc>
          <w:tcPr>
            <w:tcW w:w="511" w:type="pct"/>
            <w:vMerge w:val="restart"/>
            <w:tcBorders>
              <w:top w:val="single" w:color="auto" w:sz="4" w:space="0"/>
              <w:left w:val="single" w:color="auto" w:sz="4" w:space="0"/>
              <w:right w:val="single" w:color="auto" w:sz="4" w:space="0"/>
            </w:tcBorders>
            <w:noWrap w:val="0"/>
            <w:vAlign w:val="center"/>
          </w:tcPr>
          <w:p w14:paraId="2C461349">
            <w:pPr>
              <w:pStyle w:val="19"/>
              <w:bidi w:val="0"/>
              <w:rPr>
                <w:rFonts w:hint="default" w:eastAsia="宋体"/>
                <w:lang w:val="en-US" w:eastAsia="zh-CN"/>
              </w:rPr>
            </w:pPr>
            <w:r>
              <w:rPr>
                <w:rFonts w:hint="eastAsia"/>
                <w:lang w:val="en-US" w:eastAsia="zh-CN"/>
              </w:rPr>
              <w:t>DA001</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1BC3A146">
            <w:pPr>
              <w:pStyle w:val="19"/>
              <w:bidi w:val="0"/>
              <w:rPr>
                <w:rFonts w:hint="default" w:eastAsia="宋体"/>
                <w:vertAlign w:val="subscript"/>
                <w:lang w:val="en-US" w:eastAsia="zh-CN"/>
              </w:rPr>
            </w:pPr>
            <w:r>
              <w:rPr>
                <w:rFonts w:hint="eastAsia"/>
                <w:lang w:val="en-US" w:eastAsia="zh-CN"/>
              </w:rPr>
              <w:t>PM</w:t>
            </w:r>
            <w:r>
              <w:rPr>
                <w:rFonts w:hint="eastAsia"/>
                <w:vertAlign w:val="subscript"/>
                <w:lang w:val="en-US" w:eastAsia="zh-CN"/>
              </w:rPr>
              <w:t>10</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2BFE88EC">
            <w:pPr>
              <w:pStyle w:val="19"/>
              <w:bidi w:val="0"/>
              <w:rPr>
                <w:rFonts w:hint="default"/>
                <w:lang w:val="en-US" w:eastAsia="zh-CN"/>
              </w:rPr>
            </w:pPr>
            <w:r>
              <w:rPr>
                <w:rFonts w:hint="eastAsia"/>
                <w:lang w:val="en-US" w:eastAsia="zh-CN"/>
              </w:rPr>
              <w:t>0.0755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6C787F7A">
            <w:pPr>
              <w:pStyle w:val="19"/>
              <w:bidi w:val="0"/>
              <w:rPr>
                <w:rFonts w:hint="default"/>
                <w:lang w:val="en-US" w:eastAsia="zh-CN"/>
              </w:rPr>
            </w:pPr>
            <w:r>
              <w:rPr>
                <w:rFonts w:hint="eastAsia"/>
                <w:lang w:val="en-US" w:eastAsia="zh-CN"/>
              </w:rPr>
              <w:t>0.0189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529B75A">
            <w:pPr>
              <w:pStyle w:val="19"/>
              <w:bidi w:val="0"/>
              <w:rPr>
                <w:rFonts w:hint="default"/>
                <w:lang w:val="en-US" w:eastAsia="zh-CN"/>
              </w:rPr>
            </w:pPr>
            <w:r>
              <w:rPr>
                <w:rFonts w:hint="eastAsia"/>
                <w:lang w:val="en-US" w:eastAsia="zh-CN"/>
              </w:rPr>
              <w:t>100</w:t>
            </w:r>
          </w:p>
        </w:tc>
        <w:tc>
          <w:tcPr>
            <w:tcW w:w="641" w:type="pct"/>
            <w:vMerge w:val="restart"/>
            <w:tcBorders>
              <w:top w:val="single" w:color="auto" w:sz="4" w:space="0"/>
              <w:left w:val="single" w:color="auto" w:sz="4" w:space="0"/>
              <w:right w:val="single" w:color="auto" w:sz="4" w:space="0"/>
            </w:tcBorders>
            <w:noWrap w:val="0"/>
            <w:vAlign w:val="center"/>
          </w:tcPr>
          <w:p w14:paraId="3718DB8F">
            <w:pPr>
              <w:pStyle w:val="19"/>
              <w:bidi w:val="0"/>
              <w:rPr>
                <w:rFonts w:hint="eastAsia" w:eastAsia="宋体"/>
                <w:lang w:val="en-US" w:eastAsia="zh-CN"/>
              </w:rPr>
            </w:pPr>
            <w:r>
              <w:rPr>
                <w:rFonts w:hint="eastAsia"/>
                <w:lang w:val="en-US" w:eastAsia="zh-CN"/>
              </w:rPr>
              <w:t>二级</w:t>
            </w:r>
          </w:p>
        </w:tc>
      </w:tr>
      <w:tr w14:paraId="6C922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49E35CA4">
            <w:pPr>
              <w:pStyle w:val="19"/>
              <w:bidi w:val="0"/>
            </w:pPr>
          </w:p>
        </w:tc>
        <w:tc>
          <w:tcPr>
            <w:tcW w:w="312" w:type="pct"/>
            <w:vMerge w:val="continue"/>
            <w:tcBorders>
              <w:left w:val="single" w:color="auto" w:sz="4" w:space="0"/>
              <w:right w:val="single" w:color="auto" w:sz="4" w:space="0"/>
            </w:tcBorders>
            <w:noWrap w:val="0"/>
            <w:vAlign w:val="center"/>
          </w:tcPr>
          <w:p w14:paraId="6B6ECAE3">
            <w:pPr>
              <w:pStyle w:val="19"/>
              <w:bidi w:val="0"/>
            </w:pPr>
          </w:p>
        </w:tc>
        <w:tc>
          <w:tcPr>
            <w:tcW w:w="511" w:type="pct"/>
            <w:vMerge w:val="continue"/>
            <w:tcBorders>
              <w:left w:val="single" w:color="auto" w:sz="4" w:space="0"/>
              <w:right w:val="single" w:color="auto" w:sz="4" w:space="0"/>
            </w:tcBorders>
            <w:noWrap w:val="0"/>
            <w:vAlign w:val="center"/>
          </w:tcPr>
          <w:p w14:paraId="79388D1E">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34F96E7A">
            <w:pPr>
              <w:pStyle w:val="19"/>
              <w:bidi w:val="0"/>
              <w:rPr>
                <w:rFonts w:hint="default" w:eastAsia="宋体"/>
                <w:vertAlign w:val="subscript"/>
                <w:lang w:val="en-US" w:eastAsia="zh-CN"/>
              </w:rPr>
            </w:pPr>
            <w:r>
              <w:rPr>
                <w:rFonts w:hint="eastAsia"/>
                <w:lang w:val="en-US" w:eastAsia="zh-CN"/>
              </w:rPr>
              <w:t>SO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6F803077">
            <w:pPr>
              <w:pStyle w:val="19"/>
              <w:bidi w:val="0"/>
              <w:rPr>
                <w:rFonts w:hint="default"/>
                <w:lang w:val="en-US" w:eastAsia="zh-CN"/>
              </w:rPr>
            </w:pPr>
            <w:r>
              <w:rPr>
                <w:rFonts w:hint="eastAsia"/>
                <w:lang w:val="en-US" w:eastAsia="zh-CN"/>
              </w:rPr>
              <w:t>5.3665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6CCC4000">
            <w:pPr>
              <w:pStyle w:val="19"/>
              <w:bidi w:val="0"/>
              <w:rPr>
                <w:rFonts w:hint="eastAsia"/>
                <w:lang w:val="en-US" w:eastAsia="zh-CN"/>
              </w:rPr>
            </w:pPr>
            <w:r>
              <w:rPr>
                <w:rFonts w:hint="eastAsia"/>
                <w:lang w:val="en-US" w:eastAsia="zh-CN"/>
              </w:rPr>
              <w:t>1.0733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2DE4C556">
            <w:pPr>
              <w:pStyle w:val="19"/>
              <w:bidi w:val="0"/>
              <w:rPr>
                <w:rFonts w:hint="default"/>
                <w:lang w:val="en-US" w:eastAsia="zh-CN"/>
              </w:rPr>
            </w:pPr>
            <w:r>
              <w:rPr>
                <w:rFonts w:hint="eastAsia"/>
                <w:lang w:val="en-US" w:eastAsia="zh-CN"/>
              </w:rPr>
              <w:t>200</w:t>
            </w:r>
          </w:p>
        </w:tc>
        <w:tc>
          <w:tcPr>
            <w:tcW w:w="641" w:type="pct"/>
            <w:vMerge w:val="continue"/>
            <w:tcBorders>
              <w:left w:val="single" w:color="auto" w:sz="4" w:space="0"/>
              <w:right w:val="single" w:color="auto" w:sz="4" w:space="0"/>
            </w:tcBorders>
            <w:noWrap w:val="0"/>
            <w:vAlign w:val="center"/>
          </w:tcPr>
          <w:p w14:paraId="35EB9F23">
            <w:pPr>
              <w:pStyle w:val="19"/>
              <w:bidi w:val="0"/>
            </w:pPr>
          </w:p>
        </w:tc>
      </w:tr>
      <w:tr w14:paraId="6D56A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53252C94">
            <w:pPr>
              <w:pStyle w:val="19"/>
              <w:bidi w:val="0"/>
            </w:pPr>
          </w:p>
        </w:tc>
        <w:tc>
          <w:tcPr>
            <w:tcW w:w="312" w:type="pct"/>
            <w:vMerge w:val="continue"/>
            <w:tcBorders>
              <w:left w:val="single" w:color="auto" w:sz="4" w:space="0"/>
              <w:right w:val="single" w:color="auto" w:sz="4" w:space="0"/>
            </w:tcBorders>
            <w:noWrap w:val="0"/>
            <w:vAlign w:val="center"/>
          </w:tcPr>
          <w:p w14:paraId="181A75E9">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39C85044">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6831C4F5">
            <w:pPr>
              <w:pStyle w:val="19"/>
              <w:bidi w:val="0"/>
              <w:rPr>
                <w:rFonts w:hint="eastAsia" w:eastAsia="宋体"/>
                <w:lang w:val="en-US" w:eastAsia="zh-CN"/>
              </w:rPr>
            </w:pPr>
            <w:r>
              <w:t>NO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0B95BE8B">
            <w:pPr>
              <w:pStyle w:val="19"/>
              <w:bidi w:val="0"/>
              <w:rPr>
                <w:rFonts w:hint="eastAsia"/>
                <w:lang w:val="en-US" w:eastAsia="zh-CN"/>
              </w:rPr>
            </w:pPr>
            <w:r>
              <w:rPr>
                <w:rFonts w:hint="eastAsia"/>
                <w:lang w:val="en-US" w:eastAsia="zh-CN"/>
              </w:rPr>
              <w:t>11.5115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0DCC856B">
            <w:pPr>
              <w:pStyle w:val="19"/>
              <w:bidi w:val="0"/>
              <w:rPr>
                <w:rFonts w:hint="default"/>
                <w:lang w:val="en-US" w:eastAsia="zh-CN"/>
              </w:rPr>
            </w:pPr>
            <w:r>
              <w:rPr>
                <w:rFonts w:hint="eastAsia"/>
                <w:lang w:val="en-US" w:eastAsia="zh-CN"/>
              </w:rPr>
              <w:t>5.6764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7E4C362E">
            <w:pPr>
              <w:pStyle w:val="19"/>
              <w:bidi w:val="0"/>
              <w:rPr>
                <w:rFonts w:hint="default"/>
                <w:lang w:val="en-US" w:eastAsia="zh-CN"/>
              </w:rPr>
            </w:pPr>
            <w:r>
              <w:rPr>
                <w:rFonts w:hint="eastAsia"/>
                <w:lang w:val="en-US" w:eastAsia="zh-CN"/>
              </w:rPr>
              <w:t>200</w:t>
            </w:r>
          </w:p>
        </w:tc>
        <w:tc>
          <w:tcPr>
            <w:tcW w:w="641" w:type="pct"/>
            <w:vMerge w:val="continue"/>
            <w:tcBorders>
              <w:left w:val="single" w:color="auto" w:sz="4" w:space="0"/>
              <w:bottom w:val="single" w:color="auto" w:sz="4" w:space="0"/>
              <w:right w:val="single" w:color="auto" w:sz="4" w:space="0"/>
            </w:tcBorders>
            <w:noWrap w:val="0"/>
            <w:vAlign w:val="center"/>
          </w:tcPr>
          <w:p w14:paraId="03B4EE5E">
            <w:pPr>
              <w:pStyle w:val="19"/>
              <w:bidi w:val="0"/>
            </w:pPr>
          </w:p>
        </w:tc>
      </w:tr>
      <w:tr w14:paraId="7ECEC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54BE50BD">
            <w:pPr>
              <w:pStyle w:val="19"/>
              <w:bidi w:val="0"/>
            </w:pPr>
          </w:p>
        </w:tc>
        <w:tc>
          <w:tcPr>
            <w:tcW w:w="312" w:type="pct"/>
            <w:vMerge w:val="continue"/>
            <w:tcBorders>
              <w:left w:val="single" w:color="auto" w:sz="4" w:space="0"/>
              <w:right w:val="single" w:color="auto" w:sz="4" w:space="0"/>
            </w:tcBorders>
            <w:noWrap w:val="0"/>
            <w:vAlign w:val="center"/>
          </w:tcPr>
          <w:p w14:paraId="45A04766">
            <w:pPr>
              <w:pStyle w:val="19"/>
              <w:bidi w:val="0"/>
            </w:pPr>
          </w:p>
        </w:tc>
        <w:tc>
          <w:tcPr>
            <w:tcW w:w="511" w:type="pct"/>
            <w:vMerge w:val="restart"/>
            <w:tcBorders>
              <w:top w:val="single" w:color="auto" w:sz="4" w:space="0"/>
              <w:left w:val="single" w:color="auto" w:sz="4" w:space="0"/>
              <w:right w:val="single" w:color="auto" w:sz="4" w:space="0"/>
            </w:tcBorders>
            <w:noWrap w:val="0"/>
            <w:vAlign w:val="center"/>
          </w:tcPr>
          <w:p w14:paraId="7A721D17">
            <w:pPr>
              <w:pStyle w:val="19"/>
              <w:bidi w:val="0"/>
              <w:rPr>
                <w:rFonts w:hint="default"/>
                <w:lang w:val="en-US"/>
              </w:rPr>
            </w:pPr>
            <w:r>
              <w:rPr>
                <w:rFonts w:hint="eastAsia"/>
                <w:lang w:val="en-US" w:eastAsia="zh-CN"/>
              </w:rPr>
              <w:t>DA002</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5AD3E821">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PM</w:t>
            </w:r>
            <w:r>
              <w:rPr>
                <w:rFonts w:hint="eastAsia"/>
                <w:vertAlign w:val="subscript"/>
                <w:lang w:val="en-US" w:eastAsia="zh-CN"/>
              </w:rPr>
              <w:t>10</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25946DD2">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0.0755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D3610F0">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0.0189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8A98666">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100</w:t>
            </w:r>
          </w:p>
        </w:tc>
        <w:tc>
          <w:tcPr>
            <w:tcW w:w="641" w:type="pct"/>
            <w:vMerge w:val="restart"/>
            <w:tcBorders>
              <w:top w:val="single" w:color="auto" w:sz="4" w:space="0"/>
              <w:left w:val="single" w:color="auto" w:sz="4" w:space="0"/>
              <w:right w:val="single" w:color="auto" w:sz="4" w:space="0"/>
            </w:tcBorders>
            <w:noWrap w:val="0"/>
            <w:vAlign w:val="center"/>
          </w:tcPr>
          <w:p w14:paraId="5BE6C449">
            <w:pPr>
              <w:pStyle w:val="19"/>
              <w:bidi w:val="0"/>
            </w:pPr>
            <w:r>
              <w:rPr>
                <w:rFonts w:hint="eastAsia"/>
                <w:lang w:val="en-US" w:eastAsia="zh-CN"/>
              </w:rPr>
              <w:t>二级</w:t>
            </w:r>
          </w:p>
        </w:tc>
      </w:tr>
      <w:tr w14:paraId="50140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2E3ADD5F">
            <w:pPr>
              <w:pStyle w:val="19"/>
              <w:bidi w:val="0"/>
            </w:pPr>
          </w:p>
        </w:tc>
        <w:tc>
          <w:tcPr>
            <w:tcW w:w="312" w:type="pct"/>
            <w:vMerge w:val="continue"/>
            <w:tcBorders>
              <w:left w:val="single" w:color="auto" w:sz="4" w:space="0"/>
              <w:right w:val="single" w:color="auto" w:sz="4" w:space="0"/>
            </w:tcBorders>
            <w:noWrap w:val="0"/>
            <w:vAlign w:val="center"/>
          </w:tcPr>
          <w:p w14:paraId="15E375CB">
            <w:pPr>
              <w:pStyle w:val="19"/>
              <w:bidi w:val="0"/>
            </w:pPr>
          </w:p>
        </w:tc>
        <w:tc>
          <w:tcPr>
            <w:tcW w:w="511" w:type="pct"/>
            <w:vMerge w:val="continue"/>
            <w:tcBorders>
              <w:left w:val="single" w:color="auto" w:sz="4" w:space="0"/>
              <w:right w:val="single" w:color="auto" w:sz="4" w:space="0"/>
            </w:tcBorders>
            <w:noWrap w:val="0"/>
            <w:vAlign w:val="center"/>
          </w:tcPr>
          <w:p w14:paraId="7076AE6A">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001F579E">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SO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1E7A4F1A">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5.3665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E11AE15">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1.0733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7614121B">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right w:val="single" w:color="auto" w:sz="4" w:space="0"/>
            </w:tcBorders>
            <w:noWrap w:val="0"/>
            <w:vAlign w:val="center"/>
          </w:tcPr>
          <w:p w14:paraId="5E23E8D1">
            <w:pPr>
              <w:pStyle w:val="19"/>
              <w:bidi w:val="0"/>
            </w:pPr>
          </w:p>
        </w:tc>
      </w:tr>
      <w:tr w14:paraId="278AD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2ABE410F">
            <w:pPr>
              <w:pStyle w:val="19"/>
              <w:bidi w:val="0"/>
            </w:pPr>
          </w:p>
        </w:tc>
        <w:tc>
          <w:tcPr>
            <w:tcW w:w="312" w:type="pct"/>
            <w:vMerge w:val="continue"/>
            <w:tcBorders>
              <w:left w:val="single" w:color="auto" w:sz="4" w:space="0"/>
              <w:right w:val="single" w:color="auto" w:sz="4" w:space="0"/>
            </w:tcBorders>
            <w:noWrap w:val="0"/>
            <w:vAlign w:val="center"/>
          </w:tcPr>
          <w:p w14:paraId="1CEC6526">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775242CB">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151DDB3F">
            <w:pPr>
              <w:pStyle w:val="19"/>
              <w:bidi w:val="0"/>
              <w:ind w:firstLine="0" w:firstLineChars="0"/>
              <w:rPr>
                <w:rFonts w:hint="eastAsia" w:ascii="Times New Roman" w:hAnsi="Times New Roman" w:eastAsia="宋体" w:cs="Times New Roman"/>
                <w:kern w:val="2"/>
                <w:sz w:val="21"/>
                <w:szCs w:val="22"/>
                <w:lang w:val="en-US" w:eastAsia="zh-CN" w:bidi="ar-SA"/>
              </w:rPr>
            </w:pPr>
            <w:r>
              <w:t>NO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4F494D45">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11.5115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569F385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5.6764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73141A84">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bottom w:val="single" w:color="auto" w:sz="4" w:space="0"/>
              <w:right w:val="single" w:color="auto" w:sz="4" w:space="0"/>
            </w:tcBorders>
            <w:noWrap w:val="0"/>
            <w:vAlign w:val="center"/>
          </w:tcPr>
          <w:p w14:paraId="0D334749">
            <w:pPr>
              <w:pStyle w:val="19"/>
              <w:bidi w:val="0"/>
            </w:pPr>
          </w:p>
        </w:tc>
      </w:tr>
      <w:tr w14:paraId="31B98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53" w:type="pct"/>
            <w:vMerge w:val="continue"/>
            <w:tcBorders>
              <w:left w:val="single" w:color="auto" w:sz="4" w:space="0"/>
              <w:right w:val="single" w:color="auto" w:sz="4" w:space="0"/>
            </w:tcBorders>
            <w:noWrap w:val="0"/>
            <w:vAlign w:val="center"/>
          </w:tcPr>
          <w:p w14:paraId="28A71256">
            <w:pPr>
              <w:pStyle w:val="19"/>
              <w:bidi w:val="0"/>
            </w:pPr>
          </w:p>
        </w:tc>
        <w:tc>
          <w:tcPr>
            <w:tcW w:w="312" w:type="pct"/>
            <w:vMerge w:val="continue"/>
            <w:tcBorders>
              <w:left w:val="single" w:color="auto" w:sz="4" w:space="0"/>
              <w:right w:val="single" w:color="auto" w:sz="4" w:space="0"/>
            </w:tcBorders>
            <w:noWrap w:val="0"/>
            <w:vAlign w:val="center"/>
          </w:tcPr>
          <w:p w14:paraId="6FB151B7">
            <w:pPr>
              <w:pStyle w:val="19"/>
              <w:bidi w:val="0"/>
            </w:pPr>
          </w:p>
        </w:tc>
        <w:tc>
          <w:tcPr>
            <w:tcW w:w="511" w:type="pct"/>
            <w:vMerge w:val="restart"/>
            <w:tcBorders>
              <w:top w:val="single" w:color="auto" w:sz="4" w:space="0"/>
              <w:left w:val="single" w:color="auto" w:sz="4" w:space="0"/>
              <w:right w:val="single" w:color="auto" w:sz="4" w:space="0"/>
            </w:tcBorders>
            <w:noWrap w:val="0"/>
            <w:vAlign w:val="center"/>
          </w:tcPr>
          <w:p w14:paraId="01553563">
            <w:pPr>
              <w:pStyle w:val="19"/>
              <w:bidi w:val="0"/>
              <w:rPr>
                <w:rFonts w:hint="default"/>
                <w:lang w:val="en-US"/>
              </w:rPr>
            </w:pPr>
            <w:r>
              <w:rPr>
                <w:rFonts w:hint="eastAsia"/>
                <w:lang w:val="en-US" w:eastAsia="zh-CN"/>
              </w:rPr>
              <w:t>DA003</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0302CED5">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PM</w:t>
            </w:r>
            <w:r>
              <w:rPr>
                <w:rFonts w:hint="eastAsia"/>
                <w:vertAlign w:val="subscript"/>
                <w:lang w:val="en-US" w:eastAsia="zh-CN"/>
              </w:rPr>
              <w:t>10</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7395112A">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0.0755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0F4B9F13">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0.0189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2A73EB9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100</w:t>
            </w:r>
          </w:p>
        </w:tc>
        <w:tc>
          <w:tcPr>
            <w:tcW w:w="641" w:type="pct"/>
            <w:vMerge w:val="restart"/>
            <w:tcBorders>
              <w:top w:val="single" w:color="auto" w:sz="4" w:space="0"/>
              <w:left w:val="single" w:color="auto" w:sz="4" w:space="0"/>
              <w:right w:val="single" w:color="auto" w:sz="4" w:space="0"/>
            </w:tcBorders>
            <w:noWrap w:val="0"/>
            <w:vAlign w:val="center"/>
          </w:tcPr>
          <w:p w14:paraId="12FEBEE4">
            <w:pPr>
              <w:pStyle w:val="19"/>
              <w:bidi w:val="0"/>
            </w:pPr>
            <w:r>
              <w:rPr>
                <w:rFonts w:hint="eastAsia"/>
                <w:lang w:val="en-US" w:eastAsia="zh-CN"/>
              </w:rPr>
              <w:t>二级</w:t>
            </w:r>
          </w:p>
        </w:tc>
      </w:tr>
      <w:tr w14:paraId="52B36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53" w:type="pct"/>
            <w:vMerge w:val="continue"/>
            <w:tcBorders>
              <w:left w:val="single" w:color="auto" w:sz="4" w:space="0"/>
              <w:right w:val="single" w:color="auto" w:sz="4" w:space="0"/>
            </w:tcBorders>
            <w:noWrap w:val="0"/>
            <w:vAlign w:val="center"/>
          </w:tcPr>
          <w:p w14:paraId="620ED97C">
            <w:pPr>
              <w:pStyle w:val="19"/>
              <w:bidi w:val="0"/>
            </w:pPr>
          </w:p>
        </w:tc>
        <w:tc>
          <w:tcPr>
            <w:tcW w:w="312" w:type="pct"/>
            <w:vMerge w:val="continue"/>
            <w:tcBorders>
              <w:left w:val="single" w:color="auto" w:sz="4" w:space="0"/>
              <w:right w:val="single" w:color="auto" w:sz="4" w:space="0"/>
            </w:tcBorders>
            <w:noWrap w:val="0"/>
            <w:vAlign w:val="center"/>
          </w:tcPr>
          <w:p w14:paraId="35A6C8DB">
            <w:pPr>
              <w:pStyle w:val="19"/>
              <w:bidi w:val="0"/>
            </w:pPr>
          </w:p>
        </w:tc>
        <w:tc>
          <w:tcPr>
            <w:tcW w:w="511" w:type="pct"/>
            <w:vMerge w:val="continue"/>
            <w:tcBorders>
              <w:left w:val="single" w:color="auto" w:sz="4" w:space="0"/>
              <w:right w:val="single" w:color="auto" w:sz="4" w:space="0"/>
            </w:tcBorders>
            <w:noWrap w:val="0"/>
            <w:vAlign w:val="center"/>
          </w:tcPr>
          <w:p w14:paraId="7B5345B4">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4F5CA4FD">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SO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67C3006B">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5.3665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0577012B">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1.0733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AD53337">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right w:val="single" w:color="auto" w:sz="4" w:space="0"/>
            </w:tcBorders>
            <w:noWrap w:val="0"/>
            <w:vAlign w:val="center"/>
          </w:tcPr>
          <w:p w14:paraId="692C3DEB">
            <w:pPr>
              <w:pStyle w:val="19"/>
              <w:bidi w:val="0"/>
            </w:pPr>
          </w:p>
        </w:tc>
      </w:tr>
      <w:tr w14:paraId="1E0B3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16AE010D">
            <w:pPr>
              <w:pStyle w:val="19"/>
              <w:bidi w:val="0"/>
            </w:pPr>
          </w:p>
        </w:tc>
        <w:tc>
          <w:tcPr>
            <w:tcW w:w="312" w:type="pct"/>
            <w:vMerge w:val="continue"/>
            <w:tcBorders>
              <w:left w:val="single" w:color="auto" w:sz="4" w:space="0"/>
              <w:right w:val="single" w:color="auto" w:sz="4" w:space="0"/>
            </w:tcBorders>
            <w:noWrap w:val="0"/>
            <w:vAlign w:val="center"/>
          </w:tcPr>
          <w:p w14:paraId="37358794">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496E9478">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058140E0">
            <w:pPr>
              <w:pStyle w:val="19"/>
              <w:bidi w:val="0"/>
              <w:ind w:firstLine="0" w:firstLineChars="0"/>
              <w:rPr>
                <w:rFonts w:hint="eastAsia" w:ascii="Times New Roman" w:hAnsi="Times New Roman" w:eastAsia="宋体" w:cs="Times New Roman"/>
                <w:kern w:val="2"/>
                <w:sz w:val="21"/>
                <w:szCs w:val="22"/>
                <w:lang w:val="en-US" w:eastAsia="zh-CN" w:bidi="ar-SA"/>
              </w:rPr>
            </w:pPr>
            <w:r>
              <w:t>NO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14B347CF">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11.5115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3BB4574E">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5.6764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16F0627">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bottom w:val="single" w:color="auto" w:sz="4" w:space="0"/>
              <w:right w:val="single" w:color="auto" w:sz="4" w:space="0"/>
            </w:tcBorders>
            <w:noWrap w:val="0"/>
            <w:vAlign w:val="center"/>
          </w:tcPr>
          <w:p w14:paraId="45371367">
            <w:pPr>
              <w:pStyle w:val="19"/>
              <w:bidi w:val="0"/>
            </w:pPr>
          </w:p>
        </w:tc>
      </w:tr>
      <w:tr w14:paraId="60652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143050E3">
            <w:pPr>
              <w:pStyle w:val="19"/>
              <w:bidi w:val="0"/>
            </w:pPr>
          </w:p>
        </w:tc>
        <w:tc>
          <w:tcPr>
            <w:tcW w:w="312" w:type="pct"/>
            <w:vMerge w:val="continue"/>
            <w:tcBorders>
              <w:left w:val="single" w:color="auto" w:sz="4" w:space="0"/>
              <w:right w:val="single" w:color="auto" w:sz="4" w:space="0"/>
            </w:tcBorders>
            <w:noWrap w:val="0"/>
            <w:vAlign w:val="center"/>
          </w:tcPr>
          <w:p w14:paraId="13A8ADAD">
            <w:pPr>
              <w:pStyle w:val="19"/>
              <w:bidi w:val="0"/>
            </w:pPr>
          </w:p>
        </w:tc>
        <w:tc>
          <w:tcPr>
            <w:tcW w:w="511" w:type="pct"/>
            <w:vMerge w:val="restart"/>
            <w:tcBorders>
              <w:top w:val="single" w:color="auto" w:sz="4" w:space="0"/>
              <w:left w:val="single" w:color="auto" w:sz="4" w:space="0"/>
              <w:right w:val="single" w:color="auto" w:sz="4" w:space="0"/>
            </w:tcBorders>
            <w:noWrap w:val="0"/>
            <w:vAlign w:val="center"/>
          </w:tcPr>
          <w:p w14:paraId="33BE93EC">
            <w:pPr>
              <w:pStyle w:val="19"/>
              <w:bidi w:val="0"/>
              <w:rPr>
                <w:rFonts w:hint="default"/>
                <w:lang w:val="en-US"/>
              </w:rPr>
            </w:pPr>
            <w:r>
              <w:rPr>
                <w:rFonts w:hint="eastAsia"/>
                <w:lang w:val="en-US" w:eastAsia="zh-CN"/>
              </w:rPr>
              <w:t>DA004</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44DB2828">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NH</w:t>
            </w:r>
            <w:r>
              <w:rPr>
                <w:rFonts w:hint="eastAsia"/>
                <w:vertAlign w:val="subscript"/>
              </w:rPr>
              <w:t>3</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1DEB5BAF">
            <w:pPr>
              <w:pStyle w:val="19"/>
              <w:bidi w:val="0"/>
            </w:pPr>
            <w:r>
              <w:t>7.829</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566E6CF8">
            <w:pPr>
              <w:pStyle w:val="19"/>
              <w:bidi w:val="0"/>
              <w:rPr>
                <w:rFonts w:hint="default" w:eastAsia="宋体"/>
                <w:lang w:val="en-US" w:eastAsia="zh-CN"/>
              </w:rPr>
            </w:pPr>
            <w:r>
              <w:rPr>
                <w:rFonts w:hint="eastAsia"/>
                <w:lang w:val="en-US" w:eastAsia="zh-CN"/>
              </w:rPr>
              <w:t>3.92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765B008">
            <w:pPr>
              <w:pStyle w:val="19"/>
              <w:bidi w:val="0"/>
              <w:rPr>
                <w:rFonts w:hint="default" w:eastAsia="宋体"/>
                <w:lang w:val="en-US" w:eastAsia="zh-CN"/>
              </w:rPr>
            </w:pPr>
            <w:r>
              <w:rPr>
                <w:rFonts w:hint="eastAsia"/>
                <w:lang w:val="en-US" w:eastAsia="zh-CN"/>
              </w:rPr>
              <w:t>178</w:t>
            </w:r>
          </w:p>
        </w:tc>
        <w:tc>
          <w:tcPr>
            <w:tcW w:w="641" w:type="pct"/>
            <w:vMerge w:val="restart"/>
            <w:tcBorders>
              <w:top w:val="single" w:color="auto" w:sz="4" w:space="0"/>
              <w:left w:val="single" w:color="auto" w:sz="4" w:space="0"/>
              <w:right w:val="single" w:color="auto" w:sz="4" w:space="0"/>
            </w:tcBorders>
            <w:noWrap w:val="0"/>
            <w:vAlign w:val="center"/>
          </w:tcPr>
          <w:p w14:paraId="6C420B65">
            <w:pPr>
              <w:pStyle w:val="19"/>
              <w:bidi w:val="0"/>
            </w:pPr>
            <w:r>
              <w:rPr>
                <w:rFonts w:hint="eastAsia"/>
                <w:lang w:val="en-US" w:eastAsia="zh-CN"/>
              </w:rPr>
              <w:t>二级</w:t>
            </w:r>
          </w:p>
        </w:tc>
      </w:tr>
      <w:tr w14:paraId="25BB2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6B8E0CDF">
            <w:pPr>
              <w:pStyle w:val="19"/>
              <w:bidi w:val="0"/>
            </w:pPr>
          </w:p>
        </w:tc>
        <w:tc>
          <w:tcPr>
            <w:tcW w:w="312" w:type="pct"/>
            <w:vMerge w:val="continue"/>
            <w:tcBorders>
              <w:left w:val="single" w:color="auto" w:sz="4" w:space="0"/>
              <w:bottom w:val="single" w:color="auto" w:sz="4" w:space="0"/>
              <w:right w:val="single" w:color="auto" w:sz="4" w:space="0"/>
            </w:tcBorders>
            <w:noWrap w:val="0"/>
            <w:vAlign w:val="center"/>
          </w:tcPr>
          <w:p w14:paraId="587881A5">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0B56AD80">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12966180">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H</w:t>
            </w:r>
            <w:r>
              <w:rPr>
                <w:rFonts w:hint="eastAsia"/>
                <w:vertAlign w:val="subscript"/>
              </w:rPr>
              <w:t>2</w:t>
            </w:r>
            <w:r>
              <w:rPr>
                <w:rFonts w:hint="eastAsia"/>
              </w:rPr>
              <w:t>S</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0D245DB4">
            <w:pPr>
              <w:pStyle w:val="19"/>
              <w:bidi w:val="0"/>
            </w:pPr>
            <w:r>
              <w:t>0.7829</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5ED6EBF9">
            <w:pPr>
              <w:pStyle w:val="19"/>
              <w:bidi w:val="0"/>
              <w:rPr>
                <w:rFonts w:hint="default" w:eastAsia="宋体"/>
                <w:lang w:val="en-US" w:eastAsia="zh-CN"/>
              </w:rPr>
            </w:pPr>
            <w:r>
              <w:rPr>
                <w:rFonts w:hint="eastAsia"/>
                <w:lang w:val="en-US" w:eastAsia="zh-CN"/>
              </w:rPr>
              <w:t>7.83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579E53B5">
            <w:pPr>
              <w:pStyle w:val="19"/>
              <w:bidi w:val="0"/>
              <w:rPr>
                <w:rFonts w:hint="default" w:eastAsia="宋体"/>
                <w:lang w:val="en-US" w:eastAsia="zh-CN"/>
              </w:rPr>
            </w:pPr>
            <w:r>
              <w:rPr>
                <w:rFonts w:hint="eastAsia"/>
                <w:lang w:val="en-US" w:eastAsia="zh-CN"/>
              </w:rPr>
              <w:t>178</w:t>
            </w:r>
          </w:p>
        </w:tc>
        <w:tc>
          <w:tcPr>
            <w:tcW w:w="641" w:type="pct"/>
            <w:vMerge w:val="continue"/>
            <w:tcBorders>
              <w:left w:val="single" w:color="auto" w:sz="4" w:space="0"/>
              <w:bottom w:val="single" w:color="auto" w:sz="4" w:space="0"/>
              <w:right w:val="single" w:color="auto" w:sz="4" w:space="0"/>
            </w:tcBorders>
            <w:noWrap w:val="0"/>
            <w:vAlign w:val="center"/>
          </w:tcPr>
          <w:p w14:paraId="1C0968BB">
            <w:pPr>
              <w:pStyle w:val="19"/>
              <w:bidi w:val="0"/>
            </w:pPr>
          </w:p>
        </w:tc>
      </w:tr>
      <w:tr w14:paraId="021A9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13B8728F">
            <w:pPr>
              <w:pStyle w:val="19"/>
              <w:bidi w:val="0"/>
            </w:pPr>
          </w:p>
        </w:tc>
        <w:tc>
          <w:tcPr>
            <w:tcW w:w="312" w:type="pct"/>
            <w:vMerge w:val="restart"/>
            <w:tcBorders>
              <w:top w:val="single" w:color="auto" w:sz="4" w:space="0"/>
              <w:left w:val="single" w:color="auto" w:sz="4" w:space="0"/>
              <w:bottom w:val="single" w:color="auto" w:sz="4" w:space="0"/>
              <w:right w:val="single" w:color="auto" w:sz="4" w:space="0"/>
            </w:tcBorders>
            <w:noWrap w:val="0"/>
            <w:vAlign w:val="center"/>
          </w:tcPr>
          <w:p w14:paraId="54FE36C7">
            <w:pPr>
              <w:pStyle w:val="19"/>
              <w:bidi w:val="0"/>
              <w:rPr>
                <w:rFonts w:hint="default" w:eastAsia="宋体"/>
                <w:lang w:val="en-US" w:eastAsia="zh-CN"/>
              </w:rPr>
            </w:pPr>
            <w:r>
              <w:rPr>
                <w:rFonts w:hint="eastAsia"/>
                <w:lang w:val="en-US" w:eastAsia="zh-CN"/>
              </w:rPr>
              <w:t>无组织</w:t>
            </w:r>
          </w:p>
        </w:tc>
        <w:tc>
          <w:tcPr>
            <w:tcW w:w="511" w:type="pct"/>
            <w:vMerge w:val="restart"/>
            <w:tcBorders>
              <w:top w:val="single" w:color="auto" w:sz="4" w:space="0"/>
              <w:left w:val="single" w:color="auto" w:sz="4" w:space="0"/>
              <w:bottom w:val="single" w:color="auto" w:sz="4" w:space="0"/>
              <w:right w:val="single" w:color="auto" w:sz="4" w:space="0"/>
            </w:tcBorders>
            <w:noWrap w:val="0"/>
            <w:vAlign w:val="center"/>
          </w:tcPr>
          <w:p w14:paraId="7A06C7C1">
            <w:pPr>
              <w:pStyle w:val="19"/>
              <w:bidi w:val="0"/>
              <w:rPr>
                <w:rFonts w:hint="eastAsia"/>
                <w:lang w:val="en-US" w:eastAsia="zh-CN"/>
              </w:rPr>
            </w:pPr>
            <w:r>
              <w:rPr>
                <w:rFonts w:hint="eastAsia"/>
                <w:lang w:val="en-US" w:eastAsia="zh-CN"/>
              </w:rPr>
              <w:t>厂界</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6136D2D5">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NH</w:t>
            </w:r>
            <w:r>
              <w:rPr>
                <w:rFonts w:hint="eastAsia"/>
                <w:vertAlign w:val="subscript"/>
              </w:rPr>
              <w:t>3</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19848117">
            <w:pPr>
              <w:pStyle w:val="19"/>
              <w:bidi w:val="0"/>
              <w:ind w:firstLine="0" w:firstLineChars="0"/>
              <w:rPr>
                <w:rFonts w:ascii="Times New Roman" w:hAnsi="Times New Roman" w:eastAsia="宋体" w:cs="Times New Roman"/>
                <w:kern w:val="2"/>
                <w:sz w:val="21"/>
                <w:szCs w:val="22"/>
                <w:lang w:val="en-US" w:eastAsia="zh-CN" w:bidi="ar-SA"/>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8.14</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15E3B34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4.07</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55C0F2C">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206</w:t>
            </w:r>
          </w:p>
        </w:tc>
        <w:tc>
          <w:tcPr>
            <w:tcW w:w="641" w:type="pct"/>
            <w:vMerge w:val="restart"/>
            <w:tcBorders>
              <w:top w:val="single" w:color="auto" w:sz="4" w:space="0"/>
              <w:left w:val="single" w:color="auto" w:sz="4" w:space="0"/>
              <w:right w:val="single" w:color="auto" w:sz="4" w:space="0"/>
            </w:tcBorders>
            <w:noWrap w:val="0"/>
            <w:vAlign w:val="center"/>
          </w:tcPr>
          <w:p w14:paraId="2D2B651E">
            <w:pPr>
              <w:pStyle w:val="19"/>
              <w:bidi w:val="0"/>
              <w:ind w:firstLine="0" w:firstLineChars="0"/>
              <w:rPr>
                <w:rFonts w:ascii="Times New Roman" w:hAnsi="Times New Roman" w:eastAsia="宋体" w:cs="Times New Roman"/>
                <w:kern w:val="2"/>
                <w:sz w:val="21"/>
                <w:szCs w:val="22"/>
                <w:lang w:val="en-US" w:eastAsia="zh-CN" w:bidi="ar-SA"/>
              </w:rPr>
            </w:pPr>
            <w:r>
              <w:rPr>
                <w:rFonts w:hint="eastAsia"/>
                <w:lang w:val="en-US" w:eastAsia="zh-CN"/>
              </w:rPr>
              <w:t>二级</w:t>
            </w:r>
          </w:p>
        </w:tc>
      </w:tr>
      <w:tr w14:paraId="02495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bottom w:val="single" w:color="auto" w:sz="4" w:space="0"/>
              <w:right w:val="single" w:color="auto" w:sz="4" w:space="0"/>
            </w:tcBorders>
            <w:noWrap w:val="0"/>
            <w:vAlign w:val="center"/>
          </w:tcPr>
          <w:p w14:paraId="586D8498">
            <w:pPr>
              <w:pStyle w:val="19"/>
              <w:bidi w:val="0"/>
            </w:pPr>
          </w:p>
        </w:tc>
        <w:tc>
          <w:tcPr>
            <w:tcW w:w="312" w:type="pct"/>
            <w:vMerge w:val="continue"/>
            <w:tcBorders>
              <w:top w:val="single" w:color="auto" w:sz="4" w:space="0"/>
              <w:left w:val="single" w:color="auto" w:sz="4" w:space="0"/>
              <w:bottom w:val="single" w:color="auto" w:sz="4" w:space="0"/>
              <w:right w:val="single" w:color="auto" w:sz="4" w:space="0"/>
            </w:tcBorders>
            <w:noWrap w:val="0"/>
            <w:vAlign w:val="center"/>
          </w:tcPr>
          <w:p w14:paraId="4C50130B">
            <w:pPr>
              <w:pStyle w:val="19"/>
              <w:bidi w:val="0"/>
            </w:pPr>
          </w:p>
        </w:tc>
        <w:tc>
          <w:tcPr>
            <w:tcW w:w="511" w:type="pct"/>
            <w:vMerge w:val="continue"/>
            <w:tcBorders>
              <w:top w:val="single" w:color="auto" w:sz="4" w:space="0"/>
              <w:left w:val="single" w:color="auto" w:sz="4" w:space="0"/>
              <w:bottom w:val="single" w:color="auto" w:sz="4" w:space="0"/>
              <w:right w:val="single" w:color="auto" w:sz="4" w:space="0"/>
            </w:tcBorders>
            <w:noWrap w:val="0"/>
            <w:vAlign w:val="center"/>
          </w:tcPr>
          <w:p w14:paraId="4BB0ADEA">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3571313D">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H</w:t>
            </w:r>
            <w:r>
              <w:rPr>
                <w:rFonts w:hint="eastAsia"/>
                <w:vertAlign w:val="subscript"/>
              </w:rPr>
              <w:t>2</w:t>
            </w:r>
            <w:r>
              <w:rPr>
                <w:rFonts w:hint="eastAsia"/>
              </w:rPr>
              <w:t>S</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525A67CD">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0.862</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17AC3A32">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8.62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ABD48E1">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206</w:t>
            </w:r>
          </w:p>
        </w:tc>
        <w:tc>
          <w:tcPr>
            <w:tcW w:w="641" w:type="pct"/>
            <w:vMerge w:val="continue"/>
            <w:tcBorders>
              <w:left w:val="single" w:color="auto" w:sz="4" w:space="0"/>
              <w:bottom w:val="single" w:color="auto" w:sz="4" w:space="0"/>
              <w:right w:val="single" w:color="auto" w:sz="4" w:space="0"/>
            </w:tcBorders>
            <w:noWrap w:val="0"/>
            <w:vAlign w:val="center"/>
          </w:tcPr>
          <w:p w14:paraId="05533D60">
            <w:pPr>
              <w:pStyle w:val="19"/>
              <w:bidi w:val="0"/>
              <w:ind w:firstLine="0" w:firstLineChars="0"/>
              <w:rPr>
                <w:rFonts w:ascii="Times New Roman" w:hAnsi="Times New Roman" w:eastAsia="宋体" w:cs="Times New Roman"/>
                <w:kern w:val="2"/>
                <w:sz w:val="21"/>
                <w:szCs w:val="22"/>
                <w:lang w:val="en-US" w:eastAsia="zh-CN" w:bidi="ar-SA"/>
              </w:rPr>
            </w:pPr>
          </w:p>
        </w:tc>
      </w:tr>
    </w:tbl>
    <w:p w14:paraId="6E915758">
      <w:pPr>
        <w:pStyle w:val="2"/>
        <w:rPr>
          <w:rFonts w:hint="eastAsia"/>
          <w:lang w:val="en-US" w:eastAsia="zh-CN"/>
        </w:rPr>
      </w:pPr>
      <w:r>
        <w:rPr>
          <w:color w:val="000000"/>
          <w:highlight w:val="none"/>
        </w:rPr>
        <w:t>综合以上分析，本项目P</w:t>
      </w:r>
      <w:r>
        <w:rPr>
          <w:color w:val="000000"/>
          <w:highlight w:val="none"/>
          <w:vertAlign w:val="subscript"/>
        </w:rPr>
        <w:t>max</w:t>
      </w:r>
      <w:r>
        <w:rPr>
          <w:rFonts w:hint="eastAsia"/>
          <w:color w:val="000000"/>
          <w:highlight w:val="none"/>
          <w:lang w:val="en-US" w:eastAsia="zh-CN"/>
        </w:rPr>
        <w:t>8.62</w:t>
      </w:r>
      <w:r>
        <w:rPr>
          <w:color w:val="000000"/>
          <w:highlight w:val="none"/>
        </w:rPr>
        <w:t>%&lt;10%，根据《环境影响评价技术导则 大气环境》</w:t>
      </w:r>
      <w:r>
        <w:rPr>
          <w:rFonts w:hint="eastAsia"/>
          <w:color w:val="000000"/>
          <w:highlight w:val="none"/>
          <w:lang w:eastAsia="zh-CN"/>
        </w:rPr>
        <w:t>（</w:t>
      </w:r>
      <w:r>
        <w:rPr>
          <w:color w:val="000000"/>
          <w:highlight w:val="none"/>
        </w:rPr>
        <w:t>HJ2.2-2018</w:t>
      </w:r>
      <w:r>
        <w:rPr>
          <w:rFonts w:hint="eastAsia"/>
          <w:color w:val="000000"/>
          <w:highlight w:val="none"/>
          <w:lang w:eastAsia="zh-CN"/>
        </w:rPr>
        <w:t>）</w:t>
      </w:r>
      <w:r>
        <w:rPr>
          <w:color w:val="000000"/>
          <w:highlight w:val="none"/>
        </w:rPr>
        <w:t>分级判据，确定本项目大气环境影响评价工作等级为二级。</w:t>
      </w:r>
    </w:p>
    <w:p w14:paraId="3A3BCE5E">
      <w:pPr>
        <w:pStyle w:val="28"/>
        <w:bidi w:val="0"/>
        <w:rPr>
          <w:rFonts w:hint="default"/>
          <w:lang w:val="en-US" w:eastAsia="zh-CN"/>
        </w:rPr>
      </w:pPr>
      <w:r>
        <w:rPr>
          <w:rFonts w:hint="eastAsia"/>
          <w:lang w:val="en-US" w:eastAsia="zh-CN"/>
        </w:rPr>
        <w:t>地表水环境</w:t>
      </w:r>
    </w:p>
    <w:p w14:paraId="23DFF096">
      <w:pPr>
        <w:bidi w:val="0"/>
        <w:rPr>
          <w:rFonts w:hint="eastAsia"/>
          <w:lang w:val="en-US" w:eastAsia="zh-CN"/>
        </w:rPr>
      </w:pPr>
      <w:r>
        <w:rPr>
          <w:rFonts w:hint="eastAsia"/>
          <w:lang w:val="en-US" w:eastAsia="zh-CN"/>
        </w:rPr>
        <w:t>本项目选址位于第七师129团13连，厂区周围5km范围内无自然保护区、风景名胜区、饮用水水源地等生态敏感区，本项目建成运营后的养殖废水、生活污水，水质复杂程度简单，采用《畜禽粪污资源化利用行动方案》中推荐的“污水肥料化利用”模式，粪污水最终经过“格栅+集水池（沉砂）+固液分离+水解酸化+UASB+SBR+好氧塘储存”污水处理工艺处理后，产生的废水可以达到无害化标准要求，由129团农业发展中心清运，用于灌溉周边农田，种养结合，非灌溉期在场区氧化塘对废水进行储存，不排入地表水体。</w:t>
      </w:r>
    </w:p>
    <w:p w14:paraId="4C6713F8">
      <w:pPr>
        <w:bidi w:val="0"/>
        <w:rPr>
          <w:rFonts w:hint="eastAsia"/>
          <w:lang w:val="en-US" w:eastAsia="zh-CN"/>
        </w:rPr>
      </w:pPr>
      <w:r>
        <w:rPr>
          <w:rFonts w:hint="eastAsia"/>
          <w:lang w:val="en-US" w:eastAsia="zh-CN"/>
        </w:rPr>
        <w:t>根据《环境影响评价技术导则·地表水环境》（HJ2.3-2018）中相关内容，本项目地表水评价工作等级判据依据详见表2.3-6。</w:t>
      </w:r>
    </w:p>
    <w:p w14:paraId="1D55693F">
      <w:pPr>
        <w:pStyle w:val="30"/>
        <w:bidi w:val="0"/>
        <w:rPr>
          <w:rFonts w:hint="default"/>
          <w:lang w:val="en-US" w:eastAsia="zh-CN"/>
        </w:rPr>
      </w:pPr>
      <w:r>
        <w:rPr>
          <w:rFonts w:hint="eastAsia"/>
          <w:lang w:val="en-US" w:eastAsia="zh-CN"/>
        </w:rPr>
        <w:t>表2.3-6   水污染影响型建设项目评价等级判定表</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35"/>
        <w:gridCol w:w="1635"/>
        <w:gridCol w:w="5150"/>
      </w:tblGrid>
      <w:tr w14:paraId="712BD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restart"/>
            <w:tcBorders>
              <w:bottom w:val="nil"/>
            </w:tcBorders>
            <w:noWrap w:val="0"/>
            <w:tcMar>
              <w:top w:w="28" w:type="dxa"/>
              <w:left w:w="57" w:type="dxa"/>
              <w:bottom w:w="28" w:type="dxa"/>
              <w:right w:w="57" w:type="dxa"/>
            </w:tcMar>
            <w:vAlign w:val="center"/>
          </w:tcPr>
          <w:p w14:paraId="450F57FC">
            <w:pPr>
              <w:pStyle w:val="19"/>
              <w:bidi w:val="0"/>
              <w:jc w:val="center"/>
            </w:pPr>
            <w:r>
              <w:t>评价等级</w:t>
            </w:r>
          </w:p>
        </w:tc>
        <w:tc>
          <w:tcPr>
            <w:tcW w:w="0" w:type="auto"/>
            <w:gridSpan w:val="2"/>
            <w:noWrap w:val="0"/>
            <w:tcMar>
              <w:top w:w="28" w:type="dxa"/>
              <w:left w:w="57" w:type="dxa"/>
              <w:bottom w:w="28" w:type="dxa"/>
              <w:right w:w="57" w:type="dxa"/>
            </w:tcMar>
            <w:vAlign w:val="center"/>
          </w:tcPr>
          <w:p w14:paraId="0F57A378">
            <w:pPr>
              <w:pStyle w:val="19"/>
              <w:bidi w:val="0"/>
              <w:jc w:val="center"/>
            </w:pPr>
            <w:r>
              <w:t>判定依据</w:t>
            </w:r>
          </w:p>
        </w:tc>
      </w:tr>
      <w:tr w14:paraId="0B96A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tcBorders>
            <w:noWrap w:val="0"/>
            <w:tcMar>
              <w:top w:w="28" w:type="dxa"/>
              <w:left w:w="57" w:type="dxa"/>
              <w:bottom w:w="28" w:type="dxa"/>
              <w:right w:w="57" w:type="dxa"/>
            </w:tcMar>
            <w:vAlign w:val="center"/>
          </w:tcPr>
          <w:p w14:paraId="185C7133">
            <w:pPr>
              <w:pStyle w:val="19"/>
              <w:bidi w:val="0"/>
              <w:jc w:val="center"/>
            </w:pPr>
          </w:p>
        </w:tc>
        <w:tc>
          <w:tcPr>
            <w:tcW w:w="0" w:type="auto"/>
            <w:noWrap w:val="0"/>
            <w:tcMar>
              <w:top w:w="28" w:type="dxa"/>
              <w:left w:w="57" w:type="dxa"/>
              <w:bottom w:w="28" w:type="dxa"/>
              <w:right w:w="57" w:type="dxa"/>
            </w:tcMar>
            <w:vAlign w:val="center"/>
          </w:tcPr>
          <w:p w14:paraId="32F852BF">
            <w:pPr>
              <w:pStyle w:val="19"/>
              <w:bidi w:val="0"/>
              <w:jc w:val="center"/>
            </w:pPr>
            <w:r>
              <w:t>排放方式</w:t>
            </w:r>
          </w:p>
        </w:tc>
        <w:tc>
          <w:tcPr>
            <w:tcW w:w="0" w:type="auto"/>
            <w:noWrap w:val="0"/>
            <w:tcMar>
              <w:top w:w="28" w:type="dxa"/>
              <w:left w:w="57" w:type="dxa"/>
              <w:bottom w:w="28" w:type="dxa"/>
              <w:right w:w="57" w:type="dxa"/>
            </w:tcMar>
            <w:vAlign w:val="center"/>
          </w:tcPr>
          <w:p w14:paraId="469BCC4B">
            <w:pPr>
              <w:pStyle w:val="19"/>
              <w:bidi w:val="0"/>
              <w:jc w:val="center"/>
            </w:pPr>
            <w:r>
              <w:t>废水排放量Q/（m</w:t>
            </w:r>
            <w:r>
              <w:rPr>
                <w:vertAlign w:val="superscript"/>
              </w:rPr>
              <w:t>3</w:t>
            </w:r>
            <w:r>
              <w:t>/d）；</w:t>
            </w:r>
          </w:p>
          <w:p w14:paraId="0E5F63F4">
            <w:pPr>
              <w:pStyle w:val="19"/>
              <w:bidi w:val="0"/>
              <w:jc w:val="center"/>
            </w:pPr>
            <w:r>
              <w:t>水污染物当量数W/（无量纲）</w:t>
            </w:r>
          </w:p>
        </w:tc>
      </w:tr>
      <w:tr w14:paraId="50E35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3AB24BF7">
            <w:pPr>
              <w:pStyle w:val="19"/>
              <w:bidi w:val="0"/>
              <w:jc w:val="center"/>
            </w:pPr>
            <w:r>
              <w:t>一级</w:t>
            </w:r>
          </w:p>
        </w:tc>
        <w:tc>
          <w:tcPr>
            <w:tcW w:w="0" w:type="auto"/>
            <w:noWrap w:val="0"/>
            <w:tcMar>
              <w:top w:w="28" w:type="dxa"/>
              <w:left w:w="57" w:type="dxa"/>
              <w:bottom w:w="28" w:type="dxa"/>
              <w:right w:w="57" w:type="dxa"/>
            </w:tcMar>
            <w:vAlign w:val="center"/>
          </w:tcPr>
          <w:p w14:paraId="1E012E57">
            <w:pPr>
              <w:pStyle w:val="19"/>
              <w:bidi w:val="0"/>
              <w:jc w:val="center"/>
            </w:pPr>
            <w:r>
              <w:t>直接排放</w:t>
            </w:r>
          </w:p>
        </w:tc>
        <w:tc>
          <w:tcPr>
            <w:tcW w:w="0" w:type="auto"/>
            <w:noWrap w:val="0"/>
            <w:tcMar>
              <w:top w:w="28" w:type="dxa"/>
              <w:left w:w="57" w:type="dxa"/>
              <w:bottom w:w="28" w:type="dxa"/>
              <w:right w:w="57" w:type="dxa"/>
            </w:tcMar>
            <w:vAlign w:val="center"/>
          </w:tcPr>
          <w:p w14:paraId="45EAF783">
            <w:pPr>
              <w:pStyle w:val="19"/>
              <w:bidi w:val="0"/>
              <w:jc w:val="center"/>
            </w:pPr>
            <w:r>
              <w:t>Q≥20000或W≥600000</w:t>
            </w:r>
          </w:p>
        </w:tc>
      </w:tr>
      <w:tr w14:paraId="445DD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6F5D543C">
            <w:pPr>
              <w:pStyle w:val="19"/>
              <w:bidi w:val="0"/>
              <w:jc w:val="center"/>
            </w:pPr>
            <w:r>
              <w:t>二级</w:t>
            </w:r>
          </w:p>
        </w:tc>
        <w:tc>
          <w:tcPr>
            <w:tcW w:w="0" w:type="auto"/>
            <w:noWrap w:val="0"/>
            <w:tcMar>
              <w:top w:w="28" w:type="dxa"/>
              <w:left w:w="57" w:type="dxa"/>
              <w:bottom w:w="28" w:type="dxa"/>
              <w:right w:w="57" w:type="dxa"/>
            </w:tcMar>
            <w:vAlign w:val="center"/>
          </w:tcPr>
          <w:p w14:paraId="0DEA7D6D">
            <w:pPr>
              <w:pStyle w:val="19"/>
              <w:bidi w:val="0"/>
              <w:jc w:val="center"/>
            </w:pPr>
            <w:r>
              <w:t>直接排放</w:t>
            </w:r>
          </w:p>
        </w:tc>
        <w:tc>
          <w:tcPr>
            <w:tcW w:w="0" w:type="auto"/>
            <w:noWrap w:val="0"/>
            <w:tcMar>
              <w:top w:w="28" w:type="dxa"/>
              <w:left w:w="57" w:type="dxa"/>
              <w:bottom w:w="28" w:type="dxa"/>
              <w:right w:w="57" w:type="dxa"/>
            </w:tcMar>
            <w:vAlign w:val="center"/>
          </w:tcPr>
          <w:p w14:paraId="2D1BB830">
            <w:pPr>
              <w:pStyle w:val="19"/>
              <w:bidi w:val="0"/>
              <w:jc w:val="center"/>
            </w:pPr>
            <w:r>
              <w:t>其他</w:t>
            </w:r>
          </w:p>
        </w:tc>
      </w:tr>
      <w:tr w14:paraId="4A903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03FFF4DC">
            <w:pPr>
              <w:pStyle w:val="19"/>
              <w:bidi w:val="0"/>
              <w:jc w:val="center"/>
            </w:pPr>
            <w:r>
              <w:t>三级A</w:t>
            </w:r>
          </w:p>
        </w:tc>
        <w:tc>
          <w:tcPr>
            <w:tcW w:w="0" w:type="auto"/>
            <w:noWrap w:val="0"/>
            <w:tcMar>
              <w:top w:w="28" w:type="dxa"/>
              <w:left w:w="57" w:type="dxa"/>
              <w:bottom w:w="28" w:type="dxa"/>
              <w:right w:w="57" w:type="dxa"/>
            </w:tcMar>
            <w:vAlign w:val="center"/>
          </w:tcPr>
          <w:p w14:paraId="2920E761">
            <w:pPr>
              <w:pStyle w:val="19"/>
              <w:bidi w:val="0"/>
              <w:jc w:val="center"/>
            </w:pPr>
            <w:r>
              <w:t>直接排放</w:t>
            </w:r>
          </w:p>
        </w:tc>
        <w:tc>
          <w:tcPr>
            <w:tcW w:w="0" w:type="auto"/>
            <w:noWrap w:val="0"/>
            <w:tcMar>
              <w:top w:w="28" w:type="dxa"/>
              <w:left w:w="57" w:type="dxa"/>
              <w:bottom w:w="28" w:type="dxa"/>
              <w:right w:w="57" w:type="dxa"/>
            </w:tcMar>
            <w:vAlign w:val="center"/>
          </w:tcPr>
          <w:p w14:paraId="18CF5B3D">
            <w:pPr>
              <w:pStyle w:val="19"/>
              <w:bidi w:val="0"/>
              <w:jc w:val="center"/>
            </w:pPr>
            <w:r>
              <w:t>Q＜200且W＜6000</w:t>
            </w:r>
          </w:p>
        </w:tc>
      </w:tr>
      <w:tr w14:paraId="3AD13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noWrap w:val="0"/>
            <w:tcMar>
              <w:top w:w="28" w:type="dxa"/>
              <w:left w:w="57" w:type="dxa"/>
              <w:bottom w:w="28" w:type="dxa"/>
              <w:right w:w="57" w:type="dxa"/>
            </w:tcMar>
            <w:vAlign w:val="center"/>
          </w:tcPr>
          <w:p w14:paraId="67EDA470">
            <w:pPr>
              <w:pStyle w:val="19"/>
              <w:bidi w:val="0"/>
              <w:jc w:val="center"/>
            </w:pPr>
            <w:r>
              <w:t>三级B</w:t>
            </w:r>
          </w:p>
        </w:tc>
        <w:tc>
          <w:tcPr>
            <w:tcW w:w="0" w:type="auto"/>
            <w:noWrap w:val="0"/>
            <w:tcMar>
              <w:top w:w="28" w:type="dxa"/>
              <w:left w:w="57" w:type="dxa"/>
              <w:bottom w:w="28" w:type="dxa"/>
              <w:right w:w="57" w:type="dxa"/>
            </w:tcMar>
            <w:vAlign w:val="center"/>
          </w:tcPr>
          <w:p w14:paraId="0F267E95">
            <w:pPr>
              <w:pStyle w:val="19"/>
              <w:bidi w:val="0"/>
              <w:jc w:val="center"/>
            </w:pPr>
            <w:r>
              <w:t>间接排放</w:t>
            </w:r>
          </w:p>
        </w:tc>
        <w:tc>
          <w:tcPr>
            <w:tcW w:w="0" w:type="auto"/>
            <w:noWrap w:val="0"/>
            <w:tcMar>
              <w:top w:w="28" w:type="dxa"/>
              <w:left w:w="57" w:type="dxa"/>
              <w:bottom w:w="28" w:type="dxa"/>
              <w:right w:w="57" w:type="dxa"/>
            </w:tcMar>
            <w:vAlign w:val="center"/>
          </w:tcPr>
          <w:p w14:paraId="6DE45952">
            <w:pPr>
              <w:pStyle w:val="19"/>
              <w:bidi w:val="0"/>
              <w:jc w:val="center"/>
            </w:pPr>
            <w:r>
              <w:t>—</w:t>
            </w:r>
          </w:p>
        </w:tc>
      </w:tr>
      <w:tr w14:paraId="625D2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gridSpan w:val="3"/>
            <w:noWrap w:val="0"/>
            <w:tcMar>
              <w:top w:w="28" w:type="dxa"/>
              <w:left w:w="57" w:type="dxa"/>
              <w:bottom w:w="28" w:type="dxa"/>
              <w:right w:w="57" w:type="dxa"/>
            </w:tcMar>
            <w:vAlign w:val="center"/>
          </w:tcPr>
          <w:p w14:paraId="73FCAD28">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注1：水污染物当量数等于该污染物的年排放量除以该污染物的污染当量值（见附录A）， 计算排放污染物的污染物当量数，应区分第一类水污染物和其他类水污染物，统计第一类污染物当量数总和，然后与其他污染物按照污染物当量数从大到小排序，取最大当量数作为建设项目评价等级确定的依据。</w:t>
            </w:r>
          </w:p>
          <w:p w14:paraId="47B7F837">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36E258AF">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注3：厂区存在堆积物（露天堆放的原料、燃料、废渣等以及垃圾堆放场）、降尘污染的，应将初期雨污水纳入废水排放量，相应的主要污染物纳入水污染当量计算。</w:t>
            </w:r>
          </w:p>
          <w:p w14:paraId="70C043EC">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注4：建设项目直接排放第一类污染物的，其评价等级为一级；建设项目直接排放的污染物为受纳水体超标因子的，评价等级不低于二级。</w:t>
            </w:r>
          </w:p>
          <w:p w14:paraId="04E9D512">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注5：直接排放受纳水体影响范围涉及饮用水水源保护区、饮用水取水口、重点保护与珍稀水生生物的栖息地、重要水生生物的自然产卵场等保护目标时，评价等级不低于二级。</w:t>
            </w:r>
          </w:p>
          <w:p w14:paraId="08F293FB">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注6：建设项目向河流、湖库排放温排水引起受纳水体水温变化超过水环境质量标准要求，且评价范围有水温敏感目标时，评价等级为一级。</w:t>
            </w:r>
          </w:p>
          <w:p w14:paraId="2CF97D40">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注7：建设项目利用海水作为调节温度介质，排水量≥500万m</w:t>
            </w:r>
            <w:r>
              <w:rPr>
                <w:vertAlign w:val="superscript"/>
              </w:rPr>
              <w:t>3</w:t>
            </w:r>
            <w:r>
              <w:t>/d，评价等级为一级；排水量＜500万m</w:t>
            </w:r>
            <w:r>
              <w:rPr>
                <w:vertAlign w:val="superscript"/>
              </w:rPr>
              <w:t>3</w:t>
            </w:r>
            <w:r>
              <w:t>/d，评价等级为二级。</w:t>
            </w:r>
          </w:p>
          <w:p w14:paraId="51AF921A">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注8：仅涉及清净下水排放的，如其排放水质满足受纳水体水环境质量标准要求的，评价等级为三级A。</w:t>
            </w:r>
          </w:p>
          <w:p w14:paraId="404C3E6E">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注9：依托现有排放口，且对外环境未新增排放污染物的直接排放建设项目，评价等级参照间接排放，定为三级B。</w:t>
            </w:r>
          </w:p>
          <w:p w14:paraId="0EFF4490">
            <w:pPr>
              <w:pStyle w:val="19"/>
              <w:keepNext w:val="0"/>
              <w:keepLines w:val="0"/>
              <w:pageBreakBefore w:val="0"/>
              <w:widowControl w:val="0"/>
              <w:kinsoku/>
              <w:wordWrap/>
              <w:overflowPunct/>
              <w:topLinePunct w:val="0"/>
              <w:autoSpaceDE/>
              <w:autoSpaceDN/>
              <w:bidi w:val="0"/>
              <w:adjustRightInd/>
              <w:snapToGrid/>
              <w:spacing w:line="288" w:lineRule="auto"/>
              <w:ind w:firstLine="210" w:firstLineChars="100"/>
              <w:jc w:val="both"/>
              <w:textAlignment w:val="auto"/>
            </w:pPr>
            <w:r>
              <w:t>注10：建设项目生产工艺中有废水产生，但作为回水利用，不排放到外环境的，按三级B评价。</w:t>
            </w:r>
          </w:p>
        </w:tc>
      </w:tr>
    </w:tbl>
    <w:p w14:paraId="5F1BABF5">
      <w:pPr>
        <w:bidi w:val="0"/>
        <w:rPr>
          <w:rFonts w:hint="default"/>
          <w:lang w:val="en-US" w:eastAsia="zh-CN"/>
        </w:rPr>
      </w:pPr>
      <w:r>
        <w:rPr>
          <w:rFonts w:hint="eastAsia"/>
          <w:lang w:val="en-US" w:eastAsia="zh-CN"/>
        </w:rPr>
        <w:t>鉴于本项目粪污水经处理后满足无害化标准要求，用于灌溉周边农田，且不进入地表水体，判定本项目地表水环境影响评价等级为三级B，</w:t>
      </w:r>
      <w:r>
        <w:rPr>
          <w:rFonts w:hint="eastAsia" w:ascii="宋体" w:hAnsi="宋体"/>
          <w:color w:val="000000"/>
          <w:highlight w:val="none"/>
          <w:lang w:bidi="ar"/>
        </w:rPr>
        <w:t>重点分析项目生产废水、生活污水的处理及去向等的可行性。</w:t>
      </w:r>
    </w:p>
    <w:p w14:paraId="49DB13DD">
      <w:pPr>
        <w:pStyle w:val="28"/>
        <w:bidi w:val="0"/>
        <w:rPr>
          <w:rFonts w:hint="default"/>
          <w:lang w:val="en-US" w:eastAsia="zh-CN"/>
        </w:rPr>
      </w:pPr>
      <w:r>
        <w:rPr>
          <w:rFonts w:hint="eastAsia"/>
          <w:lang w:val="en-US" w:eastAsia="zh-CN"/>
        </w:rPr>
        <w:t>地下水环境</w:t>
      </w:r>
    </w:p>
    <w:p w14:paraId="1B2FE2AD">
      <w:pPr>
        <w:bidi w:val="0"/>
        <w:rPr>
          <w:rFonts w:hint="eastAsia"/>
          <w:lang w:val="en-US" w:eastAsia="zh-CN"/>
        </w:rPr>
      </w:pPr>
      <w:r>
        <w:rPr>
          <w:rFonts w:hint="eastAsia"/>
          <w:lang w:val="en-US" w:eastAsia="zh-CN"/>
        </w:rPr>
        <w:t>根据《环境影响评价技术导则 地下水环境》（HJ610-2016），建设项目地下水环境影响评价工作等级的划分应依据建设项目行业分类和地下水环境敏感程度分级进行判定，具体如下：</w:t>
      </w:r>
    </w:p>
    <w:p w14:paraId="51D715E6">
      <w:pPr>
        <w:bidi w:val="0"/>
        <w:rPr>
          <w:rFonts w:hint="eastAsia"/>
          <w:lang w:val="en-US" w:eastAsia="zh-CN"/>
        </w:rPr>
      </w:pPr>
      <w:r>
        <w:rPr>
          <w:rFonts w:hint="eastAsia"/>
          <w:lang w:val="en-US" w:eastAsia="zh-CN"/>
        </w:rPr>
        <w:t>①本项目属于附录A“地下水环境影响评价行业分类表”中的“B农、林、牧、渔、海洋”中的“14畜禽养殖场、养殖小区”编制报告书“年出栏生猪5000头（其他畜禽种类折合猪的养殖规模）及以上；涉及环境敏感区的”类别，地下水环境影响评价项目类别为</w:t>
      </w:r>
      <w:r>
        <w:rPr>
          <w:rFonts w:hint="default" w:ascii="Times New Roman" w:hAnsi="Times New Roman" w:cs="Times New Roman"/>
          <w:lang w:val="en-US" w:eastAsia="zh-CN"/>
        </w:rPr>
        <w:t>Ⅲ</w:t>
      </w:r>
      <w:r>
        <w:rPr>
          <w:rFonts w:hint="eastAsia"/>
          <w:lang w:val="en-US" w:eastAsia="zh-CN"/>
        </w:rPr>
        <w:t>类。</w:t>
      </w:r>
    </w:p>
    <w:p w14:paraId="5D9B255C">
      <w:pPr>
        <w:bidi w:val="0"/>
        <w:rPr>
          <w:rFonts w:hint="eastAsia"/>
          <w:lang w:val="en-US" w:eastAsia="zh-CN"/>
        </w:rPr>
      </w:pPr>
      <w:r>
        <w:rPr>
          <w:rFonts w:hint="eastAsia"/>
          <w:lang w:val="en-US" w:eastAsia="zh-CN"/>
        </w:rPr>
        <w:t>②地下水环境敏感程度分级表见表2.3-7。</w:t>
      </w:r>
    </w:p>
    <w:p w14:paraId="10B4C23B">
      <w:pPr>
        <w:pStyle w:val="30"/>
        <w:bidi w:val="0"/>
        <w:rPr>
          <w:rFonts w:hint="default"/>
          <w:lang w:val="en-US" w:eastAsia="zh-CN"/>
        </w:rPr>
      </w:pPr>
      <w:r>
        <w:rPr>
          <w:rFonts w:hint="eastAsia"/>
          <w:lang w:val="en-US" w:eastAsia="zh-CN"/>
        </w:rPr>
        <w:t>表2.3-7   地下水环境敏感程度分级表</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27"/>
        <w:gridCol w:w="7191"/>
      </w:tblGrid>
      <w:tr w14:paraId="33C4E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9" w:type="pct"/>
            <w:noWrap w:val="0"/>
            <w:tcMar>
              <w:top w:w="28" w:type="dxa"/>
              <w:left w:w="57" w:type="dxa"/>
              <w:bottom w:w="28" w:type="dxa"/>
              <w:right w:w="57" w:type="dxa"/>
            </w:tcMar>
            <w:vAlign w:val="center"/>
          </w:tcPr>
          <w:p w14:paraId="5B5BCDD1">
            <w:pPr>
              <w:pStyle w:val="19"/>
              <w:bidi w:val="0"/>
              <w:jc w:val="center"/>
            </w:pPr>
            <w:r>
              <w:t>敏感程度</w:t>
            </w:r>
          </w:p>
        </w:tc>
        <w:tc>
          <w:tcPr>
            <w:tcW w:w="4270" w:type="pct"/>
            <w:noWrap w:val="0"/>
            <w:tcMar>
              <w:top w:w="28" w:type="dxa"/>
              <w:left w:w="57" w:type="dxa"/>
              <w:bottom w:w="28" w:type="dxa"/>
              <w:right w:w="57" w:type="dxa"/>
            </w:tcMar>
            <w:vAlign w:val="top"/>
          </w:tcPr>
          <w:p w14:paraId="5BB6C34C">
            <w:pPr>
              <w:pStyle w:val="19"/>
              <w:bidi w:val="0"/>
            </w:pPr>
            <w:r>
              <w:t>地下水环境敏感特征</w:t>
            </w:r>
          </w:p>
        </w:tc>
      </w:tr>
      <w:tr w14:paraId="17ECC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29" w:type="pct"/>
            <w:noWrap w:val="0"/>
            <w:tcMar>
              <w:top w:w="28" w:type="dxa"/>
              <w:left w:w="57" w:type="dxa"/>
              <w:bottom w:w="28" w:type="dxa"/>
              <w:right w:w="57" w:type="dxa"/>
            </w:tcMar>
            <w:vAlign w:val="center"/>
          </w:tcPr>
          <w:p w14:paraId="78B7DB2C">
            <w:pPr>
              <w:pStyle w:val="19"/>
              <w:bidi w:val="0"/>
              <w:jc w:val="center"/>
            </w:pPr>
            <w:r>
              <w:t>敏感</w:t>
            </w:r>
          </w:p>
        </w:tc>
        <w:tc>
          <w:tcPr>
            <w:tcW w:w="4270" w:type="pct"/>
            <w:noWrap w:val="0"/>
            <w:tcMar>
              <w:top w:w="28" w:type="dxa"/>
              <w:left w:w="57" w:type="dxa"/>
              <w:bottom w:w="28" w:type="dxa"/>
              <w:right w:w="57" w:type="dxa"/>
            </w:tcMar>
            <w:vAlign w:val="top"/>
          </w:tcPr>
          <w:p w14:paraId="790DA68A">
            <w:pPr>
              <w:pStyle w:val="19"/>
              <w:bidi w:val="0"/>
            </w:pPr>
            <w:r>
              <w:t>集中式饮用水水源（包括已建成的在用、备用、应急水源，在建和规划的饮用 水水源）准保护区；除集中式饮用水水源以外的国家或地方政府设定的与地下水环境相关的其他保护区，如热水、矿泉水、温泉等特殊地下水资源保护区。</w:t>
            </w:r>
          </w:p>
        </w:tc>
      </w:tr>
      <w:tr w14:paraId="6F572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729" w:type="pct"/>
            <w:noWrap w:val="0"/>
            <w:tcMar>
              <w:top w:w="28" w:type="dxa"/>
              <w:left w:w="57" w:type="dxa"/>
              <w:bottom w:w="28" w:type="dxa"/>
              <w:right w:w="57" w:type="dxa"/>
            </w:tcMar>
            <w:vAlign w:val="center"/>
          </w:tcPr>
          <w:p w14:paraId="500704A8">
            <w:pPr>
              <w:pStyle w:val="19"/>
              <w:bidi w:val="0"/>
              <w:jc w:val="center"/>
            </w:pPr>
            <w:r>
              <w:t>较敏感</w:t>
            </w:r>
          </w:p>
        </w:tc>
        <w:tc>
          <w:tcPr>
            <w:tcW w:w="4270" w:type="pct"/>
            <w:noWrap w:val="0"/>
            <w:tcMar>
              <w:top w:w="28" w:type="dxa"/>
              <w:left w:w="57" w:type="dxa"/>
              <w:bottom w:w="28" w:type="dxa"/>
              <w:right w:w="57" w:type="dxa"/>
            </w:tcMar>
            <w:vAlign w:val="top"/>
          </w:tcPr>
          <w:p w14:paraId="2C65372F">
            <w:pPr>
              <w:pStyle w:val="19"/>
              <w:bidi w:val="0"/>
            </w:pPr>
            <w: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14:paraId="19D75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29" w:type="pct"/>
            <w:noWrap w:val="0"/>
            <w:tcMar>
              <w:top w:w="28" w:type="dxa"/>
              <w:left w:w="57" w:type="dxa"/>
              <w:bottom w:w="28" w:type="dxa"/>
              <w:right w:w="57" w:type="dxa"/>
            </w:tcMar>
            <w:vAlign w:val="top"/>
          </w:tcPr>
          <w:p w14:paraId="501F162E">
            <w:pPr>
              <w:pStyle w:val="19"/>
              <w:bidi w:val="0"/>
            </w:pPr>
            <w:r>
              <w:t>不敏感</w:t>
            </w:r>
          </w:p>
        </w:tc>
        <w:tc>
          <w:tcPr>
            <w:tcW w:w="4270" w:type="pct"/>
            <w:noWrap w:val="0"/>
            <w:tcMar>
              <w:top w:w="28" w:type="dxa"/>
              <w:left w:w="57" w:type="dxa"/>
              <w:bottom w:w="28" w:type="dxa"/>
              <w:right w:w="57" w:type="dxa"/>
            </w:tcMar>
            <w:vAlign w:val="top"/>
          </w:tcPr>
          <w:p w14:paraId="4581D2E1">
            <w:pPr>
              <w:pStyle w:val="19"/>
              <w:bidi w:val="0"/>
            </w:pPr>
            <w:r>
              <w:t>上述地区之外的其它地区。</w:t>
            </w:r>
          </w:p>
        </w:tc>
      </w:tr>
      <w:tr w14:paraId="6239B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5000" w:type="pct"/>
            <w:gridSpan w:val="2"/>
            <w:noWrap w:val="0"/>
            <w:tcMar>
              <w:top w:w="28" w:type="dxa"/>
              <w:left w:w="57" w:type="dxa"/>
              <w:bottom w:w="28" w:type="dxa"/>
              <w:right w:w="57" w:type="dxa"/>
            </w:tcMar>
            <w:vAlign w:val="top"/>
          </w:tcPr>
          <w:p w14:paraId="062333A8">
            <w:pPr>
              <w:pStyle w:val="19"/>
              <w:bidi w:val="0"/>
              <w:jc w:val="both"/>
            </w:pPr>
            <w:r>
              <w:t>注：a</w:t>
            </w:r>
            <w:r>
              <w:rPr>
                <w:rFonts w:hint="eastAsia" w:ascii="宋体" w:hAnsi="宋体" w:eastAsia="宋体" w:cs="宋体"/>
              </w:rPr>
              <w:t>“环境敏感区”</w:t>
            </w:r>
            <w:r>
              <w:t>是指《建设项目环境影响评价分类管理名录》中所界定的涉及地下水的环境敏感区。</w:t>
            </w:r>
          </w:p>
        </w:tc>
      </w:tr>
    </w:tbl>
    <w:p w14:paraId="3C6FAA24">
      <w:pPr>
        <w:bidi w:val="0"/>
        <w:rPr>
          <w:rFonts w:hint="default"/>
          <w:lang w:val="en-US" w:eastAsia="zh-CN"/>
        </w:rPr>
      </w:pPr>
      <w:r>
        <w:rPr>
          <w:rFonts w:hint="eastAsia"/>
          <w:lang w:val="en-US" w:eastAsia="zh-CN"/>
        </w:rPr>
        <w:t>本项目位于新疆生产建设兵团第七师129团13连东北偏北方向3.5km，西北方向1.6km处为129团10连，北侧3.1km为奎阿高速（G3014），西南方向4.7km处129团16连，项目区四周均为耕地，周边500m范围内无集中式引用水水源，下游无分散式饮用水水源地。因此，本项目区域地下水敏感程度为“不敏感”。</w:t>
      </w:r>
    </w:p>
    <w:p w14:paraId="0E08A41D">
      <w:pPr>
        <w:bidi w:val="0"/>
        <w:rPr>
          <w:rFonts w:hint="eastAsia"/>
          <w:lang w:val="en-US" w:eastAsia="zh-CN"/>
        </w:rPr>
      </w:pPr>
      <w:r>
        <w:rPr>
          <w:rFonts w:hint="eastAsia"/>
          <w:lang w:val="en-US" w:eastAsia="zh-CN"/>
        </w:rPr>
        <w:t>③地下水评价工作等级分级表见表2.3-8。</w:t>
      </w:r>
    </w:p>
    <w:p w14:paraId="0F26E85D">
      <w:pPr>
        <w:pStyle w:val="30"/>
        <w:bidi w:val="0"/>
        <w:rPr>
          <w:rFonts w:hint="default"/>
          <w:lang w:val="en-US" w:eastAsia="zh-CN"/>
        </w:rPr>
      </w:pPr>
      <w:r>
        <w:rPr>
          <w:rFonts w:hint="eastAsia"/>
          <w:lang w:val="en-US" w:eastAsia="zh-CN"/>
        </w:rPr>
        <w:t>表2.3-8   地下水环境评价工作等级分级表</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92"/>
        <w:gridCol w:w="1625"/>
        <w:gridCol w:w="2048"/>
        <w:gridCol w:w="2052"/>
      </w:tblGrid>
      <w:tr w14:paraId="03B6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598" w:type="pct"/>
            <w:noWrap w:val="0"/>
            <w:tcMar>
              <w:top w:w="28" w:type="dxa"/>
              <w:left w:w="57" w:type="dxa"/>
              <w:bottom w:w="28" w:type="dxa"/>
              <w:right w:w="57" w:type="dxa"/>
            </w:tcMar>
            <w:vAlign w:val="center"/>
            <mc:AlternateContent>
              <mc:Choice Requires="wpsCustomData">
                <wpsCustomData:diagonals>
                  <wpsCustomData:diagonal from="10000" to="30000">
                    <wpsCustomData:border w:val="single" w:color="000000" w:sz="2" w:space="0"/>
                  </wpsCustomData:diagonal>
                </wpsCustomData:diagonals>
              </mc:Choice>
            </mc:AlternateContent>
          </w:tcPr>
          <w:p w14:paraId="0D9673EB">
            <w:pPr>
              <w:pStyle w:val="19"/>
              <w:bidi w:val="0"/>
              <w:jc w:val="right"/>
            </w:pPr>
          </w:p>
          <w:p w14:paraId="7666CC45">
            <w:pPr>
              <w:pStyle w:val="19"/>
              <w:bidi w:val="0"/>
              <w:snapToGrid w:val="0"/>
              <w:jc w:val="left"/>
              <mc:AlternateContent>
                <mc:Choice Requires="wpsCustomData">
                  <wpsCustomData:diagonalParaType/>
                </mc:Choice>
              </mc:AlternateContent>
            </w:pPr>
            <w:r>
              <w:t>环境敏感程度</w:t>
            </w:r>
          </w:p>
          <w:p w14:paraId="5982B7D8">
            <w:pPr>
              <w:pStyle w:val="19"/>
              <w:bidi w:val="0"/>
              <w:jc w:val="right"/>
            </w:pPr>
            <w:r>
              <w:t>项目类别</w:t>
            </w:r>
          </w:p>
        </w:tc>
        <w:tc>
          <w:tcPr>
            <w:tcW w:w="965" w:type="pct"/>
            <w:noWrap w:val="0"/>
            <w:tcMar>
              <w:top w:w="28" w:type="dxa"/>
              <w:left w:w="57" w:type="dxa"/>
              <w:bottom w:w="28" w:type="dxa"/>
              <w:right w:w="57" w:type="dxa"/>
            </w:tcMar>
            <w:vAlign w:val="center"/>
          </w:tcPr>
          <w:p w14:paraId="209DA7A3">
            <w:pPr>
              <w:pStyle w:val="19"/>
              <w:bidi w:val="0"/>
              <w:jc w:val="center"/>
            </w:pPr>
            <w:r>
              <w:t>Ⅰ类项目</w:t>
            </w:r>
          </w:p>
        </w:tc>
        <w:tc>
          <w:tcPr>
            <w:tcW w:w="1216" w:type="pct"/>
            <w:noWrap w:val="0"/>
            <w:tcMar>
              <w:top w:w="28" w:type="dxa"/>
              <w:left w:w="57" w:type="dxa"/>
              <w:bottom w:w="28" w:type="dxa"/>
              <w:right w:w="57" w:type="dxa"/>
            </w:tcMar>
            <w:vAlign w:val="center"/>
          </w:tcPr>
          <w:p w14:paraId="450CE53F">
            <w:pPr>
              <w:pStyle w:val="19"/>
              <w:bidi w:val="0"/>
              <w:jc w:val="center"/>
            </w:pPr>
            <w:r>
              <w:t>Ⅱ类项目</w:t>
            </w:r>
          </w:p>
        </w:tc>
        <w:tc>
          <w:tcPr>
            <w:tcW w:w="1218" w:type="pct"/>
            <w:noWrap w:val="0"/>
            <w:tcMar>
              <w:top w:w="28" w:type="dxa"/>
              <w:left w:w="57" w:type="dxa"/>
              <w:bottom w:w="28" w:type="dxa"/>
              <w:right w:w="57" w:type="dxa"/>
            </w:tcMar>
            <w:vAlign w:val="center"/>
          </w:tcPr>
          <w:p w14:paraId="7FA0E386">
            <w:pPr>
              <w:pStyle w:val="19"/>
              <w:bidi w:val="0"/>
              <w:jc w:val="center"/>
            </w:pPr>
            <w:r>
              <w:t>Ⅲ类项目</w:t>
            </w:r>
          </w:p>
        </w:tc>
      </w:tr>
      <w:tr w14:paraId="17C4E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98" w:type="pct"/>
            <w:noWrap w:val="0"/>
            <w:tcMar>
              <w:top w:w="28" w:type="dxa"/>
              <w:left w:w="57" w:type="dxa"/>
              <w:bottom w:w="28" w:type="dxa"/>
              <w:right w:w="57" w:type="dxa"/>
            </w:tcMar>
            <w:vAlign w:val="center"/>
          </w:tcPr>
          <w:p w14:paraId="517A44F1">
            <w:pPr>
              <w:pStyle w:val="19"/>
              <w:bidi w:val="0"/>
              <w:jc w:val="center"/>
            </w:pPr>
            <w:r>
              <w:t>敏感</w:t>
            </w:r>
          </w:p>
        </w:tc>
        <w:tc>
          <w:tcPr>
            <w:tcW w:w="965" w:type="pct"/>
            <w:noWrap w:val="0"/>
            <w:tcMar>
              <w:top w:w="28" w:type="dxa"/>
              <w:left w:w="57" w:type="dxa"/>
              <w:bottom w:w="28" w:type="dxa"/>
              <w:right w:w="57" w:type="dxa"/>
            </w:tcMar>
            <w:vAlign w:val="center"/>
          </w:tcPr>
          <w:p w14:paraId="4107C365">
            <w:pPr>
              <w:pStyle w:val="19"/>
              <w:bidi w:val="0"/>
              <w:jc w:val="center"/>
            </w:pPr>
            <w:r>
              <w:t>一</w:t>
            </w:r>
          </w:p>
        </w:tc>
        <w:tc>
          <w:tcPr>
            <w:tcW w:w="1216" w:type="pct"/>
            <w:noWrap w:val="0"/>
            <w:tcMar>
              <w:top w:w="28" w:type="dxa"/>
              <w:left w:w="57" w:type="dxa"/>
              <w:bottom w:w="28" w:type="dxa"/>
              <w:right w:w="57" w:type="dxa"/>
            </w:tcMar>
            <w:vAlign w:val="center"/>
          </w:tcPr>
          <w:p w14:paraId="477CDD98">
            <w:pPr>
              <w:pStyle w:val="19"/>
              <w:bidi w:val="0"/>
              <w:jc w:val="center"/>
            </w:pPr>
            <w:r>
              <w:t>一</w:t>
            </w:r>
          </w:p>
        </w:tc>
        <w:tc>
          <w:tcPr>
            <w:tcW w:w="1218" w:type="pct"/>
            <w:noWrap w:val="0"/>
            <w:tcMar>
              <w:top w:w="28" w:type="dxa"/>
              <w:left w:w="57" w:type="dxa"/>
              <w:bottom w:w="28" w:type="dxa"/>
              <w:right w:w="57" w:type="dxa"/>
            </w:tcMar>
            <w:vAlign w:val="center"/>
          </w:tcPr>
          <w:p w14:paraId="05CF96B3">
            <w:pPr>
              <w:pStyle w:val="19"/>
              <w:bidi w:val="0"/>
              <w:jc w:val="center"/>
            </w:pPr>
            <w:r>
              <w:t>二</w:t>
            </w:r>
          </w:p>
        </w:tc>
      </w:tr>
      <w:tr w14:paraId="2D9BB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98" w:type="pct"/>
            <w:noWrap w:val="0"/>
            <w:tcMar>
              <w:top w:w="28" w:type="dxa"/>
              <w:left w:w="57" w:type="dxa"/>
              <w:bottom w:w="28" w:type="dxa"/>
              <w:right w:w="57" w:type="dxa"/>
            </w:tcMar>
            <w:vAlign w:val="center"/>
          </w:tcPr>
          <w:p w14:paraId="3F9CD2A6">
            <w:pPr>
              <w:pStyle w:val="19"/>
              <w:bidi w:val="0"/>
              <w:jc w:val="center"/>
            </w:pPr>
            <w:r>
              <w:t>较敏感</w:t>
            </w:r>
          </w:p>
        </w:tc>
        <w:tc>
          <w:tcPr>
            <w:tcW w:w="965" w:type="pct"/>
            <w:noWrap w:val="0"/>
            <w:tcMar>
              <w:top w:w="28" w:type="dxa"/>
              <w:left w:w="57" w:type="dxa"/>
              <w:bottom w:w="28" w:type="dxa"/>
              <w:right w:w="57" w:type="dxa"/>
            </w:tcMar>
            <w:vAlign w:val="center"/>
          </w:tcPr>
          <w:p w14:paraId="7CC41AFA">
            <w:pPr>
              <w:pStyle w:val="19"/>
              <w:bidi w:val="0"/>
              <w:jc w:val="center"/>
            </w:pPr>
            <w:r>
              <w:t>一</w:t>
            </w:r>
          </w:p>
        </w:tc>
        <w:tc>
          <w:tcPr>
            <w:tcW w:w="1216" w:type="pct"/>
            <w:noWrap w:val="0"/>
            <w:tcMar>
              <w:top w:w="28" w:type="dxa"/>
              <w:left w:w="57" w:type="dxa"/>
              <w:bottom w:w="28" w:type="dxa"/>
              <w:right w:w="57" w:type="dxa"/>
            </w:tcMar>
            <w:vAlign w:val="center"/>
          </w:tcPr>
          <w:p w14:paraId="6DCD0C81">
            <w:pPr>
              <w:pStyle w:val="19"/>
              <w:bidi w:val="0"/>
              <w:jc w:val="center"/>
            </w:pPr>
            <w:r>
              <w:t>二</w:t>
            </w:r>
          </w:p>
        </w:tc>
        <w:tc>
          <w:tcPr>
            <w:tcW w:w="1218" w:type="pct"/>
            <w:noWrap w:val="0"/>
            <w:tcMar>
              <w:top w:w="28" w:type="dxa"/>
              <w:left w:w="57" w:type="dxa"/>
              <w:bottom w:w="28" w:type="dxa"/>
              <w:right w:w="57" w:type="dxa"/>
            </w:tcMar>
            <w:vAlign w:val="center"/>
          </w:tcPr>
          <w:p w14:paraId="1CFA1870">
            <w:pPr>
              <w:pStyle w:val="19"/>
              <w:bidi w:val="0"/>
              <w:jc w:val="center"/>
            </w:pPr>
            <w:r>
              <w:t>三</w:t>
            </w:r>
          </w:p>
        </w:tc>
      </w:tr>
      <w:tr w14:paraId="4EDE9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98" w:type="pct"/>
            <w:noWrap w:val="0"/>
            <w:tcMar>
              <w:top w:w="28" w:type="dxa"/>
              <w:left w:w="57" w:type="dxa"/>
              <w:bottom w:w="28" w:type="dxa"/>
              <w:right w:w="57" w:type="dxa"/>
            </w:tcMar>
            <w:vAlign w:val="center"/>
          </w:tcPr>
          <w:p w14:paraId="03DD6BFC">
            <w:pPr>
              <w:pStyle w:val="19"/>
              <w:bidi w:val="0"/>
              <w:jc w:val="center"/>
            </w:pPr>
            <w:r>
              <w:t>不敏感</w:t>
            </w:r>
          </w:p>
        </w:tc>
        <w:tc>
          <w:tcPr>
            <w:tcW w:w="965" w:type="pct"/>
            <w:noWrap w:val="0"/>
            <w:tcMar>
              <w:top w:w="28" w:type="dxa"/>
              <w:left w:w="57" w:type="dxa"/>
              <w:bottom w:w="28" w:type="dxa"/>
              <w:right w:w="57" w:type="dxa"/>
            </w:tcMar>
            <w:vAlign w:val="center"/>
          </w:tcPr>
          <w:p w14:paraId="6FCADC0D">
            <w:pPr>
              <w:pStyle w:val="19"/>
              <w:bidi w:val="0"/>
              <w:jc w:val="center"/>
            </w:pPr>
            <w:r>
              <w:t>二</w:t>
            </w:r>
          </w:p>
        </w:tc>
        <w:tc>
          <w:tcPr>
            <w:tcW w:w="1216" w:type="pct"/>
            <w:noWrap w:val="0"/>
            <w:tcMar>
              <w:top w:w="28" w:type="dxa"/>
              <w:left w:w="57" w:type="dxa"/>
              <w:bottom w:w="28" w:type="dxa"/>
              <w:right w:w="57" w:type="dxa"/>
            </w:tcMar>
            <w:vAlign w:val="center"/>
          </w:tcPr>
          <w:p w14:paraId="07491BDD">
            <w:pPr>
              <w:pStyle w:val="19"/>
              <w:bidi w:val="0"/>
              <w:jc w:val="center"/>
            </w:pPr>
            <w:r>
              <w:t>三</w:t>
            </w:r>
          </w:p>
        </w:tc>
        <w:tc>
          <w:tcPr>
            <w:tcW w:w="1218" w:type="pct"/>
            <w:noWrap w:val="0"/>
            <w:tcMar>
              <w:top w:w="28" w:type="dxa"/>
              <w:left w:w="57" w:type="dxa"/>
              <w:bottom w:w="28" w:type="dxa"/>
              <w:right w:w="57" w:type="dxa"/>
            </w:tcMar>
            <w:vAlign w:val="center"/>
          </w:tcPr>
          <w:p w14:paraId="50AD36FD">
            <w:pPr>
              <w:pStyle w:val="19"/>
              <w:bidi w:val="0"/>
              <w:jc w:val="center"/>
            </w:pPr>
            <w:r>
              <w:t>三</w:t>
            </w:r>
          </w:p>
        </w:tc>
      </w:tr>
    </w:tbl>
    <w:p w14:paraId="10134003">
      <w:pPr>
        <w:bidi w:val="0"/>
        <w:rPr>
          <w:rFonts w:hint="eastAsia"/>
          <w:lang w:val="en-US" w:eastAsia="zh-CN"/>
        </w:rPr>
      </w:pPr>
      <w:r>
        <w:rPr>
          <w:rFonts w:hint="eastAsia"/>
          <w:lang w:val="en-US" w:eastAsia="zh-CN"/>
        </w:rPr>
        <w:t>根据表2.4-8评价工作等级表，本项目行业分类（</w:t>
      </w:r>
      <w:r>
        <w:rPr>
          <w:rFonts w:hint="default" w:ascii="Times New Roman" w:hAnsi="Times New Roman" w:cs="Times New Roman"/>
          <w:lang w:val="en-US" w:eastAsia="zh-CN"/>
        </w:rPr>
        <w:t>Ⅲ</w:t>
      </w:r>
      <w:r>
        <w:rPr>
          <w:rFonts w:hint="eastAsia"/>
          <w:lang w:val="en-US" w:eastAsia="zh-CN"/>
        </w:rPr>
        <w:t>类）和地下水环境敏感程度分级（不敏感），确定本项目地下水环境影响评价工作等级为三级。</w:t>
      </w:r>
    </w:p>
    <w:p w14:paraId="59D866FC">
      <w:pPr>
        <w:pStyle w:val="28"/>
        <w:bidi w:val="0"/>
        <w:rPr>
          <w:rFonts w:hint="default"/>
          <w:lang w:val="en-US" w:eastAsia="zh-CN"/>
        </w:rPr>
      </w:pPr>
      <w:r>
        <w:rPr>
          <w:rFonts w:hint="eastAsia"/>
          <w:lang w:val="en-US" w:eastAsia="zh-CN"/>
        </w:rPr>
        <w:t>声环境</w:t>
      </w:r>
    </w:p>
    <w:p w14:paraId="575E5027">
      <w:pPr>
        <w:rPr>
          <w:rFonts w:hint="eastAsia"/>
          <w:lang w:val="en-US" w:eastAsia="zh-CN"/>
        </w:rPr>
      </w:pPr>
      <w:r>
        <w:rPr>
          <w:rFonts w:hint="eastAsia"/>
          <w:lang w:val="en-US" w:eastAsia="zh-CN"/>
        </w:rPr>
        <w:t>根据《声环境质量标准》（GB3096-2008）及《环境影响评价技术导则 声环境》（HJ2.4-2021）的规定，项目区属于2类功能区。运营期主要噪声源为猪叫声、水泵、风机等产生的噪声，评价范围内无敏感点分布，建设项目前后评价范围内敏感目标噪声增高量较小且受影响人口数量变化不大，本项目声环境评价等级为二级评价。</w:t>
      </w:r>
    </w:p>
    <w:p w14:paraId="659C171C">
      <w:pPr>
        <w:pStyle w:val="28"/>
        <w:bidi w:val="0"/>
        <w:rPr>
          <w:rFonts w:hint="default"/>
          <w:lang w:val="en-US" w:eastAsia="zh-CN"/>
        </w:rPr>
      </w:pPr>
      <w:r>
        <w:rPr>
          <w:rFonts w:hint="eastAsia"/>
          <w:lang w:val="en-US" w:eastAsia="zh-CN"/>
        </w:rPr>
        <w:t>生态环境</w:t>
      </w:r>
    </w:p>
    <w:p w14:paraId="5E23E3B2">
      <w:pPr>
        <w:rPr>
          <w:rFonts w:hint="eastAsia"/>
          <w:lang w:val="en-US" w:eastAsia="zh-CN"/>
        </w:rPr>
      </w:pPr>
      <w:r>
        <w:rPr>
          <w:rFonts w:hint="eastAsia"/>
          <w:lang w:val="en-US" w:eastAsia="zh-CN"/>
        </w:rPr>
        <w:t>根据《环境影响评价技术导则 生态影响》（HJ1.9-2022），确定生态环境评价工作等级。生态影响评价工作等级划分如下原则确定：</w:t>
      </w:r>
    </w:p>
    <w:p w14:paraId="3D19241C">
      <w:pPr>
        <w:rPr>
          <w:rFonts w:hint="eastAsia"/>
          <w:lang w:val="en-US" w:eastAsia="zh-CN"/>
        </w:rPr>
      </w:pPr>
      <w:r>
        <w:rPr>
          <w:rFonts w:hint="eastAsia"/>
          <w:lang w:val="en-US" w:eastAsia="zh-CN"/>
        </w:rPr>
        <w:t>a）涉及国家公园、自然保护区、世界自然遗产、重要生境时，评价等级为一级；</w:t>
      </w:r>
    </w:p>
    <w:p w14:paraId="20EAE780">
      <w:pPr>
        <w:rPr>
          <w:rFonts w:hint="eastAsia"/>
          <w:lang w:val="en-US" w:eastAsia="zh-CN"/>
        </w:rPr>
      </w:pPr>
      <w:r>
        <w:rPr>
          <w:rFonts w:hint="eastAsia"/>
          <w:lang w:val="en-US" w:eastAsia="zh-CN"/>
        </w:rPr>
        <w:t>b）涉及自然公园时，评价等级为二级；</w:t>
      </w:r>
    </w:p>
    <w:p w14:paraId="135D5A9F">
      <w:pPr>
        <w:rPr>
          <w:rFonts w:hint="eastAsia"/>
          <w:lang w:val="en-US" w:eastAsia="zh-CN"/>
        </w:rPr>
      </w:pPr>
      <w:r>
        <w:rPr>
          <w:rFonts w:hint="eastAsia"/>
          <w:lang w:val="en-US" w:eastAsia="zh-CN"/>
        </w:rPr>
        <w:t>c）涉及生态保护红线时，评价等级不低于二级：</w:t>
      </w:r>
    </w:p>
    <w:p w14:paraId="2BC53B1D">
      <w:pPr>
        <w:rPr>
          <w:rFonts w:hint="eastAsia"/>
          <w:lang w:val="en-US" w:eastAsia="zh-CN"/>
        </w:rPr>
      </w:pPr>
      <w:r>
        <w:rPr>
          <w:rFonts w:hint="eastAsia"/>
          <w:lang w:val="en-US" w:eastAsia="zh-CN"/>
        </w:rPr>
        <w:t>d）根据HJ2.3-2018判断属于水文要素影响型且地表水评价等级不低于二级的建设项目，生态影响评价等级不低于二级；</w:t>
      </w:r>
    </w:p>
    <w:p w14:paraId="2119C507">
      <w:pPr>
        <w:rPr>
          <w:rFonts w:hint="eastAsia"/>
          <w:lang w:val="en-US" w:eastAsia="zh-CN"/>
        </w:rPr>
      </w:pPr>
      <w:r>
        <w:rPr>
          <w:rFonts w:hint="eastAsia"/>
          <w:lang w:val="en-US" w:eastAsia="zh-CN"/>
        </w:rPr>
        <w:t>e）根据HJ610-2016、HJ964-2018判断地下水水位或土壤影响范围内分布有天然林、公益林、湿地等生态保护目标的建设项目，生态影响评价等级不低于二级；</w:t>
      </w:r>
    </w:p>
    <w:p w14:paraId="116FB113">
      <w:pPr>
        <w:rPr>
          <w:rFonts w:hint="eastAsia"/>
          <w:lang w:val="en-US" w:eastAsia="zh-CN"/>
        </w:rPr>
      </w:pPr>
      <w:r>
        <w:rPr>
          <w:rFonts w:hint="eastAsia"/>
          <w:lang w:val="en-US" w:eastAsia="zh-CN"/>
        </w:rPr>
        <w:t>f）当工程占地规模大于20km</w:t>
      </w:r>
      <w:r>
        <w:rPr>
          <w:rFonts w:hint="eastAsia"/>
          <w:vertAlign w:val="superscript"/>
          <w:lang w:val="en-US" w:eastAsia="zh-CN"/>
        </w:rPr>
        <w:t>2</w:t>
      </w:r>
      <w:r>
        <w:rPr>
          <w:rFonts w:hint="eastAsia"/>
          <w:lang w:val="en-US" w:eastAsia="zh-CN"/>
        </w:rPr>
        <w:t>时（包括永久和临时占用陆域和水域），评价等级不低于二级：改扩建项目的占地范围以新增占地（包括陆域和水域）确定；</w:t>
      </w:r>
    </w:p>
    <w:p w14:paraId="42B80576">
      <w:pPr>
        <w:rPr>
          <w:rFonts w:hint="eastAsia"/>
          <w:lang w:val="en-US" w:eastAsia="zh-CN"/>
        </w:rPr>
      </w:pPr>
      <w:r>
        <w:rPr>
          <w:rFonts w:hint="eastAsia"/>
          <w:lang w:val="en-US" w:eastAsia="zh-CN"/>
        </w:rPr>
        <w:t>g）除本条a）、b）、c）、d）、e）、f）以外的情况，评价等级为三级；</w:t>
      </w:r>
    </w:p>
    <w:p w14:paraId="28438BBE">
      <w:pPr>
        <w:rPr>
          <w:rFonts w:hint="eastAsia"/>
          <w:lang w:val="en-US" w:eastAsia="zh-CN"/>
        </w:rPr>
      </w:pPr>
      <w:r>
        <w:rPr>
          <w:rFonts w:hint="eastAsia"/>
          <w:lang w:val="en-US" w:eastAsia="zh-CN"/>
        </w:rPr>
        <w:t>h）当评价等级判定同时符合上述多种情况时，应采用其中最高的评价等级。</w:t>
      </w:r>
    </w:p>
    <w:p w14:paraId="495C3338">
      <w:pPr>
        <w:rPr>
          <w:rFonts w:hint="eastAsia"/>
          <w:lang w:val="en-US" w:eastAsia="zh-CN"/>
        </w:rPr>
      </w:pPr>
      <w:r>
        <w:rPr>
          <w:rFonts w:hint="eastAsia"/>
          <w:lang w:val="en-US" w:eastAsia="zh-CN"/>
        </w:rPr>
        <w:t>本项目位于第七师胡杨河市129团13连，项目区域不涉及国家公园、自然保护区、世界自然遗产、重要生境；不涉及自然公园，不涉及生态保护红线；本项目属于水污染影响型，且地表水评价等级为三级B；本项目地下水水位及土壤影响范围内无天然林、公益林、湿地等生态保护目标；本项目占地规模小于20km</w:t>
      </w:r>
      <w:r>
        <w:rPr>
          <w:rFonts w:hint="eastAsia"/>
          <w:vertAlign w:val="superscript"/>
          <w:lang w:val="en-US" w:eastAsia="zh-CN"/>
        </w:rPr>
        <w:t>2</w:t>
      </w:r>
      <w:r>
        <w:rPr>
          <w:rFonts w:hint="eastAsia"/>
          <w:lang w:val="en-US" w:eastAsia="zh-CN"/>
        </w:rPr>
        <w:t>。</w:t>
      </w:r>
    </w:p>
    <w:p w14:paraId="4164E0E9">
      <w:pPr>
        <w:rPr>
          <w:rFonts w:hint="eastAsia"/>
          <w:lang w:val="en-US" w:eastAsia="zh-CN"/>
        </w:rPr>
      </w:pPr>
      <w:r>
        <w:rPr>
          <w:rFonts w:hint="eastAsia"/>
          <w:lang w:val="en-US" w:eastAsia="zh-CN"/>
        </w:rPr>
        <w:t>综上所述，本项目生态影响评价等级为三级。</w:t>
      </w:r>
    </w:p>
    <w:p w14:paraId="72B9EBB7">
      <w:pPr>
        <w:pStyle w:val="28"/>
        <w:bidi w:val="0"/>
        <w:rPr>
          <w:rFonts w:hint="default"/>
          <w:lang w:val="en-US" w:eastAsia="zh-CN"/>
        </w:rPr>
      </w:pPr>
      <w:r>
        <w:rPr>
          <w:rFonts w:hint="eastAsia"/>
          <w:lang w:val="en-US" w:eastAsia="zh-CN"/>
        </w:rPr>
        <w:t>土壤环境</w:t>
      </w:r>
    </w:p>
    <w:p w14:paraId="6B807CE3">
      <w:pPr>
        <w:widowControl/>
        <w:ind w:firstLine="480" w:firstLineChars="200"/>
        <w:rPr>
          <w:color w:val="000000"/>
          <w:highlight w:val="none"/>
        </w:rPr>
      </w:pPr>
      <w:r>
        <w:rPr>
          <w:rFonts w:hint="eastAsia" w:ascii="宋体" w:hAnsi="宋体"/>
          <w:color w:val="000000"/>
          <w:highlight w:val="none"/>
          <w:lang w:bidi="ar"/>
        </w:rPr>
        <w:t>根据《环境影响评价技术导则 土壤环境（试行）》（</w:t>
      </w:r>
      <w:r>
        <w:rPr>
          <w:rFonts w:cs="Times New Roman"/>
          <w:color w:val="000000"/>
          <w:highlight w:val="none"/>
          <w:lang w:bidi="ar"/>
        </w:rPr>
        <w:t>HJ964-2018</w:t>
      </w:r>
      <w:r>
        <w:rPr>
          <w:rFonts w:hint="eastAsia" w:ascii="宋体" w:hAnsi="宋体"/>
          <w:color w:val="000000"/>
          <w:highlight w:val="none"/>
          <w:lang w:bidi="ar"/>
        </w:rPr>
        <w:t>）评价工作分级规定，项目属于污染影响型，根据污染影响型建设项目类别判定评价等级。项目占地面积约</w:t>
      </w:r>
      <w:r>
        <w:rPr>
          <w:rFonts w:hint="eastAsia" w:cs="Times New Roman"/>
          <w:color w:val="000000"/>
          <w:highlight w:val="none"/>
          <w:lang w:val="en-US" w:eastAsia="zh-CN" w:bidi="ar"/>
        </w:rPr>
        <w:t>21.8667</w:t>
      </w:r>
      <w:r>
        <w:rPr>
          <w:rFonts w:cs="Times New Roman"/>
          <w:color w:val="000000"/>
          <w:highlight w:val="none"/>
          <w:lang w:bidi="ar"/>
        </w:rPr>
        <w:t>hm</w:t>
      </w:r>
      <w:r>
        <w:rPr>
          <w:rFonts w:hint="eastAsia" w:cs="Times New Roman"/>
          <w:color w:val="000000"/>
          <w:highlight w:val="none"/>
          <w:vertAlign w:val="superscript"/>
          <w:lang w:bidi="ar"/>
        </w:rPr>
        <w:t>2</w:t>
      </w:r>
      <w:r>
        <w:rPr>
          <w:rFonts w:hint="eastAsia" w:ascii="宋体" w:hAnsi="宋体"/>
          <w:color w:val="000000"/>
          <w:highlight w:val="none"/>
          <w:lang w:bidi="ar"/>
        </w:rPr>
        <w:t>，占地规模为中型（</w:t>
      </w:r>
      <w:r>
        <w:rPr>
          <w:rFonts w:cs="Times New Roman"/>
          <w:color w:val="000000"/>
          <w:highlight w:val="none"/>
          <w:lang w:bidi="ar"/>
        </w:rPr>
        <w:t>5~50hm</w:t>
      </w:r>
      <w:r>
        <w:rPr>
          <w:rFonts w:hint="eastAsia" w:cs="Times New Roman"/>
          <w:color w:val="000000"/>
          <w:highlight w:val="none"/>
          <w:vertAlign w:val="superscript"/>
          <w:lang w:bidi="ar"/>
        </w:rPr>
        <w:t>2</w:t>
      </w:r>
      <w:r>
        <w:rPr>
          <w:rFonts w:hint="eastAsia" w:ascii="宋体" w:hAnsi="宋体"/>
          <w:color w:val="000000"/>
          <w:highlight w:val="none"/>
          <w:lang w:bidi="ar"/>
        </w:rPr>
        <w:t>）。</w:t>
      </w:r>
    </w:p>
    <w:p w14:paraId="6BA5EF39">
      <w:pPr>
        <w:widowControl/>
        <w:ind w:firstLine="480" w:firstLineChars="200"/>
        <w:rPr>
          <w:color w:val="000000"/>
          <w:highlight w:val="none"/>
        </w:rPr>
      </w:pPr>
      <w:r>
        <w:rPr>
          <w:rFonts w:hint="eastAsia" w:ascii="宋体" w:hAnsi="宋体"/>
          <w:color w:val="000000"/>
          <w:highlight w:val="none"/>
          <w:lang w:bidi="ar"/>
        </w:rPr>
        <w:t>根据《环境影响评价技术导则 土壤环境（试行）》（</w:t>
      </w:r>
      <w:r>
        <w:rPr>
          <w:rFonts w:cs="Times New Roman"/>
          <w:color w:val="000000"/>
          <w:highlight w:val="none"/>
          <w:lang w:bidi="ar"/>
        </w:rPr>
        <w:t>HJ964-2018</w:t>
      </w:r>
      <w:r>
        <w:rPr>
          <w:rFonts w:hint="eastAsia" w:ascii="宋体" w:hAnsi="宋体"/>
          <w:color w:val="000000"/>
          <w:highlight w:val="none"/>
          <w:lang w:bidi="ar"/>
        </w:rPr>
        <w:t>）附录</w:t>
      </w:r>
      <w:r>
        <w:rPr>
          <w:rFonts w:cs="Times New Roman"/>
          <w:color w:val="000000"/>
          <w:highlight w:val="none"/>
          <w:lang w:bidi="ar"/>
        </w:rPr>
        <w:t>A</w:t>
      </w:r>
      <w:r>
        <w:rPr>
          <w:rFonts w:hint="eastAsia" w:ascii="宋体" w:hAnsi="宋体"/>
          <w:color w:val="000000"/>
          <w:highlight w:val="none"/>
          <w:lang w:bidi="ar"/>
        </w:rPr>
        <w:t>土壤环境影响评价项目类别，本项目属于“农林牧渔业——年出栏生猪10万头(其他畜禽种类折合猪的养殖规模)及以上的畜禽养殖场或养殖小区”，项目类别为</w:t>
      </w:r>
      <w:r>
        <w:rPr>
          <w:rFonts w:hint="default" w:ascii="Times New Roman" w:hAnsi="Times New Roman" w:cs="Times New Roman"/>
          <w:color w:val="000000"/>
          <w:highlight w:val="none"/>
          <w:lang w:bidi="ar"/>
        </w:rPr>
        <w:t>Ⅱ</w:t>
      </w:r>
      <w:r>
        <w:rPr>
          <w:rFonts w:hint="eastAsia" w:ascii="宋体" w:hAnsi="宋体"/>
          <w:color w:val="000000"/>
          <w:highlight w:val="none"/>
          <w:lang w:bidi="ar"/>
        </w:rPr>
        <w:t>类。</w:t>
      </w:r>
    </w:p>
    <w:p w14:paraId="64FDECA5">
      <w:pPr>
        <w:widowControl/>
        <w:ind w:firstLine="480" w:firstLineChars="200"/>
        <w:rPr>
          <w:color w:val="000000"/>
          <w:highlight w:val="none"/>
        </w:rPr>
      </w:pPr>
      <w:r>
        <w:rPr>
          <w:rFonts w:hint="eastAsia" w:ascii="宋体" w:hAnsi="宋体"/>
          <w:color w:val="000000"/>
          <w:highlight w:val="none"/>
          <w:lang w:bidi="ar"/>
        </w:rPr>
        <w:t>建设项目所在地周边的土壤环境敏感程度分为敏感、较敏感、不敏感，判别依据见表</w:t>
      </w:r>
      <w:r>
        <w:rPr>
          <w:rFonts w:cs="Times New Roman"/>
          <w:color w:val="000000"/>
          <w:highlight w:val="none"/>
          <w:lang w:bidi="ar"/>
        </w:rPr>
        <w:t>2.</w:t>
      </w:r>
      <w:r>
        <w:rPr>
          <w:rFonts w:hint="eastAsia" w:cs="Times New Roman"/>
          <w:color w:val="000000"/>
          <w:highlight w:val="none"/>
          <w:lang w:val="en-US" w:eastAsia="zh-CN" w:bidi="ar"/>
        </w:rPr>
        <w:t>3</w:t>
      </w:r>
      <w:r>
        <w:rPr>
          <w:rFonts w:cs="Times New Roman"/>
          <w:color w:val="000000"/>
          <w:highlight w:val="none"/>
          <w:lang w:bidi="ar"/>
        </w:rPr>
        <w:t>-</w:t>
      </w:r>
      <w:r>
        <w:rPr>
          <w:rFonts w:hint="eastAsia" w:cs="Times New Roman"/>
          <w:color w:val="000000"/>
          <w:highlight w:val="none"/>
          <w:lang w:val="en-US" w:eastAsia="zh-CN" w:bidi="ar"/>
        </w:rPr>
        <w:t>9</w:t>
      </w:r>
      <w:r>
        <w:rPr>
          <w:rFonts w:hint="eastAsia" w:ascii="宋体" w:hAnsi="宋体"/>
          <w:color w:val="000000"/>
          <w:highlight w:val="none"/>
          <w:lang w:bidi="ar"/>
        </w:rPr>
        <w:t>所示。</w:t>
      </w:r>
    </w:p>
    <w:p w14:paraId="5EE71899">
      <w:pPr>
        <w:pStyle w:val="30"/>
        <w:bidi w:val="0"/>
      </w:pPr>
      <w:r>
        <w:rPr>
          <w:rFonts w:hint="eastAsia"/>
        </w:rPr>
        <w:t>表</w:t>
      </w:r>
      <w:r>
        <w:t>2.</w:t>
      </w:r>
      <w:r>
        <w:rPr>
          <w:rFonts w:hint="eastAsia"/>
          <w:lang w:val="en-US" w:eastAsia="zh-CN"/>
        </w:rPr>
        <w:t>3</w:t>
      </w:r>
      <w:r>
        <w:t>-</w:t>
      </w:r>
      <w:r>
        <w:rPr>
          <w:rFonts w:hint="eastAsia"/>
          <w:lang w:val="en-US" w:eastAsia="zh-CN"/>
        </w:rPr>
        <w:t>9</w:t>
      </w:r>
      <w:r>
        <w:t xml:space="preserve"> </w:t>
      </w:r>
      <w:r>
        <w:rPr>
          <w:rFonts w:hint="eastAsia"/>
          <w:lang w:val="en-US" w:eastAsia="zh-CN"/>
        </w:rPr>
        <w:t xml:space="preserve"> </w:t>
      </w:r>
      <w:r>
        <w:rPr>
          <w:rFonts w:hint="eastAsia"/>
        </w:rPr>
        <w:t xml:space="preserve"> 污染影响型敏感程度分级表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7050"/>
      </w:tblGrid>
      <w:tr w14:paraId="4C27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noWrap w:val="0"/>
            <w:vAlign w:val="center"/>
          </w:tcPr>
          <w:p w14:paraId="4B279C35">
            <w:pPr>
              <w:pStyle w:val="19"/>
              <w:bidi w:val="0"/>
            </w:pPr>
            <w:r>
              <w:t>敏感程度</w:t>
            </w:r>
          </w:p>
        </w:tc>
        <w:tc>
          <w:tcPr>
            <w:tcW w:w="7050" w:type="dxa"/>
            <w:noWrap w:val="0"/>
            <w:vAlign w:val="center"/>
          </w:tcPr>
          <w:p w14:paraId="2FFEFE57">
            <w:pPr>
              <w:pStyle w:val="19"/>
              <w:bidi w:val="0"/>
            </w:pPr>
            <w:r>
              <w:t>判别依据</w:t>
            </w:r>
          </w:p>
        </w:tc>
      </w:tr>
      <w:tr w14:paraId="15D8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noWrap w:val="0"/>
            <w:vAlign w:val="center"/>
          </w:tcPr>
          <w:p w14:paraId="72855B30">
            <w:pPr>
              <w:pStyle w:val="19"/>
              <w:bidi w:val="0"/>
            </w:pPr>
            <w:r>
              <w:t>敏感</w:t>
            </w:r>
          </w:p>
        </w:tc>
        <w:tc>
          <w:tcPr>
            <w:tcW w:w="7050" w:type="dxa"/>
            <w:noWrap w:val="0"/>
            <w:vAlign w:val="center"/>
          </w:tcPr>
          <w:p w14:paraId="2D9839B9">
            <w:pPr>
              <w:pStyle w:val="19"/>
              <w:bidi w:val="0"/>
            </w:pPr>
            <w:r>
              <w:t>建设项目周边存在耕地、园地、牧草地、饮用水水源地或居民区、学校、医院、疗养院、养老院等土壤环境敏感目标的</w:t>
            </w:r>
          </w:p>
        </w:tc>
      </w:tr>
      <w:tr w14:paraId="415B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noWrap w:val="0"/>
            <w:vAlign w:val="center"/>
          </w:tcPr>
          <w:p w14:paraId="1787C210">
            <w:pPr>
              <w:pStyle w:val="19"/>
              <w:bidi w:val="0"/>
            </w:pPr>
            <w:r>
              <w:t>较敏感</w:t>
            </w:r>
          </w:p>
        </w:tc>
        <w:tc>
          <w:tcPr>
            <w:tcW w:w="7050" w:type="dxa"/>
            <w:noWrap w:val="0"/>
            <w:vAlign w:val="center"/>
          </w:tcPr>
          <w:p w14:paraId="754B55FA">
            <w:pPr>
              <w:pStyle w:val="19"/>
              <w:bidi w:val="0"/>
            </w:pPr>
            <w:r>
              <w:t>建设项目周边存在其他土壤环境敏感目标的</w:t>
            </w:r>
          </w:p>
        </w:tc>
      </w:tr>
      <w:tr w14:paraId="7638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noWrap w:val="0"/>
            <w:vAlign w:val="center"/>
          </w:tcPr>
          <w:p w14:paraId="3F797CA2">
            <w:pPr>
              <w:pStyle w:val="19"/>
              <w:bidi w:val="0"/>
            </w:pPr>
            <w:r>
              <w:t>不敏感</w:t>
            </w:r>
          </w:p>
        </w:tc>
        <w:tc>
          <w:tcPr>
            <w:tcW w:w="7050" w:type="dxa"/>
            <w:noWrap w:val="0"/>
            <w:vAlign w:val="center"/>
          </w:tcPr>
          <w:p w14:paraId="02760D13">
            <w:pPr>
              <w:pStyle w:val="19"/>
              <w:bidi w:val="0"/>
            </w:pPr>
            <w:r>
              <w:t>其他情况</w:t>
            </w:r>
          </w:p>
        </w:tc>
      </w:tr>
    </w:tbl>
    <w:p w14:paraId="6815E9A7">
      <w:pPr>
        <w:widowControl/>
        <w:ind w:firstLine="480" w:firstLineChars="200"/>
        <w:rPr>
          <w:color w:val="000000"/>
          <w:highlight w:val="none"/>
        </w:rPr>
      </w:pPr>
      <w:r>
        <w:rPr>
          <w:rFonts w:hint="eastAsia" w:ascii="宋体" w:hAnsi="宋体"/>
          <w:color w:val="000000"/>
          <w:highlight w:val="none"/>
          <w:lang w:bidi="ar"/>
        </w:rPr>
        <w:t>本项目</w:t>
      </w:r>
      <w:r>
        <w:rPr>
          <w:rFonts w:hint="eastAsia" w:ascii="宋体" w:hAnsi="宋体"/>
          <w:color w:val="000000"/>
          <w:highlight w:val="none"/>
          <w:lang w:val="en-US" w:eastAsia="zh-CN" w:bidi="ar"/>
        </w:rPr>
        <w:t>厂界四周均分布</w:t>
      </w:r>
      <w:r>
        <w:rPr>
          <w:rFonts w:hint="eastAsia" w:ascii="宋体" w:hAnsi="宋体"/>
          <w:color w:val="000000"/>
          <w:highlight w:val="none"/>
          <w:lang w:bidi="ar"/>
        </w:rPr>
        <w:t>有</w:t>
      </w:r>
      <w:r>
        <w:rPr>
          <w:rFonts w:hint="eastAsia" w:ascii="宋体" w:hAnsi="宋体"/>
          <w:color w:val="000000"/>
          <w:highlight w:val="none"/>
          <w:lang w:val="en-US" w:eastAsia="zh-CN" w:bidi="ar"/>
        </w:rPr>
        <w:t>耕地</w:t>
      </w:r>
      <w:r>
        <w:rPr>
          <w:rFonts w:hint="eastAsia" w:ascii="宋体" w:hAnsi="宋体"/>
          <w:color w:val="000000"/>
          <w:highlight w:val="none"/>
          <w:lang w:bidi="ar"/>
        </w:rPr>
        <w:t>，敏感程度判别为敏感。</w:t>
      </w:r>
    </w:p>
    <w:p w14:paraId="28FCE6E7">
      <w:pPr>
        <w:widowControl/>
        <w:ind w:firstLine="480" w:firstLineChars="200"/>
        <w:rPr>
          <w:rFonts w:ascii="宋体" w:hAnsi="宋体"/>
          <w:color w:val="000000"/>
          <w:highlight w:val="none"/>
          <w:lang w:bidi="ar"/>
        </w:rPr>
      </w:pPr>
      <w:r>
        <w:rPr>
          <w:rFonts w:hint="eastAsia" w:ascii="宋体" w:hAnsi="宋体"/>
          <w:color w:val="000000"/>
          <w:highlight w:val="none"/>
          <w:lang w:bidi="ar"/>
        </w:rPr>
        <w:t>根据《环境影响评价技术导则 土壤环境（试行）》（</w:t>
      </w:r>
      <w:r>
        <w:rPr>
          <w:rFonts w:cs="Times New Roman"/>
          <w:color w:val="000000"/>
          <w:highlight w:val="none"/>
          <w:lang w:bidi="ar"/>
        </w:rPr>
        <w:t>HJ964-2018</w:t>
      </w:r>
      <w:r>
        <w:rPr>
          <w:rFonts w:hint="eastAsia" w:ascii="宋体" w:hAnsi="宋体"/>
          <w:color w:val="000000"/>
          <w:highlight w:val="none"/>
          <w:lang w:bidi="ar"/>
        </w:rPr>
        <w:t>），污染影响型评价工作等级划分表见表</w:t>
      </w:r>
      <w:r>
        <w:rPr>
          <w:rFonts w:cs="Times New Roman"/>
          <w:color w:val="000000"/>
          <w:highlight w:val="none"/>
          <w:lang w:bidi="ar"/>
        </w:rPr>
        <w:t>2.</w:t>
      </w:r>
      <w:r>
        <w:rPr>
          <w:rFonts w:hint="eastAsia" w:cs="Times New Roman"/>
          <w:color w:val="000000"/>
          <w:highlight w:val="none"/>
          <w:lang w:val="en-US" w:eastAsia="zh-CN" w:bidi="ar"/>
        </w:rPr>
        <w:t>3</w:t>
      </w:r>
      <w:r>
        <w:rPr>
          <w:rFonts w:cs="Times New Roman"/>
          <w:color w:val="000000"/>
          <w:highlight w:val="none"/>
          <w:lang w:bidi="ar"/>
        </w:rPr>
        <w:t>-</w:t>
      </w:r>
      <w:r>
        <w:rPr>
          <w:rFonts w:hint="eastAsia" w:cs="Times New Roman"/>
          <w:color w:val="000000"/>
          <w:highlight w:val="none"/>
          <w:lang w:bidi="ar"/>
        </w:rPr>
        <w:t>1</w:t>
      </w:r>
      <w:r>
        <w:rPr>
          <w:rFonts w:hint="eastAsia" w:cs="Times New Roman"/>
          <w:color w:val="000000"/>
          <w:highlight w:val="none"/>
          <w:lang w:val="en-US" w:eastAsia="zh-CN" w:bidi="ar"/>
        </w:rPr>
        <w:t>0</w:t>
      </w:r>
      <w:r>
        <w:rPr>
          <w:rFonts w:hint="eastAsia" w:ascii="宋体" w:hAnsi="宋体"/>
          <w:color w:val="000000"/>
          <w:highlight w:val="none"/>
          <w:lang w:bidi="ar"/>
        </w:rPr>
        <w:t>。</w:t>
      </w:r>
    </w:p>
    <w:p w14:paraId="0A095635">
      <w:pPr>
        <w:pStyle w:val="30"/>
        <w:bidi w:val="0"/>
      </w:pPr>
      <w:r>
        <w:t>表2.</w:t>
      </w:r>
      <w:r>
        <w:rPr>
          <w:rFonts w:hint="eastAsia"/>
          <w:lang w:val="en-US" w:eastAsia="zh-CN"/>
        </w:rPr>
        <w:t>3</w:t>
      </w:r>
      <w:r>
        <w:t>-</w:t>
      </w:r>
      <w:r>
        <w:rPr>
          <w:rFonts w:hint="eastAsia"/>
        </w:rPr>
        <w:t>1</w:t>
      </w:r>
      <w:r>
        <w:rPr>
          <w:rFonts w:hint="eastAsia"/>
          <w:lang w:val="en-US" w:eastAsia="zh-CN"/>
        </w:rPr>
        <w:t>0</w:t>
      </w:r>
      <w:r>
        <w:t xml:space="preserve"> </w:t>
      </w:r>
      <w:r>
        <w:rPr>
          <w:rFonts w:hint="eastAsia"/>
          <w:lang w:val="en-US" w:eastAsia="zh-CN"/>
        </w:rPr>
        <w:t xml:space="preserve"> </w:t>
      </w:r>
      <w:r>
        <w:t xml:space="preserve"> 污染影响型评价工作等级划分表</w:t>
      </w:r>
    </w:p>
    <w:tbl>
      <w:tblPr>
        <w:tblStyle w:val="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61"/>
        <w:gridCol w:w="856"/>
        <w:gridCol w:w="856"/>
        <w:gridCol w:w="857"/>
        <w:gridCol w:w="856"/>
        <w:gridCol w:w="857"/>
        <w:gridCol w:w="857"/>
        <w:gridCol w:w="857"/>
        <w:gridCol w:w="723"/>
        <w:gridCol w:w="729"/>
      </w:tblGrid>
      <w:tr w14:paraId="70BD4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18" w:type="pct"/>
            <w:vMerge w:val="restart"/>
            <w:tcBorders>
              <w:bottom w:val="nil"/>
            </w:tcBorders>
            <w:noWrap w:val="0"/>
            <w:vAlign w:val="center"/>
          </w:tcPr>
          <w:p w14:paraId="33975D99">
            <w:pPr>
              <w:pStyle w:val="19"/>
              <w:bidi w:val="0"/>
            </w:pPr>
            <w:r>
              <w:t>敏感程度</w:t>
            </w:r>
          </w:p>
        </w:tc>
        <w:tc>
          <w:tcPr>
            <w:tcW w:w="1546" w:type="pct"/>
            <w:gridSpan w:val="3"/>
            <w:noWrap w:val="0"/>
            <w:vAlign w:val="center"/>
          </w:tcPr>
          <w:p w14:paraId="2712812D">
            <w:pPr>
              <w:pStyle w:val="19"/>
              <w:bidi w:val="0"/>
            </w:pPr>
            <w:r>
              <w:t>Ⅰ类</w:t>
            </w:r>
          </w:p>
        </w:tc>
        <w:tc>
          <w:tcPr>
            <w:tcW w:w="1547" w:type="pct"/>
            <w:gridSpan w:val="3"/>
            <w:noWrap w:val="0"/>
            <w:vAlign w:val="center"/>
          </w:tcPr>
          <w:p w14:paraId="210BE338">
            <w:pPr>
              <w:pStyle w:val="19"/>
              <w:bidi w:val="0"/>
            </w:pPr>
            <w:r>
              <w:t>Ⅱ类</w:t>
            </w:r>
          </w:p>
        </w:tc>
        <w:tc>
          <w:tcPr>
            <w:tcW w:w="1387" w:type="pct"/>
            <w:gridSpan w:val="3"/>
            <w:noWrap w:val="0"/>
            <w:vAlign w:val="center"/>
          </w:tcPr>
          <w:p w14:paraId="520E37F1">
            <w:pPr>
              <w:pStyle w:val="19"/>
              <w:bidi w:val="0"/>
            </w:pPr>
            <w:r>
              <w:t>Ⅲ类</w:t>
            </w:r>
          </w:p>
        </w:tc>
      </w:tr>
      <w:tr w14:paraId="59352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18" w:type="pct"/>
            <w:vMerge w:val="continue"/>
            <w:tcBorders>
              <w:top w:val="nil"/>
            </w:tcBorders>
            <w:noWrap w:val="0"/>
            <w:vAlign w:val="center"/>
          </w:tcPr>
          <w:p w14:paraId="7C82CFB4">
            <w:pPr>
              <w:pStyle w:val="19"/>
              <w:bidi w:val="0"/>
            </w:pPr>
          </w:p>
        </w:tc>
        <w:tc>
          <w:tcPr>
            <w:tcW w:w="515" w:type="pct"/>
            <w:noWrap w:val="0"/>
            <w:vAlign w:val="center"/>
          </w:tcPr>
          <w:p w14:paraId="5CBEB484">
            <w:pPr>
              <w:pStyle w:val="19"/>
              <w:bidi w:val="0"/>
            </w:pPr>
            <w:r>
              <w:t>大</w:t>
            </w:r>
          </w:p>
        </w:tc>
        <w:tc>
          <w:tcPr>
            <w:tcW w:w="515" w:type="pct"/>
            <w:noWrap w:val="0"/>
            <w:vAlign w:val="center"/>
          </w:tcPr>
          <w:p w14:paraId="7AF493E9">
            <w:pPr>
              <w:pStyle w:val="19"/>
              <w:bidi w:val="0"/>
            </w:pPr>
            <w:r>
              <w:t>中</w:t>
            </w:r>
          </w:p>
        </w:tc>
        <w:tc>
          <w:tcPr>
            <w:tcW w:w="516" w:type="pct"/>
            <w:noWrap w:val="0"/>
            <w:vAlign w:val="center"/>
          </w:tcPr>
          <w:p w14:paraId="5345AC74">
            <w:pPr>
              <w:pStyle w:val="19"/>
              <w:bidi w:val="0"/>
            </w:pPr>
            <w:r>
              <w:t>小</w:t>
            </w:r>
          </w:p>
        </w:tc>
        <w:tc>
          <w:tcPr>
            <w:tcW w:w="515" w:type="pct"/>
            <w:noWrap w:val="0"/>
            <w:vAlign w:val="center"/>
          </w:tcPr>
          <w:p w14:paraId="5B9D6A7B">
            <w:pPr>
              <w:pStyle w:val="19"/>
              <w:bidi w:val="0"/>
            </w:pPr>
            <w:r>
              <w:t>大</w:t>
            </w:r>
          </w:p>
        </w:tc>
        <w:tc>
          <w:tcPr>
            <w:tcW w:w="516" w:type="pct"/>
            <w:noWrap w:val="0"/>
            <w:vAlign w:val="center"/>
          </w:tcPr>
          <w:p w14:paraId="79D2A2F7">
            <w:pPr>
              <w:pStyle w:val="19"/>
              <w:bidi w:val="0"/>
            </w:pPr>
            <w:r>
              <w:t>中</w:t>
            </w:r>
          </w:p>
        </w:tc>
        <w:tc>
          <w:tcPr>
            <w:tcW w:w="516" w:type="pct"/>
            <w:noWrap w:val="0"/>
            <w:vAlign w:val="center"/>
          </w:tcPr>
          <w:p w14:paraId="5F9ADA58">
            <w:pPr>
              <w:pStyle w:val="19"/>
              <w:bidi w:val="0"/>
            </w:pPr>
            <w:r>
              <w:t>小</w:t>
            </w:r>
          </w:p>
        </w:tc>
        <w:tc>
          <w:tcPr>
            <w:tcW w:w="516" w:type="pct"/>
            <w:noWrap w:val="0"/>
            <w:vAlign w:val="center"/>
          </w:tcPr>
          <w:p w14:paraId="79B91A27">
            <w:pPr>
              <w:pStyle w:val="19"/>
              <w:bidi w:val="0"/>
            </w:pPr>
            <w:r>
              <w:t>大</w:t>
            </w:r>
          </w:p>
        </w:tc>
        <w:tc>
          <w:tcPr>
            <w:tcW w:w="435" w:type="pct"/>
            <w:noWrap w:val="0"/>
            <w:vAlign w:val="center"/>
          </w:tcPr>
          <w:p w14:paraId="2CF17608">
            <w:pPr>
              <w:pStyle w:val="19"/>
              <w:bidi w:val="0"/>
            </w:pPr>
            <w:r>
              <w:t>中</w:t>
            </w:r>
          </w:p>
        </w:tc>
        <w:tc>
          <w:tcPr>
            <w:tcW w:w="435" w:type="pct"/>
            <w:noWrap w:val="0"/>
            <w:vAlign w:val="center"/>
          </w:tcPr>
          <w:p w14:paraId="2BE50366">
            <w:pPr>
              <w:pStyle w:val="19"/>
              <w:bidi w:val="0"/>
            </w:pPr>
            <w:r>
              <w:t>小</w:t>
            </w:r>
          </w:p>
        </w:tc>
      </w:tr>
      <w:tr w14:paraId="4B419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18" w:type="pct"/>
            <w:noWrap w:val="0"/>
            <w:vAlign w:val="center"/>
          </w:tcPr>
          <w:p w14:paraId="45E5BC5A">
            <w:pPr>
              <w:pStyle w:val="19"/>
              <w:bidi w:val="0"/>
            </w:pPr>
            <w:r>
              <w:t>敏感</w:t>
            </w:r>
          </w:p>
        </w:tc>
        <w:tc>
          <w:tcPr>
            <w:tcW w:w="515" w:type="pct"/>
            <w:noWrap w:val="0"/>
            <w:vAlign w:val="center"/>
          </w:tcPr>
          <w:p w14:paraId="6F7CFBF3">
            <w:pPr>
              <w:pStyle w:val="19"/>
              <w:bidi w:val="0"/>
            </w:pPr>
            <w:r>
              <w:t>一级</w:t>
            </w:r>
          </w:p>
        </w:tc>
        <w:tc>
          <w:tcPr>
            <w:tcW w:w="515" w:type="pct"/>
            <w:noWrap w:val="0"/>
            <w:vAlign w:val="center"/>
          </w:tcPr>
          <w:p w14:paraId="2D212AB7">
            <w:pPr>
              <w:pStyle w:val="19"/>
              <w:bidi w:val="0"/>
            </w:pPr>
            <w:r>
              <w:t>一级</w:t>
            </w:r>
          </w:p>
        </w:tc>
        <w:tc>
          <w:tcPr>
            <w:tcW w:w="516" w:type="pct"/>
            <w:noWrap w:val="0"/>
            <w:vAlign w:val="center"/>
          </w:tcPr>
          <w:p w14:paraId="5DC59162">
            <w:pPr>
              <w:pStyle w:val="19"/>
              <w:bidi w:val="0"/>
            </w:pPr>
            <w:r>
              <w:t>一级</w:t>
            </w:r>
          </w:p>
        </w:tc>
        <w:tc>
          <w:tcPr>
            <w:tcW w:w="515" w:type="pct"/>
            <w:noWrap w:val="0"/>
            <w:vAlign w:val="center"/>
          </w:tcPr>
          <w:p w14:paraId="2B502453">
            <w:pPr>
              <w:pStyle w:val="19"/>
              <w:bidi w:val="0"/>
            </w:pPr>
            <w:r>
              <w:t>二级</w:t>
            </w:r>
          </w:p>
        </w:tc>
        <w:tc>
          <w:tcPr>
            <w:tcW w:w="516" w:type="pct"/>
            <w:noWrap w:val="0"/>
            <w:vAlign w:val="center"/>
          </w:tcPr>
          <w:p w14:paraId="3A93D8F7">
            <w:pPr>
              <w:pStyle w:val="19"/>
              <w:bidi w:val="0"/>
            </w:pPr>
            <w:r>
              <w:t>二级</w:t>
            </w:r>
          </w:p>
        </w:tc>
        <w:tc>
          <w:tcPr>
            <w:tcW w:w="516" w:type="pct"/>
            <w:noWrap w:val="0"/>
            <w:vAlign w:val="center"/>
          </w:tcPr>
          <w:p w14:paraId="0EA576FC">
            <w:pPr>
              <w:pStyle w:val="19"/>
              <w:bidi w:val="0"/>
            </w:pPr>
            <w:r>
              <w:t>二级</w:t>
            </w:r>
          </w:p>
        </w:tc>
        <w:tc>
          <w:tcPr>
            <w:tcW w:w="516" w:type="pct"/>
            <w:noWrap w:val="0"/>
            <w:vAlign w:val="center"/>
          </w:tcPr>
          <w:p w14:paraId="25FFE5B6">
            <w:pPr>
              <w:pStyle w:val="19"/>
              <w:bidi w:val="0"/>
            </w:pPr>
            <w:r>
              <w:t>三级</w:t>
            </w:r>
          </w:p>
        </w:tc>
        <w:tc>
          <w:tcPr>
            <w:tcW w:w="435" w:type="pct"/>
            <w:noWrap w:val="0"/>
            <w:vAlign w:val="center"/>
          </w:tcPr>
          <w:p w14:paraId="2BB7B6DD">
            <w:pPr>
              <w:pStyle w:val="19"/>
              <w:bidi w:val="0"/>
            </w:pPr>
            <w:r>
              <w:t>三级</w:t>
            </w:r>
          </w:p>
        </w:tc>
        <w:tc>
          <w:tcPr>
            <w:tcW w:w="435" w:type="pct"/>
            <w:noWrap w:val="0"/>
            <w:vAlign w:val="center"/>
          </w:tcPr>
          <w:p w14:paraId="3D4FFCF3">
            <w:pPr>
              <w:pStyle w:val="19"/>
              <w:bidi w:val="0"/>
            </w:pPr>
            <w:r>
              <w:t>三级</w:t>
            </w:r>
          </w:p>
        </w:tc>
      </w:tr>
      <w:tr w14:paraId="2E346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18" w:type="pct"/>
            <w:noWrap w:val="0"/>
            <w:vAlign w:val="center"/>
          </w:tcPr>
          <w:p w14:paraId="22B65C09">
            <w:pPr>
              <w:pStyle w:val="19"/>
              <w:bidi w:val="0"/>
            </w:pPr>
            <w:r>
              <w:t>较敏感</w:t>
            </w:r>
          </w:p>
        </w:tc>
        <w:tc>
          <w:tcPr>
            <w:tcW w:w="515" w:type="pct"/>
            <w:noWrap w:val="0"/>
            <w:vAlign w:val="center"/>
          </w:tcPr>
          <w:p w14:paraId="071E43E2">
            <w:pPr>
              <w:pStyle w:val="19"/>
              <w:bidi w:val="0"/>
            </w:pPr>
            <w:r>
              <w:t>一级</w:t>
            </w:r>
          </w:p>
        </w:tc>
        <w:tc>
          <w:tcPr>
            <w:tcW w:w="515" w:type="pct"/>
            <w:noWrap w:val="0"/>
            <w:vAlign w:val="center"/>
          </w:tcPr>
          <w:p w14:paraId="48E722C9">
            <w:pPr>
              <w:pStyle w:val="19"/>
              <w:bidi w:val="0"/>
            </w:pPr>
            <w:r>
              <w:t>一级</w:t>
            </w:r>
          </w:p>
        </w:tc>
        <w:tc>
          <w:tcPr>
            <w:tcW w:w="516" w:type="pct"/>
            <w:noWrap w:val="0"/>
            <w:vAlign w:val="center"/>
          </w:tcPr>
          <w:p w14:paraId="7942DA05">
            <w:pPr>
              <w:pStyle w:val="19"/>
              <w:bidi w:val="0"/>
            </w:pPr>
            <w:r>
              <w:t>二级</w:t>
            </w:r>
          </w:p>
        </w:tc>
        <w:tc>
          <w:tcPr>
            <w:tcW w:w="515" w:type="pct"/>
            <w:noWrap w:val="0"/>
            <w:vAlign w:val="center"/>
          </w:tcPr>
          <w:p w14:paraId="59B2D78B">
            <w:pPr>
              <w:pStyle w:val="19"/>
              <w:bidi w:val="0"/>
            </w:pPr>
            <w:r>
              <w:t>二级</w:t>
            </w:r>
          </w:p>
        </w:tc>
        <w:tc>
          <w:tcPr>
            <w:tcW w:w="516" w:type="pct"/>
            <w:noWrap w:val="0"/>
            <w:vAlign w:val="center"/>
          </w:tcPr>
          <w:p w14:paraId="277C9FFA">
            <w:pPr>
              <w:pStyle w:val="19"/>
              <w:bidi w:val="0"/>
            </w:pPr>
            <w:r>
              <w:t>二级</w:t>
            </w:r>
          </w:p>
        </w:tc>
        <w:tc>
          <w:tcPr>
            <w:tcW w:w="516" w:type="pct"/>
            <w:noWrap w:val="0"/>
            <w:vAlign w:val="center"/>
          </w:tcPr>
          <w:p w14:paraId="3ACCDC5B">
            <w:pPr>
              <w:pStyle w:val="19"/>
              <w:bidi w:val="0"/>
            </w:pPr>
            <w:r>
              <w:t>三级</w:t>
            </w:r>
          </w:p>
        </w:tc>
        <w:tc>
          <w:tcPr>
            <w:tcW w:w="516" w:type="pct"/>
            <w:noWrap w:val="0"/>
            <w:vAlign w:val="center"/>
          </w:tcPr>
          <w:p w14:paraId="5BEE257D">
            <w:pPr>
              <w:pStyle w:val="19"/>
              <w:bidi w:val="0"/>
            </w:pPr>
            <w:r>
              <w:t>三级</w:t>
            </w:r>
          </w:p>
        </w:tc>
        <w:tc>
          <w:tcPr>
            <w:tcW w:w="435" w:type="pct"/>
            <w:noWrap w:val="0"/>
            <w:vAlign w:val="center"/>
          </w:tcPr>
          <w:p w14:paraId="78BB09EF">
            <w:pPr>
              <w:pStyle w:val="19"/>
              <w:bidi w:val="0"/>
            </w:pPr>
            <w:r>
              <w:t>三级</w:t>
            </w:r>
          </w:p>
        </w:tc>
        <w:tc>
          <w:tcPr>
            <w:tcW w:w="435" w:type="pct"/>
            <w:noWrap w:val="0"/>
            <w:vAlign w:val="center"/>
          </w:tcPr>
          <w:p w14:paraId="0C82918F">
            <w:pPr>
              <w:pStyle w:val="19"/>
              <w:bidi w:val="0"/>
            </w:pPr>
            <w:r>
              <w:t>--</w:t>
            </w:r>
          </w:p>
        </w:tc>
      </w:tr>
      <w:tr w14:paraId="42994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18" w:type="pct"/>
            <w:noWrap w:val="0"/>
            <w:vAlign w:val="center"/>
          </w:tcPr>
          <w:p w14:paraId="2D58C1CC">
            <w:pPr>
              <w:pStyle w:val="19"/>
              <w:bidi w:val="0"/>
            </w:pPr>
            <w:r>
              <w:t>不敏感</w:t>
            </w:r>
          </w:p>
        </w:tc>
        <w:tc>
          <w:tcPr>
            <w:tcW w:w="515" w:type="pct"/>
            <w:noWrap w:val="0"/>
            <w:vAlign w:val="center"/>
          </w:tcPr>
          <w:p w14:paraId="41765AC8">
            <w:pPr>
              <w:pStyle w:val="19"/>
              <w:bidi w:val="0"/>
            </w:pPr>
            <w:r>
              <w:t>一级</w:t>
            </w:r>
          </w:p>
        </w:tc>
        <w:tc>
          <w:tcPr>
            <w:tcW w:w="515" w:type="pct"/>
            <w:noWrap w:val="0"/>
            <w:vAlign w:val="center"/>
          </w:tcPr>
          <w:p w14:paraId="3157C9FF">
            <w:pPr>
              <w:pStyle w:val="19"/>
              <w:bidi w:val="0"/>
            </w:pPr>
            <w:r>
              <w:t>二级</w:t>
            </w:r>
          </w:p>
        </w:tc>
        <w:tc>
          <w:tcPr>
            <w:tcW w:w="516" w:type="pct"/>
            <w:noWrap w:val="0"/>
            <w:vAlign w:val="center"/>
          </w:tcPr>
          <w:p w14:paraId="07B5AFF8">
            <w:pPr>
              <w:pStyle w:val="19"/>
              <w:bidi w:val="0"/>
            </w:pPr>
            <w:r>
              <w:t>二级</w:t>
            </w:r>
          </w:p>
        </w:tc>
        <w:tc>
          <w:tcPr>
            <w:tcW w:w="515" w:type="pct"/>
            <w:noWrap w:val="0"/>
            <w:vAlign w:val="center"/>
          </w:tcPr>
          <w:p w14:paraId="16BF6A50">
            <w:pPr>
              <w:pStyle w:val="19"/>
              <w:bidi w:val="0"/>
            </w:pPr>
            <w:r>
              <w:t>二级</w:t>
            </w:r>
          </w:p>
        </w:tc>
        <w:tc>
          <w:tcPr>
            <w:tcW w:w="516" w:type="pct"/>
            <w:noWrap w:val="0"/>
            <w:vAlign w:val="center"/>
          </w:tcPr>
          <w:p w14:paraId="1A94BA74">
            <w:pPr>
              <w:pStyle w:val="19"/>
              <w:bidi w:val="0"/>
            </w:pPr>
            <w:r>
              <w:t>三级</w:t>
            </w:r>
          </w:p>
        </w:tc>
        <w:tc>
          <w:tcPr>
            <w:tcW w:w="516" w:type="pct"/>
            <w:noWrap w:val="0"/>
            <w:vAlign w:val="center"/>
          </w:tcPr>
          <w:p w14:paraId="57D0EACE">
            <w:pPr>
              <w:pStyle w:val="19"/>
              <w:bidi w:val="0"/>
            </w:pPr>
            <w:r>
              <w:t>三级</w:t>
            </w:r>
          </w:p>
        </w:tc>
        <w:tc>
          <w:tcPr>
            <w:tcW w:w="516" w:type="pct"/>
            <w:noWrap w:val="0"/>
            <w:vAlign w:val="center"/>
          </w:tcPr>
          <w:p w14:paraId="536F8A57">
            <w:pPr>
              <w:pStyle w:val="19"/>
              <w:bidi w:val="0"/>
            </w:pPr>
            <w:r>
              <w:t>三级</w:t>
            </w:r>
          </w:p>
        </w:tc>
        <w:tc>
          <w:tcPr>
            <w:tcW w:w="435" w:type="pct"/>
            <w:noWrap w:val="0"/>
            <w:vAlign w:val="center"/>
          </w:tcPr>
          <w:p w14:paraId="47CFA6DC">
            <w:pPr>
              <w:pStyle w:val="19"/>
              <w:bidi w:val="0"/>
            </w:pPr>
            <w:r>
              <w:t>--</w:t>
            </w:r>
          </w:p>
        </w:tc>
        <w:tc>
          <w:tcPr>
            <w:tcW w:w="435" w:type="pct"/>
            <w:noWrap w:val="0"/>
            <w:vAlign w:val="center"/>
          </w:tcPr>
          <w:p w14:paraId="3319321A">
            <w:pPr>
              <w:pStyle w:val="19"/>
              <w:bidi w:val="0"/>
            </w:pPr>
            <w:r>
              <w:t>--</w:t>
            </w:r>
          </w:p>
        </w:tc>
      </w:tr>
      <w:tr w14:paraId="2E165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000" w:type="pct"/>
            <w:gridSpan w:val="10"/>
            <w:noWrap w:val="0"/>
            <w:vAlign w:val="center"/>
          </w:tcPr>
          <w:p w14:paraId="6794ADD7">
            <w:pPr>
              <w:pStyle w:val="19"/>
              <w:bidi w:val="0"/>
              <w:jc w:val="both"/>
            </w:pPr>
            <w:r>
              <w:t>注：</w:t>
            </w:r>
            <w:r>
              <w:rPr>
                <w:rFonts w:hint="eastAsia"/>
              </w:rPr>
              <w:t>“</w:t>
            </w:r>
            <w:r>
              <w:t>--</w:t>
            </w:r>
            <w:r>
              <w:rPr>
                <w:rFonts w:hint="eastAsia"/>
              </w:rPr>
              <w:t>”</w:t>
            </w:r>
            <w:r>
              <w:t>表示可不开展土壤环境影响评价工作。</w:t>
            </w:r>
          </w:p>
        </w:tc>
      </w:tr>
    </w:tbl>
    <w:p w14:paraId="1950EA87">
      <w:pPr>
        <w:rPr>
          <w:rFonts w:hint="eastAsia"/>
          <w:lang w:val="en-US" w:eastAsia="zh-CN"/>
        </w:rPr>
      </w:pPr>
      <w:r>
        <w:rPr>
          <w:rFonts w:hint="eastAsia" w:ascii="宋体" w:hAnsi="宋体"/>
          <w:color w:val="000000"/>
          <w:highlight w:val="none"/>
          <w:lang w:bidi="ar"/>
        </w:rPr>
        <w:t>综上所述，根据《环境影响评价技术导则 土壤环境（试行）》（</w:t>
      </w:r>
      <w:r>
        <w:rPr>
          <w:rFonts w:cs="Times New Roman"/>
          <w:color w:val="000000"/>
          <w:highlight w:val="none"/>
          <w:lang w:bidi="ar"/>
        </w:rPr>
        <w:t>HJ964-2018</w:t>
      </w:r>
      <w:r>
        <w:rPr>
          <w:rFonts w:hint="eastAsia" w:ascii="宋体" w:hAnsi="宋体"/>
          <w:color w:val="000000"/>
          <w:highlight w:val="none"/>
          <w:lang w:bidi="ar"/>
        </w:rPr>
        <w:t>），确定本项目土壤环境评价工作等级为</w:t>
      </w:r>
      <w:r>
        <w:rPr>
          <w:rFonts w:hint="eastAsia" w:ascii="宋体" w:hAnsi="宋体"/>
          <w:color w:val="000000"/>
          <w:highlight w:val="none"/>
          <w:lang w:val="en-US" w:eastAsia="zh-CN" w:bidi="ar"/>
        </w:rPr>
        <w:t>二</w:t>
      </w:r>
      <w:r>
        <w:rPr>
          <w:rFonts w:hint="eastAsia" w:ascii="宋体" w:hAnsi="宋体"/>
          <w:color w:val="000000"/>
          <w:highlight w:val="none"/>
          <w:lang w:bidi="ar"/>
        </w:rPr>
        <w:t>级。</w:t>
      </w:r>
    </w:p>
    <w:p w14:paraId="006FCE97">
      <w:pPr>
        <w:pStyle w:val="28"/>
        <w:bidi w:val="0"/>
        <w:rPr>
          <w:rFonts w:hint="default"/>
          <w:lang w:val="en-US" w:eastAsia="zh-CN"/>
        </w:rPr>
      </w:pPr>
      <w:r>
        <w:rPr>
          <w:rFonts w:hint="eastAsia"/>
          <w:lang w:val="en-US" w:eastAsia="zh-CN"/>
        </w:rPr>
        <w:t>环境风险</w:t>
      </w:r>
    </w:p>
    <w:p w14:paraId="57FD049B">
      <w:pPr>
        <w:bidi w:val="0"/>
        <w:rPr>
          <w:rFonts w:ascii="Times New Roman" w:hAnsi="Times New Roman" w:eastAsia="宋体" w:cs="宋体"/>
          <w:color w:val="000000"/>
          <w:kern w:val="0"/>
          <w:szCs w:val="24"/>
          <w:highlight w:val="none"/>
        </w:rPr>
      </w:pPr>
      <w: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w:t>
      </w:r>
      <w:r>
        <w:rPr>
          <w:rFonts w:hint="eastAsia"/>
        </w:rPr>
        <w:t>，</w:t>
      </w:r>
      <w:r>
        <w:t>进行二级评价；风险潜势为Ⅱ</w:t>
      </w:r>
      <w:r>
        <w:rPr>
          <w:rFonts w:hint="eastAsia"/>
        </w:rPr>
        <w:t>，</w:t>
      </w:r>
      <w:r>
        <w:t>进行三级评价；风险潜势为Ⅰ</w:t>
      </w:r>
      <w:r>
        <w:rPr>
          <w:rFonts w:hint="eastAsia"/>
        </w:rPr>
        <w:t>，</w:t>
      </w:r>
      <w:r>
        <w:t>可开展简单分析。评价工作等级的划分依据具体见表2.</w:t>
      </w:r>
      <w:r>
        <w:rPr>
          <w:rFonts w:hint="eastAsia"/>
          <w:lang w:val="en-US" w:eastAsia="zh-CN"/>
        </w:rPr>
        <w:t>3</w:t>
      </w:r>
      <w:r>
        <w:t>-1</w:t>
      </w:r>
      <w:r>
        <w:rPr>
          <w:rFonts w:hint="eastAsia"/>
          <w:lang w:val="en-US" w:eastAsia="zh-CN"/>
        </w:rPr>
        <w:t>1</w:t>
      </w:r>
      <w:r>
        <w:t>。</w:t>
      </w:r>
    </w:p>
    <w:p w14:paraId="30BF171D">
      <w:pPr>
        <w:pStyle w:val="30"/>
        <w:bidi w:val="0"/>
      </w:pPr>
      <w:r>
        <w:t>表2.</w:t>
      </w:r>
      <w:r>
        <w:rPr>
          <w:rFonts w:hint="eastAsia"/>
          <w:lang w:val="en-US" w:eastAsia="zh-CN"/>
        </w:rPr>
        <w:t>3</w:t>
      </w:r>
      <w:r>
        <w:t>-1</w:t>
      </w:r>
      <w:r>
        <w:rPr>
          <w:rFonts w:hint="eastAsia"/>
          <w:lang w:val="en-US" w:eastAsia="zh-CN"/>
        </w:rPr>
        <w:t>1</w:t>
      </w:r>
      <w:r>
        <w:t xml:space="preserve">  </w:t>
      </w:r>
      <w:r>
        <w:rPr>
          <w:rFonts w:hint="eastAsia"/>
          <w:lang w:val="en-US" w:eastAsia="zh-CN"/>
        </w:rPr>
        <w:t xml:space="preserve"> </w:t>
      </w:r>
      <w:r>
        <w:t>评价工作等级划分表</w:t>
      </w:r>
    </w:p>
    <w:tbl>
      <w:tblPr>
        <w:tblStyle w:val="29"/>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63"/>
        <w:gridCol w:w="1658"/>
        <w:gridCol w:w="1660"/>
        <w:gridCol w:w="1660"/>
        <w:gridCol w:w="1666"/>
      </w:tblGrid>
      <w:tr w14:paraId="4CD9A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01" w:type="pct"/>
            <w:noWrap w:val="0"/>
            <w:vAlign w:val="top"/>
          </w:tcPr>
          <w:p w14:paraId="3CB4F58E">
            <w:pPr>
              <w:pStyle w:val="19"/>
              <w:bidi w:val="0"/>
            </w:pPr>
            <w:r>
              <w:t>环境风险潜势</w:t>
            </w:r>
          </w:p>
        </w:tc>
        <w:tc>
          <w:tcPr>
            <w:tcW w:w="998" w:type="pct"/>
            <w:noWrap w:val="0"/>
            <w:vAlign w:val="top"/>
          </w:tcPr>
          <w:p w14:paraId="0ECF5B7E">
            <w:pPr>
              <w:pStyle w:val="19"/>
              <w:bidi w:val="0"/>
            </w:pPr>
            <w:r>
              <w:t>Ⅳ 、Ⅳ+</w:t>
            </w:r>
          </w:p>
        </w:tc>
        <w:tc>
          <w:tcPr>
            <w:tcW w:w="999" w:type="pct"/>
            <w:noWrap w:val="0"/>
            <w:vAlign w:val="top"/>
          </w:tcPr>
          <w:p w14:paraId="5C6DFC6C">
            <w:pPr>
              <w:pStyle w:val="19"/>
              <w:bidi w:val="0"/>
            </w:pPr>
            <w:r>
              <w:t>Ⅲ</w:t>
            </w:r>
          </w:p>
        </w:tc>
        <w:tc>
          <w:tcPr>
            <w:tcW w:w="999" w:type="pct"/>
            <w:noWrap w:val="0"/>
            <w:vAlign w:val="top"/>
          </w:tcPr>
          <w:p w14:paraId="50ECC444">
            <w:pPr>
              <w:pStyle w:val="19"/>
              <w:bidi w:val="0"/>
            </w:pPr>
            <w:r>
              <w:t>Ⅱ</w:t>
            </w:r>
          </w:p>
        </w:tc>
        <w:tc>
          <w:tcPr>
            <w:tcW w:w="1001" w:type="pct"/>
            <w:noWrap w:val="0"/>
            <w:vAlign w:val="top"/>
          </w:tcPr>
          <w:p w14:paraId="1462C6A9">
            <w:pPr>
              <w:pStyle w:val="19"/>
              <w:bidi w:val="0"/>
            </w:pPr>
            <w:r>
              <w:t>Ⅰ</w:t>
            </w:r>
          </w:p>
        </w:tc>
      </w:tr>
      <w:tr w14:paraId="39AF1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pct"/>
            <w:noWrap w:val="0"/>
            <w:vAlign w:val="top"/>
          </w:tcPr>
          <w:p w14:paraId="733CB759">
            <w:pPr>
              <w:pStyle w:val="19"/>
              <w:bidi w:val="0"/>
            </w:pPr>
            <w:r>
              <w:t>评价工作等级</w:t>
            </w:r>
          </w:p>
        </w:tc>
        <w:tc>
          <w:tcPr>
            <w:tcW w:w="998" w:type="pct"/>
            <w:noWrap w:val="0"/>
            <w:vAlign w:val="top"/>
          </w:tcPr>
          <w:p w14:paraId="0916404E">
            <w:pPr>
              <w:pStyle w:val="19"/>
              <w:bidi w:val="0"/>
            </w:pPr>
            <w:r>
              <w:t>一</w:t>
            </w:r>
          </w:p>
        </w:tc>
        <w:tc>
          <w:tcPr>
            <w:tcW w:w="999" w:type="pct"/>
            <w:noWrap w:val="0"/>
            <w:vAlign w:val="top"/>
          </w:tcPr>
          <w:p w14:paraId="1B1F68D9">
            <w:pPr>
              <w:pStyle w:val="19"/>
              <w:bidi w:val="0"/>
            </w:pPr>
            <w:r>
              <w:t>二</w:t>
            </w:r>
          </w:p>
        </w:tc>
        <w:tc>
          <w:tcPr>
            <w:tcW w:w="999" w:type="pct"/>
            <w:noWrap w:val="0"/>
            <w:vAlign w:val="top"/>
          </w:tcPr>
          <w:p w14:paraId="219BDD0A">
            <w:pPr>
              <w:pStyle w:val="19"/>
              <w:bidi w:val="0"/>
            </w:pPr>
            <w:r>
              <w:t>三</w:t>
            </w:r>
          </w:p>
        </w:tc>
        <w:tc>
          <w:tcPr>
            <w:tcW w:w="1001" w:type="pct"/>
            <w:noWrap w:val="0"/>
            <w:vAlign w:val="top"/>
          </w:tcPr>
          <w:p w14:paraId="530B0E9D">
            <w:pPr>
              <w:pStyle w:val="19"/>
              <w:bidi w:val="0"/>
            </w:pPr>
            <w:r>
              <w:t>简单分析a</w:t>
            </w:r>
          </w:p>
        </w:tc>
      </w:tr>
      <w:tr w14:paraId="0A20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000" w:type="pct"/>
            <w:gridSpan w:val="5"/>
            <w:noWrap w:val="0"/>
            <w:vAlign w:val="top"/>
          </w:tcPr>
          <w:p w14:paraId="5D38390E">
            <w:pPr>
              <w:pStyle w:val="19"/>
              <w:bidi w:val="0"/>
              <w:jc w:val="both"/>
            </w:pPr>
            <w:r>
              <w:t>a是相对于详细评价工作内容而言，在描述危险物质、环境影响途径、环境危害后果、风险 防范措施等方面给出定性的说明。</w:t>
            </w:r>
          </w:p>
        </w:tc>
      </w:tr>
    </w:tbl>
    <w:p w14:paraId="5B6C5191">
      <w:pPr>
        <w:bidi w:val="0"/>
        <w:rPr>
          <w:rFonts w:hint="eastAsia"/>
          <w:lang w:val="en-US" w:eastAsia="zh-CN"/>
        </w:rPr>
      </w:pPr>
      <w:r>
        <w:t>本项目涉及《建设项目环境风险评价技术导则》（HJ169-2018）附录B中的危险物质为沼气、氨和硫化氢，不进行储存，环境风险潜势为Ⅰ</w:t>
      </w:r>
      <w:r>
        <w:rPr>
          <w:rFonts w:hint="eastAsia"/>
        </w:rPr>
        <w:t>，</w:t>
      </w:r>
      <w:r>
        <w:t>环境风险评价工作级别确定为简单分析。根据导则要求对危险物质、环境影响途径、环境危害后果、风险防范措施等方面给出定性的说明。</w:t>
      </w:r>
    </w:p>
    <w:p w14:paraId="65B82695">
      <w:pPr>
        <w:pStyle w:val="27"/>
        <w:bidi w:val="0"/>
        <w:rPr>
          <w:rFonts w:hint="default"/>
          <w:lang w:val="en-US" w:eastAsia="zh-CN"/>
        </w:rPr>
      </w:pPr>
      <w:r>
        <w:rPr>
          <w:rFonts w:hint="eastAsia"/>
          <w:lang w:val="en-US" w:eastAsia="zh-CN"/>
        </w:rPr>
        <w:t>评价范围</w:t>
      </w:r>
    </w:p>
    <w:p w14:paraId="2AA26B37">
      <w:pPr>
        <w:rPr>
          <w:rFonts w:hint="eastAsia"/>
          <w:lang w:val="en-US" w:eastAsia="zh-CN"/>
        </w:rPr>
      </w:pPr>
      <w:r>
        <w:rPr>
          <w:rFonts w:hint="eastAsia"/>
          <w:lang w:val="en-US" w:eastAsia="zh-CN"/>
        </w:rPr>
        <w:t>根据各环境要素判定的评级等级，确定本项目各环境要素的评价范围，具体见表2.3-12和图2.3-1。</w:t>
      </w:r>
    </w:p>
    <w:p w14:paraId="73607A0B">
      <w:pPr>
        <w:pStyle w:val="30"/>
        <w:bidi w:val="0"/>
        <w:rPr>
          <w:rFonts w:hint="default"/>
          <w:lang w:val="en-US" w:eastAsia="zh-CN"/>
        </w:rPr>
      </w:pPr>
      <w:r>
        <w:rPr>
          <w:rFonts w:hint="eastAsia"/>
          <w:lang w:val="en-US" w:eastAsia="zh-CN"/>
        </w:rPr>
        <w:t>表2.3-12   本项目各环境要素评价范围汇总表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68"/>
        <w:gridCol w:w="1753"/>
        <w:gridCol w:w="4393"/>
      </w:tblGrid>
      <w:tr w14:paraId="202D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2A712132">
            <w:pPr>
              <w:pStyle w:val="19"/>
              <w:bidi w:val="0"/>
            </w:pPr>
            <w:r>
              <w:t>评价专题</w:t>
            </w:r>
          </w:p>
        </w:tc>
        <w:tc>
          <w:tcPr>
            <w:tcW w:w="1054" w:type="pct"/>
            <w:noWrap w:val="0"/>
            <w:vAlign w:val="center"/>
          </w:tcPr>
          <w:p w14:paraId="7277E3B2">
            <w:pPr>
              <w:pStyle w:val="19"/>
              <w:bidi w:val="0"/>
            </w:pPr>
            <w:r>
              <w:t>评价等级</w:t>
            </w:r>
          </w:p>
        </w:tc>
        <w:tc>
          <w:tcPr>
            <w:tcW w:w="2641" w:type="pct"/>
            <w:noWrap w:val="0"/>
            <w:vAlign w:val="center"/>
          </w:tcPr>
          <w:p w14:paraId="68FE18AF">
            <w:pPr>
              <w:pStyle w:val="19"/>
              <w:bidi w:val="0"/>
            </w:pPr>
            <w:r>
              <w:t>评价范围</w:t>
            </w:r>
          </w:p>
        </w:tc>
      </w:tr>
      <w:tr w14:paraId="7BED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1F6005FC">
            <w:pPr>
              <w:pStyle w:val="19"/>
              <w:bidi w:val="0"/>
              <w:rPr>
                <w:highlight w:val="none"/>
              </w:rPr>
            </w:pPr>
            <w:r>
              <w:rPr>
                <w:highlight w:val="none"/>
              </w:rPr>
              <w:t>环境空气</w:t>
            </w:r>
          </w:p>
        </w:tc>
        <w:tc>
          <w:tcPr>
            <w:tcW w:w="1054" w:type="pct"/>
            <w:noWrap w:val="0"/>
            <w:vAlign w:val="center"/>
          </w:tcPr>
          <w:p w14:paraId="4E6E3CE9">
            <w:pPr>
              <w:pStyle w:val="19"/>
              <w:bidi w:val="0"/>
              <w:rPr>
                <w:highlight w:val="none"/>
              </w:rPr>
            </w:pPr>
            <w:r>
              <w:rPr>
                <w:highlight w:val="none"/>
              </w:rPr>
              <w:t>二级</w:t>
            </w:r>
          </w:p>
        </w:tc>
        <w:tc>
          <w:tcPr>
            <w:tcW w:w="2641" w:type="pct"/>
            <w:noWrap w:val="0"/>
            <w:vAlign w:val="center"/>
          </w:tcPr>
          <w:p w14:paraId="0993031B">
            <w:pPr>
              <w:pStyle w:val="19"/>
              <w:bidi w:val="0"/>
              <w:rPr>
                <w:highlight w:val="none"/>
              </w:rPr>
            </w:pPr>
            <w:r>
              <w:rPr>
                <w:highlight w:val="none"/>
              </w:rPr>
              <w:t>以厂区为中心，边长5km的矩形范围</w:t>
            </w:r>
          </w:p>
        </w:tc>
      </w:tr>
      <w:tr w14:paraId="6EB6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41D80ACA">
            <w:pPr>
              <w:pStyle w:val="19"/>
              <w:bidi w:val="0"/>
            </w:pPr>
            <w:r>
              <w:t>地表水环境</w:t>
            </w:r>
          </w:p>
        </w:tc>
        <w:tc>
          <w:tcPr>
            <w:tcW w:w="1054" w:type="pct"/>
            <w:noWrap w:val="0"/>
            <w:vAlign w:val="center"/>
          </w:tcPr>
          <w:p w14:paraId="5928796B">
            <w:pPr>
              <w:pStyle w:val="19"/>
              <w:bidi w:val="0"/>
            </w:pPr>
            <w:r>
              <w:t>三级</w:t>
            </w:r>
            <w:r>
              <w:rPr>
                <w:rFonts w:hint="eastAsia"/>
              </w:rPr>
              <w:t>B</w:t>
            </w:r>
          </w:p>
        </w:tc>
        <w:tc>
          <w:tcPr>
            <w:tcW w:w="2641" w:type="pct"/>
            <w:noWrap w:val="0"/>
            <w:vAlign w:val="center"/>
          </w:tcPr>
          <w:p w14:paraId="2D84F5CF">
            <w:pPr>
              <w:pStyle w:val="19"/>
              <w:bidi w:val="0"/>
              <w:rPr>
                <w:rFonts w:hint="eastAsia" w:eastAsia="宋体"/>
                <w:lang w:eastAsia="zh-CN"/>
              </w:rPr>
            </w:pPr>
            <w:r>
              <w:t>对项目废水经</w:t>
            </w:r>
            <w:r>
              <w:rPr>
                <w:rFonts w:hint="eastAsia"/>
                <w:lang w:val="en-US" w:eastAsia="zh-CN"/>
              </w:rPr>
              <w:t>污水处理系统</w:t>
            </w:r>
            <w:r>
              <w:t>处理后</w:t>
            </w:r>
            <w:r>
              <w:rPr>
                <w:rFonts w:hint="eastAsia"/>
                <w:lang w:val="en-US" w:eastAsia="zh-CN"/>
              </w:rPr>
              <w:t>全部委托清运，不外排</w:t>
            </w:r>
            <w:r>
              <w:rPr>
                <w:rFonts w:hint="eastAsia"/>
                <w:lang w:eastAsia="zh-CN"/>
              </w:rPr>
              <w:t>。</w:t>
            </w:r>
          </w:p>
        </w:tc>
      </w:tr>
      <w:tr w14:paraId="2FD6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7ED3D60B">
            <w:pPr>
              <w:pStyle w:val="19"/>
              <w:bidi w:val="0"/>
            </w:pPr>
            <w:r>
              <w:t>地下水环境</w:t>
            </w:r>
          </w:p>
        </w:tc>
        <w:tc>
          <w:tcPr>
            <w:tcW w:w="1054" w:type="pct"/>
            <w:noWrap w:val="0"/>
            <w:vAlign w:val="center"/>
          </w:tcPr>
          <w:p w14:paraId="6404BDCE">
            <w:pPr>
              <w:pStyle w:val="19"/>
              <w:bidi w:val="0"/>
            </w:pPr>
            <w:r>
              <w:t>三级</w:t>
            </w:r>
          </w:p>
        </w:tc>
        <w:tc>
          <w:tcPr>
            <w:tcW w:w="2641" w:type="pct"/>
            <w:noWrap w:val="0"/>
            <w:vAlign w:val="center"/>
          </w:tcPr>
          <w:p w14:paraId="68744E6B">
            <w:pPr>
              <w:pStyle w:val="19"/>
              <w:bidi w:val="0"/>
            </w:pPr>
            <w:r>
              <w:rPr>
                <w:rFonts w:hint="eastAsia"/>
              </w:rPr>
              <w:t>厂区地下水区域上游</w:t>
            </w:r>
            <w:r>
              <w:t>0.5km</w:t>
            </w:r>
            <w:r>
              <w:rPr>
                <w:rFonts w:hint="eastAsia"/>
              </w:rPr>
              <w:t>，下游</w:t>
            </w:r>
            <w:r>
              <w:t>2.5km</w:t>
            </w:r>
            <w:r>
              <w:rPr>
                <w:rFonts w:hint="eastAsia"/>
              </w:rPr>
              <w:t>，两侧各</w:t>
            </w:r>
            <w:r>
              <w:t>1km</w:t>
            </w:r>
            <w:r>
              <w:rPr>
                <w:rFonts w:hint="eastAsia"/>
              </w:rPr>
              <w:t>的区域，评价范围面积</w:t>
            </w:r>
            <w:r>
              <w:t>6km</w:t>
            </w:r>
            <w:r>
              <w:rPr>
                <w:vertAlign w:val="superscript"/>
              </w:rPr>
              <w:t>2</w:t>
            </w:r>
          </w:p>
        </w:tc>
      </w:tr>
      <w:tr w14:paraId="16B3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26E4163B">
            <w:pPr>
              <w:pStyle w:val="19"/>
              <w:bidi w:val="0"/>
            </w:pPr>
            <w:r>
              <w:t>声环境</w:t>
            </w:r>
          </w:p>
        </w:tc>
        <w:tc>
          <w:tcPr>
            <w:tcW w:w="1054" w:type="pct"/>
            <w:noWrap w:val="0"/>
            <w:vAlign w:val="center"/>
          </w:tcPr>
          <w:p w14:paraId="655C5138">
            <w:pPr>
              <w:pStyle w:val="19"/>
              <w:bidi w:val="0"/>
            </w:pPr>
            <w:r>
              <w:rPr>
                <w:rFonts w:hint="eastAsia"/>
              </w:rPr>
              <w:t>二</w:t>
            </w:r>
            <w:r>
              <w:t>级</w:t>
            </w:r>
          </w:p>
        </w:tc>
        <w:tc>
          <w:tcPr>
            <w:tcW w:w="2641" w:type="pct"/>
            <w:noWrap w:val="0"/>
            <w:vAlign w:val="center"/>
          </w:tcPr>
          <w:p w14:paraId="02789378">
            <w:pPr>
              <w:pStyle w:val="19"/>
              <w:bidi w:val="0"/>
            </w:pPr>
            <w:r>
              <w:t>厂界外200m范围内</w:t>
            </w:r>
          </w:p>
        </w:tc>
      </w:tr>
      <w:tr w14:paraId="27BC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180B4493">
            <w:pPr>
              <w:pStyle w:val="19"/>
              <w:bidi w:val="0"/>
            </w:pPr>
            <w:r>
              <w:t>生态环境</w:t>
            </w:r>
          </w:p>
        </w:tc>
        <w:tc>
          <w:tcPr>
            <w:tcW w:w="1054" w:type="pct"/>
            <w:noWrap w:val="0"/>
            <w:vAlign w:val="center"/>
          </w:tcPr>
          <w:p w14:paraId="7A298042">
            <w:pPr>
              <w:pStyle w:val="19"/>
              <w:bidi w:val="0"/>
            </w:pPr>
            <w:r>
              <w:t>三级</w:t>
            </w:r>
          </w:p>
        </w:tc>
        <w:tc>
          <w:tcPr>
            <w:tcW w:w="2641" w:type="pct"/>
            <w:noWrap w:val="0"/>
            <w:vAlign w:val="center"/>
          </w:tcPr>
          <w:p w14:paraId="62C215CD">
            <w:pPr>
              <w:pStyle w:val="19"/>
              <w:bidi w:val="0"/>
            </w:pPr>
            <w:r>
              <w:t>项目区</w:t>
            </w:r>
          </w:p>
        </w:tc>
      </w:tr>
      <w:tr w14:paraId="418B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02BF5CCA">
            <w:pPr>
              <w:pStyle w:val="19"/>
              <w:bidi w:val="0"/>
            </w:pPr>
            <w:r>
              <w:t>土壤环境</w:t>
            </w:r>
          </w:p>
        </w:tc>
        <w:tc>
          <w:tcPr>
            <w:tcW w:w="1054" w:type="pct"/>
            <w:noWrap w:val="0"/>
            <w:vAlign w:val="center"/>
          </w:tcPr>
          <w:p w14:paraId="440556DF">
            <w:pPr>
              <w:pStyle w:val="19"/>
              <w:bidi w:val="0"/>
            </w:pPr>
            <w:r>
              <w:rPr>
                <w:rFonts w:hint="eastAsia"/>
                <w:lang w:val="en-US" w:eastAsia="zh-CN"/>
              </w:rPr>
              <w:t>二</w:t>
            </w:r>
            <w:r>
              <w:t>级</w:t>
            </w:r>
          </w:p>
        </w:tc>
        <w:tc>
          <w:tcPr>
            <w:tcW w:w="2641" w:type="pct"/>
            <w:noWrap w:val="0"/>
            <w:vAlign w:val="center"/>
          </w:tcPr>
          <w:p w14:paraId="4BE302B7">
            <w:pPr>
              <w:pStyle w:val="19"/>
              <w:bidi w:val="0"/>
            </w:pPr>
            <w:r>
              <w:rPr>
                <w:rFonts w:hint="eastAsia"/>
                <w:lang w:val="en-US" w:eastAsia="zh-CN"/>
              </w:rPr>
              <w:t>项目区及</w:t>
            </w:r>
            <w:r>
              <w:rPr>
                <w:rFonts w:hint="eastAsia"/>
              </w:rPr>
              <w:t>厂界外</w:t>
            </w:r>
            <w:r>
              <w:rPr>
                <w:rFonts w:hint="eastAsia"/>
                <w:lang w:val="en-US" w:eastAsia="zh-CN"/>
              </w:rPr>
              <w:t>0.2k</w:t>
            </w:r>
            <w:r>
              <w:rPr>
                <w:rFonts w:hint="eastAsia"/>
              </w:rPr>
              <w:t>m范围内</w:t>
            </w:r>
          </w:p>
        </w:tc>
      </w:tr>
      <w:tr w14:paraId="50E1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4" w:type="pct"/>
            <w:noWrap w:val="0"/>
            <w:vAlign w:val="center"/>
          </w:tcPr>
          <w:p w14:paraId="0644E8B1">
            <w:pPr>
              <w:pStyle w:val="19"/>
              <w:bidi w:val="0"/>
            </w:pPr>
            <w:r>
              <w:t>环境风险</w:t>
            </w:r>
          </w:p>
        </w:tc>
        <w:tc>
          <w:tcPr>
            <w:tcW w:w="1054" w:type="pct"/>
            <w:noWrap w:val="0"/>
            <w:vAlign w:val="center"/>
          </w:tcPr>
          <w:p w14:paraId="753FD61D">
            <w:pPr>
              <w:pStyle w:val="19"/>
              <w:bidi w:val="0"/>
            </w:pPr>
            <w:r>
              <w:t>简单分析</w:t>
            </w:r>
          </w:p>
        </w:tc>
        <w:tc>
          <w:tcPr>
            <w:tcW w:w="2641" w:type="pct"/>
            <w:noWrap w:val="0"/>
            <w:vAlign w:val="center"/>
          </w:tcPr>
          <w:p w14:paraId="4C4AF4DE">
            <w:pPr>
              <w:pStyle w:val="19"/>
              <w:bidi w:val="0"/>
            </w:pPr>
            <w:r>
              <w:t>不设评价范围</w:t>
            </w:r>
          </w:p>
        </w:tc>
      </w:tr>
    </w:tbl>
    <w:p w14:paraId="0FDCD0AF">
      <w:pPr>
        <w:rPr>
          <w:rFonts w:hint="default"/>
          <w:lang w:val="en-US" w:eastAsia="zh-CN"/>
        </w:rPr>
      </w:pPr>
    </w:p>
    <w:p w14:paraId="3CBD9E1E">
      <w:pPr>
        <w:bidi w:val="0"/>
        <w:rPr>
          <w:rFonts w:hint="eastAsia"/>
          <w:lang w:val="en-US" w:eastAsia="zh-CN"/>
        </w:rPr>
        <w:sectPr>
          <w:pgSz w:w="11906" w:h="16838"/>
          <w:pgMar w:top="1440" w:right="1800" w:bottom="1440" w:left="1800" w:header="794"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03BD327A">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2D8E9D66">
      <w:pPr>
        <w:pStyle w:val="26"/>
        <w:bidi w:val="0"/>
        <w:rPr>
          <w:rFonts w:hint="default"/>
          <w:lang w:val="en-US" w:eastAsia="zh-CN"/>
        </w:rPr>
      </w:pPr>
      <w:bookmarkStart w:id="11" w:name="_Toc2925"/>
      <w:r>
        <w:rPr>
          <w:rFonts w:hint="eastAsia"/>
          <w:lang w:val="en-US" w:eastAsia="zh-CN"/>
        </w:rPr>
        <w:t>相关规划及环境功能区划</w:t>
      </w:r>
      <w:bookmarkEnd w:id="11"/>
    </w:p>
    <w:p w14:paraId="0A2DE915">
      <w:pPr>
        <w:pStyle w:val="27"/>
        <w:bidi w:val="0"/>
      </w:pPr>
      <w:r>
        <w:rPr>
          <w:rFonts w:hint="eastAsia"/>
        </w:rPr>
        <w:t>环境空气功能区划</w:t>
      </w:r>
    </w:p>
    <w:p w14:paraId="33C233BD">
      <w:pPr>
        <w:bidi w:val="0"/>
        <w:ind w:firstLine="480" w:firstLineChars="200"/>
        <w:rPr>
          <w:color w:val="000000"/>
          <w:highlight w:val="none"/>
        </w:rPr>
      </w:pPr>
      <w:r>
        <w:rPr>
          <w:rFonts w:hint="eastAsia"/>
          <w:color w:val="000000"/>
          <w:highlight w:val="none"/>
        </w:rPr>
        <w:t>本项目选址位于</w:t>
      </w:r>
      <w:r>
        <w:rPr>
          <w:rFonts w:hint="eastAsia"/>
          <w:color w:val="000000"/>
          <w:highlight w:val="none"/>
          <w:lang w:val="en-US" w:eastAsia="zh-CN"/>
        </w:rPr>
        <w:t>第七师129</w:t>
      </w:r>
      <w:r>
        <w:rPr>
          <w:rFonts w:hint="eastAsia"/>
          <w:color w:val="000000"/>
          <w:highlight w:val="none"/>
        </w:rPr>
        <w:t>团</w:t>
      </w:r>
      <w:r>
        <w:rPr>
          <w:rFonts w:hint="eastAsia"/>
          <w:color w:val="000000"/>
          <w:highlight w:val="none"/>
          <w:lang w:val="en-US" w:eastAsia="zh-CN"/>
        </w:rPr>
        <w:t>13连</w:t>
      </w:r>
      <w:r>
        <w:rPr>
          <w:rFonts w:hint="eastAsia"/>
          <w:color w:val="000000"/>
          <w:highlight w:val="none"/>
        </w:rPr>
        <w:t>，周边无自然保护区、风景名胜区和其他需要特殊保护的区域。根据《环境空气质量标准》（</w:t>
      </w:r>
      <w:r>
        <w:rPr>
          <w:color w:val="000000"/>
          <w:highlight w:val="none"/>
        </w:rPr>
        <w:t>GB3095-2012</w:t>
      </w:r>
      <w:r>
        <w:rPr>
          <w:rFonts w:hint="eastAsia"/>
          <w:color w:val="000000"/>
          <w:highlight w:val="none"/>
        </w:rPr>
        <w:t>）中的规定，</w:t>
      </w:r>
      <w:r>
        <w:rPr>
          <w:rFonts w:hint="eastAsia"/>
          <w:color w:val="000000"/>
          <w:highlight w:val="none"/>
          <w:lang w:val="en-US" w:eastAsia="zh-CN"/>
        </w:rPr>
        <w:t>本</w:t>
      </w:r>
      <w:r>
        <w:rPr>
          <w:rFonts w:hint="eastAsia"/>
          <w:color w:val="000000"/>
          <w:highlight w:val="none"/>
        </w:rPr>
        <w:t>项目所在区的环境空气质量工</w:t>
      </w:r>
      <w:r>
        <w:rPr>
          <w:rFonts w:hint="eastAsia"/>
          <w:color w:val="000000"/>
          <w:highlight w:val="none"/>
          <w:lang w:val="en-US" w:eastAsia="zh-CN"/>
        </w:rPr>
        <w:t>能</w:t>
      </w:r>
      <w:r>
        <w:rPr>
          <w:rFonts w:hint="eastAsia"/>
          <w:color w:val="000000"/>
          <w:highlight w:val="none"/>
        </w:rPr>
        <w:t>区划属于二类功能区。</w:t>
      </w:r>
    </w:p>
    <w:p w14:paraId="69366FCE">
      <w:pPr>
        <w:pStyle w:val="27"/>
        <w:bidi w:val="0"/>
      </w:pPr>
      <w:r>
        <w:rPr>
          <w:rFonts w:hint="eastAsia"/>
        </w:rPr>
        <w:t>水环境功能区划</w:t>
      </w:r>
    </w:p>
    <w:p w14:paraId="372137D3">
      <w:pPr>
        <w:bidi w:val="0"/>
        <w:ind w:firstLine="480" w:firstLineChars="200"/>
        <w:rPr>
          <w:rFonts w:hint="eastAsia"/>
          <w:color w:val="000000"/>
          <w:highlight w:val="none"/>
          <w:lang w:eastAsia="zh-CN"/>
        </w:rPr>
      </w:pPr>
      <w:r>
        <w:rPr>
          <w:rFonts w:hint="eastAsia"/>
          <w:color w:val="000000"/>
          <w:highlight w:val="none"/>
        </w:rPr>
        <w:t>根据《地下水质量标准》（</w:t>
      </w:r>
      <w:r>
        <w:rPr>
          <w:color w:val="000000"/>
          <w:highlight w:val="none"/>
        </w:rPr>
        <w:t>GB/T1484</w:t>
      </w:r>
      <w:r>
        <w:rPr>
          <w:rFonts w:hint="eastAsia"/>
          <w:color w:val="000000"/>
          <w:highlight w:val="none"/>
        </w:rPr>
        <w:t>8</w:t>
      </w:r>
      <w:r>
        <w:rPr>
          <w:color w:val="000000"/>
          <w:highlight w:val="none"/>
        </w:rPr>
        <w:t>-2017</w:t>
      </w:r>
      <w:r>
        <w:rPr>
          <w:rFonts w:hint="eastAsia"/>
          <w:color w:val="000000"/>
          <w:highlight w:val="none"/>
        </w:rPr>
        <w:t>）中的规定，项目所在区域地下水功能不属于集中式生活饮用水水源。依据项目区周围地区地下水的使用情况，主要作为饮用水及工农业用水。按照地下水质量分类，项目区及其周围地区的地下水应属于</w:t>
      </w:r>
      <w:r>
        <w:rPr>
          <w:color w:val="000000"/>
          <w:highlight w:val="none"/>
        </w:rPr>
        <w:t>Ⅲ</w:t>
      </w:r>
      <w:r>
        <w:rPr>
          <w:rFonts w:hint="eastAsia"/>
          <w:color w:val="000000"/>
          <w:highlight w:val="none"/>
        </w:rPr>
        <w:t>类（以人体健康基准值为依据，主要适用于集中式生活饮用水水源及工、农业用水），水质评价标准按《地下水质量标准》（</w:t>
      </w:r>
      <w:r>
        <w:rPr>
          <w:color w:val="000000"/>
          <w:highlight w:val="none"/>
        </w:rPr>
        <w:t>GB/T</w:t>
      </w:r>
      <w:r>
        <w:rPr>
          <w:rFonts w:hint="eastAsia"/>
          <w:color w:val="000000"/>
          <w:highlight w:val="none"/>
        </w:rPr>
        <w:t xml:space="preserve"> </w:t>
      </w:r>
      <w:r>
        <w:rPr>
          <w:color w:val="000000"/>
          <w:highlight w:val="none"/>
        </w:rPr>
        <w:t>1484</w:t>
      </w:r>
      <w:r>
        <w:rPr>
          <w:rFonts w:hint="eastAsia"/>
          <w:color w:val="000000"/>
          <w:highlight w:val="none"/>
        </w:rPr>
        <w:t>8</w:t>
      </w:r>
      <w:r>
        <w:rPr>
          <w:color w:val="000000"/>
          <w:highlight w:val="none"/>
        </w:rPr>
        <w:t>-2017</w:t>
      </w:r>
      <w:r>
        <w:rPr>
          <w:rFonts w:hint="eastAsia"/>
          <w:color w:val="000000"/>
          <w:highlight w:val="none"/>
        </w:rPr>
        <w:t>）中的</w:t>
      </w:r>
      <w:r>
        <w:rPr>
          <w:color w:val="000000"/>
          <w:highlight w:val="none"/>
        </w:rPr>
        <w:t>Ⅲ</w:t>
      </w:r>
      <w:r>
        <w:rPr>
          <w:rFonts w:hint="eastAsia"/>
          <w:color w:val="000000"/>
          <w:highlight w:val="none"/>
        </w:rPr>
        <w:t>类标准进行</w:t>
      </w:r>
      <w:r>
        <w:rPr>
          <w:rFonts w:hint="eastAsia"/>
          <w:color w:val="000000"/>
          <w:highlight w:val="none"/>
          <w:lang w:eastAsia="zh-CN"/>
        </w:rPr>
        <w:t>。</w:t>
      </w:r>
    </w:p>
    <w:p w14:paraId="486934C5">
      <w:pPr>
        <w:pStyle w:val="27"/>
        <w:bidi w:val="0"/>
        <w:rPr>
          <w:rFonts w:hint="eastAsia"/>
        </w:rPr>
      </w:pPr>
      <w:r>
        <w:rPr>
          <w:rFonts w:hint="eastAsia"/>
        </w:rPr>
        <w:t>声环境功能区划</w:t>
      </w:r>
    </w:p>
    <w:p w14:paraId="45E816A1">
      <w:pPr>
        <w:bidi w:val="0"/>
        <w:ind w:firstLine="480" w:firstLineChars="200"/>
        <w:rPr>
          <w:rFonts w:hint="eastAsia"/>
          <w:color w:val="000000"/>
          <w:highlight w:val="none"/>
        </w:rPr>
      </w:pPr>
      <w:r>
        <w:rPr>
          <w:rFonts w:hint="eastAsia"/>
          <w:color w:val="000000"/>
          <w:highlight w:val="none"/>
        </w:rPr>
        <w:t>根据《声环境质量标准》（GB3096-2008）声环境分类区域划分，项目所在地为2类声环境功能区，执行《声环境质量标准》（GB3096-2008）中2类标准要求。</w:t>
      </w:r>
    </w:p>
    <w:p w14:paraId="27904CE7">
      <w:pPr>
        <w:pStyle w:val="27"/>
        <w:bidi w:val="0"/>
        <w:rPr>
          <w:rFonts w:hint="eastAsia"/>
        </w:rPr>
      </w:pPr>
      <w:r>
        <w:rPr>
          <w:rFonts w:hint="eastAsia"/>
        </w:rPr>
        <w:t>生态环境功能区划</w:t>
      </w:r>
    </w:p>
    <w:p w14:paraId="1C797254">
      <w:pPr>
        <w:rPr>
          <w:rFonts w:hint="eastAsia"/>
          <w:color w:val="000000"/>
          <w:highlight w:val="none"/>
          <w:lang w:val="en-US" w:eastAsia="zh-CN"/>
        </w:rPr>
      </w:pPr>
      <w:r>
        <w:rPr>
          <w:rFonts w:hint="default"/>
          <w:color w:val="000000"/>
          <w:highlight w:val="none"/>
          <w:lang w:val="en-US" w:eastAsia="zh-CN"/>
        </w:rPr>
        <w:t>根据《新疆生态功能区划》，全疆被分划分为5个生态区18个生态亚区。</w:t>
      </w:r>
      <w:r>
        <w:rPr>
          <w:rFonts w:hint="eastAsia"/>
          <w:color w:val="000000"/>
          <w:highlight w:val="none"/>
          <w:lang w:val="en-US" w:eastAsia="zh-CN"/>
        </w:rPr>
        <w:t>本项目</w:t>
      </w:r>
      <w:r>
        <w:rPr>
          <w:rFonts w:hint="default"/>
          <w:color w:val="000000"/>
          <w:highlight w:val="none"/>
          <w:lang w:val="en-US" w:eastAsia="zh-CN"/>
        </w:rPr>
        <w:t>属于Ⅱ准噶尔盆地温性荒漠与绿洲农业生态区，生态亚区属于Ⅱ</w:t>
      </w:r>
      <w:r>
        <w:rPr>
          <w:rFonts w:hint="eastAsia"/>
          <w:color w:val="000000"/>
          <w:highlight w:val="none"/>
          <w:vertAlign w:val="subscript"/>
          <w:lang w:val="en-US" w:eastAsia="zh-CN"/>
        </w:rPr>
        <w:t>3</w:t>
      </w:r>
      <w:r>
        <w:rPr>
          <w:rFonts w:hint="default"/>
          <w:color w:val="000000"/>
          <w:highlight w:val="none"/>
          <w:lang w:val="en-US" w:eastAsia="zh-CN"/>
        </w:rPr>
        <w:t>准噶尔盆地中部固定、半固定沙漠生态亚区，生态功能区属于</w:t>
      </w:r>
      <w:r>
        <w:rPr>
          <w:rFonts w:hint="eastAsia"/>
          <w:color w:val="000000"/>
          <w:highlight w:val="none"/>
          <w:lang w:val="en-US" w:eastAsia="zh-CN"/>
        </w:rPr>
        <w:t>23</w:t>
      </w:r>
      <w:r>
        <w:rPr>
          <w:rFonts w:hint="default"/>
          <w:color w:val="000000"/>
          <w:highlight w:val="none"/>
          <w:lang w:val="en-US" w:eastAsia="zh-CN"/>
        </w:rPr>
        <w:t>．古尔班通古特沙漠化敏感及植被保护生态功能区。</w:t>
      </w:r>
      <w:r>
        <w:rPr>
          <w:rFonts w:hint="eastAsia"/>
          <w:color w:val="000000"/>
          <w:highlight w:val="none"/>
          <w:lang w:val="en-US" w:eastAsia="zh-CN"/>
        </w:rPr>
        <w:t>生态功能区划见表2.4-1，本项目所处生态功能区见图2.4-1。</w:t>
      </w:r>
    </w:p>
    <w:p w14:paraId="205CC155">
      <w:pPr>
        <w:pStyle w:val="31"/>
        <w:bidi w:val="0"/>
        <w:rPr>
          <w:rFonts w:hint="default"/>
          <w:color w:val="000000"/>
          <w:highlight w:val="none"/>
          <w:lang w:val="en-US" w:eastAsia="zh-CN"/>
        </w:rPr>
      </w:pPr>
      <w:r>
        <w:rPr>
          <w:rFonts w:hint="eastAsia"/>
          <w:color w:val="000000"/>
          <w:highlight w:val="none"/>
          <w:lang w:val="en-US" w:eastAsia="zh-CN"/>
        </w:rPr>
        <w:t xml:space="preserve">表2.4-1   </w:t>
      </w:r>
      <w:r>
        <w:t>本项目区生态功能区划简表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11"/>
        <w:gridCol w:w="6995"/>
      </w:tblGrid>
      <w:tr w14:paraId="58609D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7E12A6BD">
            <w:pPr>
              <w:pStyle w:val="19"/>
            </w:pPr>
            <w:r>
              <w:t>项目</w:t>
            </w:r>
          </w:p>
        </w:tc>
        <w:tc>
          <w:tcPr>
            <w:tcW w:w="4210" w:type="pct"/>
            <w:noWrap w:val="0"/>
            <w:tcMar>
              <w:left w:w="0" w:type="dxa"/>
              <w:right w:w="0" w:type="dxa"/>
            </w:tcMar>
            <w:vAlign w:val="top"/>
          </w:tcPr>
          <w:p w14:paraId="4E72941C">
            <w:pPr>
              <w:pStyle w:val="19"/>
            </w:pPr>
            <w:r>
              <w:t>区划</w:t>
            </w:r>
          </w:p>
        </w:tc>
      </w:tr>
      <w:tr w14:paraId="08EB82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17A85ACE">
            <w:pPr>
              <w:pStyle w:val="19"/>
            </w:pPr>
            <w:r>
              <w:t>生态区</w:t>
            </w:r>
          </w:p>
        </w:tc>
        <w:tc>
          <w:tcPr>
            <w:tcW w:w="4210" w:type="pct"/>
            <w:noWrap w:val="0"/>
            <w:tcMar>
              <w:left w:w="0" w:type="dxa"/>
              <w:right w:w="0" w:type="dxa"/>
            </w:tcMar>
            <w:vAlign w:val="center"/>
          </w:tcPr>
          <w:p w14:paraId="13D0CB23">
            <w:pPr>
              <w:pStyle w:val="19"/>
            </w:pPr>
            <w:r>
              <w:rPr>
                <w:rFonts w:hint="default"/>
                <w:lang w:val="en-US" w:eastAsia="zh-CN"/>
              </w:rPr>
              <w:t>Ⅱ准噶尔盆地温性荒漠与绿洲农业生态区</w:t>
            </w:r>
          </w:p>
        </w:tc>
      </w:tr>
      <w:tr w14:paraId="5990F9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7959D808">
            <w:pPr>
              <w:pStyle w:val="19"/>
            </w:pPr>
            <w:r>
              <w:t>生态亚区</w:t>
            </w:r>
          </w:p>
        </w:tc>
        <w:tc>
          <w:tcPr>
            <w:tcW w:w="4210" w:type="pct"/>
            <w:noWrap w:val="0"/>
            <w:tcMar>
              <w:left w:w="0" w:type="dxa"/>
              <w:right w:w="0" w:type="dxa"/>
            </w:tcMar>
            <w:vAlign w:val="center"/>
          </w:tcPr>
          <w:p w14:paraId="25D3D7D5">
            <w:pPr>
              <w:pStyle w:val="19"/>
            </w:pPr>
            <w:r>
              <w:rPr>
                <w:rFonts w:hint="default"/>
                <w:lang w:val="en-US" w:eastAsia="zh-CN"/>
              </w:rPr>
              <w:t>Ⅱ准噶尔盆地温性荒漠与绿洲农业生态区</w:t>
            </w:r>
          </w:p>
        </w:tc>
      </w:tr>
      <w:tr w14:paraId="2843F5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4DA1DE11">
            <w:pPr>
              <w:pStyle w:val="19"/>
            </w:pPr>
            <w:r>
              <w:t>生态功能区</w:t>
            </w:r>
          </w:p>
        </w:tc>
        <w:tc>
          <w:tcPr>
            <w:tcW w:w="4210" w:type="pct"/>
            <w:noWrap w:val="0"/>
            <w:tcMar>
              <w:left w:w="0" w:type="dxa"/>
              <w:right w:w="0" w:type="dxa"/>
            </w:tcMar>
            <w:vAlign w:val="center"/>
          </w:tcPr>
          <w:p w14:paraId="3F1ECFE7">
            <w:pPr>
              <w:pStyle w:val="19"/>
            </w:pPr>
            <w:r>
              <w:rPr>
                <w:rFonts w:hint="eastAsia"/>
                <w:lang w:val="en-US" w:eastAsia="zh-CN"/>
              </w:rPr>
              <w:t>23</w:t>
            </w:r>
            <w:r>
              <w:rPr>
                <w:rFonts w:hint="default"/>
                <w:lang w:val="en-US" w:eastAsia="zh-CN"/>
              </w:rPr>
              <w:t>．古尔班通古特沙漠化敏感及植被保护生态功能区</w:t>
            </w:r>
          </w:p>
        </w:tc>
      </w:tr>
      <w:tr w14:paraId="7DEB2D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27EEBF7C">
            <w:pPr>
              <w:pStyle w:val="19"/>
            </w:pPr>
            <w:r>
              <w:t>主要生态服务功能</w:t>
            </w:r>
          </w:p>
        </w:tc>
        <w:tc>
          <w:tcPr>
            <w:tcW w:w="4210" w:type="pct"/>
            <w:noWrap w:val="0"/>
            <w:tcMar>
              <w:left w:w="0" w:type="dxa"/>
              <w:right w:w="0" w:type="dxa"/>
            </w:tcMar>
            <w:vAlign w:val="center"/>
          </w:tcPr>
          <w:p w14:paraId="28CCD45F">
            <w:pPr>
              <w:pStyle w:val="19"/>
            </w:pPr>
            <w:r>
              <w:rPr>
                <w:rFonts w:hint="eastAsia" w:ascii="宋体" w:hAnsi="宋体"/>
              </w:rPr>
              <w:t>沙漠化控制、生物多样性维护</w:t>
            </w:r>
          </w:p>
        </w:tc>
      </w:tr>
      <w:tr w14:paraId="14EB33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20DC9E84">
            <w:pPr>
              <w:pStyle w:val="19"/>
            </w:pPr>
            <w:r>
              <w:t>主要生态环境问题</w:t>
            </w:r>
          </w:p>
        </w:tc>
        <w:tc>
          <w:tcPr>
            <w:tcW w:w="4210" w:type="pct"/>
            <w:noWrap w:val="0"/>
            <w:tcMar>
              <w:left w:w="0" w:type="dxa"/>
              <w:right w:w="0" w:type="dxa"/>
            </w:tcMar>
            <w:vAlign w:val="center"/>
          </w:tcPr>
          <w:p w14:paraId="01242534">
            <w:pPr>
              <w:pStyle w:val="19"/>
            </w:pPr>
            <w:r>
              <w:rPr>
                <w:rFonts w:hint="eastAsia" w:ascii="宋体" w:hAnsi="宋体"/>
              </w:rPr>
              <w:t>人为干扰范围扩大、工程建设引起沙漠植被破坏、鼠害严重、植被退化、沙漠化构成对南缘绿洲的威胁</w:t>
            </w:r>
          </w:p>
        </w:tc>
      </w:tr>
      <w:tr w14:paraId="6DAB9D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405424D9">
            <w:pPr>
              <w:pStyle w:val="19"/>
            </w:pPr>
            <w:r>
              <w:rPr>
                <w:rFonts w:hint="eastAsia"/>
              </w:rPr>
              <w:t>主要生态敏感因子、敏感程度</w:t>
            </w:r>
          </w:p>
        </w:tc>
        <w:tc>
          <w:tcPr>
            <w:tcW w:w="4210" w:type="pct"/>
            <w:noWrap w:val="0"/>
            <w:tcMar>
              <w:left w:w="0" w:type="dxa"/>
              <w:right w:w="0" w:type="dxa"/>
            </w:tcMar>
            <w:vAlign w:val="center"/>
          </w:tcPr>
          <w:p w14:paraId="3DA1EFC0">
            <w:pPr>
              <w:pStyle w:val="19"/>
              <w:rPr>
                <w:rFonts w:hint="eastAsia" w:ascii="宋体" w:hAnsi="宋体" w:eastAsia="宋体"/>
                <w:lang w:eastAsia="zh-CN"/>
              </w:rPr>
            </w:pPr>
            <w:r>
              <w:rPr>
                <w:rFonts w:hint="eastAsia" w:ascii="宋体" w:hAnsi="宋体"/>
              </w:rPr>
              <w:t>生物多样性及其生境高度敏感，土地沙漠化极度敏感，土壤侵蚀高度敏感、土壤盐渍化轻度敏感</w:t>
            </w:r>
            <w:r>
              <w:rPr>
                <w:rFonts w:hint="eastAsia" w:ascii="宋体" w:hAnsi="宋体"/>
                <w:lang w:eastAsia="zh-CN"/>
              </w:rPr>
              <w:t>。</w:t>
            </w:r>
          </w:p>
        </w:tc>
      </w:tr>
      <w:tr w14:paraId="22A85B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02F45F1D">
            <w:pPr>
              <w:pStyle w:val="19"/>
            </w:pPr>
            <w:r>
              <w:t>主要保护目标</w:t>
            </w:r>
          </w:p>
        </w:tc>
        <w:tc>
          <w:tcPr>
            <w:tcW w:w="4210" w:type="pct"/>
            <w:noWrap w:val="0"/>
            <w:tcMar>
              <w:left w:w="0" w:type="dxa"/>
              <w:right w:w="0" w:type="dxa"/>
            </w:tcMar>
            <w:vAlign w:val="center"/>
          </w:tcPr>
          <w:p w14:paraId="618CB05A">
            <w:pPr>
              <w:pStyle w:val="19"/>
            </w:pPr>
            <w:r>
              <w:rPr>
                <w:rFonts w:hint="eastAsia" w:ascii="宋体" w:hAnsi="宋体"/>
              </w:rPr>
              <w:t>保护沙漠植被、防止沙丘活化</w:t>
            </w:r>
          </w:p>
        </w:tc>
      </w:tr>
      <w:tr w14:paraId="561D23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43E08CB7">
            <w:pPr>
              <w:pStyle w:val="19"/>
            </w:pPr>
            <w:r>
              <w:t>主要保护措施</w:t>
            </w:r>
          </w:p>
        </w:tc>
        <w:tc>
          <w:tcPr>
            <w:tcW w:w="4210" w:type="pct"/>
            <w:noWrap w:val="0"/>
            <w:tcMar>
              <w:left w:w="0" w:type="dxa"/>
              <w:right w:w="0" w:type="dxa"/>
            </w:tcMar>
            <w:vAlign w:val="center"/>
          </w:tcPr>
          <w:p w14:paraId="575F42CC">
            <w:pPr>
              <w:pStyle w:val="19"/>
            </w:pPr>
            <w:r>
              <w:rPr>
                <w:rFonts w:hint="eastAsia" w:ascii="宋体" w:hAnsi="宋体"/>
              </w:rPr>
              <w:t>对沙漠边缘流动沙丘、活化沙地进行封沙育林、退耕还林（草），禁止憔采和放牧，禁止开荒</w:t>
            </w:r>
            <w:r>
              <w:t>。</w:t>
            </w:r>
          </w:p>
        </w:tc>
      </w:tr>
      <w:tr w14:paraId="770DC6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89" w:type="pct"/>
            <w:noWrap w:val="0"/>
            <w:tcMar>
              <w:left w:w="0" w:type="dxa"/>
              <w:right w:w="0" w:type="dxa"/>
            </w:tcMar>
            <w:vAlign w:val="center"/>
          </w:tcPr>
          <w:p w14:paraId="7D53B7A7">
            <w:pPr>
              <w:pStyle w:val="19"/>
            </w:pPr>
            <w:r>
              <w:t>主要发展方向</w:t>
            </w:r>
          </w:p>
        </w:tc>
        <w:tc>
          <w:tcPr>
            <w:tcW w:w="4210" w:type="pct"/>
            <w:noWrap w:val="0"/>
            <w:tcMar>
              <w:left w:w="0" w:type="dxa"/>
              <w:right w:w="0" w:type="dxa"/>
            </w:tcMar>
            <w:vAlign w:val="center"/>
          </w:tcPr>
          <w:p w14:paraId="1A9354CD">
            <w:pPr>
              <w:pStyle w:val="19"/>
            </w:pPr>
            <w:r>
              <w:rPr>
                <w:rFonts w:hint="eastAsia" w:ascii="宋体" w:hAnsi="宋体"/>
              </w:rPr>
              <w:t>维护固定、半固定沙漠景观与植被，治理活化沙丘，遏制蔓延</w:t>
            </w:r>
          </w:p>
        </w:tc>
      </w:tr>
    </w:tbl>
    <w:p w14:paraId="648467AE">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color w:val="000000"/>
          <w:highlight w:val="none"/>
          <w:lang w:val="en-US" w:eastAsia="zh-CN"/>
        </w:rPr>
      </w:pPr>
    </w:p>
    <w:p w14:paraId="21150256">
      <w:pPr>
        <w:pStyle w:val="31"/>
        <w:bidi w:val="0"/>
        <w:rPr>
          <w:rFonts w:hint="default"/>
          <w:lang w:val="en-US" w:eastAsia="zh-CN"/>
        </w:rPr>
      </w:pPr>
    </w:p>
    <w:p w14:paraId="7E9F2C7D">
      <w:pPr>
        <w:rPr>
          <w:rFonts w:hint="default"/>
          <w:color w:val="000000"/>
          <w:highlight w:val="none"/>
          <w:lang w:val="en-US" w:eastAsia="zh-CN"/>
        </w:rPr>
      </w:pPr>
      <w:r>
        <w:rPr>
          <w:rFonts w:hint="default"/>
          <w:color w:val="000000"/>
          <w:highlight w:val="none"/>
          <w:lang w:val="en-US" w:eastAsia="zh-CN"/>
        </w:rPr>
        <w:t>根据《新疆生产建设兵团生态功能区划》，兵团被划分为5个生态区14个生态亚区。</w:t>
      </w:r>
      <w:r>
        <w:rPr>
          <w:rFonts w:hint="eastAsia"/>
          <w:color w:val="000000"/>
          <w:highlight w:val="none"/>
          <w:lang w:val="en-US" w:eastAsia="zh-CN"/>
        </w:rPr>
        <w:t>本项目选址区域</w:t>
      </w:r>
      <w:r>
        <w:rPr>
          <w:rFonts w:hint="default"/>
          <w:color w:val="000000"/>
          <w:highlight w:val="none"/>
          <w:lang w:val="en-US" w:eastAsia="zh-CN"/>
        </w:rPr>
        <w:t>属于Ⅱ兵团准噶尔盆地温带干旱荒漠与绿洲生态区-3.六、七、八、十二师准噶尔盆地南部灌木、半灌木荒漠、绿洲农业生态亚区-11.六、七、八师奎屯—石河子—五家渠城镇与绿洲生态功能区。</w:t>
      </w:r>
    </w:p>
    <w:p w14:paraId="3C46D5F8">
      <w:pPr>
        <w:snapToGrid w:val="0"/>
        <w:ind w:firstLine="480"/>
        <w:rPr>
          <w:szCs w:val="20"/>
        </w:rPr>
      </w:pPr>
      <w:r>
        <w:rPr>
          <w:szCs w:val="20"/>
        </w:rPr>
        <w:t>生态功能区划见表2.</w:t>
      </w:r>
      <w:r>
        <w:rPr>
          <w:rFonts w:hint="eastAsia"/>
          <w:szCs w:val="20"/>
          <w:lang w:val="en-US" w:eastAsia="zh-CN"/>
        </w:rPr>
        <w:t>4</w:t>
      </w:r>
      <w:r>
        <w:rPr>
          <w:szCs w:val="20"/>
        </w:rPr>
        <w:t>-</w:t>
      </w:r>
      <w:r>
        <w:rPr>
          <w:rFonts w:hint="eastAsia"/>
          <w:szCs w:val="20"/>
          <w:lang w:val="en-US" w:eastAsia="zh-CN"/>
        </w:rPr>
        <w:t>2</w:t>
      </w:r>
      <w:r>
        <w:rPr>
          <w:szCs w:val="20"/>
        </w:rPr>
        <w:t>。</w:t>
      </w:r>
      <w:r>
        <w:rPr>
          <w:rFonts w:hint="eastAsia"/>
          <w:szCs w:val="20"/>
        </w:rPr>
        <w:t>本</w:t>
      </w:r>
      <w:r>
        <w:rPr>
          <w:szCs w:val="20"/>
        </w:rPr>
        <w:t>项目所处生态功能区见图2.</w:t>
      </w:r>
      <w:r>
        <w:rPr>
          <w:rFonts w:hint="eastAsia"/>
          <w:szCs w:val="20"/>
          <w:lang w:val="en-US" w:eastAsia="zh-CN"/>
        </w:rPr>
        <w:t>4</w:t>
      </w:r>
      <w:r>
        <w:rPr>
          <w:szCs w:val="20"/>
        </w:rPr>
        <w:t>-</w:t>
      </w:r>
      <w:r>
        <w:rPr>
          <w:rFonts w:hint="eastAsia"/>
          <w:szCs w:val="20"/>
          <w:lang w:val="en-US" w:eastAsia="zh-CN"/>
        </w:rPr>
        <w:t>2</w:t>
      </w:r>
      <w:r>
        <w:rPr>
          <w:szCs w:val="20"/>
        </w:rPr>
        <w:t>。</w:t>
      </w:r>
    </w:p>
    <w:p w14:paraId="6FEE8A22">
      <w:pPr>
        <w:snapToGrid w:val="0"/>
        <w:ind w:firstLine="480"/>
        <w:rPr>
          <w:szCs w:val="20"/>
        </w:rPr>
      </w:pPr>
    </w:p>
    <w:p w14:paraId="0EE11F45">
      <w:pPr>
        <w:pStyle w:val="30"/>
        <w:spacing w:before="65"/>
      </w:pPr>
      <w:r>
        <w:t>表2.</w:t>
      </w:r>
      <w:r>
        <w:rPr>
          <w:rFonts w:hint="eastAsia"/>
          <w:lang w:val="en-US" w:eastAsia="zh-CN"/>
        </w:rPr>
        <w:t>4</w:t>
      </w:r>
      <w:r>
        <w:t>-</w:t>
      </w:r>
      <w:r>
        <w:rPr>
          <w:rFonts w:hint="eastAsia"/>
          <w:lang w:val="en-US" w:eastAsia="zh-CN"/>
        </w:rPr>
        <w:t>2</w:t>
      </w:r>
      <w:r>
        <w:t xml:space="preserve">   本项目区生态功能区划简表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41"/>
        <w:gridCol w:w="6965"/>
      </w:tblGrid>
      <w:tr w14:paraId="60939E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807" w:type="pct"/>
            <w:noWrap w:val="0"/>
            <w:tcMar>
              <w:left w:w="0" w:type="dxa"/>
              <w:right w:w="0" w:type="dxa"/>
            </w:tcMar>
            <w:vAlign w:val="center"/>
          </w:tcPr>
          <w:p w14:paraId="601CCBF2">
            <w:pPr>
              <w:pStyle w:val="19"/>
            </w:pPr>
            <w:r>
              <w:t>项目</w:t>
            </w:r>
          </w:p>
        </w:tc>
        <w:tc>
          <w:tcPr>
            <w:tcW w:w="4192" w:type="pct"/>
            <w:noWrap w:val="0"/>
            <w:tcMar>
              <w:left w:w="0" w:type="dxa"/>
              <w:right w:w="0" w:type="dxa"/>
            </w:tcMar>
            <w:vAlign w:val="top"/>
          </w:tcPr>
          <w:p w14:paraId="2978E872">
            <w:pPr>
              <w:pStyle w:val="19"/>
            </w:pPr>
            <w:r>
              <w:t>区划</w:t>
            </w:r>
          </w:p>
        </w:tc>
      </w:tr>
      <w:tr w14:paraId="603707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807" w:type="pct"/>
            <w:noWrap w:val="0"/>
            <w:tcMar>
              <w:left w:w="0" w:type="dxa"/>
              <w:right w:w="0" w:type="dxa"/>
            </w:tcMar>
            <w:vAlign w:val="center"/>
          </w:tcPr>
          <w:p w14:paraId="5C0B3487">
            <w:pPr>
              <w:pStyle w:val="19"/>
            </w:pPr>
            <w:r>
              <w:t>生态区</w:t>
            </w:r>
          </w:p>
        </w:tc>
        <w:tc>
          <w:tcPr>
            <w:tcW w:w="4192" w:type="pct"/>
            <w:noWrap w:val="0"/>
            <w:tcMar>
              <w:left w:w="0" w:type="dxa"/>
              <w:right w:w="0" w:type="dxa"/>
            </w:tcMar>
            <w:vAlign w:val="center"/>
          </w:tcPr>
          <w:p w14:paraId="1AA21860">
            <w:pPr>
              <w:pStyle w:val="19"/>
            </w:pPr>
            <w:r>
              <w:rPr>
                <w:rFonts w:hint="eastAsia"/>
              </w:rPr>
              <w:t>Ⅱ兵团准噶尔盆地温带干旱荒漠与绿洲生态区</w:t>
            </w:r>
          </w:p>
        </w:tc>
      </w:tr>
      <w:tr w14:paraId="141112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807" w:type="pct"/>
            <w:noWrap w:val="0"/>
            <w:tcMar>
              <w:left w:w="0" w:type="dxa"/>
              <w:right w:w="0" w:type="dxa"/>
            </w:tcMar>
            <w:vAlign w:val="center"/>
          </w:tcPr>
          <w:p w14:paraId="4093B0C8">
            <w:pPr>
              <w:pStyle w:val="19"/>
            </w:pPr>
            <w:r>
              <w:t>生态亚区</w:t>
            </w:r>
          </w:p>
        </w:tc>
        <w:tc>
          <w:tcPr>
            <w:tcW w:w="4192" w:type="pct"/>
            <w:noWrap w:val="0"/>
            <w:tcMar>
              <w:left w:w="0" w:type="dxa"/>
              <w:right w:w="0" w:type="dxa"/>
            </w:tcMar>
            <w:vAlign w:val="center"/>
          </w:tcPr>
          <w:p w14:paraId="6596BDBF">
            <w:pPr>
              <w:pStyle w:val="19"/>
            </w:pPr>
            <w:r>
              <w:rPr>
                <w:rFonts w:hint="eastAsia"/>
              </w:rPr>
              <w:t>Ⅱ</w:t>
            </w:r>
            <w:r>
              <w:t>3</w:t>
            </w:r>
            <w:r>
              <w:rPr>
                <w:rFonts w:hint="eastAsia"/>
              </w:rPr>
              <w:t>六、七、八、十二师准噶尔盆地南部灌木、半灌木荒漠、绿洲农业生态亚区</w:t>
            </w:r>
          </w:p>
        </w:tc>
      </w:tr>
      <w:tr w14:paraId="5AF0C1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807" w:type="pct"/>
            <w:noWrap w:val="0"/>
            <w:tcMar>
              <w:left w:w="0" w:type="dxa"/>
              <w:right w:w="0" w:type="dxa"/>
            </w:tcMar>
            <w:vAlign w:val="center"/>
          </w:tcPr>
          <w:p w14:paraId="4D356DFF">
            <w:pPr>
              <w:pStyle w:val="19"/>
            </w:pPr>
            <w:r>
              <w:t>生态功能区</w:t>
            </w:r>
          </w:p>
        </w:tc>
        <w:tc>
          <w:tcPr>
            <w:tcW w:w="4192" w:type="pct"/>
            <w:noWrap w:val="0"/>
            <w:tcMar>
              <w:left w:w="0" w:type="dxa"/>
              <w:right w:w="0" w:type="dxa"/>
            </w:tcMar>
            <w:vAlign w:val="center"/>
          </w:tcPr>
          <w:p w14:paraId="0275B50E">
            <w:pPr>
              <w:pStyle w:val="19"/>
            </w:pPr>
            <w:r>
              <w:t>11.</w:t>
            </w:r>
            <w:r>
              <w:rPr>
                <w:rFonts w:hint="eastAsia"/>
              </w:rPr>
              <w:t>六、七、八师奎屯</w:t>
            </w:r>
            <w:r>
              <w:t>—</w:t>
            </w:r>
            <w:r>
              <w:rPr>
                <w:rFonts w:hint="eastAsia"/>
              </w:rPr>
              <w:t>石河子</w:t>
            </w:r>
            <w:r>
              <w:t>—</w:t>
            </w:r>
            <w:r>
              <w:rPr>
                <w:rFonts w:hint="eastAsia"/>
              </w:rPr>
              <w:t>五家渠城镇与绿洲生态功能区</w:t>
            </w:r>
          </w:p>
        </w:tc>
      </w:tr>
      <w:tr w14:paraId="2F6652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807" w:type="pct"/>
            <w:noWrap w:val="0"/>
            <w:tcMar>
              <w:left w:w="0" w:type="dxa"/>
              <w:right w:w="0" w:type="dxa"/>
            </w:tcMar>
            <w:vAlign w:val="center"/>
          </w:tcPr>
          <w:p w14:paraId="5DDFEEF6">
            <w:pPr>
              <w:pStyle w:val="19"/>
            </w:pPr>
            <w:r>
              <w:t>主要生态服务功能</w:t>
            </w:r>
          </w:p>
        </w:tc>
        <w:tc>
          <w:tcPr>
            <w:tcW w:w="4192" w:type="pct"/>
            <w:noWrap w:val="0"/>
            <w:tcMar>
              <w:left w:w="0" w:type="dxa"/>
              <w:right w:w="0" w:type="dxa"/>
            </w:tcMar>
            <w:vAlign w:val="center"/>
          </w:tcPr>
          <w:p w14:paraId="04362E75">
            <w:pPr>
              <w:pStyle w:val="19"/>
            </w:pPr>
            <w:r>
              <w:t>工农畜产品生产、人居环境、荒漠化控制</w:t>
            </w:r>
          </w:p>
        </w:tc>
      </w:tr>
      <w:tr w14:paraId="5BDE87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4" w:hRule="atLeast"/>
        </w:trPr>
        <w:tc>
          <w:tcPr>
            <w:tcW w:w="807" w:type="pct"/>
            <w:noWrap w:val="0"/>
            <w:tcMar>
              <w:left w:w="0" w:type="dxa"/>
              <w:right w:w="0" w:type="dxa"/>
            </w:tcMar>
            <w:vAlign w:val="center"/>
          </w:tcPr>
          <w:p w14:paraId="7B5AB36C">
            <w:pPr>
              <w:pStyle w:val="19"/>
            </w:pPr>
            <w:r>
              <w:t>主要生态环境问题</w:t>
            </w:r>
          </w:p>
        </w:tc>
        <w:tc>
          <w:tcPr>
            <w:tcW w:w="4192" w:type="pct"/>
            <w:noWrap w:val="0"/>
            <w:tcMar>
              <w:left w:w="0" w:type="dxa"/>
              <w:right w:w="0" w:type="dxa"/>
            </w:tcMar>
            <w:vAlign w:val="center"/>
          </w:tcPr>
          <w:p w14:paraId="4463C319">
            <w:pPr>
              <w:pStyle w:val="19"/>
            </w:pPr>
            <w:r>
              <w:t>地下水超采、荒漠植被退化、河流萎缩断流、土地荒漠化与盐渍化、工业污染严重、良田减少、绿洲外围受到沙漠化威胁</w:t>
            </w:r>
          </w:p>
        </w:tc>
      </w:tr>
      <w:tr w14:paraId="0B20EA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807" w:type="pct"/>
            <w:noWrap w:val="0"/>
            <w:tcMar>
              <w:left w:w="0" w:type="dxa"/>
              <w:right w:w="0" w:type="dxa"/>
            </w:tcMar>
            <w:vAlign w:val="center"/>
          </w:tcPr>
          <w:p w14:paraId="3F8F6A2A">
            <w:pPr>
              <w:pStyle w:val="19"/>
            </w:pPr>
            <w:r>
              <w:t>主要保护目标</w:t>
            </w:r>
          </w:p>
        </w:tc>
        <w:tc>
          <w:tcPr>
            <w:tcW w:w="4192" w:type="pct"/>
            <w:noWrap w:val="0"/>
            <w:tcMar>
              <w:left w:w="0" w:type="dxa"/>
              <w:right w:w="0" w:type="dxa"/>
            </w:tcMar>
            <w:vAlign w:val="center"/>
          </w:tcPr>
          <w:p w14:paraId="6511F1F7">
            <w:pPr>
              <w:pStyle w:val="19"/>
            </w:pPr>
            <w:r>
              <w:t>保护绿洲农田生态系统及农田土壤环境质量、保护城市环境质量、保护荒漠植被</w:t>
            </w:r>
          </w:p>
        </w:tc>
      </w:tr>
      <w:tr w14:paraId="640C1F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4" w:hRule="atLeast"/>
        </w:trPr>
        <w:tc>
          <w:tcPr>
            <w:tcW w:w="807" w:type="pct"/>
            <w:noWrap w:val="0"/>
            <w:tcMar>
              <w:left w:w="0" w:type="dxa"/>
              <w:right w:w="0" w:type="dxa"/>
            </w:tcMar>
            <w:vAlign w:val="center"/>
          </w:tcPr>
          <w:p w14:paraId="737B9C8A">
            <w:pPr>
              <w:pStyle w:val="19"/>
            </w:pPr>
            <w:r>
              <w:t>主要保护措施</w:t>
            </w:r>
          </w:p>
        </w:tc>
        <w:tc>
          <w:tcPr>
            <w:tcW w:w="4192" w:type="pct"/>
            <w:noWrap w:val="0"/>
            <w:tcMar>
              <w:left w:w="0" w:type="dxa"/>
              <w:right w:w="0" w:type="dxa"/>
            </w:tcMar>
            <w:vAlign w:val="center"/>
          </w:tcPr>
          <w:p w14:paraId="1EF47A77">
            <w:pPr>
              <w:pStyle w:val="19"/>
            </w:pPr>
            <w:r>
              <w:t>节水灌溉、严格控制地下水开采、污染物达标排放、提高城镇建设规划水平、荒漠草场禁牧休牧、完善防护林体系、加强农田投入品的使用管理。</w:t>
            </w:r>
          </w:p>
        </w:tc>
      </w:tr>
      <w:tr w14:paraId="469A15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4" w:hRule="atLeast"/>
        </w:trPr>
        <w:tc>
          <w:tcPr>
            <w:tcW w:w="807" w:type="pct"/>
            <w:noWrap w:val="0"/>
            <w:tcMar>
              <w:left w:w="0" w:type="dxa"/>
              <w:right w:w="0" w:type="dxa"/>
            </w:tcMar>
            <w:vAlign w:val="center"/>
          </w:tcPr>
          <w:p w14:paraId="38DE905A">
            <w:pPr>
              <w:pStyle w:val="19"/>
            </w:pPr>
            <w:r>
              <w:t>主要发展方向</w:t>
            </w:r>
          </w:p>
        </w:tc>
        <w:tc>
          <w:tcPr>
            <w:tcW w:w="4192" w:type="pct"/>
            <w:noWrap w:val="0"/>
            <w:tcMar>
              <w:left w:w="0" w:type="dxa"/>
              <w:right w:w="0" w:type="dxa"/>
            </w:tcMar>
            <w:vAlign w:val="center"/>
          </w:tcPr>
          <w:p w14:paraId="26022510">
            <w:pPr>
              <w:pStyle w:val="19"/>
            </w:pPr>
            <w:r>
              <w:t>发展以棉花为主导的优质、高效、特色农业；美化城市环境，建设健康、稳定的城乡生态系统与人居环境。发展棉纺业、食品加工业；做强塑化节水器材产业。</w:t>
            </w:r>
          </w:p>
        </w:tc>
      </w:tr>
    </w:tbl>
    <w:p w14:paraId="5BBECBBE">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p w14:paraId="59CF0EF6">
      <w:pPr>
        <w:pStyle w:val="31"/>
        <w:bidi w:val="0"/>
        <w:rPr>
          <w:rFonts w:hint="default"/>
          <w:lang w:val="en-US" w:eastAsia="zh-CN"/>
        </w:rPr>
      </w:pPr>
    </w:p>
    <w:p w14:paraId="4FEC8D55">
      <w:pPr>
        <w:pStyle w:val="26"/>
        <w:bidi w:val="0"/>
        <w:rPr>
          <w:rFonts w:hint="default"/>
          <w:lang w:val="en-US" w:eastAsia="zh-CN"/>
        </w:rPr>
      </w:pPr>
      <w:bookmarkStart w:id="12" w:name="_Toc30606"/>
      <w:r>
        <w:rPr>
          <w:rFonts w:hint="eastAsia"/>
          <w:lang w:val="en-US" w:eastAsia="zh-CN"/>
        </w:rPr>
        <w:t>主要环境保护目标</w:t>
      </w:r>
      <w:bookmarkEnd w:id="12"/>
    </w:p>
    <w:p w14:paraId="320B9AA8">
      <w:pPr>
        <w:bidi w:val="0"/>
        <w:rPr>
          <w:rFonts w:hint="eastAsia"/>
        </w:rPr>
      </w:pPr>
      <w:r>
        <w:rPr>
          <w:rFonts w:hint="eastAsia"/>
        </w:rPr>
        <w:t>本项目位于第</w:t>
      </w:r>
      <w:r>
        <w:rPr>
          <w:rFonts w:hint="eastAsia"/>
          <w:lang w:val="en-US" w:eastAsia="zh-CN"/>
        </w:rPr>
        <w:t>七</w:t>
      </w:r>
      <w:r>
        <w:rPr>
          <w:rFonts w:hint="eastAsia"/>
        </w:rPr>
        <w:t>师</w:t>
      </w:r>
      <w:r>
        <w:rPr>
          <w:rFonts w:hint="eastAsia"/>
          <w:lang w:val="en-US" w:eastAsia="zh-CN"/>
        </w:rPr>
        <w:t>129</w:t>
      </w:r>
      <w:r>
        <w:rPr>
          <w:rFonts w:hint="eastAsia"/>
        </w:rPr>
        <w:t>团</w:t>
      </w:r>
      <w:r>
        <w:rPr>
          <w:rFonts w:hint="eastAsia"/>
          <w:lang w:val="en-US" w:eastAsia="zh-CN"/>
        </w:rPr>
        <w:t>13</w:t>
      </w:r>
      <w:r>
        <w:rPr>
          <w:rFonts w:hint="eastAsia"/>
        </w:rPr>
        <w:t>连，项目区四周均为耕地，西北方向1.6km处为129团10连，北侧3.1km为奎阿高速（G3014），西南方向4.7km处129团16连。项目区地势平坦、开阔。评价区内无自然人文保护区、风景名胜区、生态保护区、疗养院等敏感保护目标。本项目环境保护目标情况见表2.5-2，敏感目标分布图见附图2.5-2。</w:t>
      </w:r>
    </w:p>
    <w:p w14:paraId="2CFD46C8">
      <w:pPr>
        <w:bidi w:val="0"/>
        <w:rPr>
          <w:rFonts w:hint="eastAsia"/>
        </w:rPr>
      </w:pPr>
      <w:r>
        <w:rPr>
          <w:rFonts w:hint="eastAsia"/>
        </w:rPr>
        <w:t>（1）本项目应采取节水措施，保护项目区的水资源，确保本工程取水在可开采范围内，合理开采地下水。</w:t>
      </w:r>
    </w:p>
    <w:p w14:paraId="51A1196A">
      <w:pPr>
        <w:bidi w:val="0"/>
        <w:rPr>
          <w:rFonts w:hint="eastAsia" w:eastAsia="宋体"/>
          <w:lang w:eastAsia="zh-CN"/>
        </w:rPr>
      </w:pPr>
      <w:r>
        <w:rPr>
          <w:rFonts w:hint="eastAsia"/>
        </w:rPr>
        <w:t>（2）地下水环境保护目标为项目区地下水及项目区可能影响到的区域地下水，水质应符合《地下水质量标准》（GB/T14848-2017）中的III类标准限值要求。保护地下水水质，不受非正常状态下排污的影响</w:t>
      </w:r>
      <w:r>
        <w:rPr>
          <w:rFonts w:hint="eastAsia"/>
          <w:lang w:eastAsia="zh-CN"/>
        </w:rPr>
        <w:t>。</w:t>
      </w:r>
    </w:p>
    <w:p w14:paraId="561CF148">
      <w:pPr>
        <w:bidi w:val="0"/>
        <w:rPr>
          <w:rFonts w:hint="eastAsia"/>
        </w:rPr>
      </w:pPr>
      <w:r>
        <w:rPr>
          <w:rFonts w:hint="eastAsia"/>
        </w:rPr>
        <w:t>（3）保护评价区域的环境空气质量，使其环境质量仍能够维持在现状二级质量的水平上，不因本</w:t>
      </w:r>
      <w:r>
        <w:rPr>
          <w:rFonts w:hint="eastAsia"/>
          <w:lang w:val="en-US" w:eastAsia="zh-CN"/>
        </w:rPr>
        <w:t>项目</w:t>
      </w:r>
      <w:r>
        <w:rPr>
          <w:rFonts w:hint="eastAsia"/>
        </w:rPr>
        <w:t>的建设而发生劣变。</w:t>
      </w:r>
    </w:p>
    <w:p w14:paraId="738E6D08">
      <w:pPr>
        <w:bidi w:val="0"/>
        <w:rPr>
          <w:rFonts w:hint="eastAsia"/>
        </w:rPr>
      </w:pPr>
      <w:r>
        <w:rPr>
          <w:rFonts w:hint="eastAsia"/>
        </w:rPr>
        <w:t>（4）保护项目区周边的耕地及其生态环境。合理处置场区无害化还田的固液肥料，避免对土壤、植被等产生不利影响。</w:t>
      </w:r>
    </w:p>
    <w:p w14:paraId="57252E51">
      <w:pPr>
        <w:bidi w:val="0"/>
        <w:rPr>
          <w:rFonts w:hint="eastAsia"/>
        </w:rPr>
      </w:pPr>
      <w:r>
        <w:rPr>
          <w:rFonts w:hint="eastAsia"/>
        </w:rPr>
        <w:t>（5）合理处置本项目所排固体废弃物，避免产生二次污染，避免废渣对人体、水体、土壤、植被及牲畜产生不利影响。</w:t>
      </w:r>
    </w:p>
    <w:p w14:paraId="3EBB624B">
      <w:pPr>
        <w:bidi w:val="0"/>
      </w:pPr>
      <w:r>
        <w:rPr>
          <w:rFonts w:hint="eastAsia"/>
        </w:rPr>
        <w:t>（6）控制噪声污染，使声环境质量满足《声环境质量标准》（GB3096-2008）中2类标准。</w:t>
      </w:r>
    </w:p>
    <w:p w14:paraId="11EFF38F">
      <w:pPr>
        <w:bidi w:val="0"/>
        <w:rPr>
          <w:rFonts w:hint="eastAsia"/>
          <w:lang w:val="en-US" w:eastAsia="zh-CN"/>
        </w:rPr>
      </w:pPr>
      <w:r>
        <w:rPr>
          <w:rFonts w:hint="eastAsia"/>
          <w:lang w:val="en-US" w:eastAsia="zh-CN"/>
        </w:rPr>
        <w:t>本项目环境保护目标汇总见表2.5-1和图2.5-1。</w:t>
      </w:r>
    </w:p>
    <w:p w14:paraId="35593889">
      <w:pPr>
        <w:pStyle w:val="30"/>
        <w:bidi w:val="0"/>
        <w:rPr>
          <w:rFonts w:hint="eastAsia"/>
          <w:lang w:val="en-US" w:eastAsia="zh-CN"/>
        </w:rPr>
      </w:pPr>
      <w:r>
        <w:rPr>
          <w:rFonts w:hint="eastAsia"/>
          <w:lang w:val="en-US" w:eastAsia="zh-CN"/>
        </w:rPr>
        <w:t>表2.5-1   主要环境保护目标汇总表</w:t>
      </w:r>
    </w:p>
    <w:tbl>
      <w:tblPr>
        <w:tblStyle w:val="29"/>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7"/>
        <w:gridCol w:w="1402"/>
        <w:gridCol w:w="1007"/>
        <w:gridCol w:w="1005"/>
        <w:gridCol w:w="1185"/>
        <w:gridCol w:w="1380"/>
        <w:gridCol w:w="1379"/>
      </w:tblGrid>
      <w:tr w14:paraId="6667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2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416D680">
            <w:pPr>
              <w:pStyle w:val="19"/>
              <w:bidi w:val="0"/>
            </w:pPr>
            <w:r>
              <w:t>环境要素</w:t>
            </w:r>
          </w:p>
        </w:tc>
        <w:tc>
          <w:tcPr>
            <w:tcW w:w="833"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0CAA9BDA">
            <w:pPr>
              <w:pStyle w:val="19"/>
              <w:bidi w:val="0"/>
            </w:pPr>
            <w:r>
              <w:t>名称</w:t>
            </w:r>
          </w:p>
        </w:tc>
        <w:tc>
          <w:tcPr>
            <w:tcW w:w="59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6ACA319B">
            <w:pPr>
              <w:pStyle w:val="19"/>
              <w:bidi w:val="0"/>
            </w:pPr>
            <w:r>
              <w:t>保护对象</w:t>
            </w:r>
          </w:p>
        </w:tc>
        <w:tc>
          <w:tcPr>
            <w:tcW w:w="597"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0D86F3BE">
            <w:pPr>
              <w:pStyle w:val="19"/>
              <w:bidi w:val="0"/>
              <w:rPr>
                <w:rFonts w:hint="eastAsia" w:eastAsia="宋体"/>
                <w:lang w:eastAsia="zh-CN"/>
              </w:rPr>
            </w:pPr>
            <w:r>
              <w:t>保护</w:t>
            </w:r>
            <w:r>
              <w:rPr>
                <w:rFonts w:hint="eastAsia"/>
                <w:lang w:val="en-US" w:eastAsia="zh-CN"/>
              </w:rPr>
              <w:t>内容</w:t>
            </w:r>
          </w:p>
        </w:tc>
        <w:tc>
          <w:tcPr>
            <w:tcW w:w="704"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7CB5F6C">
            <w:pPr>
              <w:pStyle w:val="19"/>
              <w:bidi w:val="0"/>
            </w:pPr>
            <w:r>
              <w:t>环境功能区</w:t>
            </w:r>
          </w:p>
        </w:tc>
        <w:tc>
          <w:tcPr>
            <w:tcW w:w="820"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BFDA905">
            <w:pPr>
              <w:pStyle w:val="19"/>
              <w:bidi w:val="0"/>
            </w:pPr>
            <w:r>
              <w:t>相对厂界方位</w:t>
            </w:r>
          </w:p>
        </w:tc>
        <w:tc>
          <w:tcPr>
            <w:tcW w:w="81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6376B92E">
            <w:pPr>
              <w:pStyle w:val="19"/>
              <w:bidi w:val="0"/>
            </w:pPr>
            <w:r>
              <w:t>相对厂界距离</w:t>
            </w:r>
          </w:p>
        </w:tc>
      </w:tr>
      <w:tr w14:paraId="7265E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vMerge w:val="restar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7828F11">
            <w:pPr>
              <w:pStyle w:val="19"/>
              <w:bidi w:val="0"/>
            </w:pPr>
            <w:r>
              <w:t>大气环境</w:t>
            </w:r>
          </w:p>
        </w:tc>
        <w:tc>
          <w:tcPr>
            <w:tcW w:w="833"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EB86D18">
            <w:pPr>
              <w:pStyle w:val="19"/>
              <w:bidi w:val="0"/>
              <w:rPr>
                <w:rFonts w:hint="default"/>
                <w:lang w:val="en-US" w:eastAsia="zh-CN"/>
              </w:rPr>
            </w:pPr>
            <w:r>
              <w:rPr>
                <w:rFonts w:hint="eastAsia"/>
                <w:lang w:val="en-US" w:eastAsia="zh-CN"/>
              </w:rPr>
              <w:t>129团10连</w:t>
            </w:r>
          </w:p>
        </w:tc>
        <w:tc>
          <w:tcPr>
            <w:tcW w:w="59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575FF1DE">
            <w:pPr>
              <w:pStyle w:val="19"/>
              <w:bidi w:val="0"/>
            </w:pPr>
            <w:r>
              <w:t>村庄</w:t>
            </w:r>
          </w:p>
        </w:tc>
        <w:tc>
          <w:tcPr>
            <w:tcW w:w="597"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073EA1D3">
            <w:pPr>
              <w:pStyle w:val="19"/>
              <w:bidi w:val="0"/>
              <w:rPr>
                <w:rFonts w:hint="eastAsia"/>
              </w:rPr>
            </w:pPr>
            <w:r>
              <w:rPr>
                <w:rFonts w:hint="eastAsia"/>
                <w:lang w:val="en-US" w:eastAsia="zh-CN"/>
              </w:rPr>
              <w:t>200</w:t>
            </w:r>
            <w:r>
              <w:t>人</w:t>
            </w:r>
          </w:p>
        </w:tc>
        <w:tc>
          <w:tcPr>
            <w:tcW w:w="704"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687CF349">
            <w:pPr>
              <w:pStyle w:val="19"/>
              <w:bidi w:val="0"/>
            </w:pPr>
            <w:r>
              <w:t>二类区</w:t>
            </w:r>
          </w:p>
        </w:tc>
        <w:tc>
          <w:tcPr>
            <w:tcW w:w="820"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1E692E6">
            <w:pPr>
              <w:pStyle w:val="19"/>
              <w:bidi w:val="0"/>
              <w:rPr>
                <w:rFonts w:hint="eastAsia"/>
              </w:rPr>
            </w:pPr>
            <w:r>
              <w:rPr>
                <w:rFonts w:hint="eastAsia"/>
                <w:lang w:val="en-US" w:eastAsia="zh-CN"/>
              </w:rPr>
              <w:t>西</w:t>
            </w:r>
            <w:r>
              <w:rPr>
                <w:rFonts w:hint="eastAsia"/>
              </w:rPr>
              <w:t>北侧</w:t>
            </w:r>
          </w:p>
        </w:tc>
        <w:tc>
          <w:tcPr>
            <w:tcW w:w="81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3B731CF">
            <w:pPr>
              <w:pStyle w:val="19"/>
              <w:bidi w:val="0"/>
              <w:rPr>
                <w:rFonts w:hint="eastAsia"/>
              </w:rPr>
            </w:pPr>
            <w:r>
              <w:rPr>
                <w:rFonts w:hint="eastAsia"/>
                <w:lang w:val="en-US" w:eastAsia="zh-CN"/>
              </w:rPr>
              <w:t>1.6</w:t>
            </w:r>
            <w:r>
              <w:rPr>
                <w:rFonts w:hint="eastAsia"/>
              </w:rPr>
              <w:t>km</w:t>
            </w:r>
          </w:p>
        </w:tc>
      </w:tr>
      <w:tr w14:paraId="117C1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vMerge w:val="continue"/>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68A9A575">
            <w:pPr>
              <w:pStyle w:val="19"/>
              <w:bidi w:val="0"/>
            </w:pPr>
          </w:p>
        </w:tc>
        <w:tc>
          <w:tcPr>
            <w:tcW w:w="833"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41D35CA">
            <w:pPr>
              <w:pStyle w:val="19"/>
              <w:bidi w:val="0"/>
            </w:pPr>
            <w:r>
              <w:rPr>
                <w:rFonts w:hint="eastAsia"/>
                <w:lang w:val="en-US" w:eastAsia="zh-CN"/>
              </w:rPr>
              <w:t>129团13连</w:t>
            </w:r>
          </w:p>
        </w:tc>
        <w:tc>
          <w:tcPr>
            <w:tcW w:w="59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7670529D">
            <w:pPr>
              <w:pStyle w:val="19"/>
              <w:bidi w:val="0"/>
            </w:pPr>
            <w:r>
              <w:t>村庄</w:t>
            </w:r>
          </w:p>
        </w:tc>
        <w:tc>
          <w:tcPr>
            <w:tcW w:w="597"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103059E5">
            <w:pPr>
              <w:pStyle w:val="19"/>
              <w:bidi w:val="0"/>
            </w:pPr>
            <w:r>
              <w:rPr>
                <w:rFonts w:hint="eastAsia"/>
                <w:lang w:val="en-US" w:eastAsia="zh-CN"/>
              </w:rPr>
              <w:t>300</w:t>
            </w:r>
            <w:r>
              <w:t>人</w:t>
            </w:r>
          </w:p>
        </w:tc>
        <w:tc>
          <w:tcPr>
            <w:tcW w:w="704"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632A7CD0">
            <w:pPr>
              <w:pStyle w:val="19"/>
              <w:bidi w:val="0"/>
            </w:pPr>
            <w:r>
              <w:t>二类区</w:t>
            </w:r>
          </w:p>
        </w:tc>
        <w:tc>
          <w:tcPr>
            <w:tcW w:w="820"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4B06F572">
            <w:pPr>
              <w:pStyle w:val="19"/>
              <w:bidi w:val="0"/>
            </w:pPr>
            <w:r>
              <w:rPr>
                <w:rFonts w:hint="eastAsia"/>
                <w:lang w:val="en-US" w:eastAsia="zh-CN"/>
              </w:rPr>
              <w:t>西南</w:t>
            </w:r>
            <w:r>
              <w:rPr>
                <w:rFonts w:hint="eastAsia"/>
              </w:rPr>
              <w:t>侧</w:t>
            </w:r>
          </w:p>
        </w:tc>
        <w:tc>
          <w:tcPr>
            <w:tcW w:w="818" w:type="pct"/>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14:paraId="343BC452">
            <w:pPr>
              <w:pStyle w:val="19"/>
              <w:bidi w:val="0"/>
            </w:pPr>
            <w:r>
              <w:rPr>
                <w:rFonts w:hint="eastAsia"/>
                <w:lang w:val="en-US" w:eastAsia="zh-CN"/>
              </w:rPr>
              <w:t>2.5</w:t>
            </w:r>
            <w:r>
              <w:rPr>
                <w:rFonts w:hint="eastAsia"/>
              </w:rPr>
              <w:t>km</w:t>
            </w:r>
          </w:p>
        </w:tc>
      </w:tr>
      <w:tr w14:paraId="396B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tcBorders>
              <w:top w:val="single" w:color="auto" w:sz="4" w:space="0"/>
            </w:tcBorders>
            <w:noWrap w:val="0"/>
            <w:tcMar>
              <w:top w:w="28" w:type="dxa"/>
              <w:left w:w="57" w:type="dxa"/>
              <w:bottom w:w="28" w:type="dxa"/>
              <w:right w:w="57" w:type="dxa"/>
            </w:tcMar>
            <w:vAlign w:val="center"/>
          </w:tcPr>
          <w:p w14:paraId="2BDAF779">
            <w:pPr>
              <w:pStyle w:val="19"/>
              <w:bidi w:val="0"/>
            </w:pPr>
            <w:r>
              <w:t>水环境</w:t>
            </w:r>
          </w:p>
        </w:tc>
        <w:tc>
          <w:tcPr>
            <w:tcW w:w="833" w:type="pct"/>
            <w:tcBorders>
              <w:top w:val="single" w:color="auto" w:sz="4" w:space="0"/>
            </w:tcBorders>
            <w:noWrap w:val="0"/>
            <w:tcMar>
              <w:top w:w="28" w:type="dxa"/>
              <w:left w:w="57" w:type="dxa"/>
              <w:bottom w:w="28" w:type="dxa"/>
              <w:right w:w="57" w:type="dxa"/>
            </w:tcMar>
            <w:vAlign w:val="center"/>
          </w:tcPr>
          <w:p w14:paraId="1662B293">
            <w:pPr>
              <w:pStyle w:val="19"/>
              <w:bidi w:val="0"/>
            </w:pPr>
            <w:r>
              <w:t>厂址区域内及周边地下水</w:t>
            </w:r>
          </w:p>
        </w:tc>
        <w:tc>
          <w:tcPr>
            <w:tcW w:w="1195" w:type="pct"/>
            <w:gridSpan w:val="2"/>
            <w:tcBorders>
              <w:top w:val="single" w:color="auto" w:sz="4" w:space="0"/>
            </w:tcBorders>
            <w:noWrap w:val="0"/>
            <w:tcMar>
              <w:top w:w="28" w:type="dxa"/>
              <w:left w:w="57" w:type="dxa"/>
              <w:bottom w:w="28" w:type="dxa"/>
              <w:right w:w="57" w:type="dxa"/>
            </w:tcMar>
            <w:vAlign w:val="center"/>
          </w:tcPr>
          <w:p w14:paraId="2B05C2B9">
            <w:pPr>
              <w:pStyle w:val="19"/>
              <w:bidi w:val="0"/>
            </w:pPr>
            <w:r>
              <w:t>项目场区及上下游</w:t>
            </w:r>
          </w:p>
        </w:tc>
        <w:tc>
          <w:tcPr>
            <w:tcW w:w="704" w:type="pct"/>
            <w:tcBorders>
              <w:top w:val="single" w:color="auto" w:sz="4" w:space="0"/>
            </w:tcBorders>
            <w:noWrap w:val="0"/>
            <w:tcMar>
              <w:top w:w="28" w:type="dxa"/>
              <w:left w:w="57" w:type="dxa"/>
              <w:bottom w:w="28" w:type="dxa"/>
              <w:right w:w="57" w:type="dxa"/>
            </w:tcMar>
            <w:vAlign w:val="center"/>
          </w:tcPr>
          <w:p w14:paraId="662090D3">
            <w:pPr>
              <w:pStyle w:val="19"/>
              <w:bidi w:val="0"/>
            </w:pPr>
            <w:r>
              <w:t>地下水Ⅲ类</w:t>
            </w:r>
          </w:p>
        </w:tc>
        <w:tc>
          <w:tcPr>
            <w:tcW w:w="820" w:type="pct"/>
            <w:tcBorders>
              <w:top w:val="single" w:color="auto" w:sz="4" w:space="0"/>
            </w:tcBorders>
            <w:noWrap w:val="0"/>
            <w:tcMar>
              <w:top w:w="28" w:type="dxa"/>
              <w:left w:w="57" w:type="dxa"/>
              <w:bottom w:w="28" w:type="dxa"/>
              <w:right w:w="57" w:type="dxa"/>
            </w:tcMar>
            <w:vAlign w:val="center"/>
          </w:tcPr>
          <w:p w14:paraId="7D635A99">
            <w:pPr>
              <w:pStyle w:val="19"/>
              <w:bidi w:val="0"/>
            </w:pPr>
            <w:r>
              <w:t>/</w:t>
            </w:r>
          </w:p>
        </w:tc>
        <w:tc>
          <w:tcPr>
            <w:tcW w:w="818" w:type="pct"/>
            <w:tcBorders>
              <w:top w:val="single" w:color="auto" w:sz="4" w:space="0"/>
            </w:tcBorders>
            <w:noWrap w:val="0"/>
            <w:tcMar>
              <w:top w:w="28" w:type="dxa"/>
              <w:left w:w="57" w:type="dxa"/>
              <w:bottom w:w="28" w:type="dxa"/>
              <w:right w:w="57" w:type="dxa"/>
            </w:tcMar>
            <w:vAlign w:val="center"/>
          </w:tcPr>
          <w:p w14:paraId="22CF2116">
            <w:pPr>
              <w:pStyle w:val="19"/>
              <w:bidi w:val="0"/>
            </w:pPr>
            <w:r>
              <w:t>/</w:t>
            </w:r>
          </w:p>
        </w:tc>
      </w:tr>
      <w:tr w14:paraId="09EAB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noWrap w:val="0"/>
            <w:tcMar>
              <w:top w:w="28" w:type="dxa"/>
              <w:left w:w="57" w:type="dxa"/>
              <w:bottom w:w="28" w:type="dxa"/>
              <w:right w:w="57" w:type="dxa"/>
            </w:tcMar>
            <w:vAlign w:val="center"/>
          </w:tcPr>
          <w:p w14:paraId="12AE6CA7">
            <w:pPr>
              <w:pStyle w:val="19"/>
              <w:bidi w:val="0"/>
            </w:pPr>
            <w:r>
              <w:t>声环境</w:t>
            </w:r>
          </w:p>
        </w:tc>
        <w:tc>
          <w:tcPr>
            <w:tcW w:w="833" w:type="pct"/>
            <w:noWrap w:val="0"/>
            <w:tcMar>
              <w:top w:w="28" w:type="dxa"/>
              <w:left w:w="57" w:type="dxa"/>
              <w:bottom w:w="28" w:type="dxa"/>
              <w:right w:w="57" w:type="dxa"/>
            </w:tcMar>
            <w:vAlign w:val="center"/>
          </w:tcPr>
          <w:p w14:paraId="0FEE3E03">
            <w:pPr>
              <w:pStyle w:val="19"/>
              <w:bidi w:val="0"/>
            </w:pPr>
            <w:r>
              <w:t>厂界外200m范围内</w:t>
            </w:r>
          </w:p>
        </w:tc>
        <w:tc>
          <w:tcPr>
            <w:tcW w:w="1195" w:type="pct"/>
            <w:gridSpan w:val="2"/>
            <w:noWrap w:val="0"/>
            <w:tcMar>
              <w:top w:w="28" w:type="dxa"/>
              <w:left w:w="57" w:type="dxa"/>
              <w:bottom w:w="28" w:type="dxa"/>
              <w:right w:w="57" w:type="dxa"/>
            </w:tcMar>
            <w:vAlign w:val="center"/>
          </w:tcPr>
          <w:p w14:paraId="0E0893F8">
            <w:pPr>
              <w:pStyle w:val="19"/>
              <w:bidi w:val="0"/>
            </w:pPr>
            <w:r>
              <w:t>项目场区及厂界外200m</w:t>
            </w:r>
          </w:p>
        </w:tc>
        <w:tc>
          <w:tcPr>
            <w:tcW w:w="704" w:type="pct"/>
            <w:noWrap w:val="0"/>
            <w:tcMar>
              <w:top w:w="28" w:type="dxa"/>
              <w:left w:w="57" w:type="dxa"/>
              <w:bottom w:w="28" w:type="dxa"/>
              <w:right w:w="57" w:type="dxa"/>
            </w:tcMar>
            <w:vAlign w:val="center"/>
          </w:tcPr>
          <w:p w14:paraId="17D9014C">
            <w:pPr>
              <w:pStyle w:val="19"/>
              <w:bidi w:val="0"/>
            </w:pPr>
            <w:r>
              <w:t>2类区</w:t>
            </w:r>
          </w:p>
        </w:tc>
        <w:tc>
          <w:tcPr>
            <w:tcW w:w="820" w:type="pct"/>
            <w:noWrap w:val="0"/>
            <w:tcMar>
              <w:top w:w="28" w:type="dxa"/>
              <w:left w:w="57" w:type="dxa"/>
              <w:bottom w:w="28" w:type="dxa"/>
              <w:right w:w="57" w:type="dxa"/>
            </w:tcMar>
            <w:vAlign w:val="center"/>
          </w:tcPr>
          <w:p w14:paraId="2CB04268">
            <w:pPr>
              <w:pStyle w:val="19"/>
              <w:bidi w:val="0"/>
            </w:pPr>
            <w:r>
              <w:rPr>
                <w:rFonts w:hint="eastAsia"/>
              </w:rPr>
              <w:t>/</w:t>
            </w:r>
          </w:p>
        </w:tc>
        <w:tc>
          <w:tcPr>
            <w:tcW w:w="818" w:type="pct"/>
            <w:noWrap w:val="0"/>
            <w:tcMar>
              <w:top w:w="28" w:type="dxa"/>
              <w:left w:w="57" w:type="dxa"/>
              <w:bottom w:w="28" w:type="dxa"/>
              <w:right w:w="57" w:type="dxa"/>
            </w:tcMar>
            <w:vAlign w:val="center"/>
          </w:tcPr>
          <w:p w14:paraId="6D39E7DF">
            <w:pPr>
              <w:pStyle w:val="19"/>
              <w:bidi w:val="0"/>
            </w:pPr>
            <w:r>
              <w:rPr>
                <w:rFonts w:hint="eastAsia"/>
              </w:rPr>
              <w:t>/</w:t>
            </w:r>
          </w:p>
        </w:tc>
      </w:tr>
      <w:tr w14:paraId="1427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vMerge w:val="restart"/>
            <w:noWrap w:val="0"/>
            <w:tcMar>
              <w:top w:w="28" w:type="dxa"/>
              <w:left w:w="57" w:type="dxa"/>
              <w:bottom w:w="28" w:type="dxa"/>
              <w:right w:w="57" w:type="dxa"/>
            </w:tcMar>
            <w:vAlign w:val="center"/>
          </w:tcPr>
          <w:p w14:paraId="0FD572FC">
            <w:pPr>
              <w:pStyle w:val="19"/>
              <w:bidi w:val="0"/>
            </w:pPr>
            <w:r>
              <w:t>生态环境</w:t>
            </w:r>
          </w:p>
        </w:tc>
        <w:tc>
          <w:tcPr>
            <w:tcW w:w="833" w:type="pct"/>
            <w:noWrap w:val="0"/>
            <w:tcMar>
              <w:top w:w="28" w:type="dxa"/>
              <w:left w:w="57" w:type="dxa"/>
              <w:bottom w:w="28" w:type="dxa"/>
              <w:right w:w="57" w:type="dxa"/>
            </w:tcMar>
            <w:vAlign w:val="center"/>
          </w:tcPr>
          <w:p w14:paraId="3693E762">
            <w:pPr>
              <w:pStyle w:val="19"/>
              <w:bidi w:val="0"/>
            </w:pPr>
            <w:r>
              <w:t>农田</w:t>
            </w:r>
          </w:p>
        </w:tc>
        <w:tc>
          <w:tcPr>
            <w:tcW w:w="1195" w:type="pct"/>
            <w:gridSpan w:val="2"/>
            <w:vMerge w:val="restart"/>
            <w:noWrap w:val="0"/>
            <w:tcMar>
              <w:top w:w="28" w:type="dxa"/>
              <w:left w:w="57" w:type="dxa"/>
              <w:bottom w:w="28" w:type="dxa"/>
              <w:right w:w="57" w:type="dxa"/>
            </w:tcMar>
            <w:vAlign w:val="center"/>
          </w:tcPr>
          <w:p w14:paraId="73577EA7">
            <w:pPr>
              <w:pStyle w:val="19"/>
              <w:bidi w:val="0"/>
              <w:rPr>
                <w:rFonts w:hint="eastAsia" w:eastAsia="宋体"/>
                <w:lang w:eastAsia="zh-CN"/>
              </w:rPr>
            </w:pPr>
            <w:r>
              <w:t>项目有机肥</w:t>
            </w:r>
            <w:r>
              <w:rPr>
                <w:rFonts w:hint="eastAsia"/>
                <w:lang w:val="en-US" w:eastAsia="zh-CN"/>
              </w:rPr>
              <w:t>还田</w:t>
            </w:r>
          </w:p>
        </w:tc>
        <w:tc>
          <w:tcPr>
            <w:tcW w:w="704" w:type="pct"/>
            <w:noWrap w:val="0"/>
            <w:tcMar>
              <w:top w:w="28" w:type="dxa"/>
              <w:left w:w="57" w:type="dxa"/>
              <w:bottom w:w="28" w:type="dxa"/>
              <w:right w:w="57" w:type="dxa"/>
            </w:tcMar>
            <w:vAlign w:val="center"/>
          </w:tcPr>
          <w:p w14:paraId="1ADBE053">
            <w:pPr>
              <w:pStyle w:val="19"/>
              <w:bidi w:val="0"/>
            </w:pPr>
            <w:r>
              <w:t>/</w:t>
            </w:r>
          </w:p>
        </w:tc>
        <w:tc>
          <w:tcPr>
            <w:tcW w:w="820" w:type="pct"/>
            <w:noWrap w:val="0"/>
            <w:tcMar>
              <w:top w:w="28" w:type="dxa"/>
              <w:left w:w="57" w:type="dxa"/>
              <w:bottom w:w="28" w:type="dxa"/>
              <w:right w:w="57" w:type="dxa"/>
            </w:tcMar>
            <w:vAlign w:val="center"/>
          </w:tcPr>
          <w:p w14:paraId="2CDE4B9D">
            <w:pPr>
              <w:pStyle w:val="19"/>
              <w:bidi w:val="0"/>
            </w:pPr>
            <w:r>
              <w:rPr>
                <w:rFonts w:hint="eastAsia"/>
              </w:rPr>
              <w:t>西侧</w:t>
            </w:r>
          </w:p>
        </w:tc>
        <w:tc>
          <w:tcPr>
            <w:tcW w:w="818" w:type="pct"/>
            <w:noWrap w:val="0"/>
            <w:tcMar>
              <w:top w:w="28" w:type="dxa"/>
              <w:left w:w="57" w:type="dxa"/>
              <w:bottom w:w="28" w:type="dxa"/>
              <w:right w:w="57" w:type="dxa"/>
            </w:tcMar>
            <w:vAlign w:val="center"/>
          </w:tcPr>
          <w:p w14:paraId="37E22D90">
            <w:pPr>
              <w:pStyle w:val="19"/>
              <w:bidi w:val="0"/>
            </w:pPr>
            <w:r>
              <w:rPr>
                <w:rFonts w:hint="eastAsia"/>
                <w:lang w:val="en-US" w:eastAsia="zh-CN"/>
              </w:rPr>
              <w:t>4</w:t>
            </w:r>
            <w:r>
              <w:rPr>
                <w:rFonts w:hint="eastAsia"/>
              </w:rPr>
              <w:t>0</w:t>
            </w:r>
            <w:r>
              <w:t>m</w:t>
            </w:r>
          </w:p>
        </w:tc>
      </w:tr>
      <w:tr w14:paraId="2F416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vMerge w:val="continue"/>
            <w:noWrap w:val="0"/>
            <w:tcMar>
              <w:top w:w="28" w:type="dxa"/>
              <w:left w:w="57" w:type="dxa"/>
              <w:bottom w:w="28" w:type="dxa"/>
              <w:right w:w="57" w:type="dxa"/>
            </w:tcMar>
            <w:vAlign w:val="center"/>
          </w:tcPr>
          <w:p w14:paraId="5B2130FF">
            <w:pPr>
              <w:pStyle w:val="19"/>
              <w:bidi w:val="0"/>
            </w:pPr>
          </w:p>
        </w:tc>
        <w:tc>
          <w:tcPr>
            <w:tcW w:w="833" w:type="pct"/>
            <w:noWrap w:val="0"/>
            <w:tcMar>
              <w:top w:w="28" w:type="dxa"/>
              <w:left w:w="57" w:type="dxa"/>
              <w:bottom w:w="28" w:type="dxa"/>
              <w:right w:w="57" w:type="dxa"/>
            </w:tcMar>
            <w:vAlign w:val="center"/>
          </w:tcPr>
          <w:p w14:paraId="692DD257">
            <w:pPr>
              <w:pStyle w:val="19"/>
              <w:bidi w:val="0"/>
            </w:pPr>
            <w:r>
              <w:t>农田</w:t>
            </w:r>
          </w:p>
        </w:tc>
        <w:tc>
          <w:tcPr>
            <w:tcW w:w="1195" w:type="pct"/>
            <w:gridSpan w:val="2"/>
            <w:vMerge w:val="continue"/>
            <w:noWrap w:val="0"/>
            <w:tcMar>
              <w:top w:w="28" w:type="dxa"/>
              <w:left w:w="57" w:type="dxa"/>
              <w:bottom w:w="28" w:type="dxa"/>
              <w:right w:w="57" w:type="dxa"/>
            </w:tcMar>
            <w:vAlign w:val="center"/>
          </w:tcPr>
          <w:p w14:paraId="4AC392CE">
            <w:pPr>
              <w:pStyle w:val="19"/>
              <w:bidi w:val="0"/>
            </w:pPr>
          </w:p>
        </w:tc>
        <w:tc>
          <w:tcPr>
            <w:tcW w:w="704" w:type="pct"/>
            <w:noWrap w:val="0"/>
            <w:tcMar>
              <w:top w:w="28" w:type="dxa"/>
              <w:left w:w="57" w:type="dxa"/>
              <w:bottom w:w="28" w:type="dxa"/>
              <w:right w:w="57" w:type="dxa"/>
            </w:tcMar>
            <w:vAlign w:val="center"/>
          </w:tcPr>
          <w:p w14:paraId="04622CEF">
            <w:pPr>
              <w:pStyle w:val="19"/>
              <w:bidi w:val="0"/>
            </w:pPr>
            <w:r>
              <w:t>/</w:t>
            </w:r>
          </w:p>
        </w:tc>
        <w:tc>
          <w:tcPr>
            <w:tcW w:w="820" w:type="pct"/>
            <w:noWrap w:val="0"/>
            <w:tcMar>
              <w:top w:w="28" w:type="dxa"/>
              <w:left w:w="57" w:type="dxa"/>
              <w:bottom w:w="28" w:type="dxa"/>
              <w:right w:w="57" w:type="dxa"/>
            </w:tcMar>
            <w:vAlign w:val="center"/>
          </w:tcPr>
          <w:p w14:paraId="60FAF02A">
            <w:pPr>
              <w:pStyle w:val="19"/>
              <w:bidi w:val="0"/>
            </w:pPr>
            <w:r>
              <w:rPr>
                <w:rFonts w:hint="eastAsia"/>
              </w:rPr>
              <w:t>北侧</w:t>
            </w:r>
          </w:p>
        </w:tc>
        <w:tc>
          <w:tcPr>
            <w:tcW w:w="818" w:type="pct"/>
            <w:noWrap w:val="0"/>
            <w:tcMar>
              <w:top w:w="28" w:type="dxa"/>
              <w:left w:w="57" w:type="dxa"/>
              <w:bottom w:w="28" w:type="dxa"/>
              <w:right w:w="57" w:type="dxa"/>
            </w:tcMar>
            <w:vAlign w:val="center"/>
          </w:tcPr>
          <w:p w14:paraId="03446A01">
            <w:pPr>
              <w:pStyle w:val="19"/>
              <w:bidi w:val="0"/>
            </w:pPr>
            <w:r>
              <w:rPr>
                <w:rFonts w:hint="eastAsia"/>
              </w:rPr>
              <w:t>55</w:t>
            </w:r>
            <w:r>
              <w:t>m</w:t>
            </w:r>
          </w:p>
        </w:tc>
      </w:tr>
      <w:tr w14:paraId="4A0F6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vMerge w:val="continue"/>
            <w:noWrap w:val="0"/>
            <w:tcMar>
              <w:top w:w="28" w:type="dxa"/>
              <w:left w:w="57" w:type="dxa"/>
              <w:bottom w:w="28" w:type="dxa"/>
              <w:right w:w="57" w:type="dxa"/>
            </w:tcMar>
            <w:vAlign w:val="center"/>
          </w:tcPr>
          <w:p w14:paraId="65F13EEA">
            <w:pPr>
              <w:pStyle w:val="19"/>
              <w:bidi w:val="0"/>
            </w:pPr>
          </w:p>
        </w:tc>
        <w:tc>
          <w:tcPr>
            <w:tcW w:w="833" w:type="pct"/>
            <w:noWrap w:val="0"/>
            <w:tcMar>
              <w:top w:w="28" w:type="dxa"/>
              <w:left w:w="57" w:type="dxa"/>
              <w:bottom w:w="28" w:type="dxa"/>
              <w:right w:w="57" w:type="dxa"/>
            </w:tcMar>
            <w:vAlign w:val="center"/>
          </w:tcPr>
          <w:p w14:paraId="3A3F0565">
            <w:pPr>
              <w:pStyle w:val="19"/>
              <w:bidi w:val="0"/>
            </w:pPr>
            <w:r>
              <w:t>农田</w:t>
            </w:r>
          </w:p>
        </w:tc>
        <w:tc>
          <w:tcPr>
            <w:tcW w:w="1195" w:type="pct"/>
            <w:gridSpan w:val="2"/>
            <w:vMerge w:val="continue"/>
            <w:noWrap w:val="0"/>
            <w:tcMar>
              <w:top w:w="28" w:type="dxa"/>
              <w:left w:w="57" w:type="dxa"/>
              <w:bottom w:w="28" w:type="dxa"/>
              <w:right w:w="57" w:type="dxa"/>
            </w:tcMar>
            <w:vAlign w:val="center"/>
          </w:tcPr>
          <w:p w14:paraId="074955E7">
            <w:pPr>
              <w:pStyle w:val="19"/>
              <w:bidi w:val="0"/>
            </w:pPr>
          </w:p>
        </w:tc>
        <w:tc>
          <w:tcPr>
            <w:tcW w:w="704" w:type="pct"/>
            <w:noWrap w:val="0"/>
            <w:tcMar>
              <w:top w:w="28" w:type="dxa"/>
              <w:left w:w="57" w:type="dxa"/>
              <w:bottom w:w="28" w:type="dxa"/>
              <w:right w:w="57" w:type="dxa"/>
            </w:tcMar>
            <w:vAlign w:val="center"/>
          </w:tcPr>
          <w:p w14:paraId="0499E411">
            <w:pPr>
              <w:pStyle w:val="19"/>
              <w:bidi w:val="0"/>
              <w:rPr>
                <w:rFonts w:hint="eastAsia" w:eastAsia="宋体"/>
                <w:lang w:val="en-US" w:eastAsia="zh-CN"/>
              </w:rPr>
            </w:pPr>
            <w:r>
              <w:rPr>
                <w:rFonts w:hint="eastAsia"/>
                <w:lang w:val="en-US" w:eastAsia="zh-CN"/>
              </w:rPr>
              <w:t>/</w:t>
            </w:r>
          </w:p>
        </w:tc>
        <w:tc>
          <w:tcPr>
            <w:tcW w:w="820" w:type="pct"/>
            <w:noWrap w:val="0"/>
            <w:tcMar>
              <w:top w:w="28" w:type="dxa"/>
              <w:left w:w="57" w:type="dxa"/>
              <w:bottom w:w="28" w:type="dxa"/>
              <w:right w:w="57" w:type="dxa"/>
            </w:tcMar>
            <w:vAlign w:val="center"/>
          </w:tcPr>
          <w:p w14:paraId="4F4E1939">
            <w:pPr>
              <w:pStyle w:val="19"/>
              <w:bidi w:val="0"/>
            </w:pPr>
            <w:r>
              <w:rPr>
                <w:rFonts w:hint="eastAsia"/>
              </w:rPr>
              <w:t>东侧</w:t>
            </w:r>
          </w:p>
        </w:tc>
        <w:tc>
          <w:tcPr>
            <w:tcW w:w="818" w:type="pct"/>
            <w:noWrap w:val="0"/>
            <w:tcMar>
              <w:top w:w="28" w:type="dxa"/>
              <w:left w:w="57" w:type="dxa"/>
              <w:bottom w:w="28" w:type="dxa"/>
              <w:right w:w="57" w:type="dxa"/>
            </w:tcMar>
            <w:vAlign w:val="center"/>
          </w:tcPr>
          <w:p w14:paraId="25051EE6">
            <w:pPr>
              <w:pStyle w:val="19"/>
              <w:bidi w:val="0"/>
            </w:pPr>
            <w:r>
              <w:rPr>
                <w:rFonts w:hint="eastAsia"/>
                <w:lang w:val="en-US" w:eastAsia="zh-CN"/>
              </w:rPr>
              <w:t>24</w:t>
            </w:r>
            <w:r>
              <w:rPr>
                <w:rFonts w:hint="eastAsia"/>
              </w:rPr>
              <w:t>0m</w:t>
            </w:r>
          </w:p>
        </w:tc>
      </w:tr>
      <w:tr w14:paraId="7289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vMerge w:val="continue"/>
            <w:noWrap w:val="0"/>
            <w:tcMar>
              <w:top w:w="28" w:type="dxa"/>
              <w:left w:w="57" w:type="dxa"/>
              <w:bottom w:w="28" w:type="dxa"/>
              <w:right w:w="57" w:type="dxa"/>
            </w:tcMar>
            <w:vAlign w:val="center"/>
          </w:tcPr>
          <w:p w14:paraId="3A614ABC">
            <w:pPr>
              <w:pStyle w:val="19"/>
              <w:bidi w:val="0"/>
            </w:pPr>
          </w:p>
        </w:tc>
        <w:tc>
          <w:tcPr>
            <w:tcW w:w="833" w:type="pct"/>
            <w:noWrap w:val="0"/>
            <w:tcMar>
              <w:top w:w="28" w:type="dxa"/>
              <w:left w:w="57" w:type="dxa"/>
              <w:bottom w:w="28" w:type="dxa"/>
              <w:right w:w="57" w:type="dxa"/>
            </w:tcMar>
            <w:vAlign w:val="center"/>
          </w:tcPr>
          <w:p w14:paraId="20C5E376">
            <w:pPr>
              <w:pStyle w:val="19"/>
              <w:bidi w:val="0"/>
              <w:rPr>
                <w:rFonts w:hint="eastAsia" w:eastAsia="宋体"/>
                <w:lang w:val="en-US" w:eastAsia="zh-CN"/>
              </w:rPr>
            </w:pPr>
            <w:r>
              <w:rPr>
                <w:rFonts w:hint="eastAsia"/>
                <w:lang w:val="en-US" w:eastAsia="zh-CN"/>
              </w:rPr>
              <w:t>农田</w:t>
            </w:r>
          </w:p>
        </w:tc>
        <w:tc>
          <w:tcPr>
            <w:tcW w:w="1195" w:type="pct"/>
            <w:gridSpan w:val="2"/>
            <w:vMerge w:val="continue"/>
            <w:noWrap w:val="0"/>
            <w:tcMar>
              <w:top w:w="28" w:type="dxa"/>
              <w:left w:w="57" w:type="dxa"/>
              <w:bottom w:w="28" w:type="dxa"/>
              <w:right w:w="57" w:type="dxa"/>
            </w:tcMar>
            <w:vAlign w:val="center"/>
          </w:tcPr>
          <w:p w14:paraId="7BA26BBA">
            <w:pPr>
              <w:pStyle w:val="19"/>
              <w:bidi w:val="0"/>
            </w:pPr>
          </w:p>
        </w:tc>
        <w:tc>
          <w:tcPr>
            <w:tcW w:w="704" w:type="pct"/>
            <w:noWrap w:val="0"/>
            <w:tcMar>
              <w:top w:w="28" w:type="dxa"/>
              <w:left w:w="57" w:type="dxa"/>
              <w:bottom w:w="28" w:type="dxa"/>
              <w:right w:w="57" w:type="dxa"/>
            </w:tcMar>
            <w:vAlign w:val="center"/>
          </w:tcPr>
          <w:p w14:paraId="635A0D2F">
            <w:pPr>
              <w:pStyle w:val="19"/>
              <w:bidi w:val="0"/>
              <w:rPr>
                <w:rFonts w:hint="eastAsia" w:eastAsia="宋体"/>
                <w:lang w:val="en-US" w:eastAsia="zh-CN"/>
              </w:rPr>
            </w:pPr>
            <w:r>
              <w:rPr>
                <w:rFonts w:hint="eastAsia"/>
                <w:lang w:val="en-US" w:eastAsia="zh-CN"/>
              </w:rPr>
              <w:t>/</w:t>
            </w:r>
          </w:p>
        </w:tc>
        <w:tc>
          <w:tcPr>
            <w:tcW w:w="820" w:type="pct"/>
            <w:noWrap w:val="0"/>
            <w:tcMar>
              <w:top w:w="28" w:type="dxa"/>
              <w:left w:w="57" w:type="dxa"/>
              <w:bottom w:w="28" w:type="dxa"/>
              <w:right w:w="57" w:type="dxa"/>
            </w:tcMar>
            <w:vAlign w:val="center"/>
          </w:tcPr>
          <w:p w14:paraId="37B62F0D">
            <w:pPr>
              <w:pStyle w:val="19"/>
              <w:bidi w:val="0"/>
              <w:rPr>
                <w:rFonts w:hint="eastAsia" w:eastAsia="宋体"/>
                <w:lang w:val="en-US" w:eastAsia="zh-CN"/>
              </w:rPr>
            </w:pPr>
            <w:r>
              <w:rPr>
                <w:rFonts w:hint="eastAsia"/>
                <w:lang w:val="en-US" w:eastAsia="zh-CN"/>
              </w:rPr>
              <w:t>南侧</w:t>
            </w:r>
          </w:p>
        </w:tc>
        <w:tc>
          <w:tcPr>
            <w:tcW w:w="818" w:type="pct"/>
            <w:noWrap w:val="0"/>
            <w:tcMar>
              <w:top w:w="28" w:type="dxa"/>
              <w:left w:w="57" w:type="dxa"/>
              <w:bottom w:w="28" w:type="dxa"/>
              <w:right w:w="57" w:type="dxa"/>
            </w:tcMar>
            <w:vAlign w:val="center"/>
          </w:tcPr>
          <w:p w14:paraId="55DC0388">
            <w:pPr>
              <w:pStyle w:val="19"/>
              <w:bidi w:val="0"/>
              <w:rPr>
                <w:rFonts w:hint="default"/>
                <w:lang w:val="en-US" w:eastAsia="zh-CN"/>
              </w:rPr>
            </w:pPr>
            <w:r>
              <w:rPr>
                <w:rFonts w:hint="eastAsia"/>
                <w:lang w:val="en-US" w:eastAsia="zh-CN"/>
              </w:rPr>
              <w:t>260m</w:t>
            </w:r>
          </w:p>
        </w:tc>
      </w:tr>
      <w:tr w14:paraId="2C55C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noWrap w:val="0"/>
            <w:tcMar>
              <w:top w:w="28" w:type="dxa"/>
              <w:left w:w="57" w:type="dxa"/>
              <w:bottom w:w="28" w:type="dxa"/>
              <w:right w:w="57" w:type="dxa"/>
            </w:tcMar>
            <w:vAlign w:val="center"/>
          </w:tcPr>
          <w:p w14:paraId="45D20F39">
            <w:pPr>
              <w:pStyle w:val="19"/>
              <w:bidi w:val="0"/>
            </w:pPr>
            <w:r>
              <w:t>土壤环境</w:t>
            </w:r>
          </w:p>
        </w:tc>
        <w:tc>
          <w:tcPr>
            <w:tcW w:w="833" w:type="pct"/>
            <w:noWrap w:val="0"/>
            <w:tcMar>
              <w:top w:w="28" w:type="dxa"/>
              <w:left w:w="57" w:type="dxa"/>
              <w:bottom w:w="28" w:type="dxa"/>
              <w:right w:w="57" w:type="dxa"/>
            </w:tcMar>
            <w:vAlign w:val="center"/>
          </w:tcPr>
          <w:p w14:paraId="4438E379">
            <w:pPr>
              <w:pStyle w:val="19"/>
              <w:bidi w:val="0"/>
            </w:pPr>
            <w:r>
              <w:t>项目场界</w:t>
            </w:r>
          </w:p>
        </w:tc>
        <w:tc>
          <w:tcPr>
            <w:tcW w:w="3538" w:type="pct"/>
            <w:gridSpan w:val="5"/>
            <w:noWrap w:val="0"/>
            <w:tcMar>
              <w:top w:w="28" w:type="dxa"/>
              <w:left w:w="57" w:type="dxa"/>
              <w:bottom w:w="28" w:type="dxa"/>
              <w:right w:w="57" w:type="dxa"/>
            </w:tcMar>
            <w:vAlign w:val="center"/>
          </w:tcPr>
          <w:p w14:paraId="783E9D7D">
            <w:pPr>
              <w:pStyle w:val="19"/>
              <w:bidi w:val="0"/>
            </w:pPr>
            <w:r>
              <w:t>项目区范围内及场址周边</w:t>
            </w:r>
          </w:p>
        </w:tc>
      </w:tr>
      <w:tr w14:paraId="750BB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28" w:type="pct"/>
            <w:noWrap w:val="0"/>
            <w:tcMar>
              <w:top w:w="28" w:type="dxa"/>
              <w:left w:w="57" w:type="dxa"/>
              <w:bottom w:w="28" w:type="dxa"/>
              <w:right w:w="57" w:type="dxa"/>
            </w:tcMar>
            <w:vAlign w:val="center"/>
          </w:tcPr>
          <w:p w14:paraId="6D65948B">
            <w:pPr>
              <w:pStyle w:val="19"/>
              <w:bidi w:val="0"/>
            </w:pPr>
            <w:r>
              <w:t>环境风险</w:t>
            </w:r>
          </w:p>
        </w:tc>
        <w:tc>
          <w:tcPr>
            <w:tcW w:w="833" w:type="pct"/>
            <w:noWrap w:val="0"/>
            <w:tcMar>
              <w:top w:w="28" w:type="dxa"/>
              <w:left w:w="57" w:type="dxa"/>
              <w:bottom w:w="28" w:type="dxa"/>
              <w:right w:w="57" w:type="dxa"/>
            </w:tcMar>
            <w:vAlign w:val="center"/>
          </w:tcPr>
          <w:p w14:paraId="127F70DA">
            <w:pPr>
              <w:pStyle w:val="19"/>
              <w:bidi w:val="0"/>
            </w:pPr>
            <w:r>
              <w:t>地下水</w:t>
            </w:r>
          </w:p>
        </w:tc>
        <w:tc>
          <w:tcPr>
            <w:tcW w:w="3538" w:type="pct"/>
            <w:gridSpan w:val="5"/>
            <w:noWrap w:val="0"/>
            <w:tcMar>
              <w:top w:w="28" w:type="dxa"/>
              <w:left w:w="57" w:type="dxa"/>
              <w:bottom w:w="28" w:type="dxa"/>
              <w:right w:w="57" w:type="dxa"/>
            </w:tcMar>
            <w:vAlign w:val="center"/>
          </w:tcPr>
          <w:p w14:paraId="265026B3">
            <w:pPr>
              <w:pStyle w:val="19"/>
              <w:bidi w:val="0"/>
            </w:pPr>
            <w:r>
              <w:t>控制突发性事件或事故对周边的影响</w:t>
            </w:r>
          </w:p>
        </w:tc>
      </w:tr>
    </w:tbl>
    <w:p w14:paraId="255050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val="en-US" w:eastAsia="zh-CN"/>
        </w:rPr>
      </w:pPr>
    </w:p>
    <w:p w14:paraId="2BB9475B">
      <w:pPr>
        <w:rPr>
          <w:rFonts w:hint="eastAsia"/>
          <w:lang w:val="en-US" w:eastAsia="zh-CN"/>
        </w:rPr>
        <w:sectPr>
          <w:pgSz w:w="11906" w:h="16838"/>
          <w:pgMar w:top="1440" w:right="1800" w:bottom="1440" w:left="1800" w:header="794"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C3F3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p w14:paraId="5B248BE3">
      <w:pPr>
        <w:pStyle w:val="25"/>
        <w:bidi w:val="0"/>
        <w:rPr>
          <w:rFonts w:hint="default"/>
          <w:lang w:val="en-US" w:eastAsia="zh-CN"/>
        </w:rPr>
      </w:pPr>
      <w:bookmarkStart w:id="13" w:name="_Toc18309"/>
      <w:r>
        <w:rPr>
          <w:rFonts w:hint="eastAsia"/>
          <w:lang w:val="en-US" w:eastAsia="zh-CN"/>
        </w:rPr>
        <w:t>建设项目工程分析</w:t>
      </w:r>
      <w:bookmarkEnd w:id="13"/>
    </w:p>
    <w:p w14:paraId="55E6E605">
      <w:pPr>
        <w:pStyle w:val="26"/>
        <w:bidi w:val="0"/>
        <w:rPr>
          <w:rFonts w:hint="default"/>
          <w:lang w:val="en-US" w:eastAsia="zh-CN"/>
        </w:rPr>
      </w:pPr>
      <w:bookmarkStart w:id="14" w:name="_Toc4673"/>
      <w:r>
        <w:rPr>
          <w:rFonts w:hint="eastAsia"/>
          <w:lang w:val="en-US" w:eastAsia="zh-CN"/>
        </w:rPr>
        <w:t>工程概况</w:t>
      </w:r>
      <w:bookmarkEnd w:id="14"/>
    </w:p>
    <w:p w14:paraId="5FAEEBA0">
      <w:pPr>
        <w:pStyle w:val="27"/>
        <w:bidi w:val="0"/>
        <w:rPr>
          <w:rFonts w:hint="default"/>
          <w:lang w:val="en-US" w:eastAsia="zh-CN"/>
        </w:rPr>
      </w:pPr>
      <w:r>
        <w:rPr>
          <w:rFonts w:hint="eastAsia"/>
          <w:lang w:val="en-US" w:eastAsia="zh-CN"/>
        </w:rPr>
        <w:t>项目概况</w:t>
      </w:r>
    </w:p>
    <w:p w14:paraId="10D3DBAB">
      <w:pPr>
        <w:bidi w:val="0"/>
        <w:rPr>
          <w:rFonts w:hint="eastAsia"/>
          <w:lang w:val="en-US" w:eastAsia="zh-CN"/>
        </w:rPr>
      </w:pPr>
      <w:r>
        <w:rPr>
          <w:rFonts w:hint="eastAsia"/>
          <w:lang w:val="en-US" w:eastAsia="zh-CN"/>
        </w:rPr>
        <w:t>（1）项目名称：胡杨河市明源农业发展有限公司年出栏10万头生猪养殖项目</w:t>
      </w:r>
    </w:p>
    <w:p w14:paraId="55E6EC91">
      <w:pPr>
        <w:bidi w:val="0"/>
        <w:rPr>
          <w:rFonts w:hint="eastAsia"/>
          <w:lang w:val="en-US" w:eastAsia="zh-CN"/>
        </w:rPr>
      </w:pPr>
      <w:r>
        <w:rPr>
          <w:rFonts w:hint="eastAsia"/>
          <w:lang w:val="en-US" w:eastAsia="zh-CN"/>
        </w:rPr>
        <w:t>（2）建设单位：胡杨河市明源农业发展有限公司</w:t>
      </w:r>
    </w:p>
    <w:p w14:paraId="1211B2C0">
      <w:pPr>
        <w:bidi w:val="0"/>
        <w:rPr>
          <w:rFonts w:hint="eastAsia"/>
          <w:lang w:val="en-US" w:eastAsia="zh-CN"/>
        </w:rPr>
      </w:pPr>
      <w:r>
        <w:rPr>
          <w:rFonts w:hint="eastAsia"/>
          <w:lang w:val="en-US" w:eastAsia="zh-CN"/>
        </w:rPr>
        <w:t>（3）建设性质：新建</w:t>
      </w:r>
    </w:p>
    <w:p w14:paraId="3F4F0666">
      <w:pPr>
        <w:bidi w:val="0"/>
        <w:rPr>
          <w:rFonts w:hint="eastAsia"/>
          <w:lang w:val="en-US" w:eastAsia="zh-CN"/>
        </w:rPr>
      </w:pPr>
      <w:r>
        <w:rPr>
          <w:rFonts w:hint="eastAsia"/>
          <w:lang w:val="en-US" w:eastAsia="zh-CN"/>
        </w:rPr>
        <w:t>（4）建设地点：本项目位于第七师129团13连东北偏北方向3.5km处的未利用地，项目区中心坐标：经度84°46'7.13"，纬度45°0'5.18"，项目区四周均为耕地，西北方向1.6km处为129团10连，北侧3.1km为奎阿高速（G3014），西南方向4.7km处129团16连。</w:t>
      </w:r>
    </w:p>
    <w:p w14:paraId="5092A1D3">
      <w:pPr>
        <w:bidi w:val="0"/>
        <w:rPr>
          <w:rFonts w:hint="eastAsia"/>
          <w:lang w:val="en-US" w:eastAsia="zh-CN"/>
        </w:rPr>
      </w:pPr>
      <w:r>
        <w:rPr>
          <w:rFonts w:hint="eastAsia"/>
          <w:lang w:val="en-US" w:eastAsia="zh-CN"/>
        </w:rPr>
        <w:t>（5）项目投资：项目总投资18000万元，</w:t>
      </w:r>
      <w:r>
        <w:rPr>
          <w:rFonts w:hint="eastAsia"/>
          <w:highlight w:val="none"/>
          <w:lang w:val="en-US" w:eastAsia="zh-CN"/>
        </w:rPr>
        <w:t>其中环保投资为872.5万元，占总投资比例4.85%，</w:t>
      </w:r>
      <w:r>
        <w:rPr>
          <w:rFonts w:hint="eastAsia"/>
          <w:lang w:val="en-US" w:eastAsia="zh-CN"/>
        </w:rPr>
        <w:t>均为企业自筹资金。</w:t>
      </w:r>
    </w:p>
    <w:p w14:paraId="487681EB">
      <w:pPr>
        <w:bidi w:val="0"/>
        <w:rPr>
          <w:rFonts w:hint="eastAsia"/>
          <w:lang w:val="en-US" w:eastAsia="zh-CN"/>
        </w:rPr>
      </w:pPr>
      <w:r>
        <w:rPr>
          <w:rFonts w:hint="eastAsia"/>
          <w:lang w:val="en-US" w:eastAsia="zh-CN"/>
        </w:rPr>
        <w:t>（6）占地面积：项目占地面积218666.6m</w:t>
      </w:r>
      <w:r>
        <w:rPr>
          <w:rFonts w:hint="eastAsia"/>
          <w:vertAlign w:val="superscript"/>
          <w:lang w:val="en-US" w:eastAsia="zh-CN"/>
        </w:rPr>
        <w:t>2</w:t>
      </w:r>
      <w:r>
        <w:rPr>
          <w:rFonts w:hint="eastAsia"/>
          <w:lang w:val="en-US" w:eastAsia="zh-CN"/>
        </w:rPr>
        <w:t>。</w:t>
      </w:r>
    </w:p>
    <w:p w14:paraId="780D8C4B">
      <w:pPr>
        <w:bidi w:val="0"/>
        <w:rPr>
          <w:rFonts w:hint="eastAsia"/>
          <w:lang w:val="en-US" w:eastAsia="zh-CN"/>
        </w:rPr>
      </w:pPr>
      <w:r>
        <w:rPr>
          <w:rFonts w:hint="eastAsia"/>
          <w:lang w:val="en-US" w:eastAsia="zh-CN"/>
        </w:rPr>
        <w:t>（7）工作制度：项目年工作365天，采用一班制，工作8小时。</w:t>
      </w:r>
    </w:p>
    <w:p w14:paraId="7FCB551F">
      <w:pPr>
        <w:bidi w:val="0"/>
        <w:rPr>
          <w:rFonts w:hint="eastAsia"/>
          <w:lang w:val="en-US" w:eastAsia="zh-CN"/>
        </w:rPr>
      </w:pPr>
      <w:r>
        <w:rPr>
          <w:rFonts w:hint="eastAsia"/>
          <w:lang w:val="en-US" w:eastAsia="zh-CN"/>
        </w:rPr>
        <w:t>（8）劳动定员：项目劳动定员共计30人。员工均在厂区内住宿，员工食堂每天供应三餐。</w:t>
      </w:r>
    </w:p>
    <w:p w14:paraId="614BC75D">
      <w:pPr>
        <w:pStyle w:val="27"/>
        <w:bidi w:val="0"/>
        <w:rPr>
          <w:rFonts w:hint="default"/>
          <w:lang w:val="en-US" w:eastAsia="zh-CN"/>
        </w:rPr>
      </w:pPr>
      <w:r>
        <w:rPr>
          <w:rFonts w:hint="eastAsia"/>
          <w:lang w:val="en-US" w:eastAsia="zh-CN"/>
        </w:rPr>
        <w:t>建设内容</w:t>
      </w:r>
    </w:p>
    <w:p w14:paraId="40FB30AA">
      <w:pPr>
        <w:rPr>
          <w:rFonts w:hint="eastAsia"/>
          <w:lang w:val="en-US" w:eastAsia="zh-CN"/>
        </w:rPr>
      </w:pPr>
      <w:r>
        <w:rPr>
          <w:rFonts w:hint="eastAsia"/>
          <w:lang w:val="en-US" w:eastAsia="zh-CN"/>
        </w:rPr>
        <w:t>本项目新建育肥舍40栋，</w:t>
      </w:r>
      <w:r>
        <w:rPr>
          <w:rFonts w:hint="eastAsia"/>
          <w:highlight w:val="none"/>
          <w:lang w:val="en-US" w:eastAsia="zh-CN"/>
        </w:rPr>
        <w:t>安装智能饲喂系统，自动环控，自动料线；新建生物质锅炉3台，污水处理池2座，办公室2座、宿舍5座、食堂2座等配套设施；道路、绿化等附属工程</w:t>
      </w:r>
      <w:r>
        <w:rPr>
          <w:rFonts w:hint="eastAsia"/>
          <w:lang w:val="en-US" w:eastAsia="zh-CN"/>
        </w:rPr>
        <w:t>，具体见表3.1-1。</w:t>
      </w:r>
    </w:p>
    <w:p w14:paraId="0484A2E1">
      <w:pPr>
        <w:pStyle w:val="30"/>
        <w:bidi w:val="0"/>
        <w:rPr>
          <w:rFonts w:hint="default"/>
          <w:lang w:val="en-US" w:eastAsia="zh-CN"/>
        </w:rPr>
      </w:pPr>
      <w:r>
        <w:rPr>
          <w:rFonts w:hint="eastAsia"/>
          <w:lang w:val="en-US" w:eastAsia="zh-CN"/>
        </w:rPr>
        <w:t>表3.1-1   本项目主要建设内容一览表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57"/>
        <w:gridCol w:w="421"/>
        <w:gridCol w:w="1180"/>
        <w:gridCol w:w="5164"/>
        <w:gridCol w:w="620"/>
      </w:tblGrid>
      <w:tr w14:paraId="4D2A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tcMar>
              <w:top w:w="28" w:type="dxa"/>
              <w:left w:w="57" w:type="dxa"/>
              <w:bottom w:w="28" w:type="dxa"/>
              <w:right w:w="57" w:type="dxa"/>
            </w:tcMar>
            <w:vAlign w:val="center"/>
          </w:tcPr>
          <w:p w14:paraId="4F61ECA4">
            <w:pPr>
              <w:pStyle w:val="19"/>
              <w:bidi w:val="0"/>
            </w:pPr>
            <w:r>
              <w:t>类别</w:t>
            </w:r>
          </w:p>
        </w:tc>
        <w:tc>
          <w:tcPr>
            <w:tcW w:w="1163" w:type="pct"/>
            <w:gridSpan w:val="3"/>
            <w:noWrap w:val="0"/>
            <w:tcMar>
              <w:top w:w="28" w:type="dxa"/>
              <w:left w:w="57" w:type="dxa"/>
              <w:bottom w:w="28" w:type="dxa"/>
              <w:right w:w="57" w:type="dxa"/>
            </w:tcMar>
            <w:vAlign w:val="center"/>
          </w:tcPr>
          <w:p w14:paraId="36C7379F">
            <w:pPr>
              <w:pStyle w:val="19"/>
              <w:bidi w:val="0"/>
            </w:pPr>
            <w:r>
              <w:t>组成内容</w:t>
            </w:r>
          </w:p>
        </w:tc>
        <w:tc>
          <w:tcPr>
            <w:tcW w:w="3067" w:type="pct"/>
            <w:noWrap w:val="0"/>
            <w:tcMar>
              <w:top w:w="28" w:type="dxa"/>
              <w:left w:w="57" w:type="dxa"/>
              <w:bottom w:w="28" w:type="dxa"/>
              <w:right w:w="57" w:type="dxa"/>
            </w:tcMar>
            <w:vAlign w:val="center"/>
          </w:tcPr>
          <w:p w14:paraId="4673BFC1">
            <w:pPr>
              <w:pStyle w:val="19"/>
              <w:bidi w:val="0"/>
            </w:pPr>
            <w:r>
              <w:t>内容</w:t>
            </w:r>
          </w:p>
        </w:tc>
        <w:tc>
          <w:tcPr>
            <w:tcW w:w="368" w:type="pct"/>
            <w:noWrap w:val="0"/>
            <w:tcMar>
              <w:top w:w="28" w:type="dxa"/>
              <w:left w:w="57" w:type="dxa"/>
              <w:bottom w:w="28" w:type="dxa"/>
              <w:right w:w="57" w:type="dxa"/>
            </w:tcMar>
            <w:vAlign w:val="center"/>
          </w:tcPr>
          <w:p w14:paraId="49CA394C">
            <w:pPr>
              <w:pStyle w:val="19"/>
              <w:bidi w:val="0"/>
            </w:pPr>
            <w:r>
              <w:t>备注</w:t>
            </w:r>
          </w:p>
        </w:tc>
      </w:tr>
      <w:tr w14:paraId="6AA9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tcMar>
              <w:top w:w="28" w:type="dxa"/>
              <w:left w:w="57" w:type="dxa"/>
              <w:bottom w:w="28" w:type="dxa"/>
              <w:right w:w="57" w:type="dxa"/>
            </w:tcMar>
            <w:vAlign w:val="center"/>
          </w:tcPr>
          <w:p w14:paraId="7F3DE738">
            <w:pPr>
              <w:pStyle w:val="19"/>
              <w:bidi w:val="0"/>
            </w:pPr>
            <w:r>
              <w:t>主体工程</w:t>
            </w:r>
          </w:p>
        </w:tc>
        <w:tc>
          <w:tcPr>
            <w:tcW w:w="1163" w:type="pct"/>
            <w:gridSpan w:val="3"/>
            <w:noWrap w:val="0"/>
            <w:tcMar>
              <w:top w:w="28" w:type="dxa"/>
              <w:left w:w="57" w:type="dxa"/>
              <w:bottom w:w="28" w:type="dxa"/>
              <w:right w:w="57" w:type="dxa"/>
            </w:tcMar>
            <w:vAlign w:val="center"/>
          </w:tcPr>
          <w:p w14:paraId="2E56415B">
            <w:pPr>
              <w:pStyle w:val="19"/>
              <w:bidi w:val="0"/>
            </w:pPr>
            <w:r>
              <w:t>育肥舍</w:t>
            </w:r>
          </w:p>
        </w:tc>
        <w:tc>
          <w:tcPr>
            <w:tcW w:w="3067" w:type="pct"/>
            <w:noWrap w:val="0"/>
            <w:tcMar>
              <w:top w:w="28" w:type="dxa"/>
              <w:left w:w="57" w:type="dxa"/>
              <w:bottom w:w="28" w:type="dxa"/>
              <w:right w:w="57" w:type="dxa"/>
            </w:tcMar>
            <w:vAlign w:val="center"/>
          </w:tcPr>
          <w:p w14:paraId="1F1EE94A">
            <w:pPr>
              <w:pStyle w:val="19"/>
              <w:bidi w:val="0"/>
              <w:rPr>
                <w:rFonts w:hint="eastAsia"/>
                <w:lang w:eastAsia="zh-CN"/>
              </w:rPr>
            </w:pPr>
            <w:r>
              <w:t>育肥舍</w:t>
            </w:r>
            <w:r>
              <w:rPr>
                <w:rFonts w:hint="eastAsia"/>
                <w:lang w:val="en-US" w:eastAsia="zh-CN"/>
              </w:rPr>
              <w:t>40栋</w:t>
            </w:r>
            <w:r>
              <w:rPr>
                <w:rFonts w:hint="eastAsia"/>
              </w:rPr>
              <w:t>，</w:t>
            </w:r>
            <w:r>
              <w:rPr>
                <w:rFonts w:hint="eastAsia"/>
                <w:lang w:val="en-US" w:eastAsia="zh-CN"/>
              </w:rPr>
              <w:t>分别</w:t>
            </w:r>
            <w:r>
              <w:rPr>
                <w:rFonts w:hint="eastAsia"/>
              </w:rPr>
              <w:t>布置</w:t>
            </w:r>
            <w:r>
              <w:rPr>
                <w:rFonts w:hint="eastAsia"/>
                <w:lang w:val="en-US" w:eastAsia="zh-CN"/>
              </w:rPr>
              <w:t>在</w:t>
            </w:r>
            <w:r>
              <w:rPr>
                <w:rFonts w:hint="eastAsia"/>
              </w:rPr>
              <w:t>厂区</w:t>
            </w:r>
            <w:r>
              <w:rPr>
                <w:rFonts w:hint="eastAsia"/>
                <w:lang w:val="en-US" w:eastAsia="zh-CN"/>
              </w:rPr>
              <w:t>东北侧、西侧、南侧</w:t>
            </w:r>
            <w:r>
              <w:rPr>
                <w:rFonts w:hint="eastAsia"/>
              </w:rPr>
              <w:t>，</w:t>
            </w:r>
            <w:r>
              <w:rPr>
                <w:rFonts w:hint="eastAsia"/>
                <w:lang w:val="en-US" w:eastAsia="zh-CN"/>
              </w:rPr>
              <w:t>每栋育肥舍占地面积1200m</w:t>
            </w:r>
            <w:r>
              <w:rPr>
                <w:rFonts w:hint="eastAsia"/>
                <w:vertAlign w:val="superscript"/>
                <w:lang w:val="en-US" w:eastAsia="zh-CN"/>
              </w:rPr>
              <w:t>2</w:t>
            </w:r>
            <w:r>
              <w:rPr>
                <w:rFonts w:hint="eastAsia"/>
                <w:vertAlign w:val="baseline"/>
                <w:lang w:val="en-US" w:eastAsia="zh-CN"/>
              </w:rPr>
              <w:t>，</w:t>
            </w:r>
            <w:r>
              <w:rPr>
                <w:rFonts w:hint="eastAsia"/>
              </w:rPr>
              <w:t>总</w:t>
            </w:r>
            <w:r>
              <w:rPr>
                <w:rFonts w:hint="eastAsia"/>
                <w:lang w:val="en-US" w:eastAsia="zh-CN"/>
              </w:rPr>
              <w:t>占地</w:t>
            </w:r>
            <w:r>
              <w:rPr>
                <w:rFonts w:hint="eastAsia"/>
              </w:rPr>
              <w:t>面积</w:t>
            </w:r>
            <w:r>
              <w:rPr>
                <w:rFonts w:hint="eastAsia"/>
                <w:lang w:val="en-US" w:eastAsia="zh-CN"/>
              </w:rPr>
              <w:t>36</w:t>
            </w:r>
            <w:r>
              <w:t>000m</w:t>
            </w:r>
            <w:r>
              <w:rPr>
                <w:vertAlign w:val="superscript"/>
              </w:rPr>
              <w:t>2</w:t>
            </w:r>
            <w:r>
              <w:rPr>
                <w:rFonts w:hint="eastAsia"/>
              </w:rPr>
              <w:t>，地上一层；上部拱形钢构，内部喷聚氨酯保温层及防火涂料，中间层为圈舍，采用全漏底板；下层高</w:t>
            </w:r>
            <w:r>
              <w:t>1.1</w:t>
            </w:r>
            <w:r>
              <w:rPr>
                <w:rFonts w:hint="eastAsia"/>
              </w:rPr>
              <w:t>米混凝土</w:t>
            </w:r>
            <w:r>
              <w:rPr>
                <w:rFonts w:hint="eastAsia"/>
                <w:lang w:eastAsia="zh-CN"/>
              </w:rPr>
              <w:t>堆粪池。</w:t>
            </w:r>
          </w:p>
        </w:tc>
        <w:tc>
          <w:tcPr>
            <w:tcW w:w="368" w:type="pct"/>
            <w:noWrap w:val="0"/>
            <w:tcMar>
              <w:top w:w="28" w:type="dxa"/>
              <w:left w:w="57" w:type="dxa"/>
              <w:bottom w:w="28" w:type="dxa"/>
              <w:right w:w="57" w:type="dxa"/>
            </w:tcMar>
            <w:vAlign w:val="center"/>
          </w:tcPr>
          <w:p w14:paraId="596AECAB">
            <w:pPr>
              <w:pStyle w:val="19"/>
              <w:bidi w:val="0"/>
            </w:pPr>
            <w:r>
              <w:t>新建</w:t>
            </w:r>
          </w:p>
        </w:tc>
      </w:tr>
      <w:tr w14:paraId="16C9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noWrap w:val="0"/>
            <w:tcMar>
              <w:top w:w="28" w:type="dxa"/>
              <w:left w:w="57" w:type="dxa"/>
              <w:bottom w:w="28" w:type="dxa"/>
              <w:right w:w="57" w:type="dxa"/>
            </w:tcMar>
            <w:vAlign w:val="center"/>
          </w:tcPr>
          <w:p w14:paraId="6D6DC62D">
            <w:pPr>
              <w:pStyle w:val="19"/>
              <w:bidi w:val="0"/>
            </w:pPr>
            <w:r>
              <w:t>辅助工程</w:t>
            </w:r>
          </w:p>
        </w:tc>
        <w:tc>
          <w:tcPr>
            <w:tcW w:w="1163" w:type="pct"/>
            <w:gridSpan w:val="3"/>
            <w:noWrap w:val="0"/>
            <w:tcMar>
              <w:top w:w="28" w:type="dxa"/>
              <w:left w:w="57" w:type="dxa"/>
              <w:bottom w:w="28" w:type="dxa"/>
              <w:right w:w="57" w:type="dxa"/>
            </w:tcMar>
            <w:vAlign w:val="center"/>
          </w:tcPr>
          <w:p w14:paraId="2165D50C">
            <w:pPr>
              <w:pStyle w:val="19"/>
              <w:bidi w:val="0"/>
              <w:rPr>
                <w:highlight w:val="none"/>
              </w:rPr>
            </w:pPr>
            <w:r>
              <w:rPr>
                <w:highlight w:val="none"/>
              </w:rPr>
              <w:t>办公区</w:t>
            </w:r>
          </w:p>
        </w:tc>
        <w:tc>
          <w:tcPr>
            <w:tcW w:w="3067" w:type="pct"/>
            <w:noWrap w:val="0"/>
            <w:tcMar>
              <w:top w:w="28" w:type="dxa"/>
              <w:left w:w="57" w:type="dxa"/>
              <w:bottom w:w="28" w:type="dxa"/>
              <w:right w:w="57" w:type="dxa"/>
            </w:tcMar>
            <w:vAlign w:val="center"/>
          </w:tcPr>
          <w:p w14:paraId="136B1337">
            <w:pPr>
              <w:pStyle w:val="19"/>
              <w:bidi w:val="0"/>
              <w:rPr>
                <w:rFonts w:hint="eastAsia" w:eastAsia="宋体"/>
                <w:highlight w:val="none"/>
                <w:vertAlign w:val="baseline"/>
                <w:lang w:eastAsia="zh-CN"/>
              </w:rPr>
            </w:pPr>
            <w:r>
              <w:rPr>
                <w:rFonts w:hint="eastAsia"/>
                <w:highlight w:val="none"/>
                <w:lang w:val="en-US" w:eastAsia="zh-CN"/>
              </w:rPr>
              <w:t>设置办公室2座</w:t>
            </w:r>
            <w:r>
              <w:rPr>
                <w:highlight w:val="none"/>
              </w:rPr>
              <w:t>，</w:t>
            </w:r>
            <w:r>
              <w:rPr>
                <w:rFonts w:hint="eastAsia"/>
                <w:highlight w:val="none"/>
                <w:lang w:val="en-US" w:eastAsia="zh-CN"/>
              </w:rPr>
              <w:t>每座</w:t>
            </w:r>
            <w:r>
              <w:rPr>
                <w:highlight w:val="none"/>
              </w:rPr>
              <w:t>建筑面积分别为</w:t>
            </w:r>
            <w:r>
              <w:rPr>
                <w:rFonts w:hint="eastAsia"/>
                <w:highlight w:val="none"/>
                <w:lang w:val="en-US" w:eastAsia="zh-CN"/>
              </w:rPr>
              <w:t>6</w:t>
            </w:r>
            <w:r>
              <w:rPr>
                <w:highlight w:val="none"/>
              </w:rPr>
              <w:t>0m</w:t>
            </w:r>
            <w:r>
              <w:rPr>
                <w:highlight w:val="none"/>
                <w:vertAlign w:val="superscript"/>
              </w:rPr>
              <w:t>2</w:t>
            </w:r>
            <w:r>
              <w:rPr>
                <w:rFonts w:hint="eastAsia"/>
                <w:highlight w:val="none"/>
                <w:vertAlign w:val="baseline"/>
                <w:lang w:eastAsia="zh-CN"/>
              </w:rPr>
              <w:t>。</w:t>
            </w:r>
          </w:p>
        </w:tc>
        <w:tc>
          <w:tcPr>
            <w:tcW w:w="368" w:type="pct"/>
            <w:noWrap w:val="0"/>
            <w:tcMar>
              <w:top w:w="28" w:type="dxa"/>
              <w:left w:w="57" w:type="dxa"/>
              <w:bottom w:w="28" w:type="dxa"/>
              <w:right w:w="57" w:type="dxa"/>
            </w:tcMar>
            <w:vAlign w:val="center"/>
          </w:tcPr>
          <w:p w14:paraId="69C05CAD">
            <w:pPr>
              <w:pStyle w:val="19"/>
              <w:bidi w:val="0"/>
              <w:rPr>
                <w:rFonts w:hint="eastAsia" w:eastAsia="宋体"/>
                <w:lang w:val="en-US" w:eastAsia="zh-CN"/>
              </w:rPr>
            </w:pPr>
            <w:r>
              <w:rPr>
                <w:rFonts w:hint="eastAsia"/>
                <w:lang w:val="en-US" w:eastAsia="zh-CN"/>
              </w:rPr>
              <w:t>新建</w:t>
            </w:r>
          </w:p>
        </w:tc>
      </w:tr>
      <w:tr w14:paraId="3085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026DD482">
            <w:pPr>
              <w:pStyle w:val="19"/>
              <w:bidi w:val="0"/>
            </w:pPr>
          </w:p>
        </w:tc>
        <w:tc>
          <w:tcPr>
            <w:tcW w:w="1163" w:type="pct"/>
            <w:gridSpan w:val="3"/>
            <w:noWrap w:val="0"/>
            <w:tcMar>
              <w:top w:w="28" w:type="dxa"/>
              <w:left w:w="57" w:type="dxa"/>
              <w:bottom w:w="28" w:type="dxa"/>
              <w:right w:w="57" w:type="dxa"/>
            </w:tcMar>
            <w:vAlign w:val="center"/>
          </w:tcPr>
          <w:p w14:paraId="1150310C">
            <w:pPr>
              <w:pStyle w:val="19"/>
              <w:bidi w:val="0"/>
              <w:rPr>
                <w:highlight w:val="none"/>
              </w:rPr>
            </w:pPr>
            <w:r>
              <w:rPr>
                <w:rFonts w:hint="eastAsia"/>
                <w:highlight w:val="none"/>
              </w:rPr>
              <w:t>外勤宿舍</w:t>
            </w:r>
          </w:p>
        </w:tc>
        <w:tc>
          <w:tcPr>
            <w:tcW w:w="3067" w:type="pct"/>
            <w:noWrap w:val="0"/>
            <w:tcMar>
              <w:top w:w="28" w:type="dxa"/>
              <w:left w:w="57" w:type="dxa"/>
              <w:bottom w:w="28" w:type="dxa"/>
              <w:right w:w="57" w:type="dxa"/>
            </w:tcMar>
            <w:vAlign w:val="center"/>
          </w:tcPr>
          <w:p w14:paraId="27E4B581">
            <w:pPr>
              <w:pStyle w:val="19"/>
              <w:bidi w:val="0"/>
              <w:rPr>
                <w:rFonts w:hint="eastAsia" w:eastAsia="宋体"/>
                <w:highlight w:val="none"/>
                <w:lang w:eastAsia="zh-CN"/>
              </w:rPr>
            </w:pPr>
            <w:r>
              <w:rPr>
                <w:highlight w:val="none"/>
              </w:rPr>
              <w:t>1</w:t>
            </w:r>
            <w:r>
              <w:rPr>
                <w:rFonts w:hint="eastAsia"/>
                <w:highlight w:val="none"/>
                <w:lang w:val="en-US" w:eastAsia="zh-CN"/>
              </w:rPr>
              <w:t>座</w:t>
            </w:r>
            <w:r>
              <w:rPr>
                <w:rFonts w:hint="eastAsia"/>
                <w:highlight w:val="none"/>
              </w:rPr>
              <w:t>，位于厂区南侧，规划进出口的西侧，建筑面积</w:t>
            </w:r>
            <w:r>
              <w:rPr>
                <w:rFonts w:hint="eastAsia"/>
                <w:highlight w:val="none"/>
                <w:lang w:val="en-US" w:eastAsia="zh-CN"/>
              </w:rPr>
              <w:t>10</w:t>
            </w:r>
            <w:r>
              <w:rPr>
                <w:highlight w:val="none"/>
              </w:rPr>
              <w:t>0m</w:t>
            </w:r>
            <w:r>
              <w:rPr>
                <w:highlight w:val="none"/>
                <w:vertAlign w:val="superscript"/>
              </w:rPr>
              <w:t>2</w:t>
            </w:r>
            <w:r>
              <w:rPr>
                <w:rFonts w:hint="eastAsia"/>
                <w:highlight w:val="none"/>
              </w:rPr>
              <w:t>，地上一层</w:t>
            </w:r>
            <w:r>
              <w:rPr>
                <w:rFonts w:hint="eastAsia"/>
                <w:highlight w:val="none"/>
                <w:lang w:eastAsia="zh-CN"/>
              </w:rPr>
              <w:t>。</w:t>
            </w:r>
          </w:p>
        </w:tc>
        <w:tc>
          <w:tcPr>
            <w:tcW w:w="368" w:type="pct"/>
            <w:noWrap w:val="0"/>
            <w:tcMar>
              <w:top w:w="28" w:type="dxa"/>
              <w:left w:w="57" w:type="dxa"/>
              <w:bottom w:w="28" w:type="dxa"/>
              <w:right w:w="57" w:type="dxa"/>
            </w:tcMar>
            <w:vAlign w:val="center"/>
          </w:tcPr>
          <w:p w14:paraId="1DCC3538">
            <w:pPr>
              <w:pStyle w:val="19"/>
              <w:bidi w:val="0"/>
            </w:pPr>
            <w:r>
              <w:t>新建</w:t>
            </w:r>
          </w:p>
        </w:tc>
      </w:tr>
      <w:tr w14:paraId="65DD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0054E6C7">
            <w:pPr>
              <w:pStyle w:val="19"/>
              <w:bidi w:val="0"/>
            </w:pPr>
          </w:p>
        </w:tc>
        <w:tc>
          <w:tcPr>
            <w:tcW w:w="1163" w:type="pct"/>
            <w:gridSpan w:val="3"/>
            <w:noWrap w:val="0"/>
            <w:tcMar>
              <w:top w:w="28" w:type="dxa"/>
              <w:left w:w="57" w:type="dxa"/>
              <w:bottom w:w="28" w:type="dxa"/>
              <w:right w:w="57" w:type="dxa"/>
            </w:tcMar>
            <w:vAlign w:val="center"/>
          </w:tcPr>
          <w:p w14:paraId="0B8507A7">
            <w:pPr>
              <w:pStyle w:val="19"/>
              <w:bidi w:val="0"/>
              <w:rPr>
                <w:highlight w:val="none"/>
              </w:rPr>
            </w:pPr>
            <w:r>
              <w:rPr>
                <w:rFonts w:hint="eastAsia"/>
                <w:highlight w:val="none"/>
              </w:rPr>
              <w:t>内勤宿舍</w:t>
            </w:r>
          </w:p>
        </w:tc>
        <w:tc>
          <w:tcPr>
            <w:tcW w:w="3067" w:type="pct"/>
            <w:noWrap w:val="0"/>
            <w:tcMar>
              <w:top w:w="28" w:type="dxa"/>
              <w:left w:w="57" w:type="dxa"/>
              <w:bottom w:w="28" w:type="dxa"/>
              <w:right w:w="57" w:type="dxa"/>
            </w:tcMar>
            <w:vAlign w:val="center"/>
          </w:tcPr>
          <w:p w14:paraId="6265A576">
            <w:pPr>
              <w:pStyle w:val="19"/>
              <w:bidi w:val="0"/>
              <w:rPr>
                <w:rFonts w:hint="eastAsia" w:eastAsia="宋体"/>
                <w:highlight w:val="none"/>
                <w:lang w:eastAsia="zh-CN"/>
              </w:rPr>
            </w:pPr>
            <w:r>
              <w:rPr>
                <w:rFonts w:hint="eastAsia"/>
                <w:highlight w:val="none"/>
              </w:rPr>
              <w:t>设置</w:t>
            </w:r>
            <w:r>
              <w:rPr>
                <w:rFonts w:hint="eastAsia"/>
                <w:highlight w:val="none"/>
                <w:lang w:val="en-US" w:eastAsia="zh-CN"/>
              </w:rPr>
              <w:t>4座</w:t>
            </w:r>
            <w:r>
              <w:rPr>
                <w:rFonts w:hint="eastAsia"/>
                <w:highlight w:val="none"/>
              </w:rPr>
              <w:t>内勤宿舍，总建筑面积</w:t>
            </w:r>
            <w:r>
              <w:rPr>
                <w:highlight w:val="none"/>
              </w:rPr>
              <w:t>3</w:t>
            </w:r>
            <w:r>
              <w:rPr>
                <w:rFonts w:hint="eastAsia"/>
                <w:highlight w:val="none"/>
              </w:rPr>
              <w:t>0</w:t>
            </w:r>
            <w:r>
              <w:rPr>
                <w:highlight w:val="none"/>
              </w:rPr>
              <w:t>0m</w:t>
            </w:r>
            <w:r>
              <w:rPr>
                <w:highlight w:val="none"/>
                <w:vertAlign w:val="superscript"/>
              </w:rPr>
              <w:t>2</w:t>
            </w:r>
            <w:r>
              <w:rPr>
                <w:rFonts w:hint="eastAsia"/>
                <w:highlight w:val="none"/>
                <w:lang w:eastAsia="zh-CN"/>
              </w:rPr>
              <w:t>。</w:t>
            </w:r>
          </w:p>
        </w:tc>
        <w:tc>
          <w:tcPr>
            <w:tcW w:w="368" w:type="pct"/>
            <w:noWrap w:val="0"/>
            <w:tcMar>
              <w:top w:w="28" w:type="dxa"/>
              <w:left w:w="57" w:type="dxa"/>
              <w:bottom w:w="28" w:type="dxa"/>
              <w:right w:w="57" w:type="dxa"/>
            </w:tcMar>
            <w:vAlign w:val="center"/>
          </w:tcPr>
          <w:p w14:paraId="39481F26">
            <w:pPr>
              <w:pStyle w:val="19"/>
              <w:bidi w:val="0"/>
            </w:pPr>
            <w:r>
              <w:t>新建</w:t>
            </w:r>
          </w:p>
        </w:tc>
      </w:tr>
      <w:tr w14:paraId="6914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01BD936E">
            <w:pPr>
              <w:pStyle w:val="19"/>
              <w:bidi w:val="0"/>
            </w:pPr>
          </w:p>
        </w:tc>
        <w:tc>
          <w:tcPr>
            <w:tcW w:w="1163" w:type="pct"/>
            <w:gridSpan w:val="3"/>
            <w:noWrap w:val="0"/>
            <w:tcMar>
              <w:top w:w="28" w:type="dxa"/>
              <w:left w:w="57" w:type="dxa"/>
              <w:bottom w:w="28" w:type="dxa"/>
              <w:right w:w="57" w:type="dxa"/>
            </w:tcMar>
            <w:vAlign w:val="center"/>
          </w:tcPr>
          <w:p w14:paraId="79A04D75">
            <w:pPr>
              <w:pStyle w:val="19"/>
              <w:bidi w:val="0"/>
              <w:rPr>
                <w:rFonts w:hint="eastAsia" w:eastAsia="宋体"/>
                <w:highlight w:val="none"/>
                <w:lang w:val="en-US" w:eastAsia="zh-CN"/>
              </w:rPr>
            </w:pPr>
            <w:r>
              <w:rPr>
                <w:rFonts w:hint="eastAsia"/>
                <w:highlight w:val="none"/>
                <w:lang w:val="en-US" w:eastAsia="zh-CN"/>
              </w:rPr>
              <w:t>食堂</w:t>
            </w:r>
          </w:p>
        </w:tc>
        <w:tc>
          <w:tcPr>
            <w:tcW w:w="3067" w:type="pct"/>
            <w:noWrap w:val="0"/>
            <w:tcMar>
              <w:top w:w="28" w:type="dxa"/>
              <w:left w:w="57" w:type="dxa"/>
              <w:bottom w:w="28" w:type="dxa"/>
              <w:right w:w="57" w:type="dxa"/>
            </w:tcMar>
            <w:vAlign w:val="center"/>
          </w:tcPr>
          <w:p w14:paraId="6FECF9D5">
            <w:pPr>
              <w:pStyle w:val="19"/>
              <w:bidi w:val="0"/>
              <w:rPr>
                <w:rFonts w:hint="default"/>
                <w:highlight w:val="none"/>
                <w:lang w:val="en-US"/>
              </w:rPr>
            </w:pPr>
            <w:r>
              <w:rPr>
                <w:highlight w:val="none"/>
              </w:rPr>
              <w:t>食堂</w:t>
            </w:r>
            <w:r>
              <w:rPr>
                <w:rFonts w:hint="eastAsia"/>
                <w:highlight w:val="none"/>
                <w:lang w:val="en-US" w:eastAsia="zh-CN"/>
              </w:rPr>
              <w:t>2</w:t>
            </w:r>
            <w:r>
              <w:rPr>
                <w:highlight w:val="none"/>
              </w:rPr>
              <w:t>座，建筑面积251m</w:t>
            </w:r>
            <w:r>
              <w:rPr>
                <w:highlight w:val="none"/>
                <w:vertAlign w:val="superscript"/>
              </w:rPr>
              <w:t>2</w:t>
            </w:r>
            <w:r>
              <w:rPr>
                <w:rFonts w:hint="eastAsia"/>
                <w:highlight w:val="none"/>
                <w:vertAlign w:val="baseline"/>
                <w:lang w:eastAsia="zh-CN"/>
              </w:rPr>
              <w:t>，</w:t>
            </w:r>
            <w:r>
              <w:rPr>
                <w:rFonts w:hint="eastAsia"/>
                <w:highlight w:val="none"/>
                <w:lang w:val="en-US" w:eastAsia="zh-CN"/>
              </w:rPr>
              <w:t>外勤、内勤宿舍处各1座。</w:t>
            </w:r>
          </w:p>
        </w:tc>
        <w:tc>
          <w:tcPr>
            <w:tcW w:w="368" w:type="pct"/>
            <w:noWrap w:val="0"/>
            <w:tcMar>
              <w:top w:w="28" w:type="dxa"/>
              <w:left w:w="57" w:type="dxa"/>
              <w:bottom w:w="28" w:type="dxa"/>
              <w:right w:w="57" w:type="dxa"/>
            </w:tcMar>
            <w:vAlign w:val="center"/>
          </w:tcPr>
          <w:p w14:paraId="5FF54DED">
            <w:pPr>
              <w:pStyle w:val="19"/>
              <w:bidi w:val="0"/>
              <w:ind w:firstLine="0" w:firstLineChars="0"/>
              <w:rPr>
                <w:rFonts w:ascii="Times New Roman" w:hAnsi="Times New Roman" w:eastAsia="宋体" w:cs="Times New Roman"/>
                <w:kern w:val="2"/>
                <w:sz w:val="21"/>
                <w:szCs w:val="22"/>
                <w:lang w:val="en-US" w:eastAsia="zh-CN" w:bidi="ar-SA"/>
              </w:rPr>
            </w:pPr>
            <w:r>
              <w:t>新建</w:t>
            </w:r>
          </w:p>
        </w:tc>
      </w:tr>
      <w:tr w14:paraId="0B13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3FE63FAC">
            <w:pPr>
              <w:pStyle w:val="19"/>
              <w:bidi w:val="0"/>
            </w:pPr>
          </w:p>
        </w:tc>
        <w:tc>
          <w:tcPr>
            <w:tcW w:w="1163" w:type="pct"/>
            <w:gridSpan w:val="3"/>
            <w:noWrap w:val="0"/>
            <w:tcMar>
              <w:top w:w="28" w:type="dxa"/>
              <w:left w:w="57" w:type="dxa"/>
              <w:bottom w:w="28" w:type="dxa"/>
              <w:right w:w="57" w:type="dxa"/>
            </w:tcMar>
            <w:vAlign w:val="center"/>
          </w:tcPr>
          <w:p w14:paraId="423D37B1">
            <w:pPr>
              <w:pStyle w:val="19"/>
              <w:bidi w:val="0"/>
              <w:rPr>
                <w:rFonts w:hint="default"/>
                <w:highlight w:val="none"/>
                <w:lang w:val="en-US" w:eastAsia="zh-CN"/>
              </w:rPr>
            </w:pPr>
            <w:r>
              <w:rPr>
                <w:rFonts w:hint="eastAsia"/>
                <w:highlight w:val="none"/>
                <w:lang w:val="en-US" w:eastAsia="zh-CN"/>
              </w:rPr>
              <w:t>门卫</w:t>
            </w:r>
          </w:p>
        </w:tc>
        <w:tc>
          <w:tcPr>
            <w:tcW w:w="3067" w:type="pct"/>
            <w:noWrap w:val="0"/>
            <w:tcMar>
              <w:top w:w="28" w:type="dxa"/>
              <w:left w:w="57" w:type="dxa"/>
              <w:bottom w:w="28" w:type="dxa"/>
              <w:right w:w="57" w:type="dxa"/>
            </w:tcMar>
            <w:vAlign w:val="center"/>
          </w:tcPr>
          <w:p w14:paraId="2C0371C1">
            <w:pPr>
              <w:pStyle w:val="19"/>
              <w:bidi w:val="0"/>
              <w:rPr>
                <w:rFonts w:hint="eastAsia" w:eastAsia="宋体"/>
                <w:highlight w:val="none"/>
                <w:lang w:eastAsia="zh-CN"/>
              </w:rPr>
            </w:pPr>
            <w:r>
              <w:rPr>
                <w:highlight w:val="none"/>
              </w:rPr>
              <w:t>1座，建筑面积50m</w:t>
            </w:r>
            <w:r>
              <w:rPr>
                <w:highlight w:val="none"/>
                <w:vertAlign w:val="superscript"/>
              </w:rPr>
              <w:t>2</w:t>
            </w:r>
            <w:r>
              <w:rPr>
                <w:rFonts w:hint="eastAsia"/>
                <w:highlight w:val="none"/>
                <w:lang w:eastAsia="zh-CN"/>
              </w:rPr>
              <w:t>。</w:t>
            </w:r>
          </w:p>
        </w:tc>
        <w:tc>
          <w:tcPr>
            <w:tcW w:w="368" w:type="pct"/>
            <w:noWrap w:val="0"/>
            <w:tcMar>
              <w:top w:w="28" w:type="dxa"/>
              <w:left w:w="57" w:type="dxa"/>
              <w:bottom w:w="28" w:type="dxa"/>
              <w:right w:w="57" w:type="dxa"/>
            </w:tcMar>
            <w:vAlign w:val="center"/>
          </w:tcPr>
          <w:p w14:paraId="0DD3B989">
            <w:pPr>
              <w:pStyle w:val="19"/>
              <w:bidi w:val="0"/>
              <w:ind w:firstLine="0" w:firstLineChars="0"/>
              <w:rPr>
                <w:rFonts w:ascii="Times New Roman" w:hAnsi="Times New Roman" w:eastAsia="宋体" w:cs="Times New Roman"/>
                <w:kern w:val="2"/>
                <w:sz w:val="21"/>
                <w:szCs w:val="22"/>
                <w:lang w:val="en-US" w:eastAsia="zh-CN" w:bidi="ar-SA"/>
              </w:rPr>
            </w:pPr>
            <w:r>
              <w:t>新建</w:t>
            </w:r>
          </w:p>
        </w:tc>
      </w:tr>
      <w:tr w14:paraId="65DF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3D68FA8B">
            <w:pPr>
              <w:pStyle w:val="19"/>
              <w:bidi w:val="0"/>
            </w:pPr>
          </w:p>
        </w:tc>
        <w:tc>
          <w:tcPr>
            <w:tcW w:w="1163" w:type="pct"/>
            <w:gridSpan w:val="3"/>
            <w:noWrap w:val="0"/>
            <w:tcMar>
              <w:top w:w="28" w:type="dxa"/>
              <w:left w:w="57" w:type="dxa"/>
              <w:bottom w:w="28" w:type="dxa"/>
              <w:right w:w="57" w:type="dxa"/>
            </w:tcMar>
            <w:vAlign w:val="center"/>
          </w:tcPr>
          <w:p w14:paraId="6CBB8ED0">
            <w:pPr>
              <w:pStyle w:val="19"/>
              <w:bidi w:val="0"/>
              <w:rPr>
                <w:rFonts w:hint="default"/>
                <w:highlight w:val="none"/>
                <w:lang w:val="en-US" w:eastAsia="zh-CN"/>
              </w:rPr>
            </w:pPr>
            <w:r>
              <w:rPr>
                <w:rFonts w:hint="eastAsia"/>
                <w:highlight w:val="none"/>
                <w:lang w:val="en-US" w:eastAsia="zh-CN"/>
              </w:rPr>
              <w:t>人员洗消室</w:t>
            </w:r>
          </w:p>
        </w:tc>
        <w:tc>
          <w:tcPr>
            <w:tcW w:w="3067" w:type="pct"/>
            <w:noWrap w:val="0"/>
            <w:tcMar>
              <w:top w:w="28" w:type="dxa"/>
              <w:left w:w="57" w:type="dxa"/>
              <w:bottom w:w="28" w:type="dxa"/>
              <w:right w:w="57" w:type="dxa"/>
            </w:tcMar>
            <w:vAlign w:val="center"/>
          </w:tcPr>
          <w:p w14:paraId="5C59DC03">
            <w:pPr>
              <w:pStyle w:val="19"/>
              <w:bidi w:val="0"/>
              <w:rPr>
                <w:rFonts w:hint="default" w:eastAsia="宋体"/>
                <w:highlight w:val="none"/>
                <w:lang w:val="en-US" w:eastAsia="zh-CN"/>
              </w:rPr>
            </w:pPr>
            <w:r>
              <w:rPr>
                <w:rFonts w:hint="eastAsia"/>
                <w:highlight w:val="none"/>
                <w:lang w:val="en-US" w:eastAsia="zh-CN"/>
              </w:rPr>
              <w:t>2</w:t>
            </w:r>
            <w:r>
              <w:rPr>
                <w:highlight w:val="none"/>
              </w:rPr>
              <w:t>座，建筑面积</w:t>
            </w:r>
            <w:r>
              <w:rPr>
                <w:rFonts w:hint="eastAsia"/>
                <w:highlight w:val="none"/>
                <w:lang w:val="en-US" w:eastAsia="zh-CN"/>
              </w:rPr>
              <w:t>6</w:t>
            </w:r>
            <w:r>
              <w:rPr>
                <w:highlight w:val="none"/>
              </w:rPr>
              <w:t>0m</w:t>
            </w:r>
            <w:r>
              <w:rPr>
                <w:highlight w:val="none"/>
                <w:vertAlign w:val="superscript"/>
              </w:rPr>
              <w:t>2</w:t>
            </w:r>
            <w:r>
              <w:rPr>
                <w:rFonts w:hint="eastAsia"/>
                <w:highlight w:val="none"/>
                <w:lang w:eastAsia="zh-CN"/>
              </w:rPr>
              <w:t>，</w:t>
            </w:r>
            <w:r>
              <w:rPr>
                <w:rFonts w:hint="eastAsia"/>
                <w:highlight w:val="none"/>
                <w:lang w:val="en-US" w:eastAsia="zh-CN"/>
              </w:rPr>
              <w:t>内部含有淋浴室、更衣室各1间。占地面积为30m</w:t>
            </w:r>
            <w:r>
              <w:rPr>
                <w:rFonts w:hint="eastAsia"/>
                <w:highlight w:val="none"/>
                <w:vertAlign w:val="superscript"/>
                <w:lang w:val="en-US" w:eastAsia="zh-CN"/>
              </w:rPr>
              <w:t>2</w:t>
            </w:r>
            <w:r>
              <w:rPr>
                <w:rFonts w:hint="eastAsia"/>
                <w:highlight w:val="none"/>
                <w:lang w:val="en-US" w:eastAsia="zh-CN"/>
              </w:rPr>
              <w:t>。</w:t>
            </w:r>
          </w:p>
        </w:tc>
        <w:tc>
          <w:tcPr>
            <w:tcW w:w="368" w:type="pct"/>
            <w:noWrap w:val="0"/>
            <w:tcMar>
              <w:top w:w="28" w:type="dxa"/>
              <w:left w:w="57" w:type="dxa"/>
              <w:bottom w:w="28" w:type="dxa"/>
              <w:right w:w="57" w:type="dxa"/>
            </w:tcMar>
            <w:vAlign w:val="center"/>
          </w:tcPr>
          <w:p w14:paraId="61835615">
            <w:pPr>
              <w:pStyle w:val="19"/>
              <w:bidi w:val="0"/>
              <w:ind w:firstLine="0" w:firstLineChars="0"/>
              <w:rPr>
                <w:rFonts w:ascii="Times New Roman" w:hAnsi="Times New Roman" w:eastAsia="宋体" w:cs="Times New Roman"/>
                <w:kern w:val="2"/>
                <w:sz w:val="21"/>
                <w:szCs w:val="22"/>
                <w:lang w:val="en-US" w:eastAsia="zh-CN" w:bidi="ar-SA"/>
              </w:rPr>
            </w:pPr>
            <w:r>
              <w:t>新建</w:t>
            </w:r>
          </w:p>
        </w:tc>
      </w:tr>
      <w:tr w14:paraId="109F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2D87588A">
            <w:pPr>
              <w:pStyle w:val="19"/>
              <w:bidi w:val="0"/>
            </w:pPr>
          </w:p>
        </w:tc>
        <w:tc>
          <w:tcPr>
            <w:tcW w:w="1163" w:type="pct"/>
            <w:gridSpan w:val="3"/>
            <w:noWrap w:val="0"/>
            <w:tcMar>
              <w:top w:w="28" w:type="dxa"/>
              <w:left w:w="57" w:type="dxa"/>
              <w:bottom w:w="28" w:type="dxa"/>
              <w:right w:w="57" w:type="dxa"/>
            </w:tcMar>
            <w:vAlign w:val="center"/>
          </w:tcPr>
          <w:p w14:paraId="171814E3">
            <w:pPr>
              <w:pStyle w:val="19"/>
              <w:bidi w:val="0"/>
              <w:rPr>
                <w:rFonts w:hint="default" w:eastAsia="宋体"/>
                <w:lang w:val="en-US" w:eastAsia="zh-CN"/>
              </w:rPr>
            </w:pPr>
            <w:r>
              <w:rPr>
                <w:rFonts w:hint="eastAsia"/>
                <w:lang w:val="en-US" w:eastAsia="zh-CN"/>
              </w:rPr>
              <w:t>干湿分离用房</w:t>
            </w:r>
          </w:p>
        </w:tc>
        <w:tc>
          <w:tcPr>
            <w:tcW w:w="3067" w:type="pct"/>
            <w:noWrap w:val="0"/>
            <w:tcMar>
              <w:top w:w="28" w:type="dxa"/>
              <w:left w:w="57" w:type="dxa"/>
              <w:bottom w:w="28" w:type="dxa"/>
              <w:right w:w="57" w:type="dxa"/>
            </w:tcMar>
            <w:vAlign w:val="center"/>
          </w:tcPr>
          <w:p w14:paraId="5CE30AC3">
            <w:pPr>
              <w:pStyle w:val="19"/>
              <w:bidi w:val="0"/>
            </w:pPr>
            <w:r>
              <w:rPr>
                <w:rFonts w:hint="eastAsia"/>
              </w:rPr>
              <w:t>位于</w:t>
            </w:r>
            <w:r>
              <w:rPr>
                <w:rFonts w:hint="eastAsia"/>
                <w:lang w:val="en-US" w:eastAsia="zh-CN"/>
              </w:rPr>
              <w:t>1#粪污处理池西北</w:t>
            </w:r>
            <w:r>
              <w:rPr>
                <w:rFonts w:hint="eastAsia"/>
              </w:rPr>
              <w:t>侧，</w:t>
            </w:r>
            <w:r>
              <w:rPr>
                <w:rFonts w:hint="eastAsia"/>
                <w:lang w:val="en-US" w:eastAsia="zh-CN"/>
              </w:rPr>
              <w:t>主要用于粪污的干湿分离，占地</w:t>
            </w:r>
            <w:r>
              <w:rPr>
                <w:rFonts w:hint="eastAsia"/>
              </w:rPr>
              <w:t>面积</w:t>
            </w:r>
            <w:r>
              <w:rPr>
                <w:rFonts w:hint="eastAsia"/>
                <w:lang w:val="en-US" w:eastAsia="zh-CN"/>
              </w:rPr>
              <w:t>300</w:t>
            </w:r>
            <w:r>
              <w:rPr>
                <w:rFonts w:hint="eastAsia"/>
              </w:rPr>
              <w:t>m</w:t>
            </w:r>
            <w:r>
              <w:rPr>
                <w:rFonts w:hint="eastAsia"/>
                <w:vertAlign w:val="superscript"/>
              </w:rPr>
              <w:t>2</w:t>
            </w:r>
          </w:p>
        </w:tc>
        <w:tc>
          <w:tcPr>
            <w:tcW w:w="368" w:type="pct"/>
            <w:noWrap w:val="0"/>
            <w:tcMar>
              <w:top w:w="28" w:type="dxa"/>
              <w:left w:w="57" w:type="dxa"/>
              <w:bottom w:w="28" w:type="dxa"/>
              <w:right w:w="57" w:type="dxa"/>
            </w:tcMar>
            <w:vAlign w:val="center"/>
          </w:tcPr>
          <w:p w14:paraId="7FDB9FF5">
            <w:pPr>
              <w:pStyle w:val="19"/>
              <w:bidi w:val="0"/>
            </w:pPr>
            <w:r>
              <w:t>新建</w:t>
            </w:r>
          </w:p>
        </w:tc>
      </w:tr>
      <w:tr w14:paraId="2CC8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09592770">
            <w:pPr>
              <w:pStyle w:val="19"/>
              <w:bidi w:val="0"/>
            </w:pPr>
          </w:p>
        </w:tc>
        <w:tc>
          <w:tcPr>
            <w:tcW w:w="1163" w:type="pct"/>
            <w:gridSpan w:val="3"/>
            <w:noWrap w:val="0"/>
            <w:tcMar>
              <w:top w:w="28" w:type="dxa"/>
              <w:left w:w="57" w:type="dxa"/>
              <w:bottom w:w="28" w:type="dxa"/>
              <w:right w:w="57" w:type="dxa"/>
            </w:tcMar>
            <w:vAlign w:val="center"/>
          </w:tcPr>
          <w:p w14:paraId="2A382390">
            <w:pPr>
              <w:pStyle w:val="19"/>
              <w:bidi w:val="0"/>
              <w:rPr>
                <w:highlight w:val="none"/>
              </w:rPr>
            </w:pPr>
            <w:r>
              <w:rPr>
                <w:rFonts w:hint="eastAsia"/>
                <w:highlight w:val="none"/>
              </w:rPr>
              <w:t>堆</w:t>
            </w:r>
            <w:r>
              <w:rPr>
                <w:rFonts w:hint="eastAsia"/>
                <w:highlight w:val="none"/>
                <w:lang w:val="en-US" w:eastAsia="zh-CN"/>
              </w:rPr>
              <w:t>肥</w:t>
            </w:r>
            <w:r>
              <w:rPr>
                <w:rFonts w:hint="eastAsia"/>
                <w:highlight w:val="none"/>
              </w:rPr>
              <w:t>场</w:t>
            </w:r>
          </w:p>
        </w:tc>
        <w:tc>
          <w:tcPr>
            <w:tcW w:w="3067" w:type="pct"/>
            <w:noWrap w:val="0"/>
            <w:tcMar>
              <w:top w:w="28" w:type="dxa"/>
              <w:left w:w="57" w:type="dxa"/>
              <w:bottom w:w="28" w:type="dxa"/>
              <w:right w:w="57" w:type="dxa"/>
            </w:tcMar>
            <w:vAlign w:val="center"/>
          </w:tcPr>
          <w:p w14:paraId="7510B7CE">
            <w:pPr>
              <w:pStyle w:val="19"/>
              <w:bidi w:val="0"/>
              <w:rPr>
                <w:rFonts w:hint="eastAsia" w:eastAsia="宋体"/>
                <w:highlight w:val="none"/>
                <w:lang w:eastAsia="zh-CN"/>
              </w:rPr>
            </w:pPr>
            <w:r>
              <w:rPr>
                <w:rFonts w:hint="eastAsia"/>
                <w:highlight w:val="none"/>
              </w:rPr>
              <w:t>新建</w:t>
            </w:r>
            <w:r>
              <w:rPr>
                <w:rFonts w:hint="eastAsia"/>
                <w:highlight w:val="none"/>
                <w:lang w:val="en-US" w:eastAsia="zh-CN"/>
              </w:rPr>
              <w:t>1</w:t>
            </w:r>
            <w:r>
              <w:rPr>
                <w:rFonts w:hint="eastAsia"/>
                <w:highlight w:val="none"/>
              </w:rPr>
              <w:t>座</w:t>
            </w:r>
            <w:r>
              <w:rPr>
                <w:rFonts w:hint="eastAsia"/>
                <w:highlight w:val="none"/>
                <w:lang w:val="en-US" w:eastAsia="zh-CN"/>
              </w:rPr>
              <w:t>28</w:t>
            </w:r>
            <w:r>
              <w:rPr>
                <w:rFonts w:hint="eastAsia"/>
                <w:highlight w:val="none"/>
              </w:rPr>
              <w:t>00m</w:t>
            </w:r>
            <w:r>
              <w:rPr>
                <w:rFonts w:hint="eastAsia"/>
                <w:highlight w:val="none"/>
                <w:vertAlign w:val="superscript"/>
              </w:rPr>
              <w:t>2</w:t>
            </w:r>
            <w:r>
              <w:rPr>
                <w:rFonts w:hint="eastAsia"/>
                <w:highlight w:val="none"/>
              </w:rPr>
              <w:t>堆</w:t>
            </w:r>
            <w:r>
              <w:rPr>
                <w:rFonts w:hint="eastAsia"/>
                <w:highlight w:val="none"/>
                <w:lang w:eastAsia="zh-CN"/>
              </w:rPr>
              <w:t>肥</w:t>
            </w:r>
            <w:r>
              <w:rPr>
                <w:rFonts w:hint="eastAsia"/>
                <w:highlight w:val="none"/>
              </w:rPr>
              <w:t>场（</w:t>
            </w:r>
            <w:r>
              <w:rPr>
                <w:rFonts w:hint="eastAsia"/>
                <w:highlight w:val="none"/>
                <w:lang w:val="en-US" w:eastAsia="zh-CN"/>
              </w:rPr>
              <w:t>4</w:t>
            </w:r>
            <w:r>
              <w:rPr>
                <w:rFonts w:hint="eastAsia"/>
                <w:highlight w:val="none"/>
              </w:rPr>
              <w:t>0m×</w:t>
            </w:r>
            <w:r>
              <w:rPr>
                <w:rFonts w:hint="eastAsia"/>
                <w:highlight w:val="none"/>
                <w:lang w:val="en-US" w:eastAsia="zh-CN"/>
              </w:rPr>
              <w:t>7</w:t>
            </w:r>
            <w:r>
              <w:rPr>
                <w:rFonts w:hint="eastAsia"/>
                <w:highlight w:val="none"/>
              </w:rPr>
              <w:t>0m，三面围挡，顶部加棚）进行好氧堆肥，</w:t>
            </w:r>
            <w:r>
              <w:rPr>
                <w:rFonts w:hint="eastAsia"/>
                <w:highlight w:val="none"/>
                <w:lang w:val="en-US" w:eastAsia="zh-CN"/>
              </w:rPr>
              <w:t>位于</w:t>
            </w:r>
            <w:r>
              <w:rPr>
                <w:rFonts w:hint="eastAsia"/>
                <w:highlight w:val="none"/>
              </w:rPr>
              <w:t>干湿分离</w:t>
            </w:r>
            <w:r>
              <w:rPr>
                <w:rFonts w:hint="eastAsia"/>
                <w:highlight w:val="none"/>
                <w:lang w:val="en-US" w:eastAsia="zh-CN"/>
              </w:rPr>
              <w:t>房东侧</w:t>
            </w:r>
            <w:r>
              <w:rPr>
                <w:rFonts w:hint="eastAsia"/>
                <w:highlight w:val="none"/>
                <w:lang w:eastAsia="zh-CN"/>
              </w:rPr>
              <w:t>。</w:t>
            </w:r>
          </w:p>
        </w:tc>
        <w:tc>
          <w:tcPr>
            <w:tcW w:w="368" w:type="pct"/>
            <w:noWrap w:val="0"/>
            <w:tcMar>
              <w:top w:w="28" w:type="dxa"/>
              <w:left w:w="57" w:type="dxa"/>
              <w:bottom w:w="28" w:type="dxa"/>
              <w:right w:w="57" w:type="dxa"/>
            </w:tcMar>
            <w:vAlign w:val="center"/>
          </w:tcPr>
          <w:p w14:paraId="3C2F4AB7">
            <w:pPr>
              <w:pStyle w:val="19"/>
              <w:bidi w:val="0"/>
            </w:pPr>
            <w:r>
              <w:t>新建</w:t>
            </w:r>
          </w:p>
        </w:tc>
      </w:tr>
      <w:tr w14:paraId="37F0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7952AF56">
            <w:pPr>
              <w:pStyle w:val="19"/>
              <w:bidi w:val="0"/>
            </w:pPr>
          </w:p>
        </w:tc>
        <w:tc>
          <w:tcPr>
            <w:tcW w:w="1163" w:type="pct"/>
            <w:gridSpan w:val="3"/>
            <w:noWrap w:val="0"/>
            <w:tcMar>
              <w:top w:w="28" w:type="dxa"/>
              <w:left w:w="57" w:type="dxa"/>
              <w:bottom w:w="28" w:type="dxa"/>
              <w:right w:w="57" w:type="dxa"/>
            </w:tcMar>
            <w:vAlign w:val="center"/>
          </w:tcPr>
          <w:p w14:paraId="2CC45788">
            <w:pPr>
              <w:pStyle w:val="19"/>
              <w:bidi w:val="0"/>
              <w:rPr>
                <w:highlight w:val="none"/>
              </w:rPr>
            </w:pPr>
            <w:r>
              <w:rPr>
                <w:rFonts w:hint="eastAsia"/>
                <w:highlight w:val="none"/>
                <w:lang w:val="en-US" w:eastAsia="zh-CN"/>
              </w:rPr>
              <w:t>粪污处理</w:t>
            </w:r>
            <w:r>
              <w:rPr>
                <w:rFonts w:hint="eastAsia"/>
                <w:highlight w:val="none"/>
              </w:rPr>
              <w:t>池</w:t>
            </w:r>
          </w:p>
        </w:tc>
        <w:tc>
          <w:tcPr>
            <w:tcW w:w="3067" w:type="pct"/>
            <w:noWrap w:val="0"/>
            <w:tcMar>
              <w:top w:w="28" w:type="dxa"/>
              <w:left w:w="57" w:type="dxa"/>
              <w:bottom w:w="28" w:type="dxa"/>
              <w:right w:w="57" w:type="dxa"/>
            </w:tcMar>
            <w:vAlign w:val="center"/>
          </w:tcPr>
          <w:p w14:paraId="5BC3A754">
            <w:pPr>
              <w:pStyle w:val="19"/>
              <w:bidi w:val="0"/>
              <w:rPr>
                <w:rFonts w:hint="default" w:eastAsia="宋体"/>
                <w:highlight w:val="none"/>
                <w:lang w:val="en-US" w:eastAsia="zh-CN"/>
              </w:rPr>
            </w:pPr>
            <w:r>
              <w:rPr>
                <w:rFonts w:hint="eastAsia"/>
                <w:highlight w:val="none"/>
                <w:lang w:val="en-US" w:eastAsia="zh-CN"/>
              </w:rPr>
              <w:t>3</w:t>
            </w:r>
            <w:r>
              <w:rPr>
                <w:rFonts w:hint="eastAsia"/>
                <w:highlight w:val="none"/>
              </w:rPr>
              <w:t>座，</w:t>
            </w:r>
            <w:r>
              <w:rPr>
                <w:rFonts w:hint="eastAsia"/>
                <w:highlight w:val="none"/>
                <w:lang w:val="en-US" w:eastAsia="zh-CN"/>
              </w:rPr>
              <w:t>均</w:t>
            </w:r>
            <w:r>
              <w:rPr>
                <w:rFonts w:hint="eastAsia"/>
                <w:highlight w:val="none"/>
              </w:rPr>
              <w:t>位于</w:t>
            </w:r>
            <w:r>
              <w:rPr>
                <w:rFonts w:hint="eastAsia"/>
                <w:highlight w:val="none"/>
                <w:lang w:val="en-US" w:eastAsia="zh-CN"/>
              </w:rPr>
              <w:t>氧化塘东</w:t>
            </w:r>
            <w:r>
              <w:rPr>
                <w:rFonts w:hint="eastAsia"/>
                <w:highlight w:val="none"/>
              </w:rPr>
              <w:t>侧，</w:t>
            </w:r>
            <w:r>
              <w:rPr>
                <w:rFonts w:hint="eastAsia"/>
                <w:highlight w:val="none"/>
                <w:lang w:val="en-US" w:eastAsia="zh-CN"/>
              </w:rPr>
              <w:t>长*宽*深均为80*17*5，容积6667方，由东向西依次编号为1#、2#和3#</w:t>
            </w:r>
          </w:p>
        </w:tc>
        <w:tc>
          <w:tcPr>
            <w:tcW w:w="368" w:type="pct"/>
            <w:noWrap w:val="0"/>
            <w:tcMar>
              <w:top w:w="28" w:type="dxa"/>
              <w:left w:w="57" w:type="dxa"/>
              <w:bottom w:w="28" w:type="dxa"/>
              <w:right w:w="57" w:type="dxa"/>
            </w:tcMar>
            <w:vAlign w:val="center"/>
          </w:tcPr>
          <w:p w14:paraId="43A48454">
            <w:pPr>
              <w:pStyle w:val="19"/>
              <w:bidi w:val="0"/>
            </w:pPr>
            <w:r>
              <w:t>新建</w:t>
            </w:r>
          </w:p>
        </w:tc>
      </w:tr>
      <w:tr w14:paraId="21A1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419728E3">
            <w:pPr>
              <w:pStyle w:val="19"/>
              <w:bidi w:val="0"/>
            </w:pPr>
          </w:p>
        </w:tc>
        <w:tc>
          <w:tcPr>
            <w:tcW w:w="1163" w:type="pct"/>
            <w:gridSpan w:val="3"/>
            <w:noWrap w:val="0"/>
            <w:tcMar>
              <w:top w:w="28" w:type="dxa"/>
              <w:left w:w="57" w:type="dxa"/>
              <w:bottom w:w="28" w:type="dxa"/>
              <w:right w:w="57" w:type="dxa"/>
            </w:tcMar>
            <w:vAlign w:val="center"/>
          </w:tcPr>
          <w:p w14:paraId="2B57167D">
            <w:pPr>
              <w:pStyle w:val="19"/>
              <w:bidi w:val="0"/>
              <w:rPr>
                <w:rFonts w:hint="default"/>
                <w:highlight w:val="none"/>
                <w:lang w:val="en-US" w:eastAsia="zh-CN"/>
              </w:rPr>
            </w:pPr>
            <w:r>
              <w:rPr>
                <w:rFonts w:hint="eastAsia"/>
                <w:highlight w:val="none"/>
                <w:lang w:val="en-US" w:eastAsia="zh-CN"/>
              </w:rPr>
              <w:t>氧化塘</w:t>
            </w:r>
          </w:p>
        </w:tc>
        <w:tc>
          <w:tcPr>
            <w:tcW w:w="3067" w:type="pct"/>
            <w:noWrap w:val="0"/>
            <w:tcMar>
              <w:top w:w="28" w:type="dxa"/>
              <w:left w:w="57" w:type="dxa"/>
              <w:bottom w:w="28" w:type="dxa"/>
              <w:right w:w="57" w:type="dxa"/>
            </w:tcMar>
            <w:vAlign w:val="center"/>
          </w:tcPr>
          <w:p w14:paraId="45A3D870">
            <w:pPr>
              <w:pStyle w:val="19"/>
              <w:bidi w:val="0"/>
              <w:rPr>
                <w:rFonts w:hint="eastAsia"/>
                <w:highlight w:val="none"/>
                <w:lang w:val="en-US" w:eastAsia="zh-CN"/>
              </w:rPr>
            </w:pPr>
            <w:r>
              <w:rPr>
                <w:rFonts w:hint="eastAsia"/>
                <w:highlight w:val="none"/>
              </w:rPr>
              <w:t>长1</w:t>
            </w:r>
            <w:r>
              <w:rPr>
                <w:rFonts w:hint="eastAsia"/>
                <w:highlight w:val="none"/>
                <w:lang w:val="en-US" w:eastAsia="zh-CN"/>
              </w:rPr>
              <w:t>1</w:t>
            </w:r>
            <w:r>
              <w:rPr>
                <w:rFonts w:hint="eastAsia"/>
                <w:highlight w:val="none"/>
              </w:rPr>
              <w:t>0米，宽</w:t>
            </w:r>
            <w:r>
              <w:rPr>
                <w:rFonts w:hint="eastAsia"/>
                <w:highlight w:val="none"/>
                <w:lang w:val="en-US" w:eastAsia="zh-CN"/>
              </w:rPr>
              <w:t>80</w:t>
            </w:r>
            <w:r>
              <w:rPr>
                <w:rFonts w:hint="eastAsia"/>
                <w:highlight w:val="none"/>
              </w:rPr>
              <w:t>米，深5</w:t>
            </w:r>
            <w:r>
              <w:rPr>
                <w:rFonts w:hint="eastAsia"/>
                <w:highlight w:val="none"/>
                <w:lang w:val="en-US" w:eastAsia="zh-CN"/>
              </w:rPr>
              <w:t>米</w:t>
            </w:r>
            <w:r>
              <w:rPr>
                <w:rFonts w:hint="eastAsia"/>
                <w:highlight w:val="none"/>
              </w:rPr>
              <w:t>，容积</w:t>
            </w:r>
            <w:r>
              <w:rPr>
                <w:rFonts w:hint="eastAsia"/>
                <w:highlight w:val="none"/>
                <w:lang w:val="en-US" w:eastAsia="zh-CN"/>
              </w:rPr>
              <w:t>4.4</w:t>
            </w:r>
            <w:r>
              <w:rPr>
                <w:rFonts w:hint="eastAsia"/>
                <w:highlight w:val="none"/>
              </w:rPr>
              <w:t>万方</w:t>
            </w:r>
            <w:r>
              <w:rPr>
                <w:rFonts w:hint="eastAsia"/>
                <w:highlight w:val="none"/>
                <w:lang w:eastAsia="zh-CN"/>
              </w:rPr>
              <w:t>。</w:t>
            </w:r>
          </w:p>
        </w:tc>
        <w:tc>
          <w:tcPr>
            <w:tcW w:w="368" w:type="pct"/>
            <w:noWrap w:val="0"/>
            <w:tcMar>
              <w:top w:w="28" w:type="dxa"/>
              <w:left w:w="57" w:type="dxa"/>
              <w:bottom w:w="28" w:type="dxa"/>
              <w:right w:w="57" w:type="dxa"/>
            </w:tcMar>
            <w:vAlign w:val="center"/>
          </w:tcPr>
          <w:p w14:paraId="1D606716">
            <w:pPr>
              <w:pStyle w:val="19"/>
              <w:bidi w:val="0"/>
            </w:pPr>
            <w:r>
              <w:t>新建</w:t>
            </w:r>
          </w:p>
        </w:tc>
      </w:tr>
      <w:tr w14:paraId="47D8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490B9C07">
            <w:pPr>
              <w:pStyle w:val="19"/>
              <w:bidi w:val="0"/>
            </w:pPr>
          </w:p>
        </w:tc>
        <w:tc>
          <w:tcPr>
            <w:tcW w:w="1163" w:type="pct"/>
            <w:gridSpan w:val="3"/>
            <w:noWrap w:val="0"/>
            <w:tcMar>
              <w:top w:w="28" w:type="dxa"/>
              <w:left w:w="57" w:type="dxa"/>
              <w:bottom w:w="28" w:type="dxa"/>
              <w:right w:w="57" w:type="dxa"/>
            </w:tcMar>
            <w:vAlign w:val="center"/>
          </w:tcPr>
          <w:p w14:paraId="7B1912E2">
            <w:pPr>
              <w:pStyle w:val="19"/>
              <w:bidi w:val="0"/>
              <w:rPr>
                <w:rFonts w:hint="eastAsia" w:eastAsia="宋体"/>
                <w:highlight w:val="none"/>
                <w:lang w:val="en-US" w:eastAsia="zh-CN"/>
              </w:rPr>
            </w:pPr>
            <w:r>
              <w:rPr>
                <w:rFonts w:hint="eastAsia"/>
                <w:highlight w:val="none"/>
                <w:lang w:val="en-US" w:eastAsia="zh-CN"/>
              </w:rPr>
              <w:t>锅炉房</w:t>
            </w:r>
          </w:p>
        </w:tc>
        <w:tc>
          <w:tcPr>
            <w:tcW w:w="3067" w:type="pct"/>
            <w:noWrap w:val="0"/>
            <w:tcMar>
              <w:top w:w="28" w:type="dxa"/>
              <w:left w:w="57" w:type="dxa"/>
              <w:bottom w:w="28" w:type="dxa"/>
              <w:right w:w="57" w:type="dxa"/>
            </w:tcMar>
            <w:vAlign w:val="center"/>
          </w:tcPr>
          <w:p w14:paraId="0FB2F020">
            <w:pPr>
              <w:pStyle w:val="19"/>
              <w:bidi w:val="0"/>
              <w:rPr>
                <w:rFonts w:hint="default" w:eastAsia="宋体"/>
                <w:highlight w:val="none"/>
                <w:lang w:val="en-US" w:eastAsia="zh-CN"/>
              </w:rPr>
            </w:pPr>
            <w:r>
              <w:rPr>
                <w:rFonts w:hint="eastAsia"/>
                <w:highlight w:val="none"/>
                <w:lang w:val="en-US" w:eastAsia="zh-CN"/>
              </w:rPr>
              <w:t>3</w:t>
            </w:r>
            <w:r>
              <w:rPr>
                <w:rFonts w:hint="eastAsia"/>
                <w:highlight w:val="none"/>
              </w:rPr>
              <w:t>座，</w:t>
            </w:r>
            <w:r>
              <w:rPr>
                <w:rFonts w:hint="eastAsia"/>
                <w:highlight w:val="none"/>
                <w:lang w:val="en-US" w:eastAsia="zh-CN"/>
              </w:rPr>
              <w:t>分布在育肥舍</w:t>
            </w:r>
            <w:r>
              <w:rPr>
                <w:rFonts w:hint="eastAsia"/>
                <w:highlight w:val="none"/>
              </w:rPr>
              <w:t>，</w:t>
            </w:r>
            <w:r>
              <w:rPr>
                <w:rFonts w:hint="eastAsia"/>
                <w:highlight w:val="none"/>
                <w:lang w:val="en-US" w:eastAsia="zh-CN"/>
              </w:rPr>
              <w:t>每座锅炉房占地</w:t>
            </w:r>
            <w:r>
              <w:rPr>
                <w:rFonts w:hint="eastAsia"/>
                <w:highlight w:val="none"/>
              </w:rPr>
              <w:t>面积</w:t>
            </w:r>
            <w:r>
              <w:rPr>
                <w:rFonts w:hint="eastAsia"/>
                <w:highlight w:val="none"/>
                <w:lang w:val="en-US" w:eastAsia="zh-CN"/>
              </w:rPr>
              <w:t>20</w:t>
            </w:r>
            <w:r>
              <w:rPr>
                <w:rFonts w:hint="eastAsia"/>
                <w:highlight w:val="none"/>
              </w:rPr>
              <w:t>m</w:t>
            </w:r>
            <w:r>
              <w:rPr>
                <w:rFonts w:hint="eastAsia"/>
                <w:highlight w:val="none"/>
                <w:vertAlign w:val="superscript"/>
              </w:rPr>
              <w:t>2</w:t>
            </w:r>
            <w:r>
              <w:rPr>
                <w:rFonts w:hint="eastAsia"/>
                <w:highlight w:val="none"/>
              </w:rPr>
              <w:t>，</w:t>
            </w:r>
            <w:r>
              <w:rPr>
                <w:rFonts w:hint="eastAsia"/>
                <w:highlight w:val="none"/>
                <w:lang w:val="en-US" w:eastAsia="zh-CN"/>
              </w:rPr>
              <w:t>均设置1台生物质锅炉（3t/h）。</w:t>
            </w:r>
          </w:p>
        </w:tc>
        <w:tc>
          <w:tcPr>
            <w:tcW w:w="368" w:type="pct"/>
            <w:noWrap w:val="0"/>
            <w:tcMar>
              <w:top w:w="28" w:type="dxa"/>
              <w:left w:w="57" w:type="dxa"/>
              <w:bottom w:w="28" w:type="dxa"/>
              <w:right w:w="57" w:type="dxa"/>
            </w:tcMar>
            <w:vAlign w:val="center"/>
          </w:tcPr>
          <w:p w14:paraId="28594E58">
            <w:pPr>
              <w:pStyle w:val="19"/>
              <w:bidi w:val="0"/>
            </w:pPr>
            <w:r>
              <w:rPr>
                <w:rFonts w:hint="eastAsia"/>
              </w:rPr>
              <w:t>新建</w:t>
            </w:r>
          </w:p>
        </w:tc>
      </w:tr>
      <w:tr w14:paraId="646A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noWrap w:val="0"/>
            <w:tcMar>
              <w:top w:w="28" w:type="dxa"/>
              <w:left w:w="57" w:type="dxa"/>
              <w:bottom w:w="28" w:type="dxa"/>
              <w:right w:w="57" w:type="dxa"/>
            </w:tcMar>
            <w:vAlign w:val="center"/>
          </w:tcPr>
          <w:p w14:paraId="7D7CD846">
            <w:pPr>
              <w:pStyle w:val="19"/>
              <w:bidi w:val="0"/>
            </w:pPr>
            <w:r>
              <w:t>公用工程</w:t>
            </w:r>
          </w:p>
        </w:tc>
        <w:tc>
          <w:tcPr>
            <w:tcW w:w="1163" w:type="pct"/>
            <w:gridSpan w:val="3"/>
            <w:noWrap w:val="0"/>
            <w:tcMar>
              <w:top w:w="28" w:type="dxa"/>
              <w:left w:w="57" w:type="dxa"/>
              <w:bottom w:w="28" w:type="dxa"/>
              <w:right w:w="57" w:type="dxa"/>
            </w:tcMar>
            <w:vAlign w:val="center"/>
          </w:tcPr>
          <w:p w14:paraId="1695DCFD">
            <w:pPr>
              <w:pStyle w:val="19"/>
              <w:bidi w:val="0"/>
            </w:pPr>
            <w:r>
              <w:t>供电系统</w:t>
            </w:r>
          </w:p>
        </w:tc>
        <w:tc>
          <w:tcPr>
            <w:tcW w:w="3067" w:type="pct"/>
            <w:noWrap w:val="0"/>
            <w:tcMar>
              <w:top w:w="28" w:type="dxa"/>
              <w:left w:w="57" w:type="dxa"/>
              <w:bottom w:w="28" w:type="dxa"/>
              <w:right w:w="57" w:type="dxa"/>
            </w:tcMar>
            <w:vAlign w:val="center"/>
          </w:tcPr>
          <w:p w14:paraId="4DF388CD">
            <w:pPr>
              <w:pStyle w:val="19"/>
              <w:bidi w:val="0"/>
              <w:rPr>
                <w:rFonts w:hint="eastAsia" w:eastAsia="宋体"/>
                <w:lang w:eastAsia="zh-CN"/>
              </w:rPr>
            </w:pPr>
            <w:r>
              <w:rPr>
                <w:rFonts w:hint="eastAsia"/>
              </w:rPr>
              <w:t>本项目供电依托</w:t>
            </w:r>
            <w:r>
              <w:rPr>
                <w:rFonts w:hint="eastAsia"/>
                <w:lang w:val="en-US" w:eastAsia="zh-CN"/>
              </w:rPr>
              <w:t>129团13连</w:t>
            </w:r>
            <w:r>
              <w:rPr>
                <w:rFonts w:hint="eastAsia"/>
              </w:rPr>
              <w:t>供电管网</w:t>
            </w:r>
            <w:r>
              <w:rPr>
                <w:rFonts w:hint="eastAsia"/>
                <w:lang w:eastAsia="zh-CN"/>
              </w:rPr>
              <w:t>。</w:t>
            </w:r>
          </w:p>
        </w:tc>
        <w:tc>
          <w:tcPr>
            <w:tcW w:w="368" w:type="pct"/>
            <w:noWrap w:val="0"/>
            <w:tcMar>
              <w:top w:w="28" w:type="dxa"/>
              <w:left w:w="57" w:type="dxa"/>
              <w:bottom w:w="28" w:type="dxa"/>
              <w:right w:w="57" w:type="dxa"/>
            </w:tcMar>
            <w:vAlign w:val="center"/>
          </w:tcPr>
          <w:p w14:paraId="70F9D454">
            <w:pPr>
              <w:pStyle w:val="19"/>
              <w:bidi w:val="0"/>
              <w:rPr>
                <w:rFonts w:hint="eastAsia" w:eastAsia="宋体"/>
                <w:lang w:eastAsia="zh-CN"/>
              </w:rPr>
            </w:pPr>
            <w:r>
              <w:rPr>
                <w:rFonts w:hint="eastAsia"/>
                <w:lang w:val="en-US" w:eastAsia="zh-CN"/>
              </w:rPr>
              <w:t>依托</w:t>
            </w:r>
          </w:p>
        </w:tc>
      </w:tr>
      <w:tr w14:paraId="178F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56388BC9">
            <w:pPr>
              <w:pStyle w:val="19"/>
              <w:bidi w:val="0"/>
            </w:pPr>
          </w:p>
        </w:tc>
        <w:tc>
          <w:tcPr>
            <w:tcW w:w="1163" w:type="pct"/>
            <w:gridSpan w:val="3"/>
            <w:noWrap w:val="0"/>
            <w:tcMar>
              <w:top w:w="28" w:type="dxa"/>
              <w:left w:w="57" w:type="dxa"/>
              <w:bottom w:w="28" w:type="dxa"/>
              <w:right w:w="57" w:type="dxa"/>
            </w:tcMar>
            <w:vAlign w:val="center"/>
          </w:tcPr>
          <w:p w14:paraId="1D474720">
            <w:pPr>
              <w:pStyle w:val="19"/>
              <w:bidi w:val="0"/>
              <w:rPr>
                <w:highlight w:val="none"/>
              </w:rPr>
            </w:pPr>
            <w:r>
              <w:rPr>
                <w:highlight w:val="none"/>
              </w:rPr>
              <w:t>供水系统</w:t>
            </w:r>
          </w:p>
        </w:tc>
        <w:tc>
          <w:tcPr>
            <w:tcW w:w="3067" w:type="pct"/>
            <w:noWrap w:val="0"/>
            <w:tcMar>
              <w:top w:w="28" w:type="dxa"/>
              <w:left w:w="57" w:type="dxa"/>
              <w:bottom w:w="28" w:type="dxa"/>
              <w:right w:w="57" w:type="dxa"/>
            </w:tcMar>
            <w:vAlign w:val="center"/>
          </w:tcPr>
          <w:p w14:paraId="654968F1">
            <w:pPr>
              <w:pStyle w:val="19"/>
              <w:bidi w:val="0"/>
              <w:rPr>
                <w:rFonts w:hint="default"/>
                <w:highlight w:val="none"/>
                <w:lang w:val="en-US"/>
              </w:rPr>
            </w:pPr>
            <w:r>
              <w:rPr>
                <w:rFonts w:hint="eastAsia"/>
                <w:highlight w:val="none"/>
              </w:rPr>
              <w:t>本项目供水依托</w:t>
            </w:r>
            <w:r>
              <w:rPr>
                <w:rFonts w:hint="eastAsia"/>
                <w:highlight w:val="none"/>
                <w:lang w:val="en-US" w:eastAsia="zh-CN"/>
              </w:rPr>
              <w:t>129团公共井，位于东北角厂界外50m处，129团已设置水泵房及管道，本项目接管即可。</w:t>
            </w:r>
          </w:p>
        </w:tc>
        <w:tc>
          <w:tcPr>
            <w:tcW w:w="368" w:type="pct"/>
            <w:noWrap w:val="0"/>
            <w:tcMar>
              <w:top w:w="28" w:type="dxa"/>
              <w:left w:w="57" w:type="dxa"/>
              <w:bottom w:w="28" w:type="dxa"/>
              <w:right w:w="57" w:type="dxa"/>
            </w:tcMar>
            <w:vAlign w:val="center"/>
          </w:tcPr>
          <w:p w14:paraId="12C8F378">
            <w:pPr>
              <w:pStyle w:val="19"/>
              <w:bidi w:val="0"/>
            </w:pPr>
            <w:r>
              <w:t>新建</w:t>
            </w:r>
          </w:p>
        </w:tc>
      </w:tr>
      <w:tr w14:paraId="5EB5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35410701">
            <w:pPr>
              <w:pStyle w:val="19"/>
              <w:bidi w:val="0"/>
            </w:pPr>
          </w:p>
        </w:tc>
        <w:tc>
          <w:tcPr>
            <w:tcW w:w="1163" w:type="pct"/>
            <w:gridSpan w:val="3"/>
            <w:noWrap w:val="0"/>
            <w:tcMar>
              <w:top w:w="28" w:type="dxa"/>
              <w:left w:w="57" w:type="dxa"/>
              <w:bottom w:w="28" w:type="dxa"/>
              <w:right w:w="57" w:type="dxa"/>
            </w:tcMar>
            <w:vAlign w:val="center"/>
          </w:tcPr>
          <w:p w14:paraId="1371BA96">
            <w:pPr>
              <w:pStyle w:val="19"/>
              <w:bidi w:val="0"/>
              <w:rPr>
                <w:rFonts w:hint="default" w:eastAsia="宋体"/>
                <w:highlight w:val="none"/>
                <w:lang w:val="en-US" w:eastAsia="zh-CN"/>
              </w:rPr>
            </w:pPr>
            <w:r>
              <w:rPr>
                <w:rFonts w:hint="eastAsia"/>
                <w:highlight w:val="none"/>
                <w:lang w:val="en-US" w:eastAsia="zh-CN"/>
              </w:rPr>
              <w:t>排水系统</w:t>
            </w:r>
          </w:p>
        </w:tc>
        <w:tc>
          <w:tcPr>
            <w:tcW w:w="3067" w:type="pct"/>
            <w:noWrap w:val="0"/>
            <w:tcMar>
              <w:top w:w="28" w:type="dxa"/>
              <w:left w:w="57" w:type="dxa"/>
              <w:bottom w:w="28" w:type="dxa"/>
              <w:right w:w="57" w:type="dxa"/>
            </w:tcMar>
            <w:vAlign w:val="center"/>
          </w:tcPr>
          <w:p w14:paraId="33C1B41C">
            <w:pPr>
              <w:pStyle w:val="19"/>
              <w:bidi w:val="0"/>
              <w:rPr>
                <w:rFonts w:hint="default" w:eastAsia="宋体"/>
                <w:highlight w:val="none"/>
                <w:lang w:val="en-US" w:eastAsia="zh-CN"/>
              </w:rPr>
            </w:pPr>
            <w:r>
              <w:rPr>
                <w:rFonts w:hint="eastAsia"/>
                <w:highlight w:val="none"/>
                <w:lang w:val="en-US" w:eastAsia="zh-CN"/>
              </w:rPr>
              <w:t>本养殖场废水经处理设置处理后均交由129团农业发展中心清运出场，用于农田灌溉，本项目不设置排放口。</w:t>
            </w:r>
          </w:p>
        </w:tc>
        <w:tc>
          <w:tcPr>
            <w:tcW w:w="368" w:type="pct"/>
            <w:noWrap w:val="0"/>
            <w:tcMar>
              <w:top w:w="28" w:type="dxa"/>
              <w:left w:w="57" w:type="dxa"/>
              <w:bottom w:w="28" w:type="dxa"/>
              <w:right w:w="57" w:type="dxa"/>
            </w:tcMar>
            <w:vAlign w:val="center"/>
          </w:tcPr>
          <w:p w14:paraId="61925000">
            <w:pPr>
              <w:pStyle w:val="19"/>
              <w:bidi w:val="0"/>
              <w:rPr>
                <w:rFonts w:hint="eastAsia" w:eastAsia="宋体"/>
                <w:lang w:val="en-US" w:eastAsia="zh-CN"/>
              </w:rPr>
            </w:pPr>
            <w:r>
              <w:rPr>
                <w:rFonts w:hint="eastAsia"/>
                <w:lang w:val="en-US" w:eastAsia="zh-CN"/>
              </w:rPr>
              <w:t>新建</w:t>
            </w:r>
          </w:p>
        </w:tc>
      </w:tr>
      <w:tr w14:paraId="054D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3DA4C14E">
            <w:pPr>
              <w:pStyle w:val="19"/>
              <w:bidi w:val="0"/>
            </w:pPr>
          </w:p>
        </w:tc>
        <w:tc>
          <w:tcPr>
            <w:tcW w:w="1163" w:type="pct"/>
            <w:gridSpan w:val="3"/>
            <w:noWrap w:val="0"/>
            <w:tcMar>
              <w:top w:w="28" w:type="dxa"/>
              <w:left w:w="57" w:type="dxa"/>
              <w:bottom w:w="28" w:type="dxa"/>
              <w:right w:w="57" w:type="dxa"/>
            </w:tcMar>
            <w:vAlign w:val="center"/>
          </w:tcPr>
          <w:p w14:paraId="58CFE140">
            <w:pPr>
              <w:pStyle w:val="19"/>
              <w:bidi w:val="0"/>
            </w:pPr>
            <w:r>
              <w:t>供热和</w:t>
            </w:r>
            <w:r>
              <w:rPr>
                <w:rFonts w:hint="eastAsia"/>
                <w:lang w:val="en-US" w:eastAsia="zh-CN"/>
              </w:rPr>
              <w:t>降温</w:t>
            </w:r>
            <w:r>
              <w:t>系统</w:t>
            </w:r>
          </w:p>
        </w:tc>
        <w:tc>
          <w:tcPr>
            <w:tcW w:w="3067" w:type="pct"/>
            <w:noWrap w:val="0"/>
            <w:tcMar>
              <w:top w:w="28" w:type="dxa"/>
              <w:left w:w="57" w:type="dxa"/>
              <w:bottom w:w="28" w:type="dxa"/>
              <w:right w:w="57" w:type="dxa"/>
            </w:tcMar>
            <w:vAlign w:val="center"/>
          </w:tcPr>
          <w:p w14:paraId="142D63DE">
            <w:pPr>
              <w:pStyle w:val="19"/>
              <w:keepNext w:val="0"/>
              <w:keepLines w:val="0"/>
              <w:pageBreakBefore w:val="0"/>
              <w:widowControl w:val="0"/>
              <w:numPr>
                <w:ilvl w:val="0"/>
                <w:numId w:val="7"/>
              </w:numPr>
              <w:kinsoku/>
              <w:wordWrap/>
              <w:overflowPunct/>
              <w:topLinePunct w:val="0"/>
              <w:autoSpaceDE/>
              <w:autoSpaceDN/>
              <w:bidi w:val="0"/>
              <w:adjustRightInd/>
              <w:snapToGrid/>
              <w:spacing w:line="288" w:lineRule="auto"/>
              <w:ind w:firstLine="315" w:firstLineChars="15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供暖：</w:t>
            </w:r>
            <w:r>
              <w:rPr>
                <w:rFonts w:hint="eastAsia" w:ascii="Times New Roman" w:hAnsi="Times New Roman" w:eastAsia="宋体" w:cs="Times New Roman"/>
              </w:rPr>
              <w:t>本项目</w:t>
            </w:r>
            <w:r>
              <w:rPr>
                <w:rFonts w:hint="eastAsia" w:ascii="Times New Roman" w:hAnsi="Times New Roman" w:eastAsia="宋体" w:cs="Times New Roman"/>
                <w:lang w:val="en-US" w:eastAsia="zh-CN"/>
              </w:rPr>
              <w:t>新建</w:t>
            </w:r>
            <w:r>
              <w:rPr>
                <w:rFonts w:hint="eastAsia" w:cs="Times New Roman"/>
                <w:lang w:val="en-US" w:eastAsia="zh-CN"/>
              </w:rPr>
              <w:t>3</w:t>
            </w:r>
            <w:r>
              <w:rPr>
                <w:rFonts w:hint="eastAsia" w:ascii="Times New Roman" w:hAnsi="Times New Roman" w:eastAsia="宋体" w:cs="Times New Roman"/>
                <w:lang w:val="en-US" w:eastAsia="zh-CN"/>
              </w:rPr>
              <w:t>台（</w:t>
            </w:r>
            <w:r>
              <w:rPr>
                <w:rFonts w:hint="eastAsia" w:cs="Times New Roman"/>
                <w:lang w:val="en-US" w:eastAsia="zh-CN"/>
              </w:rPr>
              <w:t>3</w:t>
            </w:r>
            <w:r>
              <w:rPr>
                <w:rFonts w:hint="eastAsia" w:ascii="Times New Roman" w:hAnsi="Times New Roman" w:eastAsia="宋体" w:cs="Times New Roman"/>
                <w:lang w:val="en-US" w:eastAsia="zh-CN"/>
              </w:rPr>
              <w:t>t/h）生物质锅炉为生活</w:t>
            </w:r>
            <w:r>
              <w:rPr>
                <w:rFonts w:hint="eastAsia" w:cs="Times New Roman"/>
                <w:lang w:val="en-US" w:eastAsia="zh-CN"/>
              </w:rPr>
              <w:t>、办公</w:t>
            </w:r>
            <w:r>
              <w:rPr>
                <w:rFonts w:hint="eastAsia" w:ascii="Times New Roman" w:hAnsi="Times New Roman" w:eastAsia="宋体" w:cs="Times New Roman"/>
                <w:lang w:val="en-US" w:eastAsia="zh-CN"/>
              </w:rPr>
              <w:t>区和育肥舍</w:t>
            </w:r>
            <w:r>
              <w:rPr>
                <w:rFonts w:hint="eastAsia" w:ascii="Times New Roman" w:hAnsi="Times New Roman" w:eastAsia="宋体" w:cs="Times New Roman"/>
              </w:rPr>
              <w:t>供暖</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生物质锅炉仅冬季供暖季节运行，年运行时间为181天（每年11月至次年4月）</w:t>
            </w:r>
          </w:p>
          <w:p w14:paraId="60808689">
            <w:pPr>
              <w:pStyle w:val="19"/>
              <w:keepNext w:val="0"/>
              <w:keepLines w:val="0"/>
              <w:pageBreakBefore w:val="0"/>
              <w:widowControl w:val="0"/>
              <w:numPr>
                <w:ilvl w:val="0"/>
                <w:numId w:val="7"/>
              </w:numPr>
              <w:kinsoku/>
              <w:wordWrap/>
              <w:overflowPunct/>
              <w:topLinePunct w:val="0"/>
              <w:autoSpaceDE/>
              <w:autoSpaceDN/>
              <w:bidi w:val="0"/>
              <w:adjustRightInd/>
              <w:snapToGrid/>
              <w:spacing w:line="288" w:lineRule="auto"/>
              <w:ind w:firstLine="315" w:firstLineChars="150"/>
              <w:jc w:val="both"/>
              <w:textAlignment w:val="auto"/>
              <w:rPr>
                <w:rFonts w:hint="eastAsia" w:eastAsia="宋体"/>
                <w:lang w:eastAsia="zh-CN"/>
              </w:rPr>
            </w:pPr>
            <w:r>
              <w:rPr>
                <w:rFonts w:hint="eastAsia" w:ascii="Times New Roman" w:hAnsi="Times New Roman" w:eastAsia="宋体" w:cs="Times New Roman"/>
                <w:lang w:val="en-US" w:eastAsia="zh-CN"/>
              </w:rPr>
              <w:t>降温：办公区、宿舍、食堂等生活区采用空调降温，</w:t>
            </w:r>
            <w:r>
              <w:rPr>
                <w:rFonts w:hint="eastAsia" w:ascii="Times New Roman" w:hAnsi="Times New Roman" w:eastAsia="宋体" w:cs="Times New Roman"/>
              </w:rPr>
              <w:t>猪舍夏季采用水帘降温</w:t>
            </w:r>
            <w:r>
              <w:rPr>
                <w:rFonts w:hint="eastAsia" w:ascii="Times New Roman" w:hAnsi="Times New Roman" w:eastAsia="宋体" w:cs="Times New Roman"/>
                <w:lang w:eastAsia="zh-CN"/>
              </w:rPr>
              <w:t>。</w:t>
            </w:r>
          </w:p>
        </w:tc>
        <w:tc>
          <w:tcPr>
            <w:tcW w:w="368" w:type="pct"/>
            <w:noWrap w:val="0"/>
            <w:tcMar>
              <w:top w:w="28" w:type="dxa"/>
              <w:left w:w="57" w:type="dxa"/>
              <w:bottom w:w="28" w:type="dxa"/>
              <w:right w:w="57" w:type="dxa"/>
            </w:tcMar>
            <w:vAlign w:val="center"/>
          </w:tcPr>
          <w:p w14:paraId="4528FF4A">
            <w:pPr>
              <w:pStyle w:val="19"/>
              <w:bidi w:val="0"/>
            </w:pPr>
            <w:r>
              <w:t>新建</w:t>
            </w:r>
          </w:p>
        </w:tc>
      </w:tr>
      <w:tr w14:paraId="3E47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noWrap w:val="0"/>
            <w:tcMar>
              <w:top w:w="28" w:type="dxa"/>
              <w:left w:w="57" w:type="dxa"/>
              <w:bottom w:w="28" w:type="dxa"/>
              <w:right w:w="57" w:type="dxa"/>
            </w:tcMar>
            <w:vAlign w:val="center"/>
          </w:tcPr>
          <w:p w14:paraId="6C06CEC7">
            <w:pPr>
              <w:pStyle w:val="19"/>
              <w:bidi w:val="0"/>
            </w:pPr>
            <w:r>
              <w:t>环保工程</w:t>
            </w:r>
          </w:p>
        </w:tc>
        <w:tc>
          <w:tcPr>
            <w:tcW w:w="1163" w:type="pct"/>
            <w:gridSpan w:val="3"/>
            <w:noWrap w:val="0"/>
            <w:tcMar>
              <w:top w:w="28" w:type="dxa"/>
              <w:left w:w="57" w:type="dxa"/>
              <w:bottom w:w="28" w:type="dxa"/>
              <w:right w:w="57" w:type="dxa"/>
            </w:tcMar>
            <w:vAlign w:val="center"/>
          </w:tcPr>
          <w:p w14:paraId="56236318">
            <w:pPr>
              <w:pStyle w:val="19"/>
              <w:bidi w:val="0"/>
            </w:pPr>
            <w:r>
              <w:t>废气治理</w:t>
            </w:r>
          </w:p>
        </w:tc>
        <w:tc>
          <w:tcPr>
            <w:tcW w:w="3067" w:type="pct"/>
            <w:noWrap w:val="0"/>
            <w:tcMar>
              <w:top w:w="28" w:type="dxa"/>
              <w:left w:w="57" w:type="dxa"/>
              <w:bottom w:w="28" w:type="dxa"/>
              <w:right w:w="57" w:type="dxa"/>
            </w:tcMar>
            <w:vAlign w:val="center"/>
          </w:tcPr>
          <w:p w14:paraId="76760819">
            <w:pPr>
              <w:pStyle w:val="19"/>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315" w:firstLineChars="150"/>
              <w:jc w:val="both"/>
              <w:textAlignment w:val="auto"/>
              <w:rPr>
                <w:rFonts w:hint="default"/>
                <w:highlight w:val="none"/>
                <w:lang w:val="en-US" w:eastAsia="zh-CN"/>
              </w:rPr>
            </w:pPr>
            <w:r>
              <w:rPr>
                <w:rFonts w:hint="eastAsia" w:ascii="Times New Roman" w:hAnsi="Times New Roman" w:eastAsia="宋体" w:cs="Times New Roman"/>
                <w:kern w:val="2"/>
                <w:sz w:val="21"/>
                <w:szCs w:val="22"/>
                <w:lang w:val="en-US" w:eastAsia="zh-CN" w:bidi="ar-SA"/>
              </w:rPr>
              <w:t>（1）</w:t>
            </w:r>
            <w:r>
              <w:rPr>
                <w:rFonts w:hint="eastAsia"/>
                <w:highlight w:val="none"/>
                <w:lang w:val="en-US" w:eastAsia="zh-CN"/>
              </w:rPr>
              <w:t>生物质锅炉烟气：采用“低氮燃烧+布袋除尘器”工艺处理后由15m排气筒排放；</w:t>
            </w:r>
          </w:p>
          <w:p w14:paraId="0F819D96">
            <w:pPr>
              <w:pStyle w:val="19"/>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315" w:firstLineChars="150"/>
              <w:jc w:val="both"/>
              <w:textAlignment w:val="auto"/>
              <w:rPr>
                <w:rFonts w:hint="default"/>
                <w:highlight w:val="none"/>
                <w:lang w:val="en-US" w:eastAsia="zh-CN"/>
              </w:rPr>
            </w:pPr>
            <w:r>
              <w:rPr>
                <w:rFonts w:hint="default" w:ascii="Times New Roman" w:hAnsi="Times New Roman" w:eastAsia="宋体" w:cs="Times New Roman"/>
                <w:kern w:val="2"/>
                <w:sz w:val="21"/>
                <w:szCs w:val="22"/>
                <w:highlight w:val="none"/>
                <w:lang w:val="en-US" w:eastAsia="zh-CN" w:bidi="ar-SA"/>
              </w:rPr>
              <w:t>（2）</w:t>
            </w:r>
            <w:r>
              <w:rPr>
                <w:rFonts w:hint="eastAsia"/>
                <w:highlight w:val="none"/>
                <w:lang w:val="en-US" w:eastAsia="zh-CN"/>
              </w:rPr>
              <w:t>食堂油烟：经油烟净化器处理后通过屋顶的排气筒排出；</w:t>
            </w:r>
          </w:p>
          <w:p w14:paraId="6E3BB36A">
            <w:pPr>
              <w:pStyle w:val="19"/>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315" w:firstLineChars="150"/>
              <w:jc w:val="both"/>
              <w:textAlignment w:val="auto"/>
            </w:pPr>
            <w:r>
              <w:rPr>
                <w:rFonts w:ascii="Times New Roman" w:hAnsi="Times New Roman" w:eastAsia="宋体" w:cs="Times New Roman"/>
                <w:kern w:val="2"/>
                <w:sz w:val="21"/>
                <w:szCs w:val="22"/>
                <w:lang w:val="en-US" w:eastAsia="zh-CN" w:bidi="ar-SA"/>
              </w:rPr>
              <w:t>（3）</w:t>
            </w:r>
            <w:r>
              <w:rPr>
                <w:rFonts w:hint="eastAsia"/>
                <w:highlight w:val="none"/>
                <w:lang w:val="en-US" w:eastAsia="zh-CN"/>
              </w:rPr>
              <w:t>育肥舍：采用</w:t>
            </w:r>
            <w:r>
              <w:t>全漏缝地板免水冲工艺，</w:t>
            </w:r>
            <w:r>
              <w:rPr>
                <w:rFonts w:hint="eastAsia"/>
              </w:rPr>
              <w:t>日粮中投放EM菌剂等有益微生物复合剂、</w:t>
            </w:r>
            <w:r>
              <w:t>猪舍等区域</w:t>
            </w:r>
            <w:r>
              <w:rPr>
                <w:rFonts w:hint="eastAsia"/>
              </w:rPr>
              <w:t>采用风扇通风</w:t>
            </w:r>
            <w:r>
              <w:t>喷洒植物型除臭剂，以减轻恶臭气体对场区周边环境的影响；</w:t>
            </w:r>
          </w:p>
          <w:p w14:paraId="41F1E216">
            <w:pPr>
              <w:pStyle w:val="19"/>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315" w:firstLineChars="150"/>
              <w:jc w:val="both"/>
              <w:textAlignment w:val="auto"/>
            </w:pPr>
            <w:r>
              <w:rPr>
                <w:rFonts w:ascii="Times New Roman" w:hAnsi="Times New Roman" w:eastAsia="宋体" w:cs="Times New Roman"/>
                <w:kern w:val="2"/>
                <w:sz w:val="21"/>
                <w:szCs w:val="22"/>
                <w:lang w:val="en-US" w:eastAsia="zh-CN" w:bidi="ar-SA"/>
              </w:rPr>
              <w:t>（4）</w:t>
            </w:r>
            <w:r>
              <w:rPr>
                <w:rFonts w:hint="eastAsia"/>
              </w:rPr>
              <w:t>堆粪场采用喷洒生物除臭剂</w:t>
            </w:r>
            <w:r>
              <w:rPr>
                <w:rFonts w:hint="eastAsia"/>
                <w:lang w:eastAsia="zh-CN"/>
              </w:rPr>
              <w:t>；</w:t>
            </w:r>
          </w:p>
          <w:p w14:paraId="1488630A">
            <w:pPr>
              <w:pStyle w:val="19"/>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315" w:firstLineChars="150"/>
              <w:jc w:val="both"/>
              <w:textAlignment w:val="auto"/>
            </w:pPr>
            <w:r>
              <w:rPr>
                <w:rFonts w:ascii="Times New Roman" w:hAnsi="Times New Roman" w:eastAsia="宋体" w:cs="Times New Roman"/>
                <w:kern w:val="2"/>
                <w:sz w:val="21"/>
                <w:szCs w:val="22"/>
                <w:highlight w:val="none"/>
                <w:lang w:val="en-US" w:eastAsia="zh-CN" w:bidi="ar-SA"/>
              </w:rPr>
              <w:t>（5）</w:t>
            </w:r>
            <w:r>
              <w:rPr>
                <w:rFonts w:hint="eastAsia" w:ascii="Times New Roman" w:hAnsi="Times New Roman" w:eastAsia="宋体" w:cs="Times New Roman"/>
                <w:kern w:val="2"/>
                <w:sz w:val="21"/>
                <w:szCs w:val="22"/>
                <w:highlight w:val="none"/>
                <w:lang w:val="en-US" w:eastAsia="zh-CN" w:bidi="ar-SA"/>
              </w:rPr>
              <w:t>粪污处理池</w:t>
            </w:r>
            <w:r>
              <w:rPr>
                <w:rFonts w:hint="eastAsia"/>
                <w:highlight w:val="none"/>
                <w:lang w:val="en-US" w:eastAsia="zh-CN"/>
              </w:rPr>
              <w:t>：定期喷洒除臭剂，周边设置绿化隔离带。</w:t>
            </w:r>
          </w:p>
        </w:tc>
        <w:tc>
          <w:tcPr>
            <w:tcW w:w="368" w:type="pct"/>
            <w:noWrap w:val="0"/>
            <w:tcMar>
              <w:top w:w="28" w:type="dxa"/>
              <w:left w:w="57" w:type="dxa"/>
              <w:bottom w:w="28" w:type="dxa"/>
              <w:right w:w="57" w:type="dxa"/>
            </w:tcMar>
            <w:vAlign w:val="center"/>
          </w:tcPr>
          <w:p w14:paraId="45E7F42A">
            <w:pPr>
              <w:pStyle w:val="19"/>
              <w:bidi w:val="0"/>
            </w:pPr>
            <w:r>
              <w:t>新建</w:t>
            </w:r>
          </w:p>
        </w:tc>
      </w:tr>
      <w:tr w14:paraId="5A73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25F80B89">
            <w:pPr>
              <w:pStyle w:val="19"/>
              <w:bidi w:val="0"/>
            </w:pPr>
          </w:p>
        </w:tc>
        <w:tc>
          <w:tcPr>
            <w:tcW w:w="1163" w:type="pct"/>
            <w:gridSpan w:val="3"/>
            <w:noWrap w:val="0"/>
            <w:tcMar>
              <w:top w:w="28" w:type="dxa"/>
              <w:left w:w="57" w:type="dxa"/>
              <w:bottom w:w="28" w:type="dxa"/>
              <w:right w:w="57" w:type="dxa"/>
            </w:tcMar>
            <w:vAlign w:val="center"/>
          </w:tcPr>
          <w:p w14:paraId="78302B1A">
            <w:pPr>
              <w:pStyle w:val="19"/>
              <w:bidi w:val="0"/>
              <w:rPr>
                <w:rFonts w:hint="default" w:eastAsia="宋体"/>
                <w:highlight w:val="none"/>
                <w:lang w:val="en-US" w:eastAsia="zh-CN"/>
              </w:rPr>
            </w:pPr>
            <w:r>
              <w:rPr>
                <w:rFonts w:hint="eastAsia"/>
                <w:highlight w:val="none"/>
                <w:lang w:val="en-US" w:eastAsia="zh-CN"/>
              </w:rPr>
              <w:t>废水处理</w:t>
            </w:r>
          </w:p>
        </w:tc>
        <w:tc>
          <w:tcPr>
            <w:tcW w:w="3067" w:type="pct"/>
            <w:noWrap w:val="0"/>
            <w:tcMar>
              <w:top w:w="28" w:type="dxa"/>
              <w:left w:w="57" w:type="dxa"/>
              <w:bottom w:w="28" w:type="dxa"/>
              <w:right w:w="57" w:type="dxa"/>
            </w:tcMar>
            <w:vAlign w:val="center"/>
          </w:tcPr>
          <w:p w14:paraId="6501C23E">
            <w:pPr>
              <w:pStyle w:val="19"/>
              <w:keepNext w:val="0"/>
              <w:keepLines w:val="0"/>
              <w:pageBreakBefore w:val="0"/>
              <w:widowControl w:val="0"/>
              <w:numPr>
                <w:ilvl w:val="0"/>
                <w:numId w:val="8"/>
              </w:numPr>
              <w:kinsoku/>
              <w:wordWrap/>
              <w:overflowPunct/>
              <w:topLinePunct w:val="0"/>
              <w:autoSpaceDE/>
              <w:autoSpaceDN/>
              <w:bidi w:val="0"/>
              <w:adjustRightInd/>
              <w:snapToGrid/>
              <w:spacing w:line="288" w:lineRule="auto"/>
              <w:ind w:firstLine="315" w:firstLineChars="150"/>
              <w:jc w:val="both"/>
              <w:textAlignment w:val="auto"/>
              <w:rPr>
                <w:rFonts w:hint="eastAsia" w:ascii="Times New Roman" w:hAnsi="Times New Roman" w:eastAsia="宋体" w:cs="Times New Roman"/>
                <w:highlight w:val="none"/>
                <w:lang w:val="en-US" w:eastAsia="zh-CN"/>
              </w:rPr>
            </w:pPr>
            <w:r>
              <w:rPr>
                <w:rFonts w:hint="eastAsia" w:cs="Times New Roman"/>
                <w:highlight w:val="none"/>
                <w:lang w:val="en-US" w:eastAsia="zh-CN"/>
              </w:rPr>
              <w:t>养殖废水：</w:t>
            </w:r>
            <w:r>
              <w:rPr>
                <w:rFonts w:hint="eastAsia" w:ascii="Times New Roman" w:hAnsi="Times New Roman" w:eastAsia="宋体" w:cs="Times New Roman"/>
                <w:highlight w:val="none"/>
                <w:lang w:val="en-US" w:eastAsia="zh-CN"/>
              </w:rPr>
              <w:t>育肥舍内粪尿及冲洗水经《畜禽养殖业污染治理工程技术规范》（HJ497-2009）</w:t>
            </w:r>
            <w:r>
              <w:rPr>
                <w:rFonts w:hint="eastAsia" w:cs="Times New Roman"/>
                <w:highlight w:val="none"/>
                <w:lang w:val="en-US" w:eastAsia="zh-CN"/>
              </w:rPr>
              <w:t>中列明的模式Ⅲ工艺处理后</w:t>
            </w:r>
            <w:r>
              <w:rPr>
                <w:rFonts w:hint="eastAsia" w:ascii="Times New Roman" w:hAnsi="Times New Roman" w:eastAsia="宋体" w:cs="Times New Roman"/>
                <w:highlight w:val="none"/>
                <w:lang w:val="en-US" w:eastAsia="zh-CN"/>
              </w:rPr>
              <w:t>，</w:t>
            </w:r>
            <w:r>
              <w:rPr>
                <w:rFonts w:hint="eastAsia" w:cs="Times New Roman"/>
                <w:highlight w:val="none"/>
                <w:lang w:val="en-US" w:eastAsia="zh-CN"/>
              </w:rPr>
              <w:t>委托129团农业发展中心用罐车拉运，</w:t>
            </w:r>
            <w:r>
              <w:rPr>
                <w:rFonts w:hint="eastAsia" w:ascii="Times New Roman" w:hAnsi="Times New Roman" w:eastAsia="宋体" w:cs="Times New Roman"/>
                <w:highlight w:val="none"/>
                <w:lang w:val="en-US" w:eastAsia="zh-CN"/>
              </w:rPr>
              <w:t>用于农田灌溉。</w:t>
            </w:r>
          </w:p>
          <w:p w14:paraId="409D9E93">
            <w:pPr>
              <w:pStyle w:val="19"/>
              <w:keepNext w:val="0"/>
              <w:keepLines w:val="0"/>
              <w:pageBreakBefore w:val="0"/>
              <w:widowControl w:val="0"/>
              <w:numPr>
                <w:ilvl w:val="0"/>
                <w:numId w:val="8"/>
              </w:numPr>
              <w:kinsoku/>
              <w:wordWrap/>
              <w:overflowPunct/>
              <w:topLinePunct w:val="0"/>
              <w:autoSpaceDE/>
              <w:autoSpaceDN/>
              <w:bidi w:val="0"/>
              <w:adjustRightInd/>
              <w:snapToGrid/>
              <w:spacing w:line="288" w:lineRule="auto"/>
              <w:ind w:firstLine="315" w:firstLineChars="150"/>
              <w:jc w:val="both"/>
              <w:textAlignment w:val="auto"/>
              <w:rPr>
                <w:rFonts w:hint="eastAsia" w:ascii="Times New Roman" w:hAnsi="Times New Roman" w:eastAsia="宋体" w:cs="Times New Roman"/>
                <w:highlight w:val="none"/>
                <w:lang w:val="en-US" w:eastAsia="zh-CN"/>
              </w:rPr>
            </w:pPr>
            <w:r>
              <w:rPr>
                <w:rFonts w:hint="eastAsia" w:cs="Times New Roman"/>
                <w:highlight w:val="none"/>
                <w:lang w:val="en-US" w:eastAsia="zh-CN"/>
              </w:rPr>
              <w:t>生活污水：食堂油污水经隔油设备处理后与其他生活污水通过管道一并进入收集池处理。</w:t>
            </w:r>
          </w:p>
        </w:tc>
        <w:tc>
          <w:tcPr>
            <w:tcW w:w="368" w:type="pct"/>
            <w:noWrap w:val="0"/>
            <w:tcMar>
              <w:top w:w="28" w:type="dxa"/>
              <w:left w:w="57" w:type="dxa"/>
              <w:bottom w:w="28" w:type="dxa"/>
              <w:right w:w="57" w:type="dxa"/>
            </w:tcMar>
            <w:vAlign w:val="center"/>
          </w:tcPr>
          <w:p w14:paraId="56407264">
            <w:pPr>
              <w:pStyle w:val="19"/>
              <w:bidi w:val="0"/>
            </w:pPr>
            <w:r>
              <w:t>新建</w:t>
            </w:r>
          </w:p>
        </w:tc>
      </w:tr>
      <w:tr w14:paraId="6938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4B682CA9">
            <w:pPr>
              <w:pStyle w:val="19"/>
              <w:bidi w:val="0"/>
            </w:pPr>
          </w:p>
        </w:tc>
        <w:tc>
          <w:tcPr>
            <w:tcW w:w="1163" w:type="pct"/>
            <w:gridSpan w:val="3"/>
            <w:noWrap w:val="0"/>
            <w:tcMar>
              <w:top w:w="28" w:type="dxa"/>
              <w:left w:w="57" w:type="dxa"/>
              <w:bottom w:w="28" w:type="dxa"/>
              <w:right w:w="57" w:type="dxa"/>
            </w:tcMar>
            <w:vAlign w:val="center"/>
          </w:tcPr>
          <w:p w14:paraId="2BDEE6FA">
            <w:pPr>
              <w:pStyle w:val="19"/>
              <w:bidi w:val="0"/>
            </w:pPr>
            <w:r>
              <w:t>噪声治理</w:t>
            </w:r>
          </w:p>
        </w:tc>
        <w:tc>
          <w:tcPr>
            <w:tcW w:w="3067" w:type="pct"/>
            <w:noWrap w:val="0"/>
            <w:tcMar>
              <w:top w:w="28" w:type="dxa"/>
              <w:left w:w="57" w:type="dxa"/>
              <w:bottom w:w="28" w:type="dxa"/>
              <w:right w:w="57" w:type="dxa"/>
            </w:tcMar>
            <w:vAlign w:val="center"/>
          </w:tcPr>
          <w:p w14:paraId="26CCAC79">
            <w:pPr>
              <w:pStyle w:val="19"/>
              <w:bidi w:val="0"/>
            </w:pPr>
            <w:r>
              <w:t>选用低噪声设备、隔声、保证猪不处于饥饿状态等</w:t>
            </w:r>
          </w:p>
        </w:tc>
        <w:tc>
          <w:tcPr>
            <w:tcW w:w="368" w:type="pct"/>
            <w:noWrap w:val="0"/>
            <w:tcMar>
              <w:top w:w="28" w:type="dxa"/>
              <w:left w:w="57" w:type="dxa"/>
              <w:bottom w:w="28" w:type="dxa"/>
              <w:right w:w="57" w:type="dxa"/>
            </w:tcMar>
            <w:vAlign w:val="center"/>
          </w:tcPr>
          <w:p w14:paraId="5BF45093">
            <w:pPr>
              <w:pStyle w:val="19"/>
              <w:bidi w:val="0"/>
            </w:pPr>
            <w:r>
              <w:t>新建</w:t>
            </w:r>
          </w:p>
        </w:tc>
      </w:tr>
      <w:tr w14:paraId="4E1C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7FCC614C">
            <w:pPr>
              <w:pStyle w:val="19"/>
              <w:bidi w:val="0"/>
            </w:pPr>
          </w:p>
        </w:tc>
        <w:tc>
          <w:tcPr>
            <w:tcW w:w="212" w:type="pct"/>
            <w:vMerge w:val="restart"/>
            <w:noWrap w:val="0"/>
            <w:tcMar>
              <w:top w:w="28" w:type="dxa"/>
              <w:left w:w="57" w:type="dxa"/>
              <w:bottom w:w="28" w:type="dxa"/>
              <w:right w:w="57" w:type="dxa"/>
            </w:tcMar>
            <w:vAlign w:val="center"/>
          </w:tcPr>
          <w:p w14:paraId="59D65EFC">
            <w:pPr>
              <w:pStyle w:val="19"/>
              <w:bidi w:val="0"/>
            </w:pPr>
            <w:r>
              <w:t>固废暂存</w:t>
            </w:r>
          </w:p>
        </w:tc>
        <w:tc>
          <w:tcPr>
            <w:tcW w:w="950" w:type="pct"/>
            <w:gridSpan w:val="2"/>
            <w:noWrap w:val="0"/>
            <w:tcMar>
              <w:top w:w="28" w:type="dxa"/>
              <w:left w:w="57" w:type="dxa"/>
              <w:bottom w:w="28" w:type="dxa"/>
              <w:right w:w="57" w:type="dxa"/>
            </w:tcMar>
            <w:vAlign w:val="center"/>
          </w:tcPr>
          <w:p w14:paraId="6217D8DA">
            <w:pPr>
              <w:pStyle w:val="19"/>
              <w:bidi w:val="0"/>
              <w:rPr>
                <w:rFonts w:hint="eastAsia" w:eastAsia="宋体"/>
                <w:lang w:val="en-US" w:eastAsia="zh-CN"/>
              </w:rPr>
            </w:pPr>
            <w:r>
              <w:rPr>
                <w:rFonts w:hint="eastAsia"/>
                <w:lang w:val="en-US" w:eastAsia="zh-CN"/>
              </w:rPr>
              <w:t>猪粪</w:t>
            </w:r>
          </w:p>
        </w:tc>
        <w:tc>
          <w:tcPr>
            <w:tcW w:w="3067" w:type="pct"/>
            <w:noWrap w:val="0"/>
            <w:tcMar>
              <w:top w:w="28" w:type="dxa"/>
              <w:left w:w="57" w:type="dxa"/>
              <w:bottom w:w="28" w:type="dxa"/>
              <w:right w:w="57" w:type="dxa"/>
            </w:tcMar>
            <w:vAlign w:val="center"/>
          </w:tcPr>
          <w:p w14:paraId="0CC763C2">
            <w:pPr>
              <w:pStyle w:val="19"/>
              <w:bidi w:val="0"/>
              <w:rPr>
                <w:rFonts w:hint="eastAsia" w:eastAsia="宋体"/>
                <w:lang w:eastAsia="zh-CN"/>
              </w:rPr>
            </w:pPr>
            <w:r>
              <w:t>猪粪在</w:t>
            </w:r>
            <w:r>
              <w:rPr>
                <w:rFonts w:hint="eastAsia"/>
                <w:lang w:eastAsia="zh-CN"/>
              </w:rPr>
              <w:t>集粪池</w:t>
            </w:r>
            <w:r>
              <w:t>暂存后密闭输送至</w:t>
            </w:r>
            <w:r>
              <w:rPr>
                <w:rFonts w:hint="eastAsia"/>
                <w:lang w:val="en-US" w:eastAsia="zh-CN"/>
              </w:rPr>
              <w:t>干湿分离用房</w:t>
            </w:r>
            <w:r>
              <w:t>进行固液分离，固粪在</w:t>
            </w:r>
            <w:r>
              <w:rPr>
                <w:rFonts w:hint="eastAsia"/>
              </w:rPr>
              <w:t>堆</w:t>
            </w:r>
            <w:r>
              <w:rPr>
                <w:rFonts w:hint="eastAsia"/>
                <w:lang w:val="en-US" w:eastAsia="zh-CN"/>
              </w:rPr>
              <w:t>肥</w:t>
            </w:r>
            <w:r>
              <w:rPr>
                <w:rFonts w:hint="eastAsia"/>
              </w:rPr>
              <w:t>场</w:t>
            </w:r>
            <w:r>
              <w:t>堆肥处理后</w:t>
            </w:r>
            <w:r>
              <w:rPr>
                <w:rFonts w:hint="eastAsia"/>
                <w:lang w:val="en-US" w:eastAsia="zh-CN"/>
              </w:rPr>
              <w:t>作为粪肥还田利用</w:t>
            </w:r>
            <w:r>
              <w:t>，液体进入</w:t>
            </w:r>
            <w:r>
              <w:rPr>
                <w:rFonts w:hint="eastAsia"/>
                <w:lang w:val="en-US" w:eastAsia="zh-CN"/>
              </w:rPr>
              <w:t>粪污处理池</w:t>
            </w:r>
            <w:r>
              <w:t>处理</w:t>
            </w:r>
            <w:r>
              <w:rPr>
                <w:rFonts w:hint="eastAsia"/>
                <w:lang w:eastAsia="zh-CN"/>
              </w:rPr>
              <w:t>。</w:t>
            </w:r>
          </w:p>
        </w:tc>
        <w:tc>
          <w:tcPr>
            <w:tcW w:w="368" w:type="pct"/>
            <w:noWrap w:val="0"/>
            <w:tcMar>
              <w:top w:w="28" w:type="dxa"/>
              <w:left w:w="57" w:type="dxa"/>
              <w:bottom w:w="28" w:type="dxa"/>
              <w:right w:w="57" w:type="dxa"/>
            </w:tcMar>
            <w:vAlign w:val="center"/>
          </w:tcPr>
          <w:p w14:paraId="1F8F79D6">
            <w:pPr>
              <w:pStyle w:val="19"/>
              <w:bidi w:val="0"/>
            </w:pPr>
            <w:r>
              <w:t>新建</w:t>
            </w:r>
          </w:p>
        </w:tc>
      </w:tr>
      <w:tr w14:paraId="7346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1013B9E2">
            <w:pPr>
              <w:pStyle w:val="19"/>
              <w:bidi w:val="0"/>
            </w:pPr>
          </w:p>
        </w:tc>
        <w:tc>
          <w:tcPr>
            <w:tcW w:w="212" w:type="pct"/>
            <w:vMerge w:val="continue"/>
            <w:noWrap w:val="0"/>
            <w:tcMar>
              <w:top w:w="28" w:type="dxa"/>
              <w:left w:w="57" w:type="dxa"/>
              <w:bottom w:w="28" w:type="dxa"/>
              <w:right w:w="57" w:type="dxa"/>
            </w:tcMar>
            <w:vAlign w:val="center"/>
          </w:tcPr>
          <w:p w14:paraId="4A55A72A">
            <w:pPr>
              <w:pStyle w:val="19"/>
              <w:bidi w:val="0"/>
            </w:pPr>
          </w:p>
        </w:tc>
        <w:tc>
          <w:tcPr>
            <w:tcW w:w="950" w:type="pct"/>
            <w:gridSpan w:val="2"/>
            <w:noWrap w:val="0"/>
            <w:tcMar>
              <w:top w:w="28" w:type="dxa"/>
              <w:left w:w="57" w:type="dxa"/>
              <w:bottom w:w="28" w:type="dxa"/>
              <w:right w:w="57" w:type="dxa"/>
            </w:tcMar>
            <w:vAlign w:val="center"/>
          </w:tcPr>
          <w:p w14:paraId="6F090B34">
            <w:pPr>
              <w:pStyle w:val="19"/>
              <w:bidi w:val="0"/>
              <w:rPr>
                <w:rFonts w:hint="eastAsia" w:eastAsia="宋体"/>
                <w:lang w:val="en-US" w:eastAsia="zh-CN"/>
              </w:rPr>
            </w:pPr>
            <w:r>
              <w:rPr>
                <w:rFonts w:hint="eastAsia"/>
                <w:lang w:val="en-US" w:eastAsia="zh-CN"/>
              </w:rPr>
              <w:t>动物医疗废物</w:t>
            </w:r>
          </w:p>
        </w:tc>
        <w:tc>
          <w:tcPr>
            <w:tcW w:w="3067" w:type="pct"/>
            <w:noWrap w:val="0"/>
            <w:tcMar>
              <w:top w:w="28" w:type="dxa"/>
              <w:left w:w="57" w:type="dxa"/>
              <w:bottom w:w="28" w:type="dxa"/>
              <w:right w:w="57" w:type="dxa"/>
            </w:tcMar>
            <w:vAlign w:val="center"/>
          </w:tcPr>
          <w:p w14:paraId="6BBF0B0F">
            <w:pPr>
              <w:pStyle w:val="19"/>
              <w:bidi w:val="0"/>
              <w:rPr>
                <w:rFonts w:hint="eastAsia" w:eastAsia="宋体"/>
                <w:lang w:eastAsia="zh-CN"/>
              </w:rPr>
            </w:pPr>
            <w:r>
              <w:t>设置医疗废物暂存间，交由</w:t>
            </w:r>
            <w:r>
              <w:rPr>
                <w:rFonts w:hint="eastAsia"/>
                <w:lang w:val="en-US" w:eastAsia="zh-CN"/>
              </w:rPr>
              <w:t>有</w:t>
            </w:r>
            <w:r>
              <w:t>资质的处理单位处理</w:t>
            </w:r>
            <w:r>
              <w:rPr>
                <w:rFonts w:hint="eastAsia"/>
                <w:lang w:eastAsia="zh-CN"/>
              </w:rPr>
              <w:t>。</w:t>
            </w:r>
          </w:p>
        </w:tc>
        <w:tc>
          <w:tcPr>
            <w:tcW w:w="368" w:type="pct"/>
            <w:noWrap w:val="0"/>
            <w:tcMar>
              <w:top w:w="28" w:type="dxa"/>
              <w:left w:w="57" w:type="dxa"/>
              <w:bottom w:w="28" w:type="dxa"/>
              <w:right w:w="57" w:type="dxa"/>
            </w:tcMar>
            <w:vAlign w:val="center"/>
          </w:tcPr>
          <w:p w14:paraId="43EA2A1A">
            <w:pPr>
              <w:pStyle w:val="19"/>
              <w:bidi w:val="0"/>
            </w:pPr>
          </w:p>
        </w:tc>
      </w:tr>
      <w:tr w14:paraId="510A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1BC0D577">
            <w:pPr>
              <w:pStyle w:val="19"/>
              <w:bidi w:val="0"/>
            </w:pPr>
          </w:p>
        </w:tc>
        <w:tc>
          <w:tcPr>
            <w:tcW w:w="212" w:type="pct"/>
            <w:vMerge w:val="continue"/>
            <w:noWrap w:val="0"/>
            <w:tcMar>
              <w:top w:w="28" w:type="dxa"/>
              <w:left w:w="57" w:type="dxa"/>
              <w:bottom w:w="28" w:type="dxa"/>
              <w:right w:w="57" w:type="dxa"/>
            </w:tcMar>
            <w:vAlign w:val="center"/>
          </w:tcPr>
          <w:p w14:paraId="0D909D23">
            <w:pPr>
              <w:pStyle w:val="19"/>
              <w:bidi w:val="0"/>
            </w:pPr>
          </w:p>
        </w:tc>
        <w:tc>
          <w:tcPr>
            <w:tcW w:w="950" w:type="pct"/>
            <w:gridSpan w:val="2"/>
            <w:noWrap w:val="0"/>
            <w:tcMar>
              <w:top w:w="28" w:type="dxa"/>
              <w:left w:w="57" w:type="dxa"/>
              <w:bottom w:w="28" w:type="dxa"/>
              <w:right w:w="57" w:type="dxa"/>
            </w:tcMar>
            <w:vAlign w:val="center"/>
          </w:tcPr>
          <w:p w14:paraId="683CD5CB">
            <w:pPr>
              <w:pStyle w:val="19"/>
              <w:bidi w:val="0"/>
              <w:rPr>
                <w:rFonts w:hint="default" w:eastAsia="宋体"/>
                <w:lang w:val="en-US" w:eastAsia="zh-CN"/>
              </w:rPr>
            </w:pPr>
            <w:r>
              <w:rPr>
                <w:rFonts w:hint="eastAsia"/>
                <w:lang w:val="en-US" w:eastAsia="zh-CN"/>
              </w:rPr>
              <w:t>病死猪体</w:t>
            </w:r>
          </w:p>
        </w:tc>
        <w:tc>
          <w:tcPr>
            <w:tcW w:w="3067" w:type="pct"/>
            <w:noWrap w:val="0"/>
            <w:tcMar>
              <w:top w:w="28" w:type="dxa"/>
              <w:left w:w="57" w:type="dxa"/>
              <w:bottom w:w="28" w:type="dxa"/>
              <w:right w:w="57" w:type="dxa"/>
            </w:tcMar>
            <w:vAlign w:val="center"/>
          </w:tcPr>
          <w:p w14:paraId="3EEBACA5">
            <w:pPr>
              <w:pStyle w:val="19"/>
              <w:bidi w:val="0"/>
              <w:rPr>
                <w:rFonts w:hint="eastAsia" w:eastAsia="宋体"/>
                <w:lang w:eastAsia="zh-CN"/>
              </w:rPr>
            </w:pPr>
            <w:r>
              <w:rPr>
                <w:highlight w:val="none"/>
              </w:rPr>
              <w:t>设置1间</w:t>
            </w:r>
            <w:r>
              <w:rPr>
                <w:rFonts w:hint="eastAsia"/>
                <w:highlight w:val="none"/>
                <w:lang w:val="en-US" w:eastAsia="zh-CN"/>
              </w:rPr>
              <w:t>144</w:t>
            </w:r>
            <w:r>
              <w:rPr>
                <w:highlight w:val="none"/>
              </w:rPr>
              <w:t>m</w:t>
            </w:r>
            <w:r>
              <w:rPr>
                <w:highlight w:val="none"/>
                <w:vertAlign w:val="superscript"/>
              </w:rPr>
              <w:t>2</w:t>
            </w:r>
            <w:r>
              <w:rPr>
                <w:highlight w:val="none"/>
              </w:rPr>
              <w:t>无害化暂存间（内设冰柜）暂存病死猪，委托</w:t>
            </w:r>
            <w:r>
              <w:rPr>
                <w:rFonts w:hint="eastAsia"/>
                <w:highlight w:val="none"/>
                <w:lang w:val="en-US" w:eastAsia="zh-CN"/>
              </w:rPr>
              <w:t>有资质单位</w:t>
            </w:r>
            <w:r>
              <w:rPr>
                <w:highlight w:val="none"/>
              </w:rPr>
              <w:t>进行无害化处理</w:t>
            </w:r>
            <w:r>
              <w:rPr>
                <w:rFonts w:hint="eastAsia"/>
                <w:highlight w:val="none"/>
                <w:lang w:eastAsia="zh-CN"/>
              </w:rPr>
              <w:t>，</w:t>
            </w:r>
            <w:r>
              <w:rPr>
                <w:rFonts w:hint="eastAsia"/>
                <w:highlight w:val="none"/>
                <w:lang w:val="en-US" w:eastAsia="zh-CN"/>
              </w:rPr>
              <w:t>暂定</w:t>
            </w:r>
            <w:r>
              <w:rPr>
                <w:rFonts w:hint="eastAsia"/>
                <w:lang w:val="en-US" w:eastAsia="zh-CN"/>
              </w:rPr>
              <w:t>第七师123</w:t>
            </w:r>
            <w:r>
              <w:rPr>
                <w:rFonts w:hint="eastAsia"/>
              </w:rPr>
              <w:t>团病死畜禽无害化处理</w:t>
            </w:r>
            <w:r>
              <w:rPr>
                <w:rFonts w:hint="eastAsia"/>
                <w:lang w:val="en-US" w:eastAsia="zh-CN"/>
              </w:rPr>
              <w:t>中心</w:t>
            </w:r>
            <w:r>
              <w:rPr>
                <w:rFonts w:hint="eastAsia"/>
                <w:highlight w:val="none"/>
                <w:lang w:eastAsia="zh-CN"/>
              </w:rPr>
              <w:t>。</w:t>
            </w:r>
          </w:p>
        </w:tc>
        <w:tc>
          <w:tcPr>
            <w:tcW w:w="368" w:type="pct"/>
            <w:noWrap w:val="0"/>
            <w:tcMar>
              <w:top w:w="28" w:type="dxa"/>
              <w:left w:w="57" w:type="dxa"/>
              <w:bottom w:w="28" w:type="dxa"/>
              <w:right w:w="57" w:type="dxa"/>
            </w:tcMar>
            <w:vAlign w:val="center"/>
          </w:tcPr>
          <w:p w14:paraId="54CBB476">
            <w:pPr>
              <w:pStyle w:val="19"/>
              <w:bidi w:val="0"/>
            </w:pPr>
          </w:p>
        </w:tc>
      </w:tr>
      <w:tr w14:paraId="3936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430545BE">
            <w:pPr>
              <w:pStyle w:val="19"/>
              <w:bidi w:val="0"/>
            </w:pPr>
          </w:p>
        </w:tc>
        <w:tc>
          <w:tcPr>
            <w:tcW w:w="212" w:type="pct"/>
            <w:vMerge w:val="continue"/>
            <w:noWrap w:val="0"/>
            <w:tcMar>
              <w:top w:w="28" w:type="dxa"/>
              <w:left w:w="57" w:type="dxa"/>
              <w:bottom w:w="28" w:type="dxa"/>
              <w:right w:w="57" w:type="dxa"/>
            </w:tcMar>
            <w:vAlign w:val="center"/>
          </w:tcPr>
          <w:p w14:paraId="0B917589">
            <w:pPr>
              <w:pStyle w:val="19"/>
              <w:bidi w:val="0"/>
            </w:pPr>
          </w:p>
        </w:tc>
        <w:tc>
          <w:tcPr>
            <w:tcW w:w="250" w:type="pct"/>
            <w:vMerge w:val="restart"/>
            <w:noWrap w:val="0"/>
            <w:tcMar>
              <w:top w:w="28" w:type="dxa"/>
              <w:left w:w="57" w:type="dxa"/>
              <w:bottom w:w="28" w:type="dxa"/>
              <w:right w:w="57" w:type="dxa"/>
            </w:tcMar>
            <w:vAlign w:val="center"/>
          </w:tcPr>
          <w:p w14:paraId="5570EAB0">
            <w:pPr>
              <w:pStyle w:val="19"/>
              <w:bidi w:val="0"/>
              <w:rPr>
                <w:rFonts w:hint="default"/>
                <w:lang w:val="en-US" w:eastAsia="zh-CN"/>
              </w:rPr>
            </w:pPr>
            <w:r>
              <w:rPr>
                <w:rFonts w:hint="eastAsia"/>
                <w:lang w:val="en-US" w:eastAsia="zh-CN"/>
              </w:rPr>
              <w:t>生物质锅炉</w:t>
            </w:r>
          </w:p>
        </w:tc>
        <w:tc>
          <w:tcPr>
            <w:tcW w:w="700" w:type="pct"/>
            <w:noWrap w:val="0"/>
            <w:tcMar>
              <w:top w:w="28" w:type="dxa"/>
              <w:left w:w="57" w:type="dxa"/>
              <w:bottom w:w="28" w:type="dxa"/>
              <w:right w:w="57" w:type="dxa"/>
            </w:tcMar>
            <w:vAlign w:val="center"/>
          </w:tcPr>
          <w:p w14:paraId="1328CA80">
            <w:pPr>
              <w:pStyle w:val="19"/>
              <w:bidi w:val="0"/>
              <w:rPr>
                <w:rFonts w:hint="eastAsia"/>
                <w:highlight w:val="none"/>
                <w:lang w:val="en-US" w:eastAsia="zh-CN"/>
              </w:rPr>
            </w:pPr>
            <w:r>
              <w:rPr>
                <w:rFonts w:hint="eastAsia"/>
                <w:highlight w:val="none"/>
                <w:lang w:val="en-US" w:eastAsia="zh-CN"/>
              </w:rPr>
              <w:t>废离子交换树脂</w:t>
            </w:r>
          </w:p>
        </w:tc>
        <w:tc>
          <w:tcPr>
            <w:tcW w:w="3067" w:type="pct"/>
            <w:noWrap w:val="0"/>
            <w:tcMar>
              <w:top w:w="28" w:type="dxa"/>
              <w:left w:w="57" w:type="dxa"/>
              <w:bottom w:w="28" w:type="dxa"/>
              <w:right w:w="57" w:type="dxa"/>
            </w:tcMar>
            <w:vAlign w:val="center"/>
          </w:tcPr>
          <w:p w14:paraId="64128B40">
            <w:pPr>
              <w:pStyle w:val="19"/>
              <w:bidi w:val="0"/>
              <w:rPr>
                <w:highlight w:val="none"/>
              </w:rPr>
            </w:pPr>
            <w:r>
              <w:rPr>
                <w:highlight w:val="none"/>
              </w:rPr>
              <w:t>厂家回收再生利用</w:t>
            </w:r>
          </w:p>
        </w:tc>
        <w:tc>
          <w:tcPr>
            <w:tcW w:w="368" w:type="pct"/>
            <w:noWrap w:val="0"/>
            <w:tcMar>
              <w:top w:w="28" w:type="dxa"/>
              <w:left w:w="57" w:type="dxa"/>
              <w:bottom w:w="28" w:type="dxa"/>
              <w:right w:w="57" w:type="dxa"/>
            </w:tcMar>
            <w:vAlign w:val="center"/>
          </w:tcPr>
          <w:p w14:paraId="3BA6FA88">
            <w:pPr>
              <w:pStyle w:val="19"/>
              <w:bidi w:val="0"/>
            </w:pPr>
          </w:p>
        </w:tc>
      </w:tr>
      <w:tr w14:paraId="1AC6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233E7E86">
            <w:pPr>
              <w:pStyle w:val="19"/>
              <w:bidi w:val="0"/>
            </w:pPr>
          </w:p>
        </w:tc>
        <w:tc>
          <w:tcPr>
            <w:tcW w:w="212" w:type="pct"/>
            <w:vMerge w:val="continue"/>
            <w:noWrap w:val="0"/>
            <w:tcMar>
              <w:top w:w="28" w:type="dxa"/>
              <w:left w:w="57" w:type="dxa"/>
              <w:bottom w:w="28" w:type="dxa"/>
              <w:right w:w="57" w:type="dxa"/>
            </w:tcMar>
            <w:vAlign w:val="center"/>
          </w:tcPr>
          <w:p w14:paraId="1CC7CBE3">
            <w:pPr>
              <w:pStyle w:val="19"/>
              <w:bidi w:val="0"/>
            </w:pPr>
          </w:p>
        </w:tc>
        <w:tc>
          <w:tcPr>
            <w:tcW w:w="250" w:type="pct"/>
            <w:vMerge w:val="continue"/>
            <w:noWrap w:val="0"/>
            <w:tcMar>
              <w:top w:w="28" w:type="dxa"/>
              <w:left w:w="57" w:type="dxa"/>
              <w:bottom w:w="28" w:type="dxa"/>
              <w:right w:w="57" w:type="dxa"/>
            </w:tcMar>
            <w:vAlign w:val="center"/>
          </w:tcPr>
          <w:p w14:paraId="53113001">
            <w:pPr>
              <w:pStyle w:val="19"/>
              <w:bidi w:val="0"/>
              <w:rPr>
                <w:rFonts w:hint="eastAsia"/>
                <w:lang w:val="en-US" w:eastAsia="zh-CN"/>
              </w:rPr>
            </w:pPr>
          </w:p>
        </w:tc>
        <w:tc>
          <w:tcPr>
            <w:tcW w:w="700" w:type="pct"/>
            <w:noWrap w:val="0"/>
            <w:tcMar>
              <w:top w:w="28" w:type="dxa"/>
              <w:left w:w="57" w:type="dxa"/>
              <w:bottom w:w="28" w:type="dxa"/>
              <w:right w:w="57" w:type="dxa"/>
            </w:tcMar>
            <w:vAlign w:val="center"/>
          </w:tcPr>
          <w:p w14:paraId="3E9ADB56">
            <w:pPr>
              <w:pStyle w:val="19"/>
              <w:bidi w:val="0"/>
              <w:rPr>
                <w:rFonts w:hint="eastAsia"/>
                <w:highlight w:val="none"/>
                <w:lang w:val="en-US" w:eastAsia="zh-CN"/>
              </w:rPr>
            </w:pPr>
            <w:r>
              <w:rPr>
                <w:rFonts w:hint="eastAsia"/>
                <w:highlight w:val="none"/>
                <w:lang w:val="en-US" w:eastAsia="zh-CN"/>
              </w:rPr>
              <w:t>锅炉灰渣</w:t>
            </w:r>
          </w:p>
        </w:tc>
        <w:tc>
          <w:tcPr>
            <w:tcW w:w="3067" w:type="pct"/>
            <w:noWrap w:val="0"/>
            <w:tcMar>
              <w:top w:w="28" w:type="dxa"/>
              <w:left w:w="57" w:type="dxa"/>
              <w:bottom w:w="28" w:type="dxa"/>
              <w:right w:w="57" w:type="dxa"/>
            </w:tcMar>
            <w:vAlign w:val="center"/>
          </w:tcPr>
          <w:p w14:paraId="5DA29690">
            <w:pPr>
              <w:pStyle w:val="19"/>
              <w:bidi w:val="0"/>
              <w:rPr>
                <w:rFonts w:hint="eastAsia" w:eastAsia="宋体"/>
                <w:highlight w:val="none"/>
                <w:lang w:eastAsia="zh-CN"/>
              </w:rPr>
            </w:pPr>
            <w:r>
              <w:rPr>
                <w:rFonts w:hint="eastAsia"/>
                <w:highlight w:val="none"/>
                <w:lang w:val="en-US" w:eastAsia="zh-CN"/>
              </w:rPr>
              <w:t>各锅炉房</w:t>
            </w:r>
            <w:r>
              <w:rPr>
                <w:highlight w:val="none"/>
              </w:rPr>
              <w:t>设5m</w:t>
            </w:r>
            <w:r>
              <w:rPr>
                <w:highlight w:val="none"/>
                <w:vertAlign w:val="superscript"/>
              </w:rPr>
              <w:t>3</w:t>
            </w:r>
            <w:r>
              <w:rPr>
                <w:rFonts w:hint="eastAsia"/>
                <w:highlight w:val="none"/>
                <w:vertAlign w:val="baseline"/>
                <w:lang w:val="en-US" w:eastAsia="zh-CN"/>
              </w:rPr>
              <w:t>容量的</w:t>
            </w:r>
            <w:r>
              <w:rPr>
                <w:rFonts w:hint="eastAsia"/>
                <w:highlight w:val="none"/>
                <w:lang w:val="en-US" w:eastAsia="zh-CN"/>
              </w:rPr>
              <w:t>收集箱</w:t>
            </w:r>
            <w:r>
              <w:rPr>
                <w:highlight w:val="none"/>
              </w:rPr>
              <w:t>，集中收集，</w:t>
            </w:r>
            <w:r>
              <w:rPr>
                <w:rFonts w:hint="eastAsia"/>
                <w:highlight w:val="none"/>
                <w:lang w:val="en-US" w:eastAsia="zh-CN"/>
              </w:rPr>
              <w:t>委托处理</w:t>
            </w:r>
            <w:r>
              <w:rPr>
                <w:rFonts w:hint="eastAsia"/>
                <w:highlight w:val="none"/>
                <w:lang w:eastAsia="zh-CN"/>
              </w:rPr>
              <w:t>。</w:t>
            </w:r>
          </w:p>
        </w:tc>
        <w:tc>
          <w:tcPr>
            <w:tcW w:w="368" w:type="pct"/>
            <w:noWrap w:val="0"/>
            <w:tcMar>
              <w:top w:w="28" w:type="dxa"/>
              <w:left w:w="57" w:type="dxa"/>
              <w:bottom w:w="28" w:type="dxa"/>
              <w:right w:w="57" w:type="dxa"/>
            </w:tcMar>
            <w:vAlign w:val="center"/>
          </w:tcPr>
          <w:p w14:paraId="4D8B4260">
            <w:pPr>
              <w:pStyle w:val="19"/>
              <w:bidi w:val="0"/>
            </w:pPr>
          </w:p>
        </w:tc>
      </w:tr>
      <w:tr w14:paraId="04DA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6A437FE1">
            <w:pPr>
              <w:pStyle w:val="19"/>
              <w:bidi w:val="0"/>
            </w:pPr>
          </w:p>
        </w:tc>
        <w:tc>
          <w:tcPr>
            <w:tcW w:w="212" w:type="pct"/>
            <w:vMerge w:val="continue"/>
            <w:noWrap w:val="0"/>
            <w:tcMar>
              <w:top w:w="28" w:type="dxa"/>
              <w:left w:w="57" w:type="dxa"/>
              <w:bottom w:w="28" w:type="dxa"/>
              <w:right w:w="57" w:type="dxa"/>
            </w:tcMar>
            <w:vAlign w:val="center"/>
          </w:tcPr>
          <w:p w14:paraId="43A70960">
            <w:pPr>
              <w:pStyle w:val="19"/>
              <w:bidi w:val="0"/>
            </w:pPr>
          </w:p>
        </w:tc>
        <w:tc>
          <w:tcPr>
            <w:tcW w:w="250" w:type="pct"/>
            <w:vMerge w:val="continue"/>
            <w:noWrap w:val="0"/>
            <w:tcMar>
              <w:top w:w="28" w:type="dxa"/>
              <w:left w:w="57" w:type="dxa"/>
              <w:bottom w:w="28" w:type="dxa"/>
              <w:right w:w="57" w:type="dxa"/>
            </w:tcMar>
            <w:vAlign w:val="center"/>
          </w:tcPr>
          <w:p w14:paraId="3660827F">
            <w:pPr>
              <w:pStyle w:val="19"/>
              <w:bidi w:val="0"/>
              <w:rPr>
                <w:rFonts w:hint="eastAsia"/>
                <w:lang w:val="en-US" w:eastAsia="zh-CN"/>
              </w:rPr>
            </w:pPr>
          </w:p>
        </w:tc>
        <w:tc>
          <w:tcPr>
            <w:tcW w:w="700" w:type="pct"/>
            <w:noWrap w:val="0"/>
            <w:tcMar>
              <w:top w:w="28" w:type="dxa"/>
              <w:left w:w="57" w:type="dxa"/>
              <w:bottom w:w="28" w:type="dxa"/>
              <w:right w:w="57" w:type="dxa"/>
            </w:tcMar>
            <w:vAlign w:val="center"/>
          </w:tcPr>
          <w:p w14:paraId="5F17E8F2">
            <w:pPr>
              <w:pStyle w:val="19"/>
              <w:bidi w:val="0"/>
              <w:rPr>
                <w:rFonts w:hint="default"/>
                <w:highlight w:val="none"/>
                <w:lang w:val="en-US" w:eastAsia="zh-CN"/>
              </w:rPr>
            </w:pPr>
            <w:r>
              <w:rPr>
                <w:rFonts w:hint="eastAsia"/>
                <w:highlight w:val="none"/>
                <w:lang w:val="en-US" w:eastAsia="zh-CN"/>
              </w:rPr>
              <w:t>布袋除尘器收集粉尘</w:t>
            </w:r>
          </w:p>
        </w:tc>
        <w:tc>
          <w:tcPr>
            <w:tcW w:w="3067" w:type="pct"/>
            <w:noWrap w:val="0"/>
            <w:tcMar>
              <w:top w:w="28" w:type="dxa"/>
              <w:left w:w="57" w:type="dxa"/>
              <w:bottom w:w="28" w:type="dxa"/>
              <w:right w:w="57" w:type="dxa"/>
            </w:tcMar>
            <w:vAlign w:val="center"/>
          </w:tcPr>
          <w:p w14:paraId="62F3082F">
            <w:pPr>
              <w:pStyle w:val="19"/>
              <w:bidi w:val="0"/>
              <w:rPr>
                <w:rFonts w:hint="eastAsia" w:eastAsia="宋体"/>
                <w:highlight w:val="none"/>
                <w:lang w:eastAsia="zh-CN"/>
              </w:rPr>
            </w:pPr>
            <w:r>
              <w:rPr>
                <w:highlight w:val="none"/>
              </w:rPr>
              <w:t>集中收集，</w:t>
            </w:r>
            <w:r>
              <w:rPr>
                <w:rFonts w:hint="eastAsia"/>
                <w:highlight w:val="none"/>
                <w:lang w:val="en-US" w:eastAsia="zh-CN"/>
              </w:rPr>
              <w:t>与锅炉灰渣一并委托处理</w:t>
            </w:r>
            <w:r>
              <w:rPr>
                <w:rFonts w:hint="eastAsia"/>
                <w:highlight w:val="none"/>
                <w:lang w:eastAsia="zh-CN"/>
              </w:rPr>
              <w:t>。</w:t>
            </w:r>
          </w:p>
        </w:tc>
        <w:tc>
          <w:tcPr>
            <w:tcW w:w="368" w:type="pct"/>
            <w:noWrap w:val="0"/>
            <w:tcMar>
              <w:top w:w="28" w:type="dxa"/>
              <w:left w:w="57" w:type="dxa"/>
              <w:bottom w:w="28" w:type="dxa"/>
              <w:right w:w="57" w:type="dxa"/>
            </w:tcMar>
            <w:vAlign w:val="center"/>
          </w:tcPr>
          <w:p w14:paraId="3B5FF665">
            <w:pPr>
              <w:pStyle w:val="19"/>
              <w:bidi w:val="0"/>
            </w:pPr>
          </w:p>
        </w:tc>
      </w:tr>
      <w:tr w14:paraId="68E3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0F38435E">
            <w:pPr>
              <w:pStyle w:val="19"/>
              <w:bidi w:val="0"/>
            </w:pPr>
          </w:p>
        </w:tc>
        <w:tc>
          <w:tcPr>
            <w:tcW w:w="212" w:type="pct"/>
            <w:vMerge w:val="continue"/>
            <w:noWrap w:val="0"/>
            <w:tcMar>
              <w:top w:w="28" w:type="dxa"/>
              <w:left w:w="57" w:type="dxa"/>
              <w:bottom w:w="28" w:type="dxa"/>
              <w:right w:w="57" w:type="dxa"/>
            </w:tcMar>
            <w:vAlign w:val="center"/>
          </w:tcPr>
          <w:p w14:paraId="24525A28">
            <w:pPr>
              <w:pStyle w:val="19"/>
              <w:bidi w:val="0"/>
            </w:pPr>
          </w:p>
        </w:tc>
        <w:tc>
          <w:tcPr>
            <w:tcW w:w="950" w:type="pct"/>
            <w:gridSpan w:val="2"/>
            <w:noWrap w:val="0"/>
            <w:tcMar>
              <w:top w:w="28" w:type="dxa"/>
              <w:left w:w="57" w:type="dxa"/>
              <w:bottom w:w="28" w:type="dxa"/>
              <w:right w:w="57" w:type="dxa"/>
            </w:tcMar>
            <w:vAlign w:val="center"/>
          </w:tcPr>
          <w:p w14:paraId="5343AA61">
            <w:pPr>
              <w:pStyle w:val="19"/>
              <w:bidi w:val="0"/>
              <w:rPr>
                <w:rFonts w:hint="eastAsia" w:eastAsia="宋体"/>
                <w:lang w:val="en-US" w:eastAsia="zh-CN"/>
              </w:rPr>
            </w:pPr>
            <w:r>
              <w:rPr>
                <w:rFonts w:hint="eastAsia"/>
                <w:lang w:val="en-US" w:eastAsia="zh-CN"/>
              </w:rPr>
              <w:t>生活垃圾</w:t>
            </w:r>
          </w:p>
        </w:tc>
        <w:tc>
          <w:tcPr>
            <w:tcW w:w="3067" w:type="pct"/>
            <w:noWrap w:val="0"/>
            <w:tcMar>
              <w:top w:w="28" w:type="dxa"/>
              <w:left w:w="57" w:type="dxa"/>
              <w:bottom w:w="28" w:type="dxa"/>
              <w:right w:w="57" w:type="dxa"/>
            </w:tcMar>
            <w:vAlign w:val="center"/>
          </w:tcPr>
          <w:p w14:paraId="29C912F5">
            <w:pPr>
              <w:pStyle w:val="19"/>
              <w:bidi w:val="0"/>
              <w:rPr>
                <w:rFonts w:hint="eastAsia" w:eastAsia="宋体"/>
                <w:lang w:val="en-US" w:eastAsia="zh-CN"/>
              </w:rPr>
            </w:pPr>
            <w:r>
              <w:t>生活垃圾委托当地环卫部门清运</w:t>
            </w:r>
            <w:r>
              <w:rPr>
                <w:rFonts w:hint="eastAsia"/>
                <w:lang w:val="en-US" w:eastAsia="zh-CN"/>
              </w:rPr>
              <w:t>处理</w:t>
            </w:r>
          </w:p>
        </w:tc>
        <w:tc>
          <w:tcPr>
            <w:tcW w:w="368" w:type="pct"/>
            <w:noWrap w:val="0"/>
            <w:tcMar>
              <w:top w:w="28" w:type="dxa"/>
              <w:left w:w="57" w:type="dxa"/>
              <w:bottom w:w="28" w:type="dxa"/>
              <w:right w:w="57" w:type="dxa"/>
            </w:tcMar>
            <w:vAlign w:val="center"/>
          </w:tcPr>
          <w:p w14:paraId="6CF1033E">
            <w:pPr>
              <w:pStyle w:val="19"/>
              <w:bidi w:val="0"/>
            </w:pPr>
          </w:p>
        </w:tc>
      </w:tr>
      <w:tr w14:paraId="1B52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tcMar>
              <w:top w:w="28" w:type="dxa"/>
              <w:left w:w="57" w:type="dxa"/>
              <w:bottom w:w="28" w:type="dxa"/>
              <w:right w:w="57" w:type="dxa"/>
            </w:tcMar>
            <w:vAlign w:val="center"/>
          </w:tcPr>
          <w:p w14:paraId="215F15E9">
            <w:pPr>
              <w:pStyle w:val="19"/>
              <w:bidi w:val="0"/>
            </w:pPr>
          </w:p>
        </w:tc>
        <w:tc>
          <w:tcPr>
            <w:tcW w:w="1163" w:type="pct"/>
            <w:gridSpan w:val="3"/>
            <w:noWrap w:val="0"/>
            <w:tcMar>
              <w:top w:w="28" w:type="dxa"/>
              <w:left w:w="57" w:type="dxa"/>
              <w:bottom w:w="28" w:type="dxa"/>
              <w:right w:w="57" w:type="dxa"/>
            </w:tcMar>
            <w:vAlign w:val="center"/>
          </w:tcPr>
          <w:p w14:paraId="19306FEC">
            <w:pPr>
              <w:pStyle w:val="19"/>
              <w:bidi w:val="0"/>
            </w:pPr>
            <w:r>
              <w:t>环境风险</w:t>
            </w:r>
          </w:p>
        </w:tc>
        <w:tc>
          <w:tcPr>
            <w:tcW w:w="3067" w:type="pct"/>
            <w:noWrap w:val="0"/>
            <w:tcMar>
              <w:top w:w="28" w:type="dxa"/>
              <w:left w:w="57" w:type="dxa"/>
              <w:bottom w:w="28" w:type="dxa"/>
              <w:right w:w="57" w:type="dxa"/>
            </w:tcMar>
            <w:vAlign w:val="center"/>
          </w:tcPr>
          <w:p w14:paraId="3D83CA5E">
            <w:pPr>
              <w:pStyle w:val="19"/>
              <w:keepNext w:val="0"/>
              <w:keepLines w:val="0"/>
              <w:pageBreakBefore w:val="0"/>
              <w:widowControl w:val="0"/>
              <w:kinsoku/>
              <w:wordWrap/>
              <w:overflowPunct/>
              <w:topLinePunct w:val="0"/>
              <w:autoSpaceDE/>
              <w:autoSpaceDN/>
              <w:bidi w:val="0"/>
              <w:adjustRightInd/>
              <w:snapToGrid/>
              <w:spacing w:line="288" w:lineRule="auto"/>
              <w:ind w:firstLine="315" w:firstLineChars="150"/>
              <w:jc w:val="both"/>
              <w:textAlignment w:val="auto"/>
              <w:rPr>
                <w:rFonts w:hint="eastAsia"/>
                <w:lang w:val="en-US" w:eastAsia="zh-CN"/>
              </w:rPr>
            </w:pPr>
            <w:r>
              <w:rPr>
                <w:rFonts w:hint="eastAsia"/>
                <w:lang w:val="en-US" w:eastAsia="zh-CN"/>
              </w:rPr>
              <w:t>（</w:t>
            </w:r>
            <w:r>
              <w:rPr>
                <w:rFonts w:hint="default"/>
                <w:lang w:val="en-US" w:eastAsia="zh-CN"/>
              </w:rPr>
              <w:t>1</w:t>
            </w:r>
            <w:r>
              <w:rPr>
                <w:rFonts w:hint="eastAsia"/>
                <w:lang w:val="en-US" w:eastAsia="zh-CN"/>
              </w:rPr>
              <w:t>）对粪污处理池、氧化塘、堆肥场、干湿分离房、危险废物暂存间、无害化暂存间按照重点防渗区采取措施：等效黏土防渗层Mb≥6.0m，K≤1.0×10</w:t>
            </w:r>
            <w:r>
              <w:rPr>
                <w:rFonts w:hint="default"/>
                <w:vertAlign w:val="superscript"/>
                <w:lang w:val="en-US" w:eastAsia="zh-CN"/>
              </w:rPr>
              <w:t>-</w:t>
            </w:r>
            <w:r>
              <w:rPr>
                <w:rFonts w:hint="eastAsia"/>
                <w:vertAlign w:val="superscript"/>
                <w:lang w:val="en-US" w:eastAsia="zh-CN"/>
              </w:rPr>
              <w:t>7</w:t>
            </w:r>
            <w:r>
              <w:rPr>
                <w:rFonts w:hint="default"/>
                <w:lang w:val="en-US" w:eastAsia="zh-CN"/>
              </w:rPr>
              <w:t>cm/s</w:t>
            </w:r>
            <w:r>
              <w:rPr>
                <w:rFonts w:hint="eastAsia"/>
                <w:lang w:val="en-US" w:eastAsia="zh-CN"/>
              </w:rPr>
              <w:t>；或参照GB18598执行。</w:t>
            </w:r>
          </w:p>
          <w:p w14:paraId="40BDBC60">
            <w:pPr>
              <w:pStyle w:val="19"/>
              <w:keepNext w:val="0"/>
              <w:keepLines w:val="0"/>
              <w:pageBreakBefore w:val="0"/>
              <w:widowControl w:val="0"/>
              <w:kinsoku/>
              <w:wordWrap/>
              <w:overflowPunct/>
              <w:topLinePunct w:val="0"/>
              <w:autoSpaceDE/>
              <w:autoSpaceDN/>
              <w:bidi w:val="0"/>
              <w:adjustRightInd/>
              <w:snapToGrid/>
              <w:spacing w:line="288" w:lineRule="auto"/>
              <w:ind w:firstLine="315" w:firstLineChars="150"/>
              <w:jc w:val="both"/>
              <w:textAlignment w:val="auto"/>
            </w:pPr>
            <w:r>
              <w:rPr>
                <w:rFonts w:hint="eastAsia"/>
                <w:lang w:val="en-US" w:eastAsia="zh-CN"/>
              </w:rPr>
              <w:t>（</w:t>
            </w:r>
            <w:r>
              <w:rPr>
                <w:rFonts w:hint="default"/>
                <w:lang w:val="en-US" w:eastAsia="zh-CN"/>
              </w:rPr>
              <w:t>2</w:t>
            </w:r>
            <w:r>
              <w:rPr>
                <w:rFonts w:hint="eastAsia"/>
                <w:lang w:val="en-US" w:eastAsia="zh-CN"/>
              </w:rPr>
              <w:t>）对育肥舍、锅炉房周围地面按一般防渗区采取防渗措施等效黏土防渗层Mb≥1.5m，K≤1.0×</w:t>
            </w:r>
            <w:r>
              <w:rPr>
                <w:rFonts w:hint="default"/>
                <w:lang w:val="en-US" w:eastAsia="zh-CN"/>
              </w:rPr>
              <w:t>10</w:t>
            </w:r>
            <w:r>
              <w:rPr>
                <w:rFonts w:hint="default"/>
                <w:vertAlign w:val="superscript"/>
                <w:lang w:val="en-US" w:eastAsia="zh-CN"/>
              </w:rPr>
              <w:t>-7</w:t>
            </w:r>
            <w:r>
              <w:rPr>
                <w:rFonts w:hint="default"/>
                <w:lang w:val="en-US" w:eastAsia="zh-CN"/>
              </w:rPr>
              <w:t>cm/s</w:t>
            </w:r>
            <w:r>
              <w:rPr>
                <w:rFonts w:hint="eastAsia"/>
                <w:lang w:val="en-US" w:eastAsia="zh-CN"/>
              </w:rPr>
              <w:t>；在做好基层防渗的基础上进行水泥硬化。</w:t>
            </w:r>
          </w:p>
          <w:p w14:paraId="67080FFA">
            <w:pPr>
              <w:pStyle w:val="19"/>
              <w:keepNext w:val="0"/>
              <w:keepLines w:val="0"/>
              <w:pageBreakBefore w:val="0"/>
              <w:widowControl w:val="0"/>
              <w:kinsoku/>
              <w:wordWrap/>
              <w:overflowPunct/>
              <w:topLinePunct w:val="0"/>
              <w:autoSpaceDE/>
              <w:autoSpaceDN/>
              <w:bidi w:val="0"/>
              <w:adjustRightInd/>
              <w:snapToGrid/>
              <w:spacing w:line="288" w:lineRule="auto"/>
              <w:ind w:firstLine="315" w:firstLineChars="150"/>
              <w:jc w:val="both"/>
              <w:textAlignment w:val="auto"/>
            </w:pPr>
            <w:r>
              <w:rPr>
                <w:rFonts w:hint="eastAsia"/>
              </w:rPr>
              <w:t>（</w:t>
            </w:r>
            <w:r>
              <w:t>3</w:t>
            </w:r>
            <w:r>
              <w:rPr>
                <w:rFonts w:hint="eastAsia"/>
              </w:rPr>
              <w:t>）厂区其他建筑物及道路采取简单防渗，对其地面采用混凝土进行一般地面硬化。</w:t>
            </w:r>
          </w:p>
          <w:p w14:paraId="5FEA9EAC">
            <w:pPr>
              <w:pStyle w:val="19"/>
              <w:keepNext w:val="0"/>
              <w:keepLines w:val="0"/>
              <w:pageBreakBefore w:val="0"/>
              <w:widowControl w:val="0"/>
              <w:kinsoku/>
              <w:wordWrap/>
              <w:overflowPunct/>
              <w:topLinePunct w:val="0"/>
              <w:autoSpaceDE/>
              <w:autoSpaceDN/>
              <w:bidi w:val="0"/>
              <w:adjustRightInd/>
              <w:snapToGrid/>
              <w:spacing w:line="288" w:lineRule="auto"/>
              <w:ind w:firstLine="315" w:firstLineChars="150"/>
              <w:jc w:val="both"/>
              <w:textAlignment w:val="auto"/>
              <w:rPr>
                <w:rFonts w:hint="eastAsia" w:eastAsia="宋体"/>
                <w:lang w:eastAsia="zh-CN"/>
              </w:rPr>
            </w:pPr>
            <w:r>
              <w:rPr>
                <w:rFonts w:hint="eastAsia"/>
              </w:rPr>
              <w:t>（4）应</w:t>
            </w:r>
            <w:r>
              <w:t>拟制定突发环境事件应急预案、应急演练、配备应急物资等；建设事故水收集系统</w:t>
            </w:r>
            <w:r>
              <w:rPr>
                <w:rFonts w:hint="eastAsia"/>
                <w:lang w:eastAsia="zh-CN"/>
              </w:rPr>
              <w:t>。</w:t>
            </w:r>
          </w:p>
        </w:tc>
        <w:tc>
          <w:tcPr>
            <w:tcW w:w="368" w:type="pct"/>
            <w:noWrap w:val="0"/>
            <w:tcMar>
              <w:top w:w="28" w:type="dxa"/>
              <w:left w:w="57" w:type="dxa"/>
              <w:bottom w:w="28" w:type="dxa"/>
              <w:right w:w="57" w:type="dxa"/>
            </w:tcMar>
            <w:vAlign w:val="center"/>
          </w:tcPr>
          <w:p w14:paraId="0856CC39">
            <w:pPr>
              <w:pStyle w:val="19"/>
              <w:bidi w:val="0"/>
            </w:pPr>
            <w:r>
              <w:t>新建</w:t>
            </w:r>
          </w:p>
        </w:tc>
      </w:tr>
    </w:tbl>
    <w:p w14:paraId="7120E7AD">
      <w:pPr>
        <w:pStyle w:val="27"/>
        <w:bidi w:val="0"/>
        <w:rPr>
          <w:rFonts w:hint="default"/>
          <w:lang w:val="en-US" w:eastAsia="zh-CN"/>
        </w:rPr>
      </w:pPr>
      <w:r>
        <w:rPr>
          <w:rFonts w:hint="eastAsia"/>
          <w:lang w:val="en-US" w:eastAsia="zh-CN"/>
        </w:rPr>
        <w:t>主要原辅材料</w:t>
      </w:r>
    </w:p>
    <w:p w14:paraId="721B817F">
      <w:pPr>
        <w:bidi w:val="0"/>
        <w:rPr>
          <w:rFonts w:hint="default"/>
          <w:lang w:val="en-US" w:eastAsia="zh-CN"/>
        </w:rPr>
      </w:pPr>
      <w:r>
        <w:rPr>
          <w:rFonts w:hint="eastAsia"/>
          <w:lang w:val="en-US" w:eastAsia="zh-CN"/>
        </w:rPr>
        <w:t>（1）育肥饲料</w:t>
      </w:r>
    </w:p>
    <w:p w14:paraId="6D0F32C4">
      <w:pPr>
        <w:bidi w:val="0"/>
        <w:rPr>
          <w:rFonts w:hint="default"/>
          <w:lang w:val="en-US" w:eastAsia="zh-CN"/>
        </w:rPr>
      </w:pPr>
      <w:r>
        <w:rPr>
          <w:rFonts w:hint="default"/>
          <w:lang w:val="en-US" w:eastAsia="zh-CN"/>
        </w:rPr>
        <w:t>本项目建成后常年存栏育肥猪50000头，存栏保育猪7000头，每年可出栏100000头生猪。按保育猪日采食量0.5kg/头，育肥猪日采食量3kg/头计，本项目年需饲料为56027.5t。本项目养殖场猪饲料以采用成品料为主，该成品饲料由新疆天康畜牧科技有限公司提供</w:t>
      </w:r>
      <w:r>
        <w:rPr>
          <w:rFonts w:hint="eastAsia"/>
          <w:lang w:val="en-US" w:eastAsia="zh-CN"/>
        </w:rPr>
        <w:t>，</w:t>
      </w:r>
      <w:r>
        <w:rPr>
          <w:rFonts w:hint="default"/>
          <w:lang w:val="en-US" w:eastAsia="zh-CN"/>
        </w:rPr>
        <w:t>本项目不涉及饲料加工。</w:t>
      </w:r>
    </w:p>
    <w:p w14:paraId="0E538133">
      <w:pPr>
        <w:bidi w:val="0"/>
        <w:rPr>
          <w:rFonts w:hint="eastAsia"/>
          <w:lang w:val="en-US" w:eastAsia="zh-CN"/>
        </w:rPr>
      </w:pPr>
      <w:r>
        <w:rPr>
          <w:rFonts w:hint="eastAsia"/>
          <w:lang w:val="en-US" w:eastAsia="zh-CN"/>
        </w:rPr>
        <w:t>（2）辅助材料</w:t>
      </w:r>
    </w:p>
    <w:p w14:paraId="455EE1F0">
      <w:pPr>
        <w:bidi w:val="0"/>
        <w:rPr>
          <w:rFonts w:hint="eastAsia"/>
          <w:lang w:val="en-US" w:eastAsia="zh-CN"/>
        </w:rPr>
      </w:pPr>
      <w:r>
        <w:rPr>
          <w:rFonts w:hint="eastAsia"/>
          <w:lang w:val="en-US" w:eastAsia="zh-CN"/>
        </w:rPr>
        <w:t>本项目辅助材料主要包括除臭剂、消毒药品及防疫药品。其中除臭剂主要喷洒在育肥舍、干湿分离用房、堆肥场、</w:t>
      </w:r>
      <w:r>
        <w:rPr>
          <w:rFonts w:hint="eastAsia"/>
          <w:highlight w:val="none"/>
          <w:lang w:val="en-US" w:eastAsia="zh-CN"/>
        </w:rPr>
        <w:t>粪污处理</w:t>
      </w:r>
      <w:r>
        <w:rPr>
          <w:rFonts w:hint="eastAsia"/>
          <w:highlight w:val="none"/>
        </w:rPr>
        <w:t>池</w:t>
      </w:r>
      <w:r>
        <w:rPr>
          <w:rFonts w:hint="eastAsia"/>
          <w:lang w:val="en-US" w:eastAsia="zh-CN"/>
        </w:rPr>
        <w:t>等区域，用来抑制恶臭的产生，项目植物除臭剂总用量约为0.5t/a；消毒剂主要用于公司日常对人员、猪舍及进出场区的车辆消毒；项目的防疫药品的种类为狂犬疫苗、猪瘟疫苗、口蹄疫疫苗、蓝耳病疫苗等，其用量根据生产需要定。</w:t>
      </w:r>
    </w:p>
    <w:p w14:paraId="3B0931EF">
      <w:pPr>
        <w:bidi w:val="0"/>
        <w:rPr>
          <w:rFonts w:hint="default"/>
          <w:lang w:val="en-US" w:eastAsia="zh-CN"/>
        </w:rPr>
      </w:pPr>
      <w:r>
        <w:rPr>
          <w:rFonts w:hint="eastAsia"/>
          <w:lang w:val="en-US" w:eastAsia="zh-CN"/>
        </w:rPr>
        <w:t>本项目选择生物质锅炉为养殖场热源，厂区建设锅炉房3座，每座锅炉房中安装1台3t/h的蒸汽锅炉，采用生物质颗粒作为燃料，由当地市场购买。</w:t>
      </w:r>
    </w:p>
    <w:p w14:paraId="74F7713F">
      <w:pPr>
        <w:bidi w:val="0"/>
        <w:rPr>
          <w:rFonts w:hint="eastAsia"/>
          <w:lang w:val="en-US" w:eastAsia="zh-CN"/>
        </w:rPr>
      </w:pPr>
      <w:r>
        <w:rPr>
          <w:rFonts w:hint="eastAsia"/>
          <w:lang w:val="en-US" w:eastAsia="zh-CN"/>
        </w:rPr>
        <w:t>本项目原辅料消耗情况统计见表3.1-2。</w:t>
      </w:r>
    </w:p>
    <w:p w14:paraId="32E33767">
      <w:pPr>
        <w:pStyle w:val="30"/>
        <w:bidi w:val="0"/>
        <w:rPr>
          <w:rFonts w:hint="default"/>
          <w:lang w:val="en-US" w:eastAsia="zh-CN"/>
        </w:rPr>
      </w:pPr>
      <w:r>
        <w:rPr>
          <w:rFonts w:hint="eastAsia"/>
          <w:lang w:val="en-US" w:eastAsia="zh-CN"/>
        </w:rPr>
        <w:t>表3.1-2   本项目原辅料一览表</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1031"/>
        <w:gridCol w:w="1423"/>
        <w:gridCol w:w="1607"/>
        <w:gridCol w:w="3690"/>
      </w:tblGrid>
      <w:tr w14:paraId="5258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5580112D">
            <w:pPr>
              <w:pStyle w:val="19"/>
              <w:bidi w:val="0"/>
              <w:jc w:val="center"/>
            </w:pPr>
            <w:r>
              <w:t>序号</w:t>
            </w:r>
          </w:p>
        </w:tc>
        <w:tc>
          <w:tcPr>
            <w:tcW w:w="1031" w:type="dxa"/>
            <w:noWrap w:val="0"/>
            <w:tcMar>
              <w:top w:w="28" w:type="dxa"/>
              <w:left w:w="57" w:type="dxa"/>
              <w:bottom w:w="28" w:type="dxa"/>
              <w:right w:w="57" w:type="dxa"/>
            </w:tcMar>
            <w:vAlign w:val="center"/>
          </w:tcPr>
          <w:p w14:paraId="078BD2DA">
            <w:pPr>
              <w:pStyle w:val="19"/>
              <w:bidi w:val="0"/>
              <w:jc w:val="center"/>
            </w:pPr>
            <w:r>
              <w:t>材料名称</w:t>
            </w:r>
          </w:p>
        </w:tc>
        <w:tc>
          <w:tcPr>
            <w:tcW w:w="1423" w:type="dxa"/>
            <w:noWrap w:val="0"/>
            <w:tcMar>
              <w:top w:w="28" w:type="dxa"/>
              <w:left w:w="57" w:type="dxa"/>
              <w:bottom w:w="28" w:type="dxa"/>
              <w:right w:w="57" w:type="dxa"/>
            </w:tcMar>
            <w:vAlign w:val="center"/>
          </w:tcPr>
          <w:p w14:paraId="3507F97C">
            <w:pPr>
              <w:pStyle w:val="19"/>
              <w:bidi w:val="0"/>
              <w:jc w:val="center"/>
            </w:pPr>
            <w:r>
              <w:t>年消耗量</w:t>
            </w:r>
          </w:p>
        </w:tc>
        <w:tc>
          <w:tcPr>
            <w:tcW w:w="1607" w:type="dxa"/>
            <w:noWrap w:val="0"/>
            <w:tcMar>
              <w:top w:w="28" w:type="dxa"/>
              <w:left w:w="57" w:type="dxa"/>
              <w:bottom w:w="28" w:type="dxa"/>
              <w:right w:w="57" w:type="dxa"/>
            </w:tcMar>
            <w:vAlign w:val="center"/>
          </w:tcPr>
          <w:p w14:paraId="5972EEE2">
            <w:pPr>
              <w:pStyle w:val="19"/>
              <w:bidi w:val="0"/>
              <w:jc w:val="center"/>
            </w:pPr>
            <w:r>
              <w:t>来源</w:t>
            </w:r>
          </w:p>
        </w:tc>
        <w:tc>
          <w:tcPr>
            <w:tcW w:w="3690" w:type="dxa"/>
            <w:noWrap w:val="0"/>
            <w:tcMar>
              <w:top w:w="28" w:type="dxa"/>
              <w:left w:w="57" w:type="dxa"/>
              <w:bottom w:w="28" w:type="dxa"/>
              <w:right w:w="57" w:type="dxa"/>
            </w:tcMar>
            <w:vAlign w:val="center"/>
          </w:tcPr>
          <w:p w14:paraId="6F84047C">
            <w:pPr>
              <w:pStyle w:val="19"/>
              <w:bidi w:val="0"/>
              <w:jc w:val="center"/>
            </w:pPr>
            <w:r>
              <w:t>备注</w:t>
            </w:r>
          </w:p>
        </w:tc>
      </w:tr>
      <w:tr w14:paraId="7CD7F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6CBE22AE">
            <w:pPr>
              <w:pStyle w:val="19"/>
              <w:bidi w:val="0"/>
              <w:jc w:val="center"/>
            </w:pPr>
            <w:r>
              <w:t>1</w:t>
            </w:r>
          </w:p>
        </w:tc>
        <w:tc>
          <w:tcPr>
            <w:tcW w:w="1031" w:type="dxa"/>
            <w:noWrap w:val="0"/>
            <w:tcMar>
              <w:top w:w="28" w:type="dxa"/>
              <w:left w:w="57" w:type="dxa"/>
              <w:bottom w:w="28" w:type="dxa"/>
              <w:right w:w="57" w:type="dxa"/>
            </w:tcMar>
            <w:vAlign w:val="center"/>
          </w:tcPr>
          <w:p w14:paraId="423A060C">
            <w:pPr>
              <w:pStyle w:val="19"/>
              <w:bidi w:val="0"/>
              <w:jc w:val="center"/>
            </w:pPr>
            <w:r>
              <w:t>饲料</w:t>
            </w:r>
          </w:p>
        </w:tc>
        <w:tc>
          <w:tcPr>
            <w:tcW w:w="1423" w:type="dxa"/>
            <w:noWrap w:val="0"/>
            <w:tcMar>
              <w:top w:w="28" w:type="dxa"/>
              <w:left w:w="57" w:type="dxa"/>
              <w:bottom w:w="28" w:type="dxa"/>
              <w:right w:w="57" w:type="dxa"/>
            </w:tcMar>
            <w:vAlign w:val="center"/>
          </w:tcPr>
          <w:p w14:paraId="0314499D">
            <w:pPr>
              <w:pStyle w:val="19"/>
              <w:bidi w:val="0"/>
              <w:jc w:val="center"/>
            </w:pPr>
            <w:r>
              <w:t>56027.5t/a</w:t>
            </w:r>
          </w:p>
        </w:tc>
        <w:tc>
          <w:tcPr>
            <w:tcW w:w="1607" w:type="dxa"/>
            <w:noWrap w:val="0"/>
            <w:tcMar>
              <w:top w:w="28" w:type="dxa"/>
              <w:left w:w="57" w:type="dxa"/>
              <w:bottom w:w="28" w:type="dxa"/>
              <w:right w:w="57" w:type="dxa"/>
            </w:tcMar>
            <w:vAlign w:val="center"/>
          </w:tcPr>
          <w:p w14:paraId="0C917742">
            <w:pPr>
              <w:pStyle w:val="19"/>
              <w:bidi w:val="0"/>
              <w:jc w:val="center"/>
            </w:pPr>
            <w:r>
              <w:t>新疆天康畜牧科技有限公司</w:t>
            </w:r>
          </w:p>
        </w:tc>
        <w:tc>
          <w:tcPr>
            <w:tcW w:w="3690" w:type="dxa"/>
            <w:noWrap w:val="0"/>
            <w:tcMar>
              <w:top w:w="28" w:type="dxa"/>
              <w:left w:w="57" w:type="dxa"/>
              <w:bottom w:w="28" w:type="dxa"/>
              <w:right w:w="57" w:type="dxa"/>
            </w:tcMar>
            <w:vAlign w:val="center"/>
          </w:tcPr>
          <w:p w14:paraId="738EE059">
            <w:pPr>
              <w:pStyle w:val="19"/>
              <w:bidi w:val="0"/>
              <w:jc w:val="center"/>
              <w:rPr>
                <w:rFonts w:hint="eastAsia" w:eastAsia="宋体"/>
                <w:lang w:eastAsia="zh-CN"/>
              </w:rPr>
            </w:pPr>
            <w:r>
              <w:t>颗粒，袋装，每袋100kg，常温储存于料塔中，厂内最大贮存量为1500t，日常用量为153.5t/d</w:t>
            </w:r>
            <w:r>
              <w:rPr>
                <w:rFonts w:hint="eastAsia"/>
                <w:lang w:eastAsia="zh-CN"/>
              </w:rPr>
              <w:t>。</w:t>
            </w:r>
          </w:p>
        </w:tc>
      </w:tr>
      <w:tr w14:paraId="567FE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6737228D">
            <w:pPr>
              <w:pStyle w:val="19"/>
              <w:bidi w:val="0"/>
              <w:jc w:val="center"/>
            </w:pPr>
            <w:r>
              <w:t>2</w:t>
            </w:r>
          </w:p>
        </w:tc>
        <w:tc>
          <w:tcPr>
            <w:tcW w:w="1031" w:type="dxa"/>
            <w:noWrap w:val="0"/>
            <w:tcMar>
              <w:top w:w="28" w:type="dxa"/>
              <w:left w:w="57" w:type="dxa"/>
              <w:bottom w:w="28" w:type="dxa"/>
              <w:right w:w="57" w:type="dxa"/>
            </w:tcMar>
            <w:vAlign w:val="center"/>
          </w:tcPr>
          <w:p w14:paraId="5145AABB">
            <w:pPr>
              <w:pStyle w:val="19"/>
              <w:bidi w:val="0"/>
              <w:jc w:val="center"/>
            </w:pPr>
            <w:r>
              <w:t>除臭剂</w:t>
            </w:r>
          </w:p>
        </w:tc>
        <w:tc>
          <w:tcPr>
            <w:tcW w:w="1423" w:type="dxa"/>
            <w:noWrap w:val="0"/>
            <w:tcMar>
              <w:top w:w="28" w:type="dxa"/>
              <w:left w:w="57" w:type="dxa"/>
              <w:bottom w:w="28" w:type="dxa"/>
              <w:right w:w="57" w:type="dxa"/>
            </w:tcMar>
            <w:vAlign w:val="center"/>
          </w:tcPr>
          <w:p w14:paraId="42283CBC">
            <w:pPr>
              <w:pStyle w:val="19"/>
              <w:bidi w:val="0"/>
              <w:jc w:val="center"/>
            </w:pPr>
            <w:r>
              <w:t>0.</w:t>
            </w:r>
            <w:r>
              <w:rPr>
                <w:rFonts w:hint="eastAsia"/>
                <w:lang w:val="en-US" w:eastAsia="zh-CN"/>
              </w:rPr>
              <w:t>5</w:t>
            </w:r>
            <w:r>
              <w:t>t/a</w:t>
            </w:r>
          </w:p>
        </w:tc>
        <w:tc>
          <w:tcPr>
            <w:tcW w:w="1607" w:type="dxa"/>
            <w:noWrap w:val="0"/>
            <w:tcMar>
              <w:top w:w="28" w:type="dxa"/>
              <w:left w:w="57" w:type="dxa"/>
              <w:bottom w:w="28" w:type="dxa"/>
              <w:right w:w="57" w:type="dxa"/>
            </w:tcMar>
            <w:vAlign w:val="center"/>
          </w:tcPr>
          <w:p w14:paraId="19D6CAAB">
            <w:pPr>
              <w:pStyle w:val="19"/>
              <w:bidi w:val="0"/>
              <w:jc w:val="center"/>
            </w:pPr>
            <w:r>
              <w:t>附近市场购进</w:t>
            </w:r>
          </w:p>
        </w:tc>
        <w:tc>
          <w:tcPr>
            <w:tcW w:w="3690" w:type="dxa"/>
            <w:noWrap w:val="0"/>
            <w:tcMar>
              <w:top w:w="28" w:type="dxa"/>
              <w:left w:w="57" w:type="dxa"/>
              <w:bottom w:w="28" w:type="dxa"/>
              <w:right w:w="57" w:type="dxa"/>
            </w:tcMar>
            <w:vAlign w:val="center"/>
          </w:tcPr>
          <w:p w14:paraId="2134A160">
            <w:pPr>
              <w:pStyle w:val="19"/>
              <w:bidi w:val="0"/>
              <w:jc w:val="center"/>
            </w:pPr>
            <w:r>
              <w:t>瓶装，从天然植物中分离提取的天然成 分，具有抑菌、杀菌和除臭功效。</w:t>
            </w:r>
          </w:p>
        </w:tc>
      </w:tr>
      <w:tr w14:paraId="3B74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50329534">
            <w:pPr>
              <w:pStyle w:val="19"/>
              <w:bidi w:val="0"/>
              <w:jc w:val="center"/>
            </w:pPr>
            <w:r>
              <w:t>3</w:t>
            </w:r>
          </w:p>
        </w:tc>
        <w:tc>
          <w:tcPr>
            <w:tcW w:w="1031" w:type="dxa"/>
            <w:noWrap w:val="0"/>
            <w:tcMar>
              <w:top w:w="28" w:type="dxa"/>
              <w:left w:w="57" w:type="dxa"/>
              <w:bottom w:w="28" w:type="dxa"/>
              <w:right w:w="57" w:type="dxa"/>
            </w:tcMar>
            <w:vAlign w:val="center"/>
          </w:tcPr>
          <w:p w14:paraId="7C5DA6F3">
            <w:pPr>
              <w:pStyle w:val="19"/>
              <w:bidi w:val="0"/>
              <w:jc w:val="center"/>
            </w:pPr>
            <w:r>
              <w:t>消毒液</w:t>
            </w:r>
          </w:p>
        </w:tc>
        <w:tc>
          <w:tcPr>
            <w:tcW w:w="1423" w:type="dxa"/>
            <w:vMerge w:val="restart"/>
            <w:tcBorders>
              <w:bottom w:val="nil"/>
            </w:tcBorders>
            <w:noWrap w:val="0"/>
            <w:tcMar>
              <w:top w:w="28" w:type="dxa"/>
              <w:left w:w="57" w:type="dxa"/>
              <w:bottom w:w="28" w:type="dxa"/>
              <w:right w:w="57" w:type="dxa"/>
            </w:tcMar>
            <w:vAlign w:val="center"/>
          </w:tcPr>
          <w:p w14:paraId="41DC8960">
            <w:pPr>
              <w:pStyle w:val="19"/>
              <w:bidi w:val="0"/>
              <w:jc w:val="center"/>
              <w:rPr>
                <w:rFonts w:hint="default" w:eastAsia="宋体"/>
                <w:lang w:val="en-US" w:eastAsia="zh-CN"/>
              </w:rPr>
            </w:pPr>
            <w:r>
              <w:t>用量根据生产需要定</w:t>
            </w:r>
            <w:r>
              <w:rPr>
                <w:rFonts w:hint="eastAsia"/>
                <w:lang w:eastAsia="zh-CN"/>
              </w:rPr>
              <w:t>，</w:t>
            </w:r>
            <w:r>
              <w:rPr>
                <w:rFonts w:hint="eastAsia"/>
                <w:lang w:val="en-US" w:eastAsia="zh-CN"/>
              </w:rPr>
              <w:t>类比同类项目，暂定为3.3t/a。</w:t>
            </w:r>
          </w:p>
        </w:tc>
        <w:tc>
          <w:tcPr>
            <w:tcW w:w="1607" w:type="dxa"/>
            <w:noWrap w:val="0"/>
            <w:tcMar>
              <w:top w:w="28" w:type="dxa"/>
              <w:left w:w="57" w:type="dxa"/>
              <w:bottom w:w="28" w:type="dxa"/>
              <w:right w:w="57" w:type="dxa"/>
            </w:tcMar>
            <w:vAlign w:val="center"/>
          </w:tcPr>
          <w:p w14:paraId="3C38ECEF">
            <w:pPr>
              <w:pStyle w:val="19"/>
              <w:bidi w:val="0"/>
              <w:jc w:val="center"/>
            </w:pPr>
            <w:r>
              <w:t>附近市场购进</w:t>
            </w:r>
          </w:p>
        </w:tc>
        <w:tc>
          <w:tcPr>
            <w:tcW w:w="3690" w:type="dxa"/>
            <w:noWrap w:val="0"/>
            <w:tcMar>
              <w:top w:w="28" w:type="dxa"/>
              <w:left w:w="57" w:type="dxa"/>
              <w:bottom w:w="28" w:type="dxa"/>
              <w:right w:w="57" w:type="dxa"/>
            </w:tcMar>
            <w:vAlign w:val="center"/>
          </w:tcPr>
          <w:p w14:paraId="1C442DA6">
            <w:pPr>
              <w:pStyle w:val="19"/>
              <w:bidi w:val="0"/>
              <w:jc w:val="center"/>
              <w:rPr>
                <w:rFonts w:hint="eastAsia" w:eastAsia="宋体"/>
                <w:lang w:eastAsia="zh-CN"/>
              </w:rPr>
            </w:pPr>
            <w:r>
              <w:t>主要包括菌毒净杀（双链季铵盐）、金碘毒杀（聚维酮碘溶液）、菌毒双杀（稀戊2酫溶液），瓶装，贮存于</w:t>
            </w:r>
            <w:r>
              <w:rPr>
                <w:rFonts w:hint="eastAsia"/>
                <w:lang w:val="en-US" w:eastAsia="zh-CN"/>
              </w:rPr>
              <w:t>消毒房</w:t>
            </w:r>
            <w:r>
              <w:t>内</w:t>
            </w:r>
            <w:r>
              <w:rPr>
                <w:rFonts w:hint="eastAsia"/>
                <w:lang w:eastAsia="zh-CN"/>
              </w:rPr>
              <w:t>。</w:t>
            </w:r>
          </w:p>
        </w:tc>
      </w:tr>
      <w:tr w14:paraId="03863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7FFCEACE">
            <w:pPr>
              <w:pStyle w:val="19"/>
              <w:bidi w:val="0"/>
              <w:jc w:val="center"/>
            </w:pPr>
            <w:r>
              <w:t>4</w:t>
            </w:r>
          </w:p>
        </w:tc>
        <w:tc>
          <w:tcPr>
            <w:tcW w:w="1031" w:type="dxa"/>
            <w:noWrap w:val="0"/>
            <w:tcMar>
              <w:top w:w="28" w:type="dxa"/>
              <w:left w:w="57" w:type="dxa"/>
              <w:bottom w:w="28" w:type="dxa"/>
              <w:right w:w="57" w:type="dxa"/>
            </w:tcMar>
            <w:vAlign w:val="center"/>
          </w:tcPr>
          <w:p w14:paraId="09828F56">
            <w:pPr>
              <w:pStyle w:val="19"/>
              <w:bidi w:val="0"/>
              <w:jc w:val="center"/>
            </w:pPr>
            <w:r>
              <w:t>医疗防疫药品</w:t>
            </w:r>
          </w:p>
        </w:tc>
        <w:tc>
          <w:tcPr>
            <w:tcW w:w="1423" w:type="dxa"/>
            <w:vMerge w:val="continue"/>
            <w:tcBorders>
              <w:top w:val="nil"/>
              <w:bottom w:val="nil"/>
            </w:tcBorders>
            <w:noWrap w:val="0"/>
            <w:tcMar>
              <w:top w:w="28" w:type="dxa"/>
              <w:left w:w="57" w:type="dxa"/>
              <w:bottom w:w="28" w:type="dxa"/>
              <w:right w:w="57" w:type="dxa"/>
            </w:tcMar>
            <w:vAlign w:val="center"/>
          </w:tcPr>
          <w:p w14:paraId="41E6CBC7">
            <w:pPr>
              <w:pStyle w:val="19"/>
              <w:bidi w:val="0"/>
              <w:jc w:val="center"/>
            </w:pPr>
          </w:p>
        </w:tc>
        <w:tc>
          <w:tcPr>
            <w:tcW w:w="1607" w:type="dxa"/>
            <w:noWrap w:val="0"/>
            <w:tcMar>
              <w:top w:w="28" w:type="dxa"/>
              <w:left w:w="57" w:type="dxa"/>
              <w:bottom w:w="28" w:type="dxa"/>
              <w:right w:w="57" w:type="dxa"/>
            </w:tcMar>
            <w:vAlign w:val="center"/>
          </w:tcPr>
          <w:p w14:paraId="0A6E378E">
            <w:pPr>
              <w:pStyle w:val="19"/>
              <w:bidi w:val="0"/>
              <w:jc w:val="center"/>
            </w:pPr>
            <w:r>
              <w:t>药剂从当地畜牧防疫部门（站）购进</w:t>
            </w:r>
          </w:p>
        </w:tc>
        <w:tc>
          <w:tcPr>
            <w:tcW w:w="3690" w:type="dxa"/>
            <w:noWrap w:val="0"/>
            <w:tcMar>
              <w:top w:w="28" w:type="dxa"/>
              <w:left w:w="57" w:type="dxa"/>
              <w:bottom w:w="28" w:type="dxa"/>
              <w:right w:w="57" w:type="dxa"/>
            </w:tcMar>
            <w:vAlign w:val="center"/>
          </w:tcPr>
          <w:p w14:paraId="51CC8A98">
            <w:pPr>
              <w:pStyle w:val="19"/>
              <w:bidi w:val="0"/>
              <w:jc w:val="center"/>
              <w:rPr>
                <w:rFonts w:hint="eastAsia" w:eastAsia="宋体"/>
                <w:lang w:eastAsia="zh-CN"/>
              </w:rPr>
            </w:pPr>
            <w:r>
              <w:t>猪瘟疫苗、猪口蹄疫疫苗、猪高致病性蓝耳病疫苗、猪细小病毒疫苗等，瓶装，粉状和液体，贮存于药品</w:t>
            </w:r>
            <w:r>
              <w:rPr>
                <w:rFonts w:hint="eastAsia"/>
                <w:lang w:val="en-US" w:eastAsia="zh-CN"/>
              </w:rPr>
              <w:t>间</w:t>
            </w:r>
            <w:r>
              <w:rPr>
                <w:rFonts w:hint="eastAsia"/>
                <w:lang w:eastAsia="zh-CN"/>
              </w:rPr>
              <w:t>。</w:t>
            </w:r>
          </w:p>
        </w:tc>
      </w:tr>
      <w:tr w14:paraId="54B4F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5CF066F5">
            <w:pPr>
              <w:pStyle w:val="19"/>
              <w:bidi w:val="0"/>
              <w:jc w:val="center"/>
            </w:pPr>
            <w:r>
              <w:t>5</w:t>
            </w:r>
          </w:p>
        </w:tc>
        <w:tc>
          <w:tcPr>
            <w:tcW w:w="1031" w:type="dxa"/>
            <w:noWrap w:val="0"/>
            <w:tcMar>
              <w:top w:w="28" w:type="dxa"/>
              <w:left w:w="57" w:type="dxa"/>
              <w:bottom w:w="28" w:type="dxa"/>
              <w:right w:w="57" w:type="dxa"/>
            </w:tcMar>
            <w:vAlign w:val="center"/>
          </w:tcPr>
          <w:p w14:paraId="3DED14D0">
            <w:pPr>
              <w:pStyle w:val="19"/>
              <w:bidi w:val="0"/>
              <w:jc w:val="center"/>
            </w:pPr>
            <w:r>
              <w:t>杀虫剂</w:t>
            </w:r>
          </w:p>
        </w:tc>
        <w:tc>
          <w:tcPr>
            <w:tcW w:w="1423" w:type="dxa"/>
            <w:vMerge w:val="continue"/>
            <w:tcBorders>
              <w:top w:val="nil"/>
            </w:tcBorders>
            <w:noWrap w:val="0"/>
            <w:tcMar>
              <w:top w:w="28" w:type="dxa"/>
              <w:left w:w="57" w:type="dxa"/>
              <w:bottom w:w="28" w:type="dxa"/>
              <w:right w:w="57" w:type="dxa"/>
            </w:tcMar>
            <w:vAlign w:val="center"/>
          </w:tcPr>
          <w:p w14:paraId="1B64E51A">
            <w:pPr>
              <w:pStyle w:val="19"/>
              <w:bidi w:val="0"/>
              <w:jc w:val="center"/>
            </w:pPr>
          </w:p>
        </w:tc>
        <w:tc>
          <w:tcPr>
            <w:tcW w:w="1607" w:type="dxa"/>
            <w:noWrap w:val="0"/>
            <w:tcMar>
              <w:top w:w="28" w:type="dxa"/>
              <w:left w:w="57" w:type="dxa"/>
              <w:bottom w:w="28" w:type="dxa"/>
              <w:right w:w="57" w:type="dxa"/>
            </w:tcMar>
            <w:vAlign w:val="center"/>
          </w:tcPr>
          <w:p w14:paraId="7D89CE89">
            <w:pPr>
              <w:pStyle w:val="19"/>
              <w:bidi w:val="0"/>
              <w:jc w:val="center"/>
            </w:pPr>
            <w:r>
              <w:t>附近市场购进</w:t>
            </w:r>
          </w:p>
        </w:tc>
        <w:tc>
          <w:tcPr>
            <w:tcW w:w="3690" w:type="dxa"/>
            <w:noWrap w:val="0"/>
            <w:tcMar>
              <w:top w:w="28" w:type="dxa"/>
              <w:left w:w="57" w:type="dxa"/>
              <w:bottom w:w="28" w:type="dxa"/>
              <w:right w:w="57" w:type="dxa"/>
            </w:tcMar>
            <w:vAlign w:val="center"/>
          </w:tcPr>
          <w:p w14:paraId="6D0E72F9">
            <w:pPr>
              <w:pStyle w:val="19"/>
              <w:bidi w:val="0"/>
              <w:jc w:val="center"/>
            </w:pPr>
            <w:r>
              <w:t>主要成分为甲基吡啶磷、进口佐剂、增效因子、诱杀剂、缓释剂，用于厂区驱</w:t>
            </w:r>
          </w:p>
          <w:p w14:paraId="1C81B5FB">
            <w:pPr>
              <w:pStyle w:val="19"/>
              <w:bidi w:val="0"/>
              <w:jc w:val="center"/>
              <w:rPr>
                <w:rFonts w:hint="eastAsia" w:eastAsia="宋体"/>
                <w:lang w:eastAsia="zh-CN"/>
              </w:rPr>
            </w:pPr>
            <w:r>
              <w:t>蝇灭蚊，瓶装，液体</w:t>
            </w:r>
            <w:r>
              <w:rPr>
                <w:rFonts w:hint="eastAsia"/>
                <w:lang w:eastAsia="zh-CN"/>
              </w:rPr>
              <w:t>。</w:t>
            </w:r>
          </w:p>
        </w:tc>
      </w:tr>
      <w:tr w14:paraId="074D0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56B7DEB7">
            <w:pPr>
              <w:pStyle w:val="19"/>
              <w:bidi w:val="0"/>
              <w:jc w:val="center"/>
            </w:pPr>
            <w:r>
              <w:t>6</w:t>
            </w:r>
          </w:p>
        </w:tc>
        <w:tc>
          <w:tcPr>
            <w:tcW w:w="1031" w:type="dxa"/>
            <w:noWrap w:val="0"/>
            <w:tcMar>
              <w:top w:w="28" w:type="dxa"/>
              <w:left w:w="57" w:type="dxa"/>
              <w:bottom w:w="28" w:type="dxa"/>
              <w:right w:w="57" w:type="dxa"/>
            </w:tcMar>
            <w:vAlign w:val="center"/>
          </w:tcPr>
          <w:p w14:paraId="52D3DEE9">
            <w:pPr>
              <w:pStyle w:val="19"/>
              <w:bidi w:val="0"/>
              <w:jc w:val="center"/>
            </w:pPr>
            <w:r>
              <w:t>生物质燃料</w:t>
            </w:r>
          </w:p>
        </w:tc>
        <w:tc>
          <w:tcPr>
            <w:tcW w:w="1423" w:type="dxa"/>
            <w:noWrap w:val="0"/>
            <w:tcMar>
              <w:top w:w="28" w:type="dxa"/>
              <w:left w:w="57" w:type="dxa"/>
              <w:bottom w:w="28" w:type="dxa"/>
              <w:right w:w="57" w:type="dxa"/>
            </w:tcMar>
            <w:vAlign w:val="center"/>
          </w:tcPr>
          <w:p w14:paraId="478AB1E0">
            <w:pPr>
              <w:pStyle w:val="19"/>
              <w:bidi w:val="0"/>
              <w:jc w:val="center"/>
              <w:rPr>
                <w:rFonts w:hint="default" w:eastAsia="宋体"/>
                <w:lang w:val="en-US" w:eastAsia="zh-CN"/>
              </w:rPr>
            </w:pPr>
            <w:r>
              <w:rPr>
                <w:rFonts w:hint="eastAsia"/>
                <w:lang w:val="en-US" w:eastAsia="zh-CN"/>
              </w:rPr>
              <w:t>1900</w:t>
            </w:r>
            <w:r>
              <w:t>t/a</w:t>
            </w:r>
            <w:r>
              <w:rPr>
                <w:rFonts w:hint="eastAsia"/>
                <w:lang w:val="en-US" w:eastAsia="zh-CN"/>
              </w:rPr>
              <w:t>*3</w:t>
            </w:r>
          </w:p>
        </w:tc>
        <w:tc>
          <w:tcPr>
            <w:tcW w:w="1607" w:type="dxa"/>
            <w:noWrap w:val="0"/>
            <w:tcMar>
              <w:top w:w="28" w:type="dxa"/>
              <w:left w:w="57" w:type="dxa"/>
              <w:bottom w:w="28" w:type="dxa"/>
              <w:right w:w="57" w:type="dxa"/>
            </w:tcMar>
            <w:vAlign w:val="center"/>
          </w:tcPr>
          <w:p w14:paraId="6199D6C8">
            <w:pPr>
              <w:pStyle w:val="19"/>
              <w:bidi w:val="0"/>
              <w:jc w:val="center"/>
            </w:pPr>
            <w:r>
              <w:t>市场购进</w:t>
            </w:r>
          </w:p>
        </w:tc>
        <w:tc>
          <w:tcPr>
            <w:tcW w:w="3690" w:type="dxa"/>
            <w:noWrap w:val="0"/>
            <w:tcMar>
              <w:top w:w="28" w:type="dxa"/>
              <w:left w:w="57" w:type="dxa"/>
              <w:bottom w:w="28" w:type="dxa"/>
              <w:right w:w="57" w:type="dxa"/>
            </w:tcMar>
            <w:vAlign w:val="center"/>
          </w:tcPr>
          <w:p w14:paraId="448CD5D3">
            <w:pPr>
              <w:pStyle w:val="19"/>
              <w:bidi w:val="0"/>
              <w:jc w:val="center"/>
              <w:rPr>
                <w:rFonts w:hint="default" w:eastAsia="宋体"/>
                <w:lang w:val="en-US" w:eastAsia="zh-CN"/>
              </w:rPr>
            </w:pPr>
            <w:r>
              <w:rPr>
                <w:rFonts w:hint="eastAsia"/>
                <w:lang w:val="en-US" w:eastAsia="zh-CN"/>
              </w:rPr>
              <w:t>本项目设置3座锅炉房，每座锅炉房生物质燃料用量为1900t/a。</w:t>
            </w:r>
          </w:p>
        </w:tc>
      </w:tr>
      <w:tr w14:paraId="421B1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0430640B">
            <w:pPr>
              <w:pStyle w:val="19"/>
              <w:bidi w:val="0"/>
              <w:jc w:val="center"/>
            </w:pPr>
            <w:r>
              <w:t>7</w:t>
            </w:r>
          </w:p>
        </w:tc>
        <w:tc>
          <w:tcPr>
            <w:tcW w:w="1031" w:type="dxa"/>
            <w:noWrap w:val="0"/>
            <w:tcMar>
              <w:top w:w="28" w:type="dxa"/>
              <w:left w:w="57" w:type="dxa"/>
              <w:bottom w:w="28" w:type="dxa"/>
              <w:right w:w="57" w:type="dxa"/>
            </w:tcMar>
            <w:vAlign w:val="center"/>
          </w:tcPr>
          <w:p w14:paraId="68A2E9E2">
            <w:pPr>
              <w:pStyle w:val="19"/>
              <w:bidi w:val="0"/>
              <w:jc w:val="center"/>
            </w:pPr>
            <w:r>
              <w:t>水</w:t>
            </w:r>
          </w:p>
        </w:tc>
        <w:tc>
          <w:tcPr>
            <w:tcW w:w="1423" w:type="dxa"/>
            <w:noWrap w:val="0"/>
            <w:tcMar>
              <w:top w:w="28" w:type="dxa"/>
              <w:left w:w="57" w:type="dxa"/>
              <w:bottom w:w="28" w:type="dxa"/>
              <w:right w:w="57" w:type="dxa"/>
            </w:tcMar>
            <w:vAlign w:val="center"/>
          </w:tcPr>
          <w:p w14:paraId="7710B9EF">
            <w:pPr>
              <w:pStyle w:val="19"/>
              <w:bidi w:val="0"/>
              <w:jc w:val="center"/>
            </w:pPr>
            <w:r>
              <w:rPr>
                <w:rFonts w:hint="eastAsia"/>
                <w:lang w:val="en-US" w:eastAsia="zh-CN"/>
              </w:rPr>
              <w:t>121088.13</w:t>
            </w:r>
            <w:r>
              <w:t>m</w:t>
            </w:r>
            <w:r>
              <w:rPr>
                <w:vertAlign w:val="superscript"/>
              </w:rPr>
              <w:t>3</w:t>
            </w:r>
            <w:r>
              <w:t>/a</w:t>
            </w:r>
          </w:p>
        </w:tc>
        <w:tc>
          <w:tcPr>
            <w:tcW w:w="1607" w:type="dxa"/>
            <w:noWrap w:val="0"/>
            <w:tcMar>
              <w:top w:w="28" w:type="dxa"/>
              <w:left w:w="57" w:type="dxa"/>
              <w:bottom w:w="28" w:type="dxa"/>
              <w:right w:w="57" w:type="dxa"/>
            </w:tcMar>
            <w:vAlign w:val="center"/>
          </w:tcPr>
          <w:p w14:paraId="27319BE7">
            <w:pPr>
              <w:pStyle w:val="19"/>
              <w:bidi w:val="0"/>
              <w:jc w:val="center"/>
              <w:rPr>
                <w:rFonts w:hint="default" w:eastAsia="宋体"/>
                <w:lang w:val="en-US" w:eastAsia="zh-CN"/>
              </w:rPr>
            </w:pPr>
            <w:r>
              <w:rPr>
                <w:rFonts w:hint="eastAsia"/>
                <w:lang w:val="en-US" w:eastAsia="zh-CN"/>
              </w:rPr>
              <w:t>公共水井取水</w:t>
            </w:r>
          </w:p>
        </w:tc>
        <w:tc>
          <w:tcPr>
            <w:tcW w:w="3690" w:type="dxa"/>
            <w:noWrap w:val="0"/>
            <w:tcMar>
              <w:top w:w="28" w:type="dxa"/>
              <w:left w:w="57" w:type="dxa"/>
              <w:bottom w:w="28" w:type="dxa"/>
              <w:right w:w="57" w:type="dxa"/>
            </w:tcMar>
            <w:vAlign w:val="center"/>
          </w:tcPr>
          <w:p w14:paraId="6ED1BD78">
            <w:pPr>
              <w:pStyle w:val="19"/>
              <w:bidi w:val="0"/>
              <w:jc w:val="center"/>
              <w:rPr>
                <w:rFonts w:hint="default" w:eastAsia="宋体"/>
                <w:lang w:val="en-US" w:eastAsia="zh-CN"/>
              </w:rPr>
            </w:pPr>
            <w:r>
              <w:rPr>
                <w:rFonts w:hint="eastAsia"/>
                <w:lang w:val="en-US" w:eastAsia="zh-CN"/>
              </w:rPr>
              <w:t>129团13连公共井接管</w:t>
            </w:r>
          </w:p>
        </w:tc>
      </w:tr>
      <w:tr w14:paraId="3A2AF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6" w:type="dxa"/>
            <w:noWrap w:val="0"/>
            <w:tcMar>
              <w:top w:w="28" w:type="dxa"/>
              <w:left w:w="57" w:type="dxa"/>
              <w:bottom w:w="28" w:type="dxa"/>
              <w:right w:w="57" w:type="dxa"/>
            </w:tcMar>
            <w:vAlign w:val="center"/>
          </w:tcPr>
          <w:p w14:paraId="1CE80354">
            <w:pPr>
              <w:pStyle w:val="19"/>
              <w:bidi w:val="0"/>
              <w:jc w:val="center"/>
            </w:pPr>
            <w:r>
              <w:t>8</w:t>
            </w:r>
          </w:p>
        </w:tc>
        <w:tc>
          <w:tcPr>
            <w:tcW w:w="1031" w:type="dxa"/>
            <w:noWrap w:val="0"/>
            <w:tcMar>
              <w:top w:w="28" w:type="dxa"/>
              <w:left w:w="57" w:type="dxa"/>
              <w:bottom w:w="28" w:type="dxa"/>
              <w:right w:w="57" w:type="dxa"/>
            </w:tcMar>
            <w:vAlign w:val="center"/>
          </w:tcPr>
          <w:p w14:paraId="70027D6C">
            <w:pPr>
              <w:pStyle w:val="19"/>
              <w:bidi w:val="0"/>
              <w:jc w:val="center"/>
            </w:pPr>
            <w:r>
              <w:t>电</w:t>
            </w:r>
          </w:p>
        </w:tc>
        <w:tc>
          <w:tcPr>
            <w:tcW w:w="1423" w:type="dxa"/>
            <w:noWrap w:val="0"/>
            <w:tcMar>
              <w:top w:w="28" w:type="dxa"/>
              <w:left w:w="57" w:type="dxa"/>
              <w:bottom w:w="28" w:type="dxa"/>
              <w:right w:w="57" w:type="dxa"/>
            </w:tcMar>
            <w:vAlign w:val="center"/>
          </w:tcPr>
          <w:p w14:paraId="5148A207">
            <w:pPr>
              <w:pStyle w:val="19"/>
              <w:bidi w:val="0"/>
              <w:jc w:val="center"/>
              <w:rPr>
                <w:rFonts w:hint="default" w:eastAsia="宋体"/>
                <w:lang w:val="en-US" w:eastAsia="zh-CN"/>
              </w:rPr>
            </w:pPr>
            <w:r>
              <w:t>50万kw·h</w:t>
            </w:r>
            <w:r>
              <w:rPr>
                <w:rFonts w:hint="eastAsia"/>
                <w:lang w:val="en-US" w:eastAsia="zh-CN"/>
              </w:rPr>
              <w:t>/a</w:t>
            </w:r>
          </w:p>
        </w:tc>
        <w:tc>
          <w:tcPr>
            <w:tcW w:w="1607" w:type="dxa"/>
            <w:noWrap w:val="0"/>
            <w:tcMar>
              <w:top w:w="28" w:type="dxa"/>
              <w:left w:w="57" w:type="dxa"/>
              <w:bottom w:w="28" w:type="dxa"/>
              <w:right w:w="57" w:type="dxa"/>
            </w:tcMar>
            <w:vAlign w:val="center"/>
          </w:tcPr>
          <w:p w14:paraId="6800EE70">
            <w:pPr>
              <w:pStyle w:val="19"/>
              <w:bidi w:val="0"/>
              <w:jc w:val="center"/>
            </w:pPr>
            <w:r>
              <w:t>当地电网接入</w:t>
            </w:r>
          </w:p>
        </w:tc>
        <w:tc>
          <w:tcPr>
            <w:tcW w:w="3690" w:type="dxa"/>
            <w:noWrap w:val="0"/>
            <w:tcMar>
              <w:top w:w="28" w:type="dxa"/>
              <w:left w:w="57" w:type="dxa"/>
              <w:bottom w:w="28" w:type="dxa"/>
              <w:right w:w="57" w:type="dxa"/>
            </w:tcMar>
            <w:vAlign w:val="center"/>
          </w:tcPr>
          <w:p w14:paraId="3C41E1C2">
            <w:pPr>
              <w:pStyle w:val="19"/>
              <w:bidi w:val="0"/>
              <w:jc w:val="center"/>
            </w:pPr>
            <w:r>
              <w:t>由当地电网接入</w:t>
            </w:r>
          </w:p>
        </w:tc>
      </w:tr>
    </w:tbl>
    <w:p w14:paraId="54BFDB53">
      <w:pPr>
        <w:pStyle w:val="27"/>
        <w:bidi w:val="0"/>
        <w:rPr>
          <w:rFonts w:hint="default"/>
          <w:lang w:val="en-US" w:eastAsia="zh-CN"/>
        </w:rPr>
      </w:pPr>
      <w:r>
        <w:rPr>
          <w:rFonts w:hint="eastAsia"/>
          <w:lang w:val="en-US" w:eastAsia="zh-CN"/>
        </w:rPr>
        <w:t>产品方案</w:t>
      </w:r>
    </w:p>
    <w:p w14:paraId="5D2DCD51">
      <w:pPr>
        <w:ind w:firstLine="480" w:firstLineChars="200"/>
      </w:pPr>
      <w:bookmarkStart w:id="15" w:name="_Ref395089457"/>
      <w:bookmarkStart w:id="16" w:name="_Ref395086401"/>
      <w:r>
        <w:rPr>
          <w:rFonts w:hint="eastAsia"/>
          <w:color w:val="000000"/>
          <w:highlight w:val="none"/>
        </w:rPr>
        <w:t>本项目存栏数约</w:t>
      </w:r>
      <w:r>
        <w:rPr>
          <w:rFonts w:hint="eastAsia"/>
          <w:color w:val="000000"/>
          <w:highlight w:val="none"/>
          <w:lang w:val="en-US" w:eastAsia="zh-CN"/>
        </w:rPr>
        <w:t>5</w:t>
      </w:r>
      <w:r>
        <w:rPr>
          <w:rFonts w:hint="eastAsia"/>
          <w:color w:val="000000"/>
          <w:highlight w:val="none"/>
        </w:rPr>
        <w:t>万头生猪，建成后年出栏</w:t>
      </w:r>
      <w:r>
        <w:rPr>
          <w:rFonts w:hint="eastAsia"/>
          <w:color w:val="000000"/>
          <w:highlight w:val="none"/>
          <w:lang w:val="en-US" w:eastAsia="zh-CN"/>
        </w:rPr>
        <w:t>10</w:t>
      </w:r>
      <w:r>
        <w:rPr>
          <w:rFonts w:hint="eastAsia"/>
          <w:color w:val="000000"/>
          <w:highlight w:val="none"/>
        </w:rPr>
        <w:t>万头现代化商品猪，商品猪育肥期为</w:t>
      </w:r>
      <w:r>
        <w:rPr>
          <w:rFonts w:hint="eastAsia"/>
          <w:color w:val="000000"/>
          <w:highlight w:val="none"/>
          <w:lang w:val="en-US" w:eastAsia="zh-CN"/>
        </w:rPr>
        <w:t>五</w:t>
      </w:r>
      <w:r>
        <w:rPr>
          <w:rFonts w:hint="eastAsia"/>
          <w:color w:val="000000"/>
          <w:highlight w:val="none"/>
        </w:rPr>
        <w:t>个月（</w:t>
      </w:r>
      <w:r>
        <w:rPr>
          <w:color w:val="000000"/>
          <w:highlight w:val="none"/>
        </w:rPr>
        <w:t>1</w:t>
      </w:r>
      <w:r>
        <w:rPr>
          <w:rFonts w:hint="eastAsia"/>
          <w:color w:val="000000"/>
          <w:highlight w:val="none"/>
          <w:lang w:val="en-US" w:eastAsia="zh-CN"/>
        </w:rPr>
        <w:t>5</w:t>
      </w:r>
      <w:r>
        <w:rPr>
          <w:color w:val="000000"/>
          <w:highlight w:val="none"/>
        </w:rPr>
        <w:t>0</w:t>
      </w:r>
      <w:r>
        <w:rPr>
          <w:rFonts w:hint="eastAsia"/>
          <w:color w:val="000000"/>
          <w:highlight w:val="none"/>
        </w:rPr>
        <w:t>天左右），每年可育肥生猪</w:t>
      </w:r>
      <w:r>
        <w:rPr>
          <w:color w:val="000000"/>
          <w:highlight w:val="none"/>
        </w:rPr>
        <w:t>2</w:t>
      </w:r>
      <w:r>
        <w:rPr>
          <w:rFonts w:hint="eastAsia"/>
          <w:color w:val="000000"/>
          <w:highlight w:val="none"/>
        </w:rPr>
        <w:t>茬，圈舍每年有效利用率</w:t>
      </w:r>
      <w:r>
        <w:rPr>
          <w:color w:val="000000"/>
          <w:highlight w:val="none"/>
        </w:rPr>
        <w:t>10</w:t>
      </w:r>
      <w:r>
        <w:rPr>
          <w:rFonts w:hint="eastAsia"/>
          <w:color w:val="000000"/>
          <w:highlight w:val="none"/>
        </w:rPr>
        <w:t>月左右（消毒、休整、空闲时间约占</w:t>
      </w:r>
      <w:r>
        <w:rPr>
          <w:color w:val="000000"/>
          <w:highlight w:val="none"/>
        </w:rPr>
        <w:t>2</w:t>
      </w:r>
      <w:r>
        <w:rPr>
          <w:rFonts w:hint="eastAsia"/>
          <w:color w:val="000000"/>
          <w:highlight w:val="none"/>
        </w:rPr>
        <w:t>个月）</w:t>
      </w:r>
      <w:r>
        <w:rPr>
          <w:rFonts w:hint="eastAsia"/>
          <w:color w:val="000000"/>
          <w:highlight w:val="none"/>
          <w:lang w:eastAsia="zh-CN"/>
        </w:rPr>
        <w:t>，</w:t>
      </w:r>
      <w:r>
        <w:rPr>
          <w:rFonts w:hint="eastAsia"/>
          <w:color w:val="000000"/>
          <w:highlight w:val="none"/>
        </w:rPr>
        <w:t>本项目出栏的商品猪全部外售。设计养殖方案见表3.</w:t>
      </w:r>
      <w:r>
        <w:rPr>
          <w:rFonts w:hint="eastAsia"/>
          <w:color w:val="000000"/>
          <w:highlight w:val="none"/>
          <w:lang w:val="en-US" w:eastAsia="zh-CN"/>
        </w:rPr>
        <w:t>1</w:t>
      </w:r>
      <w:r>
        <w:rPr>
          <w:rFonts w:hint="eastAsia"/>
          <w:color w:val="000000"/>
          <w:highlight w:val="none"/>
        </w:rPr>
        <w:t>-</w:t>
      </w:r>
      <w:r>
        <w:rPr>
          <w:rFonts w:hint="eastAsia"/>
          <w:color w:val="000000"/>
          <w:highlight w:val="none"/>
          <w:lang w:val="en-US" w:eastAsia="zh-CN"/>
        </w:rPr>
        <w:t>3</w:t>
      </w:r>
      <w:r>
        <w:rPr>
          <w:rFonts w:hint="eastAsia"/>
          <w:color w:val="000000"/>
          <w:highlight w:val="none"/>
        </w:rPr>
        <w:t>。</w:t>
      </w:r>
    </w:p>
    <w:p w14:paraId="4BD2384C">
      <w:pPr>
        <w:pStyle w:val="30"/>
        <w:bidi w:val="0"/>
      </w:pPr>
      <w:r>
        <w:t>表</w:t>
      </w:r>
      <w:r>
        <w:rPr>
          <w:rFonts w:hint="eastAsia"/>
        </w:rPr>
        <w:t>3.</w:t>
      </w:r>
      <w:r>
        <w:rPr>
          <w:rFonts w:hint="eastAsia"/>
          <w:lang w:val="en-US" w:eastAsia="zh-CN"/>
        </w:rPr>
        <w:t>1</w:t>
      </w:r>
      <w:r>
        <w:rPr>
          <w:rFonts w:hint="eastAsia"/>
        </w:rPr>
        <w:t>-</w:t>
      </w:r>
      <w:r>
        <w:rPr>
          <w:rFonts w:hint="eastAsia"/>
          <w:lang w:val="en-US" w:eastAsia="zh-CN"/>
        </w:rPr>
        <w:t xml:space="preserve">3 </w:t>
      </w:r>
      <w:r>
        <w:t xml:space="preserve"> </w:t>
      </w:r>
      <w:r>
        <w:rPr>
          <w:rFonts w:hint="eastAsia"/>
        </w:rPr>
        <w:t xml:space="preserve"> </w:t>
      </w:r>
      <w:r>
        <w:rPr>
          <w:rFonts w:hint="eastAsia"/>
          <w:lang w:val="en-US" w:eastAsia="zh-CN"/>
        </w:rPr>
        <w:t>本</w:t>
      </w:r>
      <w:r>
        <w:t>项目产品方案</w:t>
      </w:r>
    </w:p>
    <w:bookmarkEnd w:id="15"/>
    <w:bookmarkEnd w:id="16"/>
    <w:tbl>
      <w:tblPr>
        <w:tblStyle w:val="2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2264"/>
        <w:gridCol w:w="2487"/>
        <w:gridCol w:w="2487"/>
      </w:tblGrid>
      <w:tr w14:paraId="071D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43" w:type="dxa"/>
            <w:noWrap w:val="0"/>
            <w:vAlign w:val="center"/>
          </w:tcPr>
          <w:p w14:paraId="72DDDEBC">
            <w:pPr>
              <w:pStyle w:val="19"/>
              <w:bidi w:val="0"/>
            </w:pPr>
            <w:r>
              <w:rPr>
                <w:rFonts w:hint="eastAsia"/>
              </w:rPr>
              <w:t>种类</w:t>
            </w:r>
          </w:p>
        </w:tc>
        <w:tc>
          <w:tcPr>
            <w:tcW w:w="2561" w:type="dxa"/>
            <w:noWrap w:val="0"/>
            <w:vAlign w:val="center"/>
          </w:tcPr>
          <w:p w14:paraId="4E85D8EF">
            <w:pPr>
              <w:pStyle w:val="19"/>
              <w:bidi w:val="0"/>
            </w:pPr>
            <w:r>
              <w:rPr>
                <w:rFonts w:hint="eastAsia"/>
              </w:rPr>
              <w:t>存栏量（万头/a）</w:t>
            </w:r>
          </w:p>
        </w:tc>
        <w:tc>
          <w:tcPr>
            <w:tcW w:w="2816" w:type="dxa"/>
            <w:noWrap w:val="0"/>
            <w:vAlign w:val="center"/>
          </w:tcPr>
          <w:p w14:paraId="03037876">
            <w:pPr>
              <w:pStyle w:val="19"/>
              <w:bidi w:val="0"/>
            </w:pPr>
            <w:r>
              <w:rPr>
                <w:rFonts w:hint="eastAsia"/>
              </w:rPr>
              <w:t>出栏量（万头/a）</w:t>
            </w:r>
          </w:p>
        </w:tc>
        <w:tc>
          <w:tcPr>
            <w:tcW w:w="2816" w:type="dxa"/>
            <w:noWrap w:val="0"/>
            <w:vAlign w:val="center"/>
          </w:tcPr>
          <w:p w14:paraId="0096C531">
            <w:pPr>
              <w:pStyle w:val="19"/>
              <w:bidi w:val="0"/>
            </w:pPr>
            <w:r>
              <w:rPr>
                <w:rFonts w:hint="eastAsia"/>
              </w:rPr>
              <w:t>存栏周期（天）</w:t>
            </w:r>
          </w:p>
        </w:tc>
      </w:tr>
      <w:tr w14:paraId="052E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43" w:type="dxa"/>
            <w:noWrap w:val="0"/>
            <w:vAlign w:val="center"/>
          </w:tcPr>
          <w:p w14:paraId="621B2A75">
            <w:pPr>
              <w:pStyle w:val="19"/>
              <w:bidi w:val="0"/>
            </w:pPr>
            <w:r>
              <w:rPr>
                <w:rFonts w:hint="eastAsia"/>
              </w:rPr>
              <w:t>生猪</w:t>
            </w:r>
          </w:p>
        </w:tc>
        <w:tc>
          <w:tcPr>
            <w:tcW w:w="2561" w:type="dxa"/>
            <w:noWrap w:val="0"/>
            <w:vAlign w:val="center"/>
          </w:tcPr>
          <w:p w14:paraId="5E7D7FCA">
            <w:pPr>
              <w:pStyle w:val="19"/>
              <w:bidi w:val="0"/>
              <w:rPr>
                <w:rFonts w:hint="eastAsia" w:eastAsia="宋体"/>
                <w:lang w:val="en-US" w:eastAsia="zh-CN"/>
              </w:rPr>
            </w:pPr>
            <w:r>
              <w:rPr>
                <w:rFonts w:hint="eastAsia"/>
                <w:lang w:val="en-US" w:eastAsia="zh-CN"/>
              </w:rPr>
              <w:t>5</w:t>
            </w:r>
          </w:p>
        </w:tc>
        <w:tc>
          <w:tcPr>
            <w:tcW w:w="2816" w:type="dxa"/>
            <w:noWrap w:val="0"/>
            <w:vAlign w:val="center"/>
          </w:tcPr>
          <w:p w14:paraId="4EBB74B0">
            <w:pPr>
              <w:pStyle w:val="19"/>
              <w:bidi w:val="0"/>
              <w:rPr>
                <w:rFonts w:hint="default" w:eastAsia="宋体"/>
                <w:lang w:val="en-US" w:eastAsia="zh-CN"/>
              </w:rPr>
            </w:pPr>
            <w:r>
              <w:rPr>
                <w:rFonts w:hint="eastAsia"/>
                <w:lang w:val="en-US" w:eastAsia="zh-CN"/>
              </w:rPr>
              <w:t>10</w:t>
            </w:r>
          </w:p>
        </w:tc>
        <w:tc>
          <w:tcPr>
            <w:tcW w:w="2816" w:type="dxa"/>
            <w:noWrap w:val="0"/>
            <w:vAlign w:val="center"/>
          </w:tcPr>
          <w:p w14:paraId="36350C27">
            <w:pPr>
              <w:pStyle w:val="19"/>
              <w:bidi w:val="0"/>
            </w:pPr>
            <w:r>
              <w:rPr>
                <w:rFonts w:hint="eastAsia"/>
              </w:rPr>
              <w:t>1</w:t>
            </w:r>
            <w:r>
              <w:rPr>
                <w:rFonts w:hint="eastAsia"/>
                <w:lang w:val="en-US" w:eastAsia="zh-CN"/>
              </w:rPr>
              <w:t>5</w:t>
            </w:r>
            <w:r>
              <w:rPr>
                <w:rFonts w:hint="eastAsia"/>
              </w:rPr>
              <w:t>0</w:t>
            </w:r>
          </w:p>
        </w:tc>
      </w:tr>
    </w:tbl>
    <w:p w14:paraId="32F5BE6F">
      <w:pPr>
        <w:pStyle w:val="27"/>
        <w:bidi w:val="0"/>
        <w:rPr>
          <w:rFonts w:hint="default"/>
          <w:lang w:val="en-US" w:eastAsia="zh-CN"/>
        </w:rPr>
      </w:pPr>
      <w:r>
        <w:rPr>
          <w:rFonts w:hint="eastAsia"/>
          <w:lang w:val="en-US" w:eastAsia="zh-CN"/>
        </w:rPr>
        <w:t>主要设备</w:t>
      </w:r>
    </w:p>
    <w:p w14:paraId="409CD210">
      <w:pPr>
        <w:ind w:firstLine="480" w:firstLineChars="200"/>
        <w:rPr>
          <w:color w:val="000000"/>
          <w:highlight w:val="none"/>
        </w:rPr>
      </w:pPr>
      <w:r>
        <w:rPr>
          <w:color w:val="000000"/>
          <w:highlight w:val="none"/>
        </w:rPr>
        <w:t>本项目主要设备见表</w:t>
      </w:r>
      <w:r>
        <w:rPr>
          <w:rFonts w:hint="eastAsia"/>
          <w:color w:val="000000"/>
          <w:highlight w:val="none"/>
        </w:rPr>
        <w:t>3.</w:t>
      </w:r>
      <w:r>
        <w:rPr>
          <w:rFonts w:hint="eastAsia"/>
          <w:color w:val="000000"/>
          <w:highlight w:val="none"/>
          <w:lang w:val="en-US" w:eastAsia="zh-CN"/>
        </w:rPr>
        <w:t>1</w:t>
      </w:r>
      <w:r>
        <w:rPr>
          <w:rFonts w:hint="eastAsia"/>
          <w:color w:val="000000"/>
          <w:highlight w:val="none"/>
        </w:rPr>
        <w:t>-</w:t>
      </w:r>
      <w:r>
        <w:rPr>
          <w:rFonts w:hint="eastAsia"/>
          <w:color w:val="000000"/>
          <w:highlight w:val="none"/>
          <w:lang w:val="en-US" w:eastAsia="zh-CN"/>
        </w:rPr>
        <w:t>4</w:t>
      </w:r>
      <w:r>
        <w:rPr>
          <w:color w:val="000000"/>
          <w:highlight w:val="none"/>
        </w:rPr>
        <w:t>。</w:t>
      </w:r>
    </w:p>
    <w:p w14:paraId="56C00489">
      <w:pPr>
        <w:pStyle w:val="30"/>
        <w:bidi w:val="0"/>
      </w:pPr>
      <w:bookmarkStart w:id="17" w:name="_Ref395097886"/>
      <w:r>
        <w:t>表</w:t>
      </w:r>
      <w:bookmarkEnd w:id="17"/>
      <w:r>
        <w:rPr>
          <w:rFonts w:hint="eastAsia"/>
        </w:rPr>
        <w:t>3.</w:t>
      </w:r>
      <w:r>
        <w:rPr>
          <w:rFonts w:hint="eastAsia"/>
          <w:lang w:val="en-US" w:eastAsia="zh-CN"/>
        </w:rPr>
        <w:t>1</w:t>
      </w:r>
      <w:r>
        <w:rPr>
          <w:rFonts w:hint="eastAsia"/>
        </w:rPr>
        <w:t>-</w:t>
      </w:r>
      <w:r>
        <w:rPr>
          <w:rFonts w:hint="eastAsia"/>
          <w:lang w:val="en-US" w:eastAsia="zh-CN"/>
        </w:rPr>
        <w:t xml:space="preserve">4 </w:t>
      </w:r>
      <w:r>
        <w:t xml:space="preserve"> </w:t>
      </w:r>
      <w:r>
        <w:rPr>
          <w:rFonts w:hint="eastAsia"/>
          <w:lang w:val="en-US" w:eastAsia="zh-CN"/>
        </w:rPr>
        <w:t xml:space="preserve"> 本</w:t>
      </w:r>
      <w:r>
        <w:t>项目主要设备</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59"/>
        <w:gridCol w:w="433"/>
        <w:gridCol w:w="2147"/>
        <w:gridCol w:w="1246"/>
        <w:gridCol w:w="3544"/>
      </w:tblGrid>
      <w:tr w14:paraId="06C5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noWrap w:val="0"/>
            <w:tcMar>
              <w:top w:w="28" w:type="dxa"/>
              <w:left w:w="57" w:type="dxa"/>
              <w:bottom w:w="28" w:type="dxa"/>
              <w:right w:w="57" w:type="dxa"/>
            </w:tcMar>
            <w:vAlign w:val="center"/>
          </w:tcPr>
          <w:p w14:paraId="049A526D">
            <w:pPr>
              <w:pStyle w:val="19"/>
              <w:bidi w:val="0"/>
            </w:pPr>
            <w:r>
              <w:rPr>
                <w:rFonts w:hint="eastAsia"/>
              </w:rPr>
              <w:t>序号</w:t>
            </w:r>
          </w:p>
        </w:tc>
        <w:tc>
          <w:tcPr>
            <w:tcW w:w="470" w:type="pct"/>
            <w:gridSpan w:val="2"/>
            <w:noWrap w:val="0"/>
            <w:tcMar>
              <w:top w:w="28" w:type="dxa"/>
              <w:left w:w="57" w:type="dxa"/>
              <w:bottom w:w="28" w:type="dxa"/>
              <w:right w:w="57" w:type="dxa"/>
            </w:tcMar>
            <w:vAlign w:val="center"/>
          </w:tcPr>
          <w:p w14:paraId="6E1544E4">
            <w:pPr>
              <w:pStyle w:val="19"/>
              <w:bidi w:val="0"/>
            </w:pPr>
            <w:r>
              <w:rPr>
                <w:rFonts w:hint="eastAsia"/>
              </w:rPr>
              <w:t>类型</w:t>
            </w:r>
          </w:p>
        </w:tc>
        <w:tc>
          <w:tcPr>
            <w:tcW w:w="1275" w:type="pct"/>
            <w:noWrap w:val="0"/>
            <w:tcMar>
              <w:top w:w="28" w:type="dxa"/>
              <w:left w:w="57" w:type="dxa"/>
              <w:bottom w:w="28" w:type="dxa"/>
              <w:right w:w="57" w:type="dxa"/>
            </w:tcMar>
            <w:vAlign w:val="center"/>
          </w:tcPr>
          <w:p w14:paraId="3B0108C4">
            <w:pPr>
              <w:pStyle w:val="19"/>
              <w:bidi w:val="0"/>
            </w:pPr>
            <w:r>
              <w:rPr>
                <w:rFonts w:hint="eastAsia"/>
              </w:rPr>
              <w:t>项目名称</w:t>
            </w:r>
          </w:p>
        </w:tc>
        <w:tc>
          <w:tcPr>
            <w:tcW w:w="740" w:type="pct"/>
            <w:noWrap w:val="0"/>
            <w:tcMar>
              <w:top w:w="28" w:type="dxa"/>
              <w:left w:w="57" w:type="dxa"/>
              <w:bottom w:w="28" w:type="dxa"/>
              <w:right w:w="57" w:type="dxa"/>
            </w:tcMar>
            <w:vAlign w:val="center"/>
          </w:tcPr>
          <w:p w14:paraId="324D3C0B">
            <w:pPr>
              <w:pStyle w:val="19"/>
              <w:bidi w:val="0"/>
            </w:pPr>
            <w:r>
              <w:rPr>
                <w:rFonts w:hint="eastAsia"/>
              </w:rPr>
              <w:t>数量</w:t>
            </w:r>
          </w:p>
        </w:tc>
        <w:tc>
          <w:tcPr>
            <w:tcW w:w="2105" w:type="pct"/>
            <w:noWrap w:val="0"/>
            <w:tcMar>
              <w:top w:w="28" w:type="dxa"/>
              <w:left w:w="57" w:type="dxa"/>
              <w:bottom w:w="28" w:type="dxa"/>
              <w:right w:w="57" w:type="dxa"/>
            </w:tcMar>
            <w:vAlign w:val="center"/>
          </w:tcPr>
          <w:p w14:paraId="769A357E">
            <w:pPr>
              <w:pStyle w:val="19"/>
              <w:bidi w:val="0"/>
            </w:pPr>
            <w:r>
              <w:rPr>
                <w:rFonts w:hint="eastAsia"/>
              </w:rPr>
              <w:t>规格型号</w:t>
            </w:r>
          </w:p>
        </w:tc>
      </w:tr>
      <w:tr w14:paraId="0BC5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restart"/>
            <w:noWrap w:val="0"/>
            <w:tcMar>
              <w:top w:w="28" w:type="dxa"/>
              <w:left w:w="57" w:type="dxa"/>
              <w:bottom w:w="28" w:type="dxa"/>
              <w:right w:w="57" w:type="dxa"/>
            </w:tcMar>
            <w:vAlign w:val="center"/>
          </w:tcPr>
          <w:p w14:paraId="60D78310">
            <w:pPr>
              <w:pStyle w:val="19"/>
              <w:bidi w:val="0"/>
            </w:pPr>
            <w:r>
              <w:rPr>
                <w:rFonts w:hint="eastAsia"/>
              </w:rPr>
              <w:t>1</w:t>
            </w:r>
          </w:p>
        </w:tc>
        <w:tc>
          <w:tcPr>
            <w:tcW w:w="213" w:type="pct"/>
            <w:vMerge w:val="restart"/>
            <w:noWrap w:val="0"/>
            <w:tcMar>
              <w:top w:w="28" w:type="dxa"/>
              <w:left w:w="57" w:type="dxa"/>
              <w:bottom w:w="28" w:type="dxa"/>
              <w:right w:w="57" w:type="dxa"/>
            </w:tcMar>
            <w:vAlign w:val="center"/>
          </w:tcPr>
          <w:p w14:paraId="7EA90BB8">
            <w:pPr>
              <w:pStyle w:val="19"/>
              <w:bidi w:val="0"/>
            </w:pPr>
            <w:r>
              <w:rPr>
                <w:rFonts w:hint="eastAsia"/>
              </w:rPr>
              <w:t>养殖设备</w:t>
            </w:r>
          </w:p>
        </w:tc>
        <w:tc>
          <w:tcPr>
            <w:tcW w:w="256" w:type="pct"/>
            <w:vMerge w:val="restart"/>
            <w:noWrap w:val="0"/>
            <w:tcMar>
              <w:top w:w="28" w:type="dxa"/>
              <w:left w:w="57" w:type="dxa"/>
              <w:bottom w:w="28" w:type="dxa"/>
              <w:right w:w="57" w:type="dxa"/>
            </w:tcMar>
            <w:vAlign w:val="center"/>
          </w:tcPr>
          <w:p w14:paraId="3475256B">
            <w:pPr>
              <w:pStyle w:val="19"/>
              <w:bidi w:val="0"/>
            </w:pPr>
            <w:r>
              <w:rPr>
                <w:rFonts w:hint="eastAsia"/>
              </w:rPr>
              <w:t>猪舍</w:t>
            </w:r>
          </w:p>
        </w:tc>
        <w:tc>
          <w:tcPr>
            <w:tcW w:w="1275" w:type="pct"/>
            <w:noWrap w:val="0"/>
            <w:tcMar>
              <w:top w:w="28" w:type="dxa"/>
              <w:left w:w="57" w:type="dxa"/>
              <w:bottom w:w="28" w:type="dxa"/>
              <w:right w:w="57" w:type="dxa"/>
            </w:tcMar>
            <w:vAlign w:val="center"/>
          </w:tcPr>
          <w:p w14:paraId="59AA2AB5">
            <w:pPr>
              <w:pStyle w:val="19"/>
              <w:bidi w:val="0"/>
            </w:pPr>
            <w:r>
              <w:rPr>
                <w:rFonts w:hint="eastAsia"/>
              </w:rPr>
              <w:t>镀锌板料塔</w:t>
            </w:r>
          </w:p>
        </w:tc>
        <w:tc>
          <w:tcPr>
            <w:tcW w:w="740" w:type="pct"/>
            <w:noWrap w:val="0"/>
            <w:tcMar>
              <w:top w:w="28" w:type="dxa"/>
              <w:left w:w="57" w:type="dxa"/>
              <w:bottom w:w="28" w:type="dxa"/>
              <w:right w:w="57" w:type="dxa"/>
            </w:tcMar>
            <w:vAlign w:val="center"/>
          </w:tcPr>
          <w:p w14:paraId="0B9DC516">
            <w:pPr>
              <w:pStyle w:val="19"/>
              <w:bidi w:val="0"/>
            </w:pPr>
            <w:r>
              <w:rPr>
                <w:rFonts w:hint="eastAsia"/>
                <w:lang w:val="en-US" w:eastAsia="zh-CN"/>
              </w:rPr>
              <w:t>4</w:t>
            </w:r>
            <w:r>
              <w:rPr>
                <w:rFonts w:hint="eastAsia"/>
              </w:rPr>
              <w:t>0座</w:t>
            </w:r>
          </w:p>
        </w:tc>
        <w:tc>
          <w:tcPr>
            <w:tcW w:w="2105" w:type="pct"/>
            <w:noWrap w:val="0"/>
            <w:tcMar>
              <w:top w:w="28" w:type="dxa"/>
              <w:left w:w="57" w:type="dxa"/>
              <w:bottom w:w="28" w:type="dxa"/>
              <w:right w:w="57" w:type="dxa"/>
            </w:tcMar>
            <w:vAlign w:val="center"/>
          </w:tcPr>
          <w:p w14:paraId="747A5B01">
            <w:pPr>
              <w:pStyle w:val="19"/>
              <w:bidi w:val="0"/>
            </w:pPr>
            <w:r>
              <w:rPr>
                <w:rFonts w:hint="eastAsia"/>
              </w:rPr>
              <w:t>/</w:t>
            </w:r>
          </w:p>
        </w:tc>
      </w:tr>
      <w:tr w14:paraId="1DF6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5E170601">
            <w:pPr>
              <w:pStyle w:val="19"/>
              <w:bidi w:val="0"/>
            </w:pPr>
          </w:p>
        </w:tc>
        <w:tc>
          <w:tcPr>
            <w:tcW w:w="213" w:type="pct"/>
            <w:vMerge w:val="continue"/>
            <w:noWrap w:val="0"/>
            <w:tcMar>
              <w:top w:w="28" w:type="dxa"/>
              <w:left w:w="57" w:type="dxa"/>
              <w:bottom w:w="28" w:type="dxa"/>
              <w:right w:w="57" w:type="dxa"/>
            </w:tcMar>
            <w:vAlign w:val="center"/>
          </w:tcPr>
          <w:p w14:paraId="6861014C">
            <w:pPr>
              <w:pStyle w:val="19"/>
              <w:bidi w:val="0"/>
            </w:pPr>
          </w:p>
        </w:tc>
        <w:tc>
          <w:tcPr>
            <w:tcW w:w="256" w:type="pct"/>
            <w:vMerge w:val="continue"/>
            <w:noWrap w:val="0"/>
            <w:tcMar>
              <w:top w:w="28" w:type="dxa"/>
              <w:left w:w="57" w:type="dxa"/>
              <w:bottom w:w="28" w:type="dxa"/>
              <w:right w:w="57" w:type="dxa"/>
            </w:tcMar>
            <w:vAlign w:val="center"/>
          </w:tcPr>
          <w:p w14:paraId="2AFA4C5E">
            <w:pPr>
              <w:pStyle w:val="19"/>
              <w:bidi w:val="0"/>
            </w:pPr>
          </w:p>
        </w:tc>
        <w:tc>
          <w:tcPr>
            <w:tcW w:w="1275" w:type="pct"/>
            <w:noWrap w:val="0"/>
            <w:tcMar>
              <w:top w:w="28" w:type="dxa"/>
              <w:left w:w="57" w:type="dxa"/>
              <w:bottom w:w="28" w:type="dxa"/>
              <w:right w:w="57" w:type="dxa"/>
            </w:tcMar>
            <w:vAlign w:val="center"/>
          </w:tcPr>
          <w:p w14:paraId="1A0454DC">
            <w:pPr>
              <w:pStyle w:val="19"/>
              <w:bidi w:val="0"/>
            </w:pPr>
            <w:r>
              <w:rPr>
                <w:rFonts w:hint="eastAsia"/>
              </w:rPr>
              <w:t>水线</w:t>
            </w:r>
          </w:p>
        </w:tc>
        <w:tc>
          <w:tcPr>
            <w:tcW w:w="740" w:type="pct"/>
            <w:noWrap w:val="0"/>
            <w:tcMar>
              <w:top w:w="28" w:type="dxa"/>
              <w:left w:w="57" w:type="dxa"/>
              <w:bottom w:w="28" w:type="dxa"/>
              <w:right w:w="57" w:type="dxa"/>
            </w:tcMar>
            <w:vAlign w:val="center"/>
          </w:tcPr>
          <w:p w14:paraId="07F6FC55">
            <w:pPr>
              <w:pStyle w:val="19"/>
              <w:bidi w:val="0"/>
            </w:pPr>
            <w:r>
              <w:rPr>
                <w:rFonts w:hint="eastAsia"/>
                <w:lang w:val="en-US" w:eastAsia="zh-CN"/>
              </w:rPr>
              <w:t>6</w:t>
            </w:r>
            <w:r>
              <w:rPr>
                <w:rFonts w:hint="eastAsia"/>
              </w:rPr>
              <w:t>40套</w:t>
            </w:r>
          </w:p>
        </w:tc>
        <w:tc>
          <w:tcPr>
            <w:tcW w:w="2105" w:type="pct"/>
            <w:noWrap w:val="0"/>
            <w:tcMar>
              <w:top w:w="28" w:type="dxa"/>
              <w:left w:w="57" w:type="dxa"/>
              <w:bottom w:w="28" w:type="dxa"/>
              <w:right w:w="57" w:type="dxa"/>
            </w:tcMar>
            <w:vAlign w:val="center"/>
          </w:tcPr>
          <w:p w14:paraId="70BFB48F">
            <w:pPr>
              <w:pStyle w:val="19"/>
              <w:bidi w:val="0"/>
            </w:pPr>
            <w:r>
              <w:rPr>
                <w:rFonts w:hint="eastAsia"/>
              </w:rPr>
              <w:t>/</w:t>
            </w:r>
          </w:p>
        </w:tc>
      </w:tr>
      <w:tr w14:paraId="5F49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550343F1">
            <w:pPr>
              <w:pStyle w:val="19"/>
              <w:bidi w:val="0"/>
            </w:pPr>
          </w:p>
        </w:tc>
        <w:tc>
          <w:tcPr>
            <w:tcW w:w="213" w:type="pct"/>
            <w:vMerge w:val="continue"/>
            <w:noWrap w:val="0"/>
            <w:tcMar>
              <w:top w:w="28" w:type="dxa"/>
              <w:left w:w="57" w:type="dxa"/>
              <w:bottom w:w="28" w:type="dxa"/>
              <w:right w:w="57" w:type="dxa"/>
            </w:tcMar>
            <w:vAlign w:val="center"/>
          </w:tcPr>
          <w:p w14:paraId="17D051E0">
            <w:pPr>
              <w:pStyle w:val="19"/>
              <w:bidi w:val="0"/>
            </w:pPr>
          </w:p>
        </w:tc>
        <w:tc>
          <w:tcPr>
            <w:tcW w:w="256" w:type="pct"/>
            <w:vMerge w:val="continue"/>
            <w:noWrap w:val="0"/>
            <w:tcMar>
              <w:top w:w="28" w:type="dxa"/>
              <w:left w:w="57" w:type="dxa"/>
              <w:bottom w:w="28" w:type="dxa"/>
              <w:right w:w="57" w:type="dxa"/>
            </w:tcMar>
            <w:vAlign w:val="center"/>
          </w:tcPr>
          <w:p w14:paraId="676A1CF3">
            <w:pPr>
              <w:pStyle w:val="19"/>
              <w:bidi w:val="0"/>
            </w:pPr>
          </w:p>
        </w:tc>
        <w:tc>
          <w:tcPr>
            <w:tcW w:w="1275" w:type="pct"/>
            <w:noWrap w:val="0"/>
            <w:tcMar>
              <w:top w:w="28" w:type="dxa"/>
              <w:left w:w="57" w:type="dxa"/>
              <w:bottom w:w="28" w:type="dxa"/>
              <w:right w:w="57" w:type="dxa"/>
            </w:tcMar>
            <w:vAlign w:val="center"/>
          </w:tcPr>
          <w:p w14:paraId="24C01A7B">
            <w:pPr>
              <w:pStyle w:val="19"/>
              <w:bidi w:val="0"/>
            </w:pPr>
            <w:r>
              <w:rPr>
                <w:rFonts w:hint="eastAsia"/>
              </w:rPr>
              <w:t>育肥双面10孔位食槽</w:t>
            </w:r>
          </w:p>
        </w:tc>
        <w:tc>
          <w:tcPr>
            <w:tcW w:w="740" w:type="pct"/>
            <w:noWrap w:val="0"/>
            <w:tcMar>
              <w:top w:w="28" w:type="dxa"/>
              <w:left w:w="57" w:type="dxa"/>
              <w:bottom w:w="28" w:type="dxa"/>
              <w:right w:w="57" w:type="dxa"/>
            </w:tcMar>
            <w:vAlign w:val="center"/>
          </w:tcPr>
          <w:p w14:paraId="2F161576">
            <w:pPr>
              <w:pStyle w:val="19"/>
              <w:bidi w:val="0"/>
            </w:pPr>
            <w:r>
              <w:rPr>
                <w:rFonts w:hint="eastAsia"/>
                <w:lang w:val="en-US" w:eastAsia="zh-CN"/>
              </w:rPr>
              <w:t>6</w:t>
            </w:r>
            <w:r>
              <w:rPr>
                <w:rFonts w:hint="eastAsia"/>
              </w:rPr>
              <w:t>0套</w:t>
            </w:r>
          </w:p>
        </w:tc>
        <w:tc>
          <w:tcPr>
            <w:tcW w:w="2105" w:type="pct"/>
            <w:noWrap w:val="0"/>
            <w:tcMar>
              <w:top w:w="28" w:type="dxa"/>
              <w:left w:w="57" w:type="dxa"/>
              <w:bottom w:w="28" w:type="dxa"/>
              <w:right w:w="57" w:type="dxa"/>
            </w:tcMar>
            <w:vAlign w:val="center"/>
          </w:tcPr>
          <w:p w14:paraId="32ADC60D">
            <w:pPr>
              <w:pStyle w:val="19"/>
              <w:bidi w:val="0"/>
            </w:pPr>
            <w:r>
              <w:rPr>
                <w:rFonts w:hint="eastAsia"/>
              </w:rPr>
              <w:t>/</w:t>
            </w:r>
          </w:p>
        </w:tc>
      </w:tr>
      <w:tr w14:paraId="7DC3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0FDBC28A">
            <w:pPr>
              <w:pStyle w:val="19"/>
              <w:bidi w:val="0"/>
            </w:pPr>
          </w:p>
        </w:tc>
        <w:tc>
          <w:tcPr>
            <w:tcW w:w="213" w:type="pct"/>
            <w:vMerge w:val="continue"/>
            <w:noWrap w:val="0"/>
            <w:tcMar>
              <w:top w:w="28" w:type="dxa"/>
              <w:left w:w="57" w:type="dxa"/>
              <w:bottom w:w="28" w:type="dxa"/>
              <w:right w:w="57" w:type="dxa"/>
            </w:tcMar>
            <w:vAlign w:val="center"/>
          </w:tcPr>
          <w:p w14:paraId="67B5FA08">
            <w:pPr>
              <w:pStyle w:val="19"/>
              <w:bidi w:val="0"/>
            </w:pPr>
          </w:p>
        </w:tc>
        <w:tc>
          <w:tcPr>
            <w:tcW w:w="256" w:type="pct"/>
            <w:vMerge w:val="continue"/>
            <w:noWrap w:val="0"/>
            <w:tcMar>
              <w:top w:w="28" w:type="dxa"/>
              <w:left w:w="57" w:type="dxa"/>
              <w:bottom w:w="28" w:type="dxa"/>
              <w:right w:w="57" w:type="dxa"/>
            </w:tcMar>
            <w:vAlign w:val="center"/>
          </w:tcPr>
          <w:p w14:paraId="459B458D">
            <w:pPr>
              <w:pStyle w:val="19"/>
              <w:bidi w:val="0"/>
            </w:pPr>
          </w:p>
        </w:tc>
        <w:tc>
          <w:tcPr>
            <w:tcW w:w="1275" w:type="pct"/>
            <w:noWrap w:val="0"/>
            <w:tcMar>
              <w:top w:w="28" w:type="dxa"/>
              <w:left w:w="57" w:type="dxa"/>
              <w:bottom w:w="28" w:type="dxa"/>
              <w:right w:w="57" w:type="dxa"/>
            </w:tcMar>
            <w:vAlign w:val="center"/>
          </w:tcPr>
          <w:p w14:paraId="4A279E11">
            <w:pPr>
              <w:pStyle w:val="19"/>
              <w:bidi w:val="0"/>
            </w:pPr>
            <w:r>
              <w:rPr>
                <w:rFonts w:hint="eastAsia"/>
              </w:rPr>
              <w:t>保育育肥一体双面10孔位食槽</w:t>
            </w:r>
          </w:p>
        </w:tc>
        <w:tc>
          <w:tcPr>
            <w:tcW w:w="740" w:type="pct"/>
            <w:noWrap w:val="0"/>
            <w:tcMar>
              <w:top w:w="28" w:type="dxa"/>
              <w:left w:w="57" w:type="dxa"/>
              <w:bottom w:w="28" w:type="dxa"/>
              <w:right w:w="57" w:type="dxa"/>
            </w:tcMar>
            <w:vAlign w:val="center"/>
          </w:tcPr>
          <w:p w14:paraId="59F1CB20">
            <w:pPr>
              <w:pStyle w:val="19"/>
              <w:bidi w:val="0"/>
            </w:pPr>
            <w:r>
              <w:rPr>
                <w:rFonts w:hint="eastAsia"/>
                <w:lang w:val="en-US" w:eastAsia="zh-CN"/>
              </w:rPr>
              <w:t>4</w:t>
            </w:r>
            <w:r>
              <w:rPr>
                <w:rFonts w:hint="eastAsia"/>
              </w:rPr>
              <w:t>0套</w:t>
            </w:r>
          </w:p>
        </w:tc>
        <w:tc>
          <w:tcPr>
            <w:tcW w:w="2105" w:type="pct"/>
            <w:noWrap w:val="0"/>
            <w:tcMar>
              <w:top w:w="28" w:type="dxa"/>
              <w:left w:w="57" w:type="dxa"/>
              <w:bottom w:w="28" w:type="dxa"/>
              <w:right w:w="57" w:type="dxa"/>
            </w:tcMar>
            <w:vAlign w:val="center"/>
          </w:tcPr>
          <w:p w14:paraId="58B60598">
            <w:pPr>
              <w:pStyle w:val="19"/>
              <w:bidi w:val="0"/>
            </w:pPr>
            <w:r>
              <w:rPr>
                <w:rFonts w:hint="eastAsia"/>
              </w:rPr>
              <w:t>/</w:t>
            </w:r>
          </w:p>
        </w:tc>
      </w:tr>
      <w:tr w14:paraId="1494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7361A9D2">
            <w:pPr>
              <w:pStyle w:val="19"/>
              <w:bidi w:val="0"/>
            </w:pPr>
          </w:p>
        </w:tc>
        <w:tc>
          <w:tcPr>
            <w:tcW w:w="213" w:type="pct"/>
            <w:vMerge w:val="continue"/>
            <w:noWrap w:val="0"/>
            <w:tcMar>
              <w:top w:w="28" w:type="dxa"/>
              <w:left w:w="57" w:type="dxa"/>
              <w:bottom w:w="28" w:type="dxa"/>
              <w:right w:w="57" w:type="dxa"/>
            </w:tcMar>
            <w:vAlign w:val="center"/>
          </w:tcPr>
          <w:p w14:paraId="5BC866B3">
            <w:pPr>
              <w:pStyle w:val="19"/>
              <w:bidi w:val="0"/>
            </w:pPr>
          </w:p>
        </w:tc>
        <w:tc>
          <w:tcPr>
            <w:tcW w:w="256" w:type="pct"/>
            <w:vMerge w:val="continue"/>
            <w:noWrap w:val="0"/>
            <w:tcMar>
              <w:top w:w="28" w:type="dxa"/>
              <w:left w:w="57" w:type="dxa"/>
              <w:bottom w:w="28" w:type="dxa"/>
              <w:right w:w="57" w:type="dxa"/>
            </w:tcMar>
            <w:vAlign w:val="center"/>
          </w:tcPr>
          <w:p w14:paraId="527562AC">
            <w:pPr>
              <w:pStyle w:val="19"/>
              <w:bidi w:val="0"/>
            </w:pPr>
          </w:p>
        </w:tc>
        <w:tc>
          <w:tcPr>
            <w:tcW w:w="1275" w:type="pct"/>
            <w:noWrap w:val="0"/>
            <w:tcMar>
              <w:top w:w="28" w:type="dxa"/>
              <w:left w:w="57" w:type="dxa"/>
              <w:bottom w:w="28" w:type="dxa"/>
              <w:right w:w="57" w:type="dxa"/>
            </w:tcMar>
            <w:vAlign w:val="center"/>
          </w:tcPr>
          <w:p w14:paraId="51D27AA6">
            <w:pPr>
              <w:pStyle w:val="19"/>
              <w:bidi w:val="0"/>
            </w:pPr>
            <w:r>
              <w:rPr>
                <w:rFonts w:hint="eastAsia"/>
              </w:rPr>
              <w:t>育肥大栏</w:t>
            </w:r>
          </w:p>
        </w:tc>
        <w:tc>
          <w:tcPr>
            <w:tcW w:w="740" w:type="pct"/>
            <w:noWrap w:val="0"/>
            <w:tcMar>
              <w:top w:w="28" w:type="dxa"/>
              <w:left w:w="57" w:type="dxa"/>
              <w:bottom w:w="28" w:type="dxa"/>
              <w:right w:w="57" w:type="dxa"/>
            </w:tcMar>
            <w:vAlign w:val="center"/>
          </w:tcPr>
          <w:p w14:paraId="37B48D5A">
            <w:pPr>
              <w:pStyle w:val="19"/>
              <w:bidi w:val="0"/>
            </w:pPr>
            <w:r>
              <w:rPr>
                <w:rFonts w:hint="eastAsia"/>
                <w:lang w:val="en-US" w:eastAsia="zh-CN"/>
              </w:rPr>
              <w:t>10923.24</w:t>
            </w:r>
            <w:r>
              <w:rPr>
                <w:rFonts w:hint="eastAsia"/>
              </w:rPr>
              <w:t>米</w:t>
            </w:r>
          </w:p>
        </w:tc>
        <w:tc>
          <w:tcPr>
            <w:tcW w:w="2105" w:type="pct"/>
            <w:noWrap w:val="0"/>
            <w:tcMar>
              <w:top w:w="28" w:type="dxa"/>
              <w:left w:w="57" w:type="dxa"/>
              <w:bottom w:w="28" w:type="dxa"/>
              <w:right w:w="57" w:type="dxa"/>
            </w:tcMar>
            <w:vAlign w:val="center"/>
          </w:tcPr>
          <w:p w14:paraId="1DD255DA">
            <w:pPr>
              <w:pStyle w:val="19"/>
              <w:bidi w:val="0"/>
            </w:pPr>
            <w:r>
              <w:rPr>
                <w:rFonts w:hint="eastAsia"/>
              </w:rPr>
              <w:t>/</w:t>
            </w:r>
          </w:p>
        </w:tc>
      </w:tr>
      <w:tr w14:paraId="2E95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0EA30C1F">
            <w:pPr>
              <w:pStyle w:val="19"/>
              <w:bidi w:val="0"/>
            </w:pPr>
          </w:p>
        </w:tc>
        <w:tc>
          <w:tcPr>
            <w:tcW w:w="213" w:type="pct"/>
            <w:vMerge w:val="continue"/>
            <w:noWrap w:val="0"/>
            <w:tcMar>
              <w:top w:w="28" w:type="dxa"/>
              <w:left w:w="57" w:type="dxa"/>
              <w:bottom w:w="28" w:type="dxa"/>
              <w:right w:w="57" w:type="dxa"/>
            </w:tcMar>
            <w:vAlign w:val="center"/>
          </w:tcPr>
          <w:p w14:paraId="5B860CE6">
            <w:pPr>
              <w:pStyle w:val="19"/>
              <w:bidi w:val="0"/>
            </w:pPr>
          </w:p>
        </w:tc>
        <w:tc>
          <w:tcPr>
            <w:tcW w:w="256" w:type="pct"/>
            <w:vMerge w:val="continue"/>
            <w:noWrap w:val="0"/>
            <w:tcMar>
              <w:top w:w="28" w:type="dxa"/>
              <w:left w:w="57" w:type="dxa"/>
              <w:bottom w:w="28" w:type="dxa"/>
              <w:right w:w="57" w:type="dxa"/>
            </w:tcMar>
            <w:vAlign w:val="center"/>
          </w:tcPr>
          <w:p w14:paraId="3BCA4686">
            <w:pPr>
              <w:pStyle w:val="19"/>
              <w:bidi w:val="0"/>
            </w:pPr>
          </w:p>
        </w:tc>
        <w:tc>
          <w:tcPr>
            <w:tcW w:w="1275" w:type="pct"/>
            <w:noWrap w:val="0"/>
            <w:tcMar>
              <w:top w:w="28" w:type="dxa"/>
              <w:left w:w="57" w:type="dxa"/>
              <w:bottom w:w="28" w:type="dxa"/>
              <w:right w:w="57" w:type="dxa"/>
            </w:tcMar>
            <w:vAlign w:val="center"/>
          </w:tcPr>
          <w:p w14:paraId="382BD637">
            <w:pPr>
              <w:pStyle w:val="19"/>
              <w:bidi w:val="0"/>
            </w:pPr>
            <w:r>
              <w:rPr>
                <w:rFonts w:hint="eastAsia"/>
              </w:rPr>
              <w:t>保育育肥一体大栏</w:t>
            </w:r>
          </w:p>
        </w:tc>
        <w:tc>
          <w:tcPr>
            <w:tcW w:w="740" w:type="pct"/>
            <w:noWrap w:val="0"/>
            <w:tcMar>
              <w:top w:w="28" w:type="dxa"/>
              <w:left w:w="57" w:type="dxa"/>
              <w:bottom w:w="28" w:type="dxa"/>
              <w:right w:w="57" w:type="dxa"/>
            </w:tcMar>
            <w:vAlign w:val="center"/>
          </w:tcPr>
          <w:p w14:paraId="5E3354CF">
            <w:pPr>
              <w:pStyle w:val="19"/>
              <w:bidi w:val="0"/>
            </w:pPr>
            <w:r>
              <w:rPr>
                <w:rFonts w:hint="eastAsia"/>
                <w:lang w:val="en-US" w:eastAsia="zh-CN"/>
              </w:rPr>
              <w:t>9188</w:t>
            </w:r>
            <w:r>
              <w:rPr>
                <w:rFonts w:hint="eastAsia"/>
              </w:rPr>
              <w:t>4米</w:t>
            </w:r>
          </w:p>
        </w:tc>
        <w:tc>
          <w:tcPr>
            <w:tcW w:w="2105" w:type="pct"/>
            <w:noWrap w:val="0"/>
            <w:tcMar>
              <w:top w:w="28" w:type="dxa"/>
              <w:left w:w="57" w:type="dxa"/>
              <w:bottom w:w="28" w:type="dxa"/>
              <w:right w:w="57" w:type="dxa"/>
            </w:tcMar>
            <w:vAlign w:val="center"/>
          </w:tcPr>
          <w:p w14:paraId="7B1FCF08">
            <w:pPr>
              <w:pStyle w:val="19"/>
              <w:bidi w:val="0"/>
            </w:pPr>
            <w:r>
              <w:rPr>
                <w:rFonts w:hint="eastAsia"/>
              </w:rPr>
              <w:t>/</w:t>
            </w:r>
          </w:p>
        </w:tc>
      </w:tr>
      <w:tr w14:paraId="1233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24133002">
            <w:pPr>
              <w:pStyle w:val="19"/>
              <w:bidi w:val="0"/>
            </w:pPr>
          </w:p>
        </w:tc>
        <w:tc>
          <w:tcPr>
            <w:tcW w:w="213" w:type="pct"/>
            <w:vMerge w:val="continue"/>
            <w:noWrap w:val="0"/>
            <w:tcMar>
              <w:top w:w="28" w:type="dxa"/>
              <w:left w:w="57" w:type="dxa"/>
              <w:bottom w:w="28" w:type="dxa"/>
              <w:right w:w="57" w:type="dxa"/>
            </w:tcMar>
            <w:vAlign w:val="center"/>
          </w:tcPr>
          <w:p w14:paraId="17476282">
            <w:pPr>
              <w:pStyle w:val="19"/>
              <w:bidi w:val="0"/>
            </w:pPr>
          </w:p>
        </w:tc>
        <w:tc>
          <w:tcPr>
            <w:tcW w:w="256" w:type="pct"/>
            <w:vMerge w:val="continue"/>
            <w:noWrap w:val="0"/>
            <w:tcMar>
              <w:top w:w="28" w:type="dxa"/>
              <w:left w:w="57" w:type="dxa"/>
              <w:bottom w:w="28" w:type="dxa"/>
              <w:right w:w="57" w:type="dxa"/>
            </w:tcMar>
            <w:vAlign w:val="center"/>
          </w:tcPr>
          <w:p w14:paraId="5BEEEAF1">
            <w:pPr>
              <w:pStyle w:val="19"/>
              <w:bidi w:val="0"/>
            </w:pPr>
          </w:p>
        </w:tc>
        <w:tc>
          <w:tcPr>
            <w:tcW w:w="1275" w:type="pct"/>
            <w:noWrap w:val="0"/>
            <w:tcMar>
              <w:top w:w="28" w:type="dxa"/>
              <w:left w:w="57" w:type="dxa"/>
              <w:bottom w:w="28" w:type="dxa"/>
              <w:right w:w="57" w:type="dxa"/>
            </w:tcMar>
            <w:vAlign w:val="center"/>
          </w:tcPr>
          <w:p w14:paraId="1EA58389">
            <w:pPr>
              <w:pStyle w:val="19"/>
              <w:bidi w:val="0"/>
            </w:pPr>
            <w:r>
              <w:rPr>
                <w:rFonts w:hint="eastAsia"/>
              </w:rPr>
              <w:t>36玻璃钢皮带风机</w:t>
            </w:r>
          </w:p>
          <w:p w14:paraId="0015BD16">
            <w:pPr>
              <w:pStyle w:val="19"/>
              <w:bidi w:val="0"/>
            </w:pPr>
            <w:r>
              <w:rPr>
                <w:rFonts w:hint="eastAsia"/>
              </w:rPr>
              <w:t>（百叶款）</w:t>
            </w:r>
          </w:p>
        </w:tc>
        <w:tc>
          <w:tcPr>
            <w:tcW w:w="740" w:type="pct"/>
            <w:noWrap w:val="0"/>
            <w:tcMar>
              <w:top w:w="28" w:type="dxa"/>
              <w:left w:w="57" w:type="dxa"/>
              <w:bottom w:w="28" w:type="dxa"/>
              <w:right w:w="57" w:type="dxa"/>
            </w:tcMar>
            <w:vAlign w:val="center"/>
          </w:tcPr>
          <w:p w14:paraId="7E6A01D9">
            <w:pPr>
              <w:pStyle w:val="19"/>
              <w:bidi w:val="0"/>
            </w:pPr>
            <w:r>
              <w:rPr>
                <w:rFonts w:hint="eastAsia"/>
                <w:lang w:val="en-US" w:eastAsia="zh-CN"/>
              </w:rPr>
              <w:t>200</w:t>
            </w:r>
            <w:r>
              <w:rPr>
                <w:rFonts w:hint="eastAsia"/>
              </w:rPr>
              <w:t>台</w:t>
            </w:r>
          </w:p>
        </w:tc>
        <w:tc>
          <w:tcPr>
            <w:tcW w:w="2105" w:type="pct"/>
            <w:noWrap w:val="0"/>
            <w:tcMar>
              <w:top w:w="28" w:type="dxa"/>
              <w:left w:w="57" w:type="dxa"/>
              <w:bottom w:w="28" w:type="dxa"/>
              <w:right w:w="57" w:type="dxa"/>
            </w:tcMar>
            <w:vAlign w:val="center"/>
          </w:tcPr>
          <w:p w14:paraId="1E36FD28">
            <w:pPr>
              <w:pStyle w:val="19"/>
              <w:bidi w:val="0"/>
            </w:pPr>
            <w:r>
              <w:rPr>
                <w:rFonts w:hint="eastAsia"/>
              </w:rPr>
              <w:t>36"风机、额定功率0.75KW、380V、50hz、3相、风机专用电机，防护等级IP55，绝缘等级F级；</w:t>
            </w:r>
          </w:p>
        </w:tc>
      </w:tr>
      <w:tr w14:paraId="1B38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76493658">
            <w:pPr>
              <w:pStyle w:val="19"/>
              <w:bidi w:val="0"/>
            </w:pPr>
          </w:p>
        </w:tc>
        <w:tc>
          <w:tcPr>
            <w:tcW w:w="213" w:type="pct"/>
            <w:vMerge w:val="continue"/>
            <w:noWrap w:val="0"/>
            <w:tcMar>
              <w:top w:w="28" w:type="dxa"/>
              <w:left w:w="57" w:type="dxa"/>
              <w:bottom w:w="28" w:type="dxa"/>
              <w:right w:w="57" w:type="dxa"/>
            </w:tcMar>
            <w:vAlign w:val="center"/>
          </w:tcPr>
          <w:p w14:paraId="6FF725C1">
            <w:pPr>
              <w:pStyle w:val="19"/>
              <w:bidi w:val="0"/>
            </w:pPr>
          </w:p>
        </w:tc>
        <w:tc>
          <w:tcPr>
            <w:tcW w:w="256" w:type="pct"/>
            <w:vMerge w:val="continue"/>
            <w:noWrap w:val="0"/>
            <w:tcMar>
              <w:top w:w="28" w:type="dxa"/>
              <w:left w:w="57" w:type="dxa"/>
              <w:bottom w:w="28" w:type="dxa"/>
              <w:right w:w="57" w:type="dxa"/>
            </w:tcMar>
            <w:vAlign w:val="center"/>
          </w:tcPr>
          <w:p w14:paraId="4FF07B3D">
            <w:pPr>
              <w:pStyle w:val="19"/>
              <w:bidi w:val="0"/>
            </w:pPr>
          </w:p>
        </w:tc>
        <w:tc>
          <w:tcPr>
            <w:tcW w:w="1275" w:type="pct"/>
            <w:noWrap w:val="0"/>
            <w:tcMar>
              <w:top w:w="28" w:type="dxa"/>
              <w:left w:w="57" w:type="dxa"/>
              <w:bottom w:w="28" w:type="dxa"/>
              <w:right w:w="57" w:type="dxa"/>
            </w:tcMar>
            <w:vAlign w:val="center"/>
          </w:tcPr>
          <w:p w14:paraId="107698C5">
            <w:pPr>
              <w:pStyle w:val="19"/>
              <w:bidi w:val="0"/>
            </w:pPr>
            <w:r>
              <w:rPr>
                <w:rFonts w:hint="eastAsia"/>
              </w:rPr>
              <w:t>51"风机</w:t>
            </w:r>
          </w:p>
        </w:tc>
        <w:tc>
          <w:tcPr>
            <w:tcW w:w="740" w:type="pct"/>
            <w:noWrap w:val="0"/>
            <w:tcMar>
              <w:top w:w="28" w:type="dxa"/>
              <w:left w:w="57" w:type="dxa"/>
              <w:bottom w:w="28" w:type="dxa"/>
              <w:right w:w="57" w:type="dxa"/>
            </w:tcMar>
            <w:vAlign w:val="center"/>
          </w:tcPr>
          <w:p w14:paraId="166BF6A8">
            <w:pPr>
              <w:pStyle w:val="19"/>
              <w:bidi w:val="0"/>
            </w:pPr>
            <w:r>
              <w:rPr>
                <w:rFonts w:hint="eastAsia"/>
                <w:lang w:val="en-US" w:eastAsia="zh-CN"/>
              </w:rPr>
              <w:t>200</w:t>
            </w:r>
            <w:r>
              <w:rPr>
                <w:rFonts w:hint="eastAsia"/>
              </w:rPr>
              <w:t>台</w:t>
            </w:r>
          </w:p>
        </w:tc>
        <w:tc>
          <w:tcPr>
            <w:tcW w:w="2105" w:type="pct"/>
            <w:noWrap w:val="0"/>
            <w:tcMar>
              <w:top w:w="28" w:type="dxa"/>
              <w:left w:w="57" w:type="dxa"/>
              <w:bottom w:w="28" w:type="dxa"/>
              <w:right w:w="57" w:type="dxa"/>
            </w:tcMar>
            <w:vAlign w:val="center"/>
          </w:tcPr>
          <w:p w14:paraId="67B76D8D">
            <w:pPr>
              <w:pStyle w:val="19"/>
              <w:bidi w:val="0"/>
            </w:pPr>
          </w:p>
        </w:tc>
      </w:tr>
      <w:tr w14:paraId="1DA6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restart"/>
            <w:noWrap w:val="0"/>
            <w:tcMar>
              <w:top w:w="28" w:type="dxa"/>
              <w:left w:w="57" w:type="dxa"/>
              <w:bottom w:w="28" w:type="dxa"/>
              <w:right w:w="57" w:type="dxa"/>
            </w:tcMar>
            <w:vAlign w:val="center"/>
          </w:tcPr>
          <w:p w14:paraId="24B3F3CC">
            <w:pPr>
              <w:pStyle w:val="19"/>
              <w:bidi w:val="0"/>
            </w:pPr>
            <w:r>
              <w:rPr>
                <w:rFonts w:hint="eastAsia"/>
              </w:rPr>
              <w:t>2</w:t>
            </w:r>
          </w:p>
        </w:tc>
        <w:tc>
          <w:tcPr>
            <w:tcW w:w="470" w:type="pct"/>
            <w:gridSpan w:val="2"/>
            <w:vMerge w:val="restart"/>
            <w:noWrap w:val="0"/>
            <w:tcMar>
              <w:top w:w="28" w:type="dxa"/>
              <w:left w:w="57" w:type="dxa"/>
              <w:bottom w:w="28" w:type="dxa"/>
              <w:right w:w="57" w:type="dxa"/>
            </w:tcMar>
            <w:vAlign w:val="center"/>
          </w:tcPr>
          <w:p w14:paraId="53710BC0">
            <w:pPr>
              <w:pStyle w:val="19"/>
              <w:bidi w:val="0"/>
            </w:pPr>
            <w:r>
              <w:rPr>
                <w:rFonts w:hint="eastAsia"/>
              </w:rPr>
              <w:t>消毒公共设备</w:t>
            </w:r>
          </w:p>
        </w:tc>
        <w:tc>
          <w:tcPr>
            <w:tcW w:w="1275" w:type="pct"/>
            <w:noWrap w:val="0"/>
            <w:tcMar>
              <w:top w:w="28" w:type="dxa"/>
              <w:left w:w="57" w:type="dxa"/>
              <w:bottom w:w="28" w:type="dxa"/>
              <w:right w:w="57" w:type="dxa"/>
            </w:tcMar>
            <w:vAlign w:val="center"/>
          </w:tcPr>
          <w:p w14:paraId="3BA6D31F">
            <w:pPr>
              <w:pStyle w:val="19"/>
              <w:bidi w:val="0"/>
            </w:pPr>
            <w:r>
              <w:rPr>
                <w:rFonts w:hint="eastAsia"/>
              </w:rPr>
              <w:t>消毒冲洗设备</w:t>
            </w:r>
          </w:p>
        </w:tc>
        <w:tc>
          <w:tcPr>
            <w:tcW w:w="740" w:type="pct"/>
            <w:noWrap w:val="0"/>
            <w:tcMar>
              <w:top w:w="28" w:type="dxa"/>
              <w:left w:w="57" w:type="dxa"/>
              <w:bottom w:w="28" w:type="dxa"/>
              <w:right w:w="57" w:type="dxa"/>
            </w:tcMar>
            <w:vAlign w:val="center"/>
          </w:tcPr>
          <w:p w14:paraId="08D9605C">
            <w:pPr>
              <w:pStyle w:val="19"/>
              <w:bidi w:val="0"/>
            </w:pPr>
            <w:r>
              <w:rPr>
                <w:rFonts w:hint="eastAsia"/>
                <w:lang w:val="en-US" w:eastAsia="zh-CN"/>
              </w:rPr>
              <w:t>4</w:t>
            </w:r>
            <w:r>
              <w:rPr>
                <w:rFonts w:hint="eastAsia"/>
              </w:rPr>
              <w:t>0台</w:t>
            </w:r>
          </w:p>
        </w:tc>
        <w:tc>
          <w:tcPr>
            <w:tcW w:w="2105" w:type="pct"/>
            <w:noWrap w:val="0"/>
            <w:tcMar>
              <w:top w:w="28" w:type="dxa"/>
              <w:left w:w="57" w:type="dxa"/>
              <w:bottom w:w="28" w:type="dxa"/>
              <w:right w:w="57" w:type="dxa"/>
            </w:tcMar>
            <w:vAlign w:val="center"/>
          </w:tcPr>
          <w:p w14:paraId="33C0EF82">
            <w:pPr>
              <w:pStyle w:val="19"/>
              <w:bidi w:val="0"/>
            </w:pPr>
            <w:r>
              <w:rPr>
                <w:rFonts w:hint="eastAsia"/>
              </w:rPr>
              <w:t>/</w:t>
            </w:r>
          </w:p>
        </w:tc>
      </w:tr>
      <w:tr w14:paraId="23A0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361CA6A8">
            <w:pPr>
              <w:pStyle w:val="19"/>
              <w:bidi w:val="0"/>
            </w:pPr>
          </w:p>
        </w:tc>
        <w:tc>
          <w:tcPr>
            <w:tcW w:w="470" w:type="pct"/>
            <w:gridSpan w:val="2"/>
            <w:vMerge w:val="continue"/>
            <w:noWrap w:val="0"/>
            <w:tcMar>
              <w:top w:w="28" w:type="dxa"/>
              <w:left w:w="57" w:type="dxa"/>
              <w:bottom w:w="28" w:type="dxa"/>
              <w:right w:w="57" w:type="dxa"/>
            </w:tcMar>
            <w:vAlign w:val="center"/>
          </w:tcPr>
          <w:p w14:paraId="06DD7D2E">
            <w:pPr>
              <w:pStyle w:val="19"/>
              <w:bidi w:val="0"/>
            </w:pPr>
          </w:p>
        </w:tc>
        <w:tc>
          <w:tcPr>
            <w:tcW w:w="1275" w:type="pct"/>
            <w:noWrap w:val="0"/>
            <w:tcMar>
              <w:top w:w="28" w:type="dxa"/>
              <w:left w:w="57" w:type="dxa"/>
              <w:bottom w:w="28" w:type="dxa"/>
              <w:right w:w="57" w:type="dxa"/>
            </w:tcMar>
            <w:vAlign w:val="center"/>
          </w:tcPr>
          <w:p w14:paraId="6C733374">
            <w:pPr>
              <w:pStyle w:val="19"/>
              <w:bidi w:val="0"/>
            </w:pPr>
            <w:r>
              <w:rPr>
                <w:rFonts w:hint="eastAsia"/>
              </w:rPr>
              <w:t>装卸猪升降平台</w:t>
            </w:r>
          </w:p>
        </w:tc>
        <w:tc>
          <w:tcPr>
            <w:tcW w:w="740" w:type="pct"/>
            <w:noWrap w:val="0"/>
            <w:tcMar>
              <w:top w:w="28" w:type="dxa"/>
              <w:left w:w="57" w:type="dxa"/>
              <w:bottom w:w="28" w:type="dxa"/>
              <w:right w:w="57" w:type="dxa"/>
            </w:tcMar>
            <w:vAlign w:val="center"/>
          </w:tcPr>
          <w:p w14:paraId="1F48FADC">
            <w:pPr>
              <w:pStyle w:val="19"/>
              <w:bidi w:val="0"/>
            </w:pPr>
            <w:r>
              <w:rPr>
                <w:rFonts w:hint="eastAsia"/>
                <w:lang w:val="en-US" w:eastAsia="zh-CN"/>
              </w:rPr>
              <w:t>2</w:t>
            </w:r>
            <w:r>
              <w:rPr>
                <w:rFonts w:hint="eastAsia"/>
              </w:rPr>
              <w:t>0台</w:t>
            </w:r>
          </w:p>
        </w:tc>
        <w:tc>
          <w:tcPr>
            <w:tcW w:w="2105" w:type="pct"/>
            <w:noWrap w:val="0"/>
            <w:tcMar>
              <w:top w:w="28" w:type="dxa"/>
              <w:left w:w="57" w:type="dxa"/>
              <w:bottom w:w="28" w:type="dxa"/>
              <w:right w:w="57" w:type="dxa"/>
            </w:tcMar>
            <w:vAlign w:val="center"/>
          </w:tcPr>
          <w:p w14:paraId="12062129">
            <w:pPr>
              <w:pStyle w:val="19"/>
              <w:bidi w:val="0"/>
            </w:pPr>
            <w:r>
              <w:rPr>
                <w:rFonts w:hint="eastAsia"/>
              </w:rPr>
              <w:t>/</w:t>
            </w:r>
          </w:p>
        </w:tc>
      </w:tr>
      <w:tr w14:paraId="5989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0C4D04AB">
            <w:pPr>
              <w:pStyle w:val="19"/>
              <w:bidi w:val="0"/>
            </w:pPr>
          </w:p>
        </w:tc>
        <w:tc>
          <w:tcPr>
            <w:tcW w:w="470" w:type="pct"/>
            <w:gridSpan w:val="2"/>
            <w:vMerge w:val="continue"/>
            <w:noWrap w:val="0"/>
            <w:tcMar>
              <w:top w:w="28" w:type="dxa"/>
              <w:left w:w="57" w:type="dxa"/>
              <w:bottom w:w="28" w:type="dxa"/>
              <w:right w:w="57" w:type="dxa"/>
            </w:tcMar>
            <w:vAlign w:val="center"/>
          </w:tcPr>
          <w:p w14:paraId="58155509">
            <w:pPr>
              <w:pStyle w:val="19"/>
              <w:bidi w:val="0"/>
            </w:pPr>
          </w:p>
        </w:tc>
        <w:tc>
          <w:tcPr>
            <w:tcW w:w="1275" w:type="pct"/>
            <w:noWrap w:val="0"/>
            <w:tcMar>
              <w:top w:w="28" w:type="dxa"/>
              <w:left w:w="57" w:type="dxa"/>
              <w:bottom w:w="28" w:type="dxa"/>
              <w:right w:w="57" w:type="dxa"/>
            </w:tcMar>
            <w:vAlign w:val="center"/>
          </w:tcPr>
          <w:p w14:paraId="5A0A7F48">
            <w:pPr>
              <w:pStyle w:val="19"/>
              <w:bidi w:val="0"/>
              <w:rPr>
                <w:rFonts w:hint="eastAsia"/>
              </w:rPr>
            </w:pPr>
            <w:r>
              <w:rPr>
                <w:rFonts w:hint="eastAsia"/>
              </w:rPr>
              <w:t>环控系统“负压风机+水帘”系统</w:t>
            </w:r>
          </w:p>
        </w:tc>
        <w:tc>
          <w:tcPr>
            <w:tcW w:w="740" w:type="pct"/>
            <w:noWrap w:val="0"/>
            <w:tcMar>
              <w:top w:w="28" w:type="dxa"/>
              <w:left w:w="57" w:type="dxa"/>
              <w:bottom w:w="28" w:type="dxa"/>
              <w:right w:w="57" w:type="dxa"/>
            </w:tcMar>
            <w:vAlign w:val="center"/>
          </w:tcPr>
          <w:p w14:paraId="7BCC7285">
            <w:pPr>
              <w:pStyle w:val="19"/>
              <w:bidi w:val="0"/>
              <w:rPr>
                <w:rFonts w:hint="default"/>
                <w:lang w:val="en-US" w:eastAsia="zh-CN"/>
              </w:rPr>
            </w:pPr>
            <w:r>
              <w:rPr>
                <w:rFonts w:hint="eastAsia"/>
                <w:lang w:val="en-US" w:eastAsia="zh-CN"/>
              </w:rPr>
              <w:t>40套</w:t>
            </w:r>
          </w:p>
        </w:tc>
        <w:tc>
          <w:tcPr>
            <w:tcW w:w="2105" w:type="pct"/>
            <w:noWrap w:val="0"/>
            <w:tcMar>
              <w:top w:w="28" w:type="dxa"/>
              <w:left w:w="57" w:type="dxa"/>
              <w:bottom w:w="28" w:type="dxa"/>
              <w:right w:w="57" w:type="dxa"/>
            </w:tcMar>
            <w:vAlign w:val="center"/>
          </w:tcPr>
          <w:p w14:paraId="638073D9">
            <w:pPr>
              <w:pStyle w:val="19"/>
              <w:bidi w:val="0"/>
              <w:rPr>
                <w:rFonts w:hint="default" w:eastAsia="宋体"/>
                <w:lang w:val="en-US" w:eastAsia="zh-CN"/>
              </w:rPr>
            </w:pPr>
            <w:r>
              <w:rPr>
                <w:rFonts w:hint="eastAsia"/>
                <w:lang w:val="en-US" w:eastAsia="zh-CN"/>
              </w:rPr>
              <w:t>属于成套设备，主要用于育肥舍通风、夏季降温。</w:t>
            </w:r>
          </w:p>
        </w:tc>
      </w:tr>
      <w:tr w14:paraId="5581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5874F26B">
            <w:pPr>
              <w:pStyle w:val="19"/>
              <w:bidi w:val="0"/>
            </w:pPr>
          </w:p>
        </w:tc>
        <w:tc>
          <w:tcPr>
            <w:tcW w:w="470" w:type="pct"/>
            <w:gridSpan w:val="2"/>
            <w:vMerge w:val="continue"/>
            <w:noWrap w:val="0"/>
            <w:tcMar>
              <w:top w:w="28" w:type="dxa"/>
              <w:left w:w="57" w:type="dxa"/>
              <w:bottom w:w="28" w:type="dxa"/>
              <w:right w:w="57" w:type="dxa"/>
            </w:tcMar>
            <w:vAlign w:val="center"/>
          </w:tcPr>
          <w:p w14:paraId="2F6D3787">
            <w:pPr>
              <w:pStyle w:val="19"/>
              <w:bidi w:val="0"/>
            </w:pPr>
          </w:p>
        </w:tc>
        <w:tc>
          <w:tcPr>
            <w:tcW w:w="1275" w:type="pct"/>
            <w:noWrap w:val="0"/>
            <w:tcMar>
              <w:top w:w="28" w:type="dxa"/>
              <w:left w:w="57" w:type="dxa"/>
              <w:bottom w:w="28" w:type="dxa"/>
              <w:right w:w="57" w:type="dxa"/>
            </w:tcMar>
            <w:vAlign w:val="center"/>
          </w:tcPr>
          <w:p w14:paraId="3ACE5C4B">
            <w:pPr>
              <w:pStyle w:val="19"/>
              <w:bidi w:val="0"/>
              <w:rPr>
                <w:rFonts w:hint="eastAsia"/>
              </w:rPr>
            </w:pPr>
            <w:r>
              <w:rPr>
                <w:rFonts w:hint="eastAsia"/>
              </w:rPr>
              <w:t>生物质锅炉（</w:t>
            </w:r>
            <w:r>
              <w:rPr>
                <w:rFonts w:hint="eastAsia"/>
                <w:lang w:val="en-US" w:eastAsia="zh-CN"/>
              </w:rPr>
              <w:t>3</w:t>
            </w:r>
            <w:r>
              <w:rPr>
                <w:rFonts w:hint="eastAsia"/>
              </w:rPr>
              <w:t>t/h）</w:t>
            </w:r>
          </w:p>
        </w:tc>
        <w:tc>
          <w:tcPr>
            <w:tcW w:w="740" w:type="pct"/>
            <w:noWrap w:val="0"/>
            <w:tcMar>
              <w:top w:w="28" w:type="dxa"/>
              <w:left w:w="57" w:type="dxa"/>
              <w:bottom w:w="28" w:type="dxa"/>
              <w:right w:w="57" w:type="dxa"/>
            </w:tcMar>
            <w:vAlign w:val="center"/>
          </w:tcPr>
          <w:p w14:paraId="7D25A1F5">
            <w:pPr>
              <w:pStyle w:val="19"/>
              <w:bidi w:val="0"/>
              <w:rPr>
                <w:rFonts w:hint="default"/>
                <w:lang w:val="en-US" w:eastAsia="zh-CN"/>
              </w:rPr>
            </w:pPr>
            <w:r>
              <w:rPr>
                <w:rFonts w:hint="eastAsia"/>
                <w:lang w:val="en-US" w:eastAsia="zh-CN"/>
              </w:rPr>
              <w:t>3台</w:t>
            </w:r>
          </w:p>
        </w:tc>
        <w:tc>
          <w:tcPr>
            <w:tcW w:w="2105" w:type="pct"/>
            <w:noWrap w:val="0"/>
            <w:tcMar>
              <w:top w:w="28" w:type="dxa"/>
              <w:left w:w="57" w:type="dxa"/>
              <w:bottom w:w="28" w:type="dxa"/>
              <w:right w:w="57" w:type="dxa"/>
            </w:tcMar>
            <w:vAlign w:val="center"/>
          </w:tcPr>
          <w:p w14:paraId="37587643">
            <w:pPr>
              <w:pStyle w:val="19"/>
              <w:bidi w:val="0"/>
              <w:rPr>
                <w:rFonts w:hint="default"/>
                <w:lang w:val="en-US" w:eastAsia="zh-CN"/>
              </w:rPr>
            </w:pPr>
            <w:r>
              <w:rPr>
                <w:rFonts w:hint="eastAsia"/>
                <w:lang w:val="en-US" w:eastAsia="zh-CN"/>
              </w:rPr>
              <w:t>/</w:t>
            </w:r>
          </w:p>
        </w:tc>
      </w:tr>
      <w:tr w14:paraId="47DD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60170A89">
            <w:pPr>
              <w:pStyle w:val="19"/>
              <w:bidi w:val="0"/>
            </w:pPr>
          </w:p>
        </w:tc>
        <w:tc>
          <w:tcPr>
            <w:tcW w:w="470" w:type="pct"/>
            <w:gridSpan w:val="2"/>
            <w:vMerge w:val="continue"/>
            <w:noWrap w:val="0"/>
            <w:tcMar>
              <w:top w:w="28" w:type="dxa"/>
              <w:left w:w="57" w:type="dxa"/>
              <w:bottom w:w="28" w:type="dxa"/>
              <w:right w:w="57" w:type="dxa"/>
            </w:tcMar>
            <w:vAlign w:val="center"/>
          </w:tcPr>
          <w:p w14:paraId="50CB894F">
            <w:pPr>
              <w:pStyle w:val="19"/>
              <w:bidi w:val="0"/>
            </w:pPr>
          </w:p>
        </w:tc>
        <w:tc>
          <w:tcPr>
            <w:tcW w:w="1275" w:type="pct"/>
            <w:noWrap w:val="0"/>
            <w:tcMar>
              <w:top w:w="28" w:type="dxa"/>
              <w:left w:w="57" w:type="dxa"/>
              <w:bottom w:w="28" w:type="dxa"/>
              <w:right w:w="57" w:type="dxa"/>
            </w:tcMar>
            <w:vAlign w:val="center"/>
          </w:tcPr>
          <w:p w14:paraId="2C991C82">
            <w:pPr>
              <w:pStyle w:val="19"/>
              <w:bidi w:val="0"/>
            </w:pPr>
            <w:r>
              <w:rPr>
                <w:rFonts w:hint="eastAsia"/>
              </w:rPr>
              <w:t>猪场管理软件</w:t>
            </w:r>
          </w:p>
        </w:tc>
        <w:tc>
          <w:tcPr>
            <w:tcW w:w="740" w:type="pct"/>
            <w:noWrap w:val="0"/>
            <w:tcMar>
              <w:top w:w="28" w:type="dxa"/>
              <w:left w:w="57" w:type="dxa"/>
              <w:bottom w:w="28" w:type="dxa"/>
              <w:right w:w="57" w:type="dxa"/>
            </w:tcMar>
            <w:vAlign w:val="center"/>
          </w:tcPr>
          <w:p w14:paraId="02F40270">
            <w:pPr>
              <w:pStyle w:val="19"/>
              <w:bidi w:val="0"/>
            </w:pPr>
            <w:r>
              <w:rPr>
                <w:rFonts w:hint="eastAsia"/>
              </w:rPr>
              <w:t>1套</w:t>
            </w:r>
          </w:p>
        </w:tc>
        <w:tc>
          <w:tcPr>
            <w:tcW w:w="2105" w:type="pct"/>
            <w:noWrap w:val="0"/>
            <w:tcMar>
              <w:top w:w="28" w:type="dxa"/>
              <w:left w:w="57" w:type="dxa"/>
              <w:bottom w:w="28" w:type="dxa"/>
              <w:right w:w="57" w:type="dxa"/>
            </w:tcMar>
            <w:vAlign w:val="center"/>
          </w:tcPr>
          <w:p w14:paraId="62F4BEBD">
            <w:pPr>
              <w:pStyle w:val="19"/>
              <w:bidi w:val="0"/>
            </w:pPr>
            <w:r>
              <w:rPr>
                <w:rFonts w:hint="eastAsia"/>
              </w:rPr>
              <w:t>/</w:t>
            </w:r>
          </w:p>
        </w:tc>
      </w:tr>
      <w:tr w14:paraId="5A21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3F56FEC9">
            <w:pPr>
              <w:pStyle w:val="19"/>
              <w:bidi w:val="0"/>
            </w:pPr>
          </w:p>
        </w:tc>
        <w:tc>
          <w:tcPr>
            <w:tcW w:w="470" w:type="pct"/>
            <w:gridSpan w:val="2"/>
            <w:vMerge w:val="continue"/>
            <w:noWrap w:val="0"/>
            <w:tcMar>
              <w:top w:w="28" w:type="dxa"/>
              <w:left w:w="57" w:type="dxa"/>
              <w:bottom w:w="28" w:type="dxa"/>
              <w:right w:w="57" w:type="dxa"/>
            </w:tcMar>
            <w:vAlign w:val="center"/>
          </w:tcPr>
          <w:p w14:paraId="3CD29687">
            <w:pPr>
              <w:pStyle w:val="19"/>
              <w:bidi w:val="0"/>
            </w:pPr>
          </w:p>
        </w:tc>
        <w:tc>
          <w:tcPr>
            <w:tcW w:w="1275" w:type="pct"/>
            <w:noWrap w:val="0"/>
            <w:tcMar>
              <w:top w:w="28" w:type="dxa"/>
              <w:left w:w="57" w:type="dxa"/>
              <w:bottom w:w="28" w:type="dxa"/>
              <w:right w:w="57" w:type="dxa"/>
            </w:tcMar>
            <w:vAlign w:val="center"/>
          </w:tcPr>
          <w:p w14:paraId="7DB830AC">
            <w:pPr>
              <w:pStyle w:val="19"/>
              <w:bidi w:val="0"/>
            </w:pPr>
            <w:r>
              <w:rPr>
                <w:rFonts w:hint="eastAsia"/>
              </w:rPr>
              <w:t>厂区监控系统</w:t>
            </w:r>
          </w:p>
        </w:tc>
        <w:tc>
          <w:tcPr>
            <w:tcW w:w="740" w:type="pct"/>
            <w:noWrap w:val="0"/>
            <w:tcMar>
              <w:top w:w="28" w:type="dxa"/>
              <w:left w:w="57" w:type="dxa"/>
              <w:bottom w:w="28" w:type="dxa"/>
              <w:right w:w="57" w:type="dxa"/>
            </w:tcMar>
            <w:vAlign w:val="center"/>
          </w:tcPr>
          <w:p w14:paraId="7223962F">
            <w:pPr>
              <w:pStyle w:val="19"/>
              <w:bidi w:val="0"/>
            </w:pPr>
            <w:r>
              <w:rPr>
                <w:rFonts w:hint="eastAsia"/>
                <w:lang w:val="en-US" w:eastAsia="zh-CN"/>
              </w:rPr>
              <w:t>4</w:t>
            </w:r>
            <w:r>
              <w:rPr>
                <w:rFonts w:hint="eastAsia"/>
              </w:rPr>
              <w:t>套</w:t>
            </w:r>
          </w:p>
        </w:tc>
        <w:tc>
          <w:tcPr>
            <w:tcW w:w="2105" w:type="pct"/>
            <w:noWrap w:val="0"/>
            <w:tcMar>
              <w:top w:w="28" w:type="dxa"/>
              <w:left w:w="57" w:type="dxa"/>
              <w:bottom w:w="28" w:type="dxa"/>
              <w:right w:w="57" w:type="dxa"/>
            </w:tcMar>
            <w:vAlign w:val="center"/>
          </w:tcPr>
          <w:p w14:paraId="3C6D01CF">
            <w:pPr>
              <w:pStyle w:val="19"/>
              <w:bidi w:val="0"/>
            </w:pPr>
            <w:r>
              <w:rPr>
                <w:rFonts w:hint="eastAsia"/>
              </w:rPr>
              <w:t>/</w:t>
            </w:r>
          </w:p>
        </w:tc>
      </w:tr>
      <w:tr w14:paraId="0C15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restart"/>
            <w:noWrap w:val="0"/>
            <w:tcMar>
              <w:top w:w="28" w:type="dxa"/>
              <w:left w:w="57" w:type="dxa"/>
              <w:bottom w:w="28" w:type="dxa"/>
              <w:right w:w="57" w:type="dxa"/>
            </w:tcMar>
            <w:vAlign w:val="center"/>
          </w:tcPr>
          <w:p w14:paraId="650CFDEE">
            <w:pPr>
              <w:pStyle w:val="19"/>
              <w:bidi w:val="0"/>
            </w:pPr>
            <w:r>
              <w:rPr>
                <w:rFonts w:hint="eastAsia"/>
              </w:rPr>
              <w:t>3</w:t>
            </w:r>
          </w:p>
        </w:tc>
        <w:tc>
          <w:tcPr>
            <w:tcW w:w="470" w:type="pct"/>
            <w:gridSpan w:val="2"/>
            <w:vMerge w:val="restart"/>
            <w:noWrap w:val="0"/>
            <w:tcMar>
              <w:top w:w="28" w:type="dxa"/>
              <w:left w:w="57" w:type="dxa"/>
              <w:bottom w:w="28" w:type="dxa"/>
              <w:right w:w="57" w:type="dxa"/>
            </w:tcMar>
            <w:vAlign w:val="center"/>
          </w:tcPr>
          <w:p w14:paraId="5AFCAA5F">
            <w:pPr>
              <w:pStyle w:val="19"/>
              <w:bidi w:val="0"/>
            </w:pPr>
            <w:r>
              <w:rPr>
                <w:rFonts w:hint="eastAsia"/>
              </w:rPr>
              <w:t>环保设备</w:t>
            </w:r>
          </w:p>
        </w:tc>
        <w:tc>
          <w:tcPr>
            <w:tcW w:w="1275" w:type="pct"/>
            <w:noWrap w:val="0"/>
            <w:tcMar>
              <w:top w:w="28" w:type="dxa"/>
              <w:left w:w="57" w:type="dxa"/>
              <w:bottom w:w="28" w:type="dxa"/>
              <w:right w:w="57" w:type="dxa"/>
            </w:tcMar>
            <w:vAlign w:val="center"/>
          </w:tcPr>
          <w:p w14:paraId="66E74A47">
            <w:pPr>
              <w:pStyle w:val="19"/>
              <w:bidi w:val="0"/>
            </w:pPr>
            <w:r>
              <w:rPr>
                <w:rFonts w:hint="eastAsia"/>
              </w:rPr>
              <w:t>固液分离机</w:t>
            </w:r>
          </w:p>
        </w:tc>
        <w:tc>
          <w:tcPr>
            <w:tcW w:w="740" w:type="pct"/>
            <w:noWrap w:val="0"/>
            <w:tcMar>
              <w:top w:w="28" w:type="dxa"/>
              <w:left w:w="57" w:type="dxa"/>
              <w:bottom w:w="28" w:type="dxa"/>
              <w:right w:w="57" w:type="dxa"/>
            </w:tcMar>
            <w:vAlign w:val="center"/>
          </w:tcPr>
          <w:p w14:paraId="622DAFEC">
            <w:pPr>
              <w:pStyle w:val="19"/>
              <w:bidi w:val="0"/>
            </w:pPr>
            <w:r>
              <w:rPr>
                <w:rFonts w:hint="eastAsia"/>
                <w:lang w:val="en-US" w:eastAsia="zh-CN"/>
              </w:rPr>
              <w:t>4</w:t>
            </w:r>
            <w:r>
              <w:rPr>
                <w:rFonts w:hint="eastAsia"/>
              </w:rPr>
              <w:t>套</w:t>
            </w:r>
          </w:p>
        </w:tc>
        <w:tc>
          <w:tcPr>
            <w:tcW w:w="2105" w:type="pct"/>
            <w:noWrap w:val="0"/>
            <w:tcMar>
              <w:top w:w="28" w:type="dxa"/>
              <w:left w:w="57" w:type="dxa"/>
              <w:bottom w:w="28" w:type="dxa"/>
              <w:right w:w="57" w:type="dxa"/>
            </w:tcMar>
            <w:vAlign w:val="center"/>
          </w:tcPr>
          <w:p w14:paraId="7A6413EE">
            <w:pPr>
              <w:pStyle w:val="19"/>
              <w:bidi w:val="0"/>
            </w:pPr>
            <w:r>
              <w:rPr>
                <w:rFonts w:hint="eastAsia"/>
              </w:rPr>
              <w:t>/</w:t>
            </w:r>
          </w:p>
        </w:tc>
      </w:tr>
      <w:tr w14:paraId="0AB3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42DCD7C6">
            <w:pPr>
              <w:pStyle w:val="19"/>
              <w:bidi w:val="0"/>
            </w:pPr>
          </w:p>
        </w:tc>
        <w:tc>
          <w:tcPr>
            <w:tcW w:w="470" w:type="pct"/>
            <w:gridSpan w:val="2"/>
            <w:vMerge w:val="continue"/>
            <w:noWrap w:val="0"/>
            <w:tcMar>
              <w:top w:w="28" w:type="dxa"/>
              <w:left w:w="57" w:type="dxa"/>
              <w:bottom w:w="28" w:type="dxa"/>
              <w:right w:w="57" w:type="dxa"/>
            </w:tcMar>
            <w:vAlign w:val="center"/>
          </w:tcPr>
          <w:p w14:paraId="61418E4D">
            <w:pPr>
              <w:pStyle w:val="19"/>
              <w:bidi w:val="0"/>
            </w:pPr>
          </w:p>
        </w:tc>
        <w:tc>
          <w:tcPr>
            <w:tcW w:w="1275" w:type="pct"/>
            <w:noWrap w:val="0"/>
            <w:tcMar>
              <w:top w:w="28" w:type="dxa"/>
              <w:left w:w="57" w:type="dxa"/>
              <w:bottom w:w="28" w:type="dxa"/>
              <w:right w:w="57" w:type="dxa"/>
            </w:tcMar>
            <w:vAlign w:val="center"/>
          </w:tcPr>
          <w:p w14:paraId="7A2F4F68">
            <w:pPr>
              <w:pStyle w:val="19"/>
              <w:bidi w:val="0"/>
            </w:pPr>
            <w:r>
              <w:rPr>
                <w:rFonts w:hint="eastAsia"/>
              </w:rPr>
              <w:t>粪污运输车辆</w:t>
            </w:r>
          </w:p>
        </w:tc>
        <w:tc>
          <w:tcPr>
            <w:tcW w:w="740" w:type="pct"/>
            <w:noWrap w:val="0"/>
            <w:tcMar>
              <w:top w:w="28" w:type="dxa"/>
              <w:left w:w="57" w:type="dxa"/>
              <w:bottom w:w="28" w:type="dxa"/>
              <w:right w:w="57" w:type="dxa"/>
            </w:tcMar>
            <w:vAlign w:val="center"/>
          </w:tcPr>
          <w:p w14:paraId="21C5AF19">
            <w:pPr>
              <w:pStyle w:val="19"/>
              <w:bidi w:val="0"/>
              <w:rPr>
                <w:rFonts w:hint="eastAsia" w:eastAsia="宋体"/>
                <w:lang w:eastAsia="zh-CN"/>
              </w:rPr>
            </w:pPr>
            <w:r>
              <w:rPr>
                <w:rFonts w:hint="eastAsia"/>
                <w:lang w:val="en-US" w:eastAsia="zh-CN"/>
              </w:rPr>
              <w:t>4辆</w:t>
            </w:r>
          </w:p>
        </w:tc>
        <w:tc>
          <w:tcPr>
            <w:tcW w:w="2105" w:type="pct"/>
            <w:noWrap w:val="0"/>
            <w:tcMar>
              <w:top w:w="28" w:type="dxa"/>
              <w:left w:w="57" w:type="dxa"/>
              <w:bottom w:w="28" w:type="dxa"/>
              <w:right w:w="57" w:type="dxa"/>
            </w:tcMar>
            <w:vAlign w:val="center"/>
          </w:tcPr>
          <w:p w14:paraId="3B09AD95">
            <w:pPr>
              <w:pStyle w:val="19"/>
              <w:bidi w:val="0"/>
            </w:pPr>
            <w:r>
              <w:rPr>
                <w:rFonts w:hint="eastAsia"/>
              </w:rPr>
              <w:t>/</w:t>
            </w:r>
          </w:p>
        </w:tc>
      </w:tr>
      <w:tr w14:paraId="251C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continue"/>
            <w:noWrap w:val="0"/>
            <w:tcMar>
              <w:top w:w="28" w:type="dxa"/>
              <w:left w:w="57" w:type="dxa"/>
              <w:bottom w:w="28" w:type="dxa"/>
              <w:right w:w="57" w:type="dxa"/>
            </w:tcMar>
            <w:vAlign w:val="center"/>
          </w:tcPr>
          <w:p w14:paraId="75CFB270">
            <w:pPr>
              <w:pStyle w:val="19"/>
              <w:bidi w:val="0"/>
            </w:pPr>
          </w:p>
        </w:tc>
        <w:tc>
          <w:tcPr>
            <w:tcW w:w="470" w:type="pct"/>
            <w:gridSpan w:val="2"/>
            <w:vMerge w:val="continue"/>
            <w:noWrap w:val="0"/>
            <w:tcMar>
              <w:top w:w="28" w:type="dxa"/>
              <w:left w:w="57" w:type="dxa"/>
              <w:bottom w:w="28" w:type="dxa"/>
              <w:right w:w="57" w:type="dxa"/>
            </w:tcMar>
            <w:vAlign w:val="center"/>
          </w:tcPr>
          <w:p w14:paraId="0392E20C">
            <w:pPr>
              <w:pStyle w:val="19"/>
              <w:bidi w:val="0"/>
            </w:pPr>
          </w:p>
        </w:tc>
        <w:tc>
          <w:tcPr>
            <w:tcW w:w="1275" w:type="pct"/>
            <w:noWrap w:val="0"/>
            <w:tcMar>
              <w:top w:w="28" w:type="dxa"/>
              <w:left w:w="57" w:type="dxa"/>
              <w:bottom w:w="28" w:type="dxa"/>
              <w:right w:w="57" w:type="dxa"/>
            </w:tcMar>
            <w:vAlign w:val="center"/>
          </w:tcPr>
          <w:p w14:paraId="409350F3">
            <w:pPr>
              <w:pStyle w:val="19"/>
              <w:bidi w:val="0"/>
            </w:pPr>
            <w:r>
              <w:rPr>
                <w:rFonts w:hint="eastAsia"/>
              </w:rPr>
              <w:t>粪漏地板</w:t>
            </w:r>
          </w:p>
        </w:tc>
        <w:tc>
          <w:tcPr>
            <w:tcW w:w="740" w:type="pct"/>
            <w:noWrap w:val="0"/>
            <w:tcMar>
              <w:top w:w="28" w:type="dxa"/>
              <w:left w:w="57" w:type="dxa"/>
              <w:bottom w:w="28" w:type="dxa"/>
              <w:right w:w="57" w:type="dxa"/>
            </w:tcMar>
            <w:vAlign w:val="center"/>
          </w:tcPr>
          <w:p w14:paraId="0ED84E99">
            <w:pPr>
              <w:pStyle w:val="19"/>
              <w:bidi w:val="0"/>
            </w:pPr>
            <w:r>
              <w:rPr>
                <w:rFonts w:hint="eastAsia"/>
              </w:rPr>
              <w:t>漏粪板约为</w:t>
            </w:r>
            <w:r>
              <w:rPr>
                <w:rFonts w:hint="eastAsia"/>
                <w:lang w:val="en-US" w:eastAsia="zh-CN"/>
              </w:rPr>
              <w:t>21200</w:t>
            </w:r>
            <w:r>
              <w:rPr>
                <w:rFonts w:hint="eastAsia"/>
              </w:rPr>
              <w:t>块</w:t>
            </w:r>
          </w:p>
        </w:tc>
        <w:tc>
          <w:tcPr>
            <w:tcW w:w="2105" w:type="pct"/>
            <w:noWrap w:val="0"/>
            <w:tcMar>
              <w:top w:w="28" w:type="dxa"/>
              <w:left w:w="57" w:type="dxa"/>
              <w:bottom w:w="28" w:type="dxa"/>
              <w:right w:w="57" w:type="dxa"/>
            </w:tcMar>
            <w:vAlign w:val="center"/>
          </w:tcPr>
          <w:p w14:paraId="540B195F">
            <w:pPr>
              <w:pStyle w:val="19"/>
              <w:bidi w:val="0"/>
            </w:pPr>
            <w:r>
              <w:rPr>
                <w:rFonts w:hint="eastAsia"/>
              </w:rPr>
              <w:t>全粪漏</w:t>
            </w:r>
          </w:p>
        </w:tc>
      </w:tr>
    </w:tbl>
    <w:p w14:paraId="523BD9F2">
      <w:pPr>
        <w:pStyle w:val="27"/>
        <w:bidi w:val="0"/>
        <w:rPr>
          <w:rFonts w:hint="default"/>
          <w:lang w:val="en-US" w:eastAsia="zh-CN"/>
        </w:rPr>
      </w:pPr>
      <w:r>
        <w:rPr>
          <w:rFonts w:hint="eastAsia"/>
          <w:lang w:val="en-US" w:eastAsia="zh-CN"/>
        </w:rPr>
        <w:t>公用工程</w:t>
      </w:r>
    </w:p>
    <w:p w14:paraId="78438CD8">
      <w:pPr>
        <w:pStyle w:val="28"/>
        <w:bidi w:val="0"/>
        <w:rPr>
          <w:rFonts w:hint="default"/>
          <w:lang w:val="en-US" w:eastAsia="zh-CN"/>
        </w:rPr>
      </w:pPr>
      <w:r>
        <w:rPr>
          <w:rFonts w:hint="eastAsia"/>
          <w:lang w:val="en-US" w:eastAsia="zh-CN"/>
        </w:rPr>
        <w:t>供水</w:t>
      </w:r>
    </w:p>
    <w:p w14:paraId="4B3E7466">
      <w:pPr>
        <w:bidi w:val="0"/>
        <w:rPr>
          <w:rFonts w:hint="eastAsia"/>
          <w:lang w:val="en-US" w:eastAsia="zh-CN"/>
        </w:rPr>
      </w:pPr>
      <w:r>
        <w:rPr>
          <w:rFonts w:hint="eastAsia"/>
          <w:lang w:val="en-US" w:eastAsia="zh-CN"/>
        </w:rPr>
        <w:t>本项目供水由</w:t>
      </w:r>
      <w:r>
        <w:rPr>
          <w:rFonts w:hint="eastAsia"/>
          <w:highlight w:val="none"/>
          <w:lang w:val="en-US" w:eastAsia="zh-CN"/>
        </w:rPr>
        <w:t>129团13连公共井提供</w:t>
      </w:r>
      <w:r>
        <w:rPr>
          <w:rFonts w:hint="eastAsia"/>
          <w:lang w:val="en-US" w:eastAsia="zh-CN"/>
        </w:rPr>
        <w:t>，此公共井已建设有水泵房1座，本项目用水直接接管即可，用水单元主要包括职工生活用水、生猪饮用水、猪舍清洗用水、猪舍降温用水、消毒液以及除臭剂配制用水。</w:t>
      </w:r>
    </w:p>
    <w:p w14:paraId="7CEB146A">
      <w:pPr>
        <w:numPr>
          <w:ilvl w:val="0"/>
          <w:numId w:val="9"/>
        </w:numPr>
        <w:bidi w:val="0"/>
        <w:rPr>
          <w:rFonts w:hint="eastAsia"/>
          <w:lang w:val="en-US" w:eastAsia="zh-CN"/>
        </w:rPr>
      </w:pPr>
      <w:r>
        <w:rPr>
          <w:rFonts w:hint="eastAsia"/>
          <w:lang w:val="en-US" w:eastAsia="zh-CN"/>
        </w:rPr>
        <w:t>职工生活用水</w:t>
      </w:r>
    </w:p>
    <w:p w14:paraId="1B342D80">
      <w:pPr>
        <w:bidi w:val="0"/>
        <w:rPr>
          <w:rFonts w:hint="default"/>
          <w:lang w:val="en-US" w:eastAsia="zh-CN"/>
        </w:rPr>
      </w:pPr>
      <w:r>
        <w:rPr>
          <w:rFonts w:hint="default"/>
          <w:lang w:val="en-US" w:eastAsia="zh-CN"/>
        </w:rPr>
        <w:t>本项目劳动定员</w:t>
      </w:r>
      <w:r>
        <w:rPr>
          <w:rFonts w:hint="eastAsia"/>
          <w:lang w:val="en-US" w:eastAsia="zh-CN"/>
        </w:rPr>
        <w:t>30</w:t>
      </w:r>
      <w:r>
        <w:rPr>
          <w:rFonts w:hint="default"/>
          <w:lang w:val="en-US" w:eastAsia="zh-CN"/>
        </w:rPr>
        <w:t>人，年工作时间为</w:t>
      </w:r>
      <w:r>
        <w:rPr>
          <w:rFonts w:hint="eastAsia"/>
          <w:lang w:val="en-US" w:eastAsia="zh-CN"/>
        </w:rPr>
        <w:t>365</w:t>
      </w:r>
      <w:r>
        <w:rPr>
          <w:rFonts w:hint="default"/>
          <w:lang w:val="en-US" w:eastAsia="zh-CN"/>
        </w:rPr>
        <w:t>天，生活区内设置洗浴间，根据《建筑给水排水设计标准》（GB50015-2019），职工生活用水定额按120L/（人·d）计，则生活用水量为</w:t>
      </w:r>
      <w:r>
        <w:rPr>
          <w:rFonts w:hint="eastAsia"/>
          <w:lang w:val="en-US" w:eastAsia="zh-CN"/>
        </w:rPr>
        <w:t>3.6</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1314</w:t>
      </w:r>
      <w:r>
        <w:rPr>
          <w:rFonts w:hint="default"/>
          <w:lang w:val="en-US" w:eastAsia="zh-CN"/>
        </w:rPr>
        <w:t>m</w:t>
      </w:r>
      <w:r>
        <w:rPr>
          <w:rFonts w:hint="default"/>
          <w:vertAlign w:val="superscript"/>
          <w:lang w:val="en-US" w:eastAsia="zh-CN"/>
        </w:rPr>
        <w:t>3</w:t>
      </w:r>
      <w:r>
        <w:rPr>
          <w:rFonts w:hint="default"/>
          <w:lang w:val="en-US" w:eastAsia="zh-CN"/>
        </w:rPr>
        <w:t>/a。</w:t>
      </w:r>
    </w:p>
    <w:p w14:paraId="4D2DAE3F">
      <w:pPr>
        <w:rPr>
          <w:rFonts w:hint="default"/>
          <w:lang w:val="en-US" w:eastAsia="zh-CN"/>
        </w:rPr>
      </w:pPr>
      <w:r>
        <w:rPr>
          <w:rFonts w:hint="eastAsia"/>
          <w:lang w:val="en-US" w:eastAsia="zh-CN"/>
        </w:rPr>
        <w:t>（2）生猪饮水</w:t>
      </w:r>
    </w:p>
    <w:p w14:paraId="11DFE0A5">
      <w:pPr>
        <w:bidi w:val="0"/>
        <w:rPr>
          <w:rFonts w:hint="default"/>
          <w:lang w:val="en-US" w:eastAsia="zh-CN"/>
        </w:rPr>
      </w:pPr>
      <w:r>
        <w:rPr>
          <w:rFonts w:hint="default"/>
          <w:lang w:val="en-US" w:eastAsia="zh-CN"/>
        </w:rPr>
        <w:t>根据《生猪养殖饮用水及排水数据定额》，结合新疆泰昆集团有限责任公司已投入运营的种猪育肥场猪只饮用水的实际情况，本项目投入运营后存栏猪</w:t>
      </w:r>
      <w:r>
        <w:rPr>
          <w:rFonts w:hint="eastAsia"/>
          <w:lang w:val="en-US" w:eastAsia="zh-CN"/>
        </w:rPr>
        <w:t>5.0</w:t>
      </w:r>
      <w:r>
        <w:rPr>
          <w:rFonts w:hint="default"/>
          <w:lang w:val="en-US" w:eastAsia="zh-CN"/>
        </w:rPr>
        <w:t>万头</w:t>
      </w:r>
      <w:r>
        <w:rPr>
          <w:rFonts w:hint="eastAsia"/>
          <w:lang w:val="en-US" w:eastAsia="zh-CN"/>
        </w:rPr>
        <w:t>，</w:t>
      </w:r>
      <w:r>
        <w:rPr>
          <w:rFonts w:hint="default"/>
          <w:lang w:val="en-US" w:eastAsia="zh-CN"/>
        </w:rPr>
        <w:t>本工程种猪饮水情况见表3.</w:t>
      </w:r>
      <w:r>
        <w:rPr>
          <w:rFonts w:hint="eastAsia"/>
          <w:lang w:val="en-US" w:eastAsia="zh-CN"/>
        </w:rPr>
        <w:t>1</w:t>
      </w:r>
      <w:r>
        <w:rPr>
          <w:rFonts w:hint="default"/>
          <w:lang w:val="en-US" w:eastAsia="zh-CN"/>
        </w:rPr>
        <w:t>-</w:t>
      </w:r>
      <w:r>
        <w:rPr>
          <w:rFonts w:hint="eastAsia"/>
          <w:lang w:val="en-US" w:eastAsia="zh-CN"/>
        </w:rPr>
        <w:t>5</w:t>
      </w:r>
      <w:r>
        <w:rPr>
          <w:rFonts w:hint="default"/>
          <w:lang w:val="en-US" w:eastAsia="zh-CN"/>
        </w:rPr>
        <w:t>。</w:t>
      </w:r>
    </w:p>
    <w:p w14:paraId="0562998E">
      <w:pPr>
        <w:pStyle w:val="30"/>
        <w:bidi w:val="0"/>
      </w:pPr>
      <w:r>
        <w:t>表</w:t>
      </w:r>
      <w:r>
        <w:rPr>
          <w:rFonts w:hint="eastAsia"/>
        </w:rPr>
        <w:t>3.</w:t>
      </w:r>
      <w:r>
        <w:rPr>
          <w:rFonts w:hint="eastAsia"/>
          <w:lang w:val="en-US" w:eastAsia="zh-CN"/>
        </w:rPr>
        <w:t>1</w:t>
      </w:r>
      <w:r>
        <w:rPr>
          <w:rFonts w:hint="eastAsia"/>
        </w:rPr>
        <w:t>-</w:t>
      </w:r>
      <w:r>
        <w:rPr>
          <w:rFonts w:hint="eastAsia"/>
          <w:lang w:val="en-US" w:eastAsia="zh-CN"/>
        </w:rPr>
        <w:t xml:space="preserve">5 </w:t>
      </w:r>
      <w:r>
        <w:t xml:space="preserve"> </w:t>
      </w:r>
      <w:r>
        <w:rPr>
          <w:rFonts w:hint="eastAsia"/>
          <w:lang w:val="en-US" w:eastAsia="zh-CN"/>
        </w:rPr>
        <w:t xml:space="preserve"> </w:t>
      </w:r>
      <w:r>
        <w:t>项目主要设备</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474"/>
        <w:gridCol w:w="1482"/>
        <w:gridCol w:w="1472"/>
        <w:gridCol w:w="1472"/>
        <w:gridCol w:w="1149"/>
      </w:tblGrid>
      <w:tr w14:paraId="5647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28" w:type="pct"/>
            <w:gridSpan w:val="2"/>
            <w:vAlign w:val="center"/>
          </w:tcPr>
          <w:p w14:paraId="751B2FA7">
            <w:pPr>
              <w:pStyle w:val="19"/>
              <w:bidi w:val="0"/>
            </w:pPr>
            <w:r>
              <w:t>用水定额（m</w:t>
            </w:r>
            <w:r>
              <w:rPr>
                <w:vertAlign w:val="superscript"/>
              </w:rPr>
              <w:t>3</w:t>
            </w:r>
            <w:r>
              <w:t>/百头·d）</w:t>
            </w:r>
          </w:p>
        </w:tc>
        <w:tc>
          <w:tcPr>
            <w:tcW w:w="870" w:type="pct"/>
            <w:vMerge w:val="restart"/>
            <w:vAlign w:val="center"/>
          </w:tcPr>
          <w:p w14:paraId="2B0848FB">
            <w:pPr>
              <w:pStyle w:val="19"/>
              <w:bidi w:val="0"/>
            </w:pPr>
            <w:r>
              <w:t>用水单位</w:t>
            </w:r>
          </w:p>
          <w:p w14:paraId="7BC0FA88">
            <w:pPr>
              <w:pStyle w:val="19"/>
              <w:bidi w:val="0"/>
            </w:pPr>
            <w:r>
              <w:t>（万头）</w:t>
            </w:r>
          </w:p>
        </w:tc>
        <w:tc>
          <w:tcPr>
            <w:tcW w:w="2401" w:type="pct"/>
            <w:gridSpan w:val="3"/>
            <w:vAlign w:val="center"/>
          </w:tcPr>
          <w:p w14:paraId="1814CF66">
            <w:pPr>
              <w:pStyle w:val="19"/>
              <w:bidi w:val="0"/>
            </w:pPr>
            <w:r>
              <w:t>饮水量（万m</w:t>
            </w:r>
            <w:r>
              <w:rPr>
                <w:vertAlign w:val="superscript"/>
              </w:rPr>
              <w:t>3</w:t>
            </w:r>
            <w:r>
              <w:t>/a）</w:t>
            </w:r>
          </w:p>
        </w:tc>
      </w:tr>
      <w:tr w14:paraId="78CF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Align w:val="center"/>
          </w:tcPr>
          <w:p w14:paraId="385C7B6C">
            <w:pPr>
              <w:pStyle w:val="19"/>
              <w:bidi w:val="0"/>
            </w:pPr>
            <w:r>
              <w:t>夏季</w:t>
            </w:r>
          </w:p>
        </w:tc>
        <w:tc>
          <w:tcPr>
            <w:tcW w:w="864" w:type="pct"/>
            <w:vAlign w:val="center"/>
          </w:tcPr>
          <w:p w14:paraId="7B0E7A1C">
            <w:pPr>
              <w:pStyle w:val="19"/>
              <w:bidi w:val="0"/>
            </w:pPr>
            <w:r>
              <w:t>其他季节</w:t>
            </w:r>
          </w:p>
        </w:tc>
        <w:tc>
          <w:tcPr>
            <w:tcW w:w="870" w:type="pct"/>
            <w:vMerge w:val="continue"/>
            <w:vAlign w:val="center"/>
          </w:tcPr>
          <w:p w14:paraId="06019FDD">
            <w:pPr>
              <w:pStyle w:val="19"/>
              <w:bidi w:val="0"/>
            </w:pPr>
          </w:p>
        </w:tc>
        <w:tc>
          <w:tcPr>
            <w:tcW w:w="864" w:type="pct"/>
            <w:vAlign w:val="center"/>
          </w:tcPr>
          <w:p w14:paraId="33FF4D96">
            <w:pPr>
              <w:pStyle w:val="19"/>
              <w:bidi w:val="0"/>
            </w:pPr>
            <w:r>
              <w:t>夏季</w:t>
            </w:r>
          </w:p>
        </w:tc>
        <w:tc>
          <w:tcPr>
            <w:tcW w:w="864" w:type="pct"/>
            <w:vAlign w:val="center"/>
          </w:tcPr>
          <w:p w14:paraId="4B10C026">
            <w:pPr>
              <w:pStyle w:val="19"/>
              <w:bidi w:val="0"/>
            </w:pPr>
            <w:r>
              <w:t>其他季节</w:t>
            </w:r>
          </w:p>
        </w:tc>
        <w:tc>
          <w:tcPr>
            <w:tcW w:w="673" w:type="pct"/>
            <w:vAlign w:val="center"/>
          </w:tcPr>
          <w:p w14:paraId="5D718C54">
            <w:pPr>
              <w:pStyle w:val="19"/>
              <w:bidi w:val="0"/>
            </w:pPr>
            <w:r>
              <w:t>合计</w:t>
            </w:r>
          </w:p>
        </w:tc>
      </w:tr>
      <w:tr w14:paraId="1FD7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Align w:val="center"/>
          </w:tcPr>
          <w:p w14:paraId="20C7FFD1">
            <w:pPr>
              <w:pStyle w:val="19"/>
              <w:bidi w:val="0"/>
            </w:pPr>
            <w:r>
              <w:t>0.83</w:t>
            </w:r>
          </w:p>
        </w:tc>
        <w:tc>
          <w:tcPr>
            <w:tcW w:w="864" w:type="pct"/>
            <w:vAlign w:val="center"/>
          </w:tcPr>
          <w:p w14:paraId="5828F5B5">
            <w:pPr>
              <w:pStyle w:val="19"/>
              <w:bidi w:val="0"/>
            </w:pPr>
            <w:r>
              <w:t>0.56</w:t>
            </w:r>
          </w:p>
        </w:tc>
        <w:tc>
          <w:tcPr>
            <w:tcW w:w="870" w:type="pct"/>
            <w:vAlign w:val="center"/>
          </w:tcPr>
          <w:p w14:paraId="75C88158">
            <w:pPr>
              <w:pStyle w:val="19"/>
              <w:bidi w:val="0"/>
              <w:rPr>
                <w:rFonts w:hint="default" w:eastAsia="宋体"/>
                <w:lang w:val="en-US" w:eastAsia="zh-CN"/>
              </w:rPr>
            </w:pPr>
            <w:r>
              <w:rPr>
                <w:rFonts w:hint="eastAsia"/>
                <w:lang w:val="en-US" w:eastAsia="zh-CN"/>
              </w:rPr>
              <w:t>5.0</w:t>
            </w:r>
          </w:p>
        </w:tc>
        <w:tc>
          <w:tcPr>
            <w:tcW w:w="864" w:type="pct"/>
            <w:vAlign w:val="center"/>
          </w:tcPr>
          <w:p w14:paraId="55410484">
            <w:pPr>
              <w:pStyle w:val="19"/>
              <w:bidi w:val="0"/>
              <w:rPr>
                <w:rFonts w:hint="default"/>
                <w:lang w:val="en-US" w:eastAsia="zh-CN"/>
              </w:rPr>
            </w:pPr>
            <w:r>
              <w:rPr>
                <w:rFonts w:hint="eastAsia"/>
                <w:lang w:val="en-US" w:eastAsia="zh-CN"/>
              </w:rPr>
              <w:t>4.15</w:t>
            </w:r>
          </w:p>
        </w:tc>
        <w:tc>
          <w:tcPr>
            <w:tcW w:w="864" w:type="pct"/>
            <w:vAlign w:val="center"/>
          </w:tcPr>
          <w:p w14:paraId="10EF3D08">
            <w:pPr>
              <w:pStyle w:val="19"/>
              <w:bidi w:val="0"/>
              <w:rPr>
                <w:rFonts w:hint="default"/>
                <w:lang w:val="en-US" w:eastAsia="zh-CN"/>
              </w:rPr>
            </w:pPr>
            <w:r>
              <w:rPr>
                <w:rFonts w:hint="eastAsia"/>
                <w:lang w:val="en-US" w:eastAsia="zh-CN"/>
              </w:rPr>
              <w:t>7.42</w:t>
            </w:r>
          </w:p>
        </w:tc>
        <w:tc>
          <w:tcPr>
            <w:tcW w:w="673" w:type="pct"/>
            <w:vAlign w:val="center"/>
          </w:tcPr>
          <w:p w14:paraId="44B73D83">
            <w:pPr>
              <w:pStyle w:val="19"/>
              <w:bidi w:val="0"/>
              <w:rPr>
                <w:rFonts w:hint="default"/>
                <w:lang w:val="en-US" w:eastAsia="zh-CN"/>
              </w:rPr>
            </w:pPr>
            <w:r>
              <w:rPr>
                <w:rFonts w:hint="eastAsia"/>
                <w:lang w:val="en-US" w:eastAsia="zh-CN"/>
              </w:rPr>
              <w:t>11.57</w:t>
            </w:r>
          </w:p>
        </w:tc>
      </w:tr>
      <w:tr w14:paraId="266D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18C2C6C5">
            <w:pPr>
              <w:pStyle w:val="19"/>
              <w:bidi w:val="0"/>
            </w:pPr>
            <w:r>
              <w:t>备注：</w:t>
            </w:r>
            <w:r>
              <w:rPr>
                <w:rFonts w:hint="eastAsia"/>
              </w:rPr>
              <w:t>本项目生产天数为3</w:t>
            </w:r>
            <w:r>
              <w:rPr>
                <w:rFonts w:hint="eastAsia"/>
                <w:lang w:val="en-US" w:eastAsia="zh-CN"/>
              </w:rPr>
              <w:t>65</w:t>
            </w:r>
            <w:r>
              <w:rPr>
                <w:rFonts w:hint="eastAsia"/>
              </w:rPr>
              <w:t>天，夏季按照100天算，</w:t>
            </w:r>
            <w:r>
              <w:t>其他季节</w:t>
            </w:r>
            <w:r>
              <w:rPr>
                <w:rFonts w:hint="eastAsia"/>
              </w:rPr>
              <w:t>按照</w:t>
            </w:r>
            <w:r>
              <w:rPr>
                <w:rFonts w:hint="eastAsia"/>
                <w:lang w:val="en-US" w:eastAsia="zh-CN"/>
              </w:rPr>
              <w:t>265</w:t>
            </w:r>
            <w:r>
              <w:rPr>
                <w:rFonts w:hint="eastAsia"/>
              </w:rPr>
              <w:t>天算</w:t>
            </w:r>
          </w:p>
        </w:tc>
      </w:tr>
    </w:tbl>
    <w:p w14:paraId="70C60AB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类比同行已投入运营的种猪育肥场，本项目猪饮水量</w:t>
      </w:r>
      <w:r>
        <w:rPr>
          <w:rFonts w:hint="eastAsia"/>
          <w:color w:val="000000" w:themeColor="text1"/>
          <w:highlight w:val="none"/>
          <w:lang w:val="en-US" w:eastAsia="zh-CN"/>
          <w14:textFill>
            <w14:solidFill>
              <w14:schemeClr w14:val="tx1"/>
            </w14:solidFill>
          </w14:textFill>
        </w:rPr>
        <w:t>11.57</w:t>
      </w:r>
      <w:r>
        <w:rPr>
          <w:rFonts w:hint="eastAsia"/>
          <w:color w:val="000000" w:themeColor="text1"/>
          <w:highlight w:val="none"/>
          <w14:textFill>
            <w14:solidFill>
              <w14:schemeClr w14:val="tx1"/>
            </w14:solidFill>
          </w14:textFill>
        </w:rPr>
        <w:t>万</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p>
    <w:p w14:paraId="7987C69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猪舍</w:t>
      </w:r>
      <w:r>
        <w:rPr>
          <w:color w:val="000000" w:themeColor="text1"/>
          <w:highlight w:val="none"/>
          <w14:textFill>
            <w14:solidFill>
              <w14:schemeClr w14:val="tx1"/>
            </w14:solidFill>
          </w14:textFill>
        </w:rPr>
        <w:t>冲洗用水</w:t>
      </w:r>
    </w:p>
    <w:p w14:paraId="051A03D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本项目采用干清粪工艺，粪便经漏缝地板</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虹吸管吸入集粪池，粪尿混合物用机械分离，先采用机械（人工辅助）清除猪舍粪便，以减少冲洗水用量，从而减少污水量的产生量。每栋</w:t>
      </w:r>
      <w:r>
        <w:rPr>
          <w:rFonts w:hint="eastAsia"/>
          <w:color w:val="000000" w:themeColor="text1"/>
          <w:highlight w:val="none"/>
          <w:lang w:val="en-US" w:eastAsia="zh-CN"/>
          <w14:textFill>
            <w14:solidFill>
              <w14:schemeClr w14:val="tx1"/>
            </w14:solidFill>
          </w14:textFill>
        </w:rPr>
        <w:t>育肥</w:t>
      </w:r>
      <w:r>
        <w:rPr>
          <w:rFonts w:hint="eastAsia"/>
          <w:color w:val="000000" w:themeColor="text1"/>
          <w:highlight w:val="none"/>
          <w14:textFill>
            <w14:solidFill>
              <w14:schemeClr w14:val="tx1"/>
            </w14:solidFill>
          </w14:textFill>
        </w:rPr>
        <w:t>舍</w:t>
      </w:r>
      <w:r>
        <w:rPr>
          <w:rFonts w:hint="eastAsia"/>
          <w:color w:val="000000" w:themeColor="text1"/>
          <w:highlight w:val="none"/>
          <w:lang w:val="en-US" w:eastAsia="zh-CN"/>
          <w14:textFill>
            <w14:solidFill>
              <w14:schemeClr w14:val="tx1"/>
            </w14:solidFill>
          </w14:textFill>
        </w:rPr>
        <w:t>冲洗频率是每月1次，</w:t>
      </w:r>
      <w:r>
        <w:rPr>
          <w:rFonts w:hint="eastAsia"/>
          <w:color w:val="000000" w:themeColor="text1"/>
          <w:highlight w:val="none"/>
          <w14:textFill>
            <w14:solidFill>
              <w14:schemeClr w14:val="tx1"/>
            </w14:solidFill>
          </w14:textFill>
        </w:rPr>
        <w:t>一年共冲洗</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次，本项目冲洗用水</w:t>
      </w:r>
      <w:r>
        <w:rPr>
          <w:color w:val="000000" w:themeColor="text1"/>
          <w:highlight w:val="none"/>
          <w14:textFill>
            <w14:solidFill>
              <w14:schemeClr w14:val="tx1"/>
            </w14:solidFill>
          </w14:textFill>
        </w:rPr>
        <w:t>量取2.5L/m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育肥舍占地面积为36000m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则本项目猪舍冲洗用水量为</w:t>
      </w:r>
      <w:r>
        <w:rPr>
          <w:rFonts w:hint="eastAsia"/>
          <w:color w:val="000000" w:themeColor="text1"/>
          <w:highlight w:val="none"/>
          <w:lang w:val="en-US" w:eastAsia="zh-CN"/>
          <w14:textFill>
            <w14:solidFill>
              <w14:schemeClr w14:val="tx1"/>
            </w14:solidFill>
          </w14:textFill>
        </w:rPr>
        <w:t>1080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p>
    <w:p w14:paraId="1C56895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本项目生猪转栏后需对猪舍进行冲洗，猪舍冲洗水用水量参数见表</w:t>
      </w: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p>
    <w:p w14:paraId="6C2EEA7E">
      <w:pPr>
        <w:pStyle w:val="30"/>
        <w:bidi w:val="0"/>
      </w:pPr>
      <w:r>
        <w:t>表</w:t>
      </w:r>
      <w:r>
        <w:rPr>
          <w:rFonts w:hint="eastAsia"/>
        </w:rPr>
        <w:t>3.</w:t>
      </w:r>
      <w:r>
        <w:rPr>
          <w:rFonts w:hint="eastAsia"/>
          <w:lang w:val="en-US" w:eastAsia="zh-CN"/>
        </w:rPr>
        <w:t>1</w:t>
      </w:r>
      <w:r>
        <w:rPr>
          <w:rFonts w:hint="eastAsia"/>
        </w:rPr>
        <w:t>-</w:t>
      </w:r>
      <w:r>
        <w:rPr>
          <w:rFonts w:hint="eastAsia"/>
          <w:lang w:val="en-US" w:eastAsia="zh-CN"/>
        </w:rPr>
        <w:t xml:space="preserve">6   </w:t>
      </w:r>
      <w:r>
        <w:t>猪舍冲洗用水量一览表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804"/>
        <w:gridCol w:w="1274"/>
        <w:gridCol w:w="1256"/>
        <w:gridCol w:w="1516"/>
        <w:gridCol w:w="1820"/>
      </w:tblGrid>
      <w:tr w14:paraId="0F56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pct"/>
            <w:vMerge w:val="restart"/>
            <w:vAlign w:val="center"/>
          </w:tcPr>
          <w:p w14:paraId="46E94EE0">
            <w:pPr>
              <w:pStyle w:val="19"/>
              <w:bidi w:val="0"/>
            </w:pPr>
            <w:r>
              <w:t>种类</w:t>
            </w:r>
          </w:p>
        </w:tc>
        <w:tc>
          <w:tcPr>
            <w:tcW w:w="472" w:type="pct"/>
            <w:vMerge w:val="restart"/>
            <w:vAlign w:val="center"/>
          </w:tcPr>
          <w:p w14:paraId="7F36E491">
            <w:pPr>
              <w:pStyle w:val="19"/>
              <w:bidi w:val="0"/>
            </w:pPr>
            <w:r>
              <w:rPr>
                <w:rFonts w:hint="eastAsia"/>
              </w:rPr>
              <w:t>猪舍数量</w:t>
            </w:r>
          </w:p>
        </w:tc>
        <w:tc>
          <w:tcPr>
            <w:tcW w:w="748" w:type="pct"/>
            <w:vMerge w:val="restart"/>
            <w:vAlign w:val="center"/>
          </w:tcPr>
          <w:p w14:paraId="0F074B84">
            <w:pPr>
              <w:pStyle w:val="19"/>
              <w:bidi w:val="0"/>
            </w:pPr>
            <w:r>
              <w:t>冲洗次数（次/a）</w:t>
            </w:r>
          </w:p>
        </w:tc>
        <w:tc>
          <w:tcPr>
            <w:tcW w:w="737" w:type="pct"/>
            <w:vMerge w:val="restart"/>
            <w:vAlign w:val="center"/>
          </w:tcPr>
          <w:p w14:paraId="16177DAF">
            <w:pPr>
              <w:pStyle w:val="19"/>
              <w:bidi w:val="0"/>
            </w:pPr>
            <w:r>
              <w:rPr>
                <w:rFonts w:hint="eastAsia"/>
              </w:rPr>
              <w:t>单个猪舍面积m</w:t>
            </w:r>
            <w:r>
              <w:rPr>
                <w:rFonts w:hint="eastAsia"/>
                <w:vertAlign w:val="superscript"/>
              </w:rPr>
              <w:t>2</w:t>
            </w:r>
          </w:p>
        </w:tc>
        <w:tc>
          <w:tcPr>
            <w:tcW w:w="890" w:type="pct"/>
            <w:vMerge w:val="restart"/>
            <w:vAlign w:val="center"/>
          </w:tcPr>
          <w:p w14:paraId="292BA0FA">
            <w:pPr>
              <w:pStyle w:val="19"/>
              <w:bidi w:val="0"/>
            </w:pPr>
            <w:r>
              <w:t>每次冲水量（</w:t>
            </w:r>
            <w:r>
              <w:rPr>
                <w:rFonts w:hint="eastAsia"/>
              </w:rPr>
              <w:t>m</w:t>
            </w:r>
            <w:r>
              <w:rPr>
                <w:rFonts w:hint="eastAsia"/>
                <w:vertAlign w:val="superscript"/>
                <w:lang w:val="en-US" w:eastAsia="zh-CN"/>
              </w:rPr>
              <w:t>3</w:t>
            </w:r>
            <w:r>
              <w:rPr>
                <w:rFonts w:hint="eastAsia"/>
              </w:rPr>
              <w:t>）</w:t>
            </w:r>
          </w:p>
        </w:tc>
        <w:tc>
          <w:tcPr>
            <w:tcW w:w="1065" w:type="pct"/>
            <w:vAlign w:val="center"/>
          </w:tcPr>
          <w:p w14:paraId="2278BEB0">
            <w:pPr>
              <w:pStyle w:val="19"/>
              <w:bidi w:val="0"/>
            </w:pPr>
            <w:r>
              <w:t>猪舍冲洗用水</w:t>
            </w:r>
          </w:p>
        </w:tc>
      </w:tr>
      <w:tr w14:paraId="19BB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pct"/>
            <w:vMerge w:val="continue"/>
            <w:vAlign w:val="center"/>
          </w:tcPr>
          <w:p w14:paraId="7975EDC3">
            <w:pPr>
              <w:pStyle w:val="19"/>
              <w:bidi w:val="0"/>
            </w:pPr>
          </w:p>
        </w:tc>
        <w:tc>
          <w:tcPr>
            <w:tcW w:w="472" w:type="pct"/>
            <w:vMerge w:val="continue"/>
            <w:vAlign w:val="center"/>
          </w:tcPr>
          <w:p w14:paraId="01A75F42">
            <w:pPr>
              <w:pStyle w:val="19"/>
              <w:bidi w:val="0"/>
            </w:pPr>
          </w:p>
        </w:tc>
        <w:tc>
          <w:tcPr>
            <w:tcW w:w="748" w:type="pct"/>
            <w:vMerge w:val="continue"/>
            <w:vAlign w:val="center"/>
          </w:tcPr>
          <w:p w14:paraId="04511739">
            <w:pPr>
              <w:pStyle w:val="19"/>
              <w:bidi w:val="0"/>
            </w:pPr>
          </w:p>
        </w:tc>
        <w:tc>
          <w:tcPr>
            <w:tcW w:w="737" w:type="pct"/>
            <w:vMerge w:val="continue"/>
            <w:vAlign w:val="center"/>
          </w:tcPr>
          <w:p w14:paraId="3BF0210A">
            <w:pPr>
              <w:pStyle w:val="19"/>
              <w:bidi w:val="0"/>
            </w:pPr>
          </w:p>
        </w:tc>
        <w:tc>
          <w:tcPr>
            <w:tcW w:w="890" w:type="pct"/>
            <w:vMerge w:val="continue"/>
            <w:vAlign w:val="center"/>
          </w:tcPr>
          <w:p w14:paraId="0912D8DB">
            <w:pPr>
              <w:pStyle w:val="19"/>
              <w:bidi w:val="0"/>
            </w:pPr>
          </w:p>
        </w:tc>
        <w:tc>
          <w:tcPr>
            <w:tcW w:w="1065" w:type="pct"/>
            <w:vAlign w:val="center"/>
          </w:tcPr>
          <w:p w14:paraId="21865FC0">
            <w:pPr>
              <w:pStyle w:val="19"/>
              <w:bidi w:val="0"/>
            </w:pPr>
            <w:r>
              <w:t>总量（m</w:t>
            </w:r>
            <w:r>
              <w:rPr>
                <w:vertAlign w:val="superscript"/>
              </w:rPr>
              <w:t>3</w:t>
            </w:r>
            <w:r>
              <w:t>/a）</w:t>
            </w:r>
          </w:p>
        </w:tc>
      </w:tr>
      <w:tr w14:paraId="6274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pct"/>
            <w:vAlign w:val="center"/>
          </w:tcPr>
          <w:p w14:paraId="0BFA926D">
            <w:pPr>
              <w:pStyle w:val="19"/>
              <w:bidi w:val="0"/>
            </w:pPr>
            <w:r>
              <w:t>保育育肥一体舍</w:t>
            </w:r>
          </w:p>
        </w:tc>
        <w:tc>
          <w:tcPr>
            <w:tcW w:w="472" w:type="pct"/>
            <w:vAlign w:val="center"/>
          </w:tcPr>
          <w:p w14:paraId="51DBDB69">
            <w:pPr>
              <w:pStyle w:val="19"/>
              <w:bidi w:val="0"/>
              <w:rPr>
                <w:rFonts w:hint="default" w:eastAsia="宋体"/>
                <w:lang w:val="en-US" w:eastAsia="zh-CN"/>
              </w:rPr>
            </w:pPr>
            <w:r>
              <w:rPr>
                <w:rFonts w:hint="eastAsia"/>
                <w:lang w:val="en-US" w:eastAsia="zh-CN"/>
              </w:rPr>
              <w:t>30</w:t>
            </w:r>
          </w:p>
        </w:tc>
        <w:tc>
          <w:tcPr>
            <w:tcW w:w="748" w:type="pct"/>
            <w:vAlign w:val="center"/>
          </w:tcPr>
          <w:p w14:paraId="64271B90">
            <w:pPr>
              <w:pStyle w:val="19"/>
              <w:bidi w:val="0"/>
            </w:pPr>
            <w:r>
              <w:rPr>
                <w:rFonts w:hint="eastAsia"/>
                <w:lang w:val="en-US" w:eastAsia="zh-CN"/>
              </w:rPr>
              <w:t>1</w:t>
            </w:r>
            <w:r>
              <w:t>2</w:t>
            </w:r>
          </w:p>
        </w:tc>
        <w:tc>
          <w:tcPr>
            <w:tcW w:w="737" w:type="pct"/>
            <w:vAlign w:val="center"/>
          </w:tcPr>
          <w:p w14:paraId="2EA480AD">
            <w:pPr>
              <w:pStyle w:val="19"/>
              <w:bidi w:val="0"/>
              <w:rPr>
                <w:rFonts w:hint="default" w:eastAsia="宋体"/>
                <w:lang w:val="en-US" w:eastAsia="zh-CN"/>
              </w:rPr>
            </w:pPr>
            <w:r>
              <w:rPr>
                <w:rFonts w:hint="eastAsia"/>
                <w:lang w:val="en-US" w:eastAsia="zh-CN"/>
              </w:rPr>
              <w:t>1200</w:t>
            </w:r>
          </w:p>
        </w:tc>
        <w:tc>
          <w:tcPr>
            <w:tcW w:w="890" w:type="pct"/>
            <w:vAlign w:val="center"/>
          </w:tcPr>
          <w:p w14:paraId="1E1CDF78">
            <w:pPr>
              <w:pStyle w:val="19"/>
              <w:bidi w:val="0"/>
              <w:rPr>
                <w:rFonts w:hint="default" w:eastAsia="宋体"/>
                <w:lang w:val="en-US" w:eastAsia="zh-CN"/>
              </w:rPr>
            </w:pPr>
            <w:r>
              <w:rPr>
                <w:rFonts w:hint="eastAsia"/>
                <w:lang w:val="en-US" w:eastAsia="zh-CN"/>
              </w:rPr>
              <w:t>90</w:t>
            </w:r>
          </w:p>
        </w:tc>
        <w:tc>
          <w:tcPr>
            <w:tcW w:w="1065" w:type="pct"/>
            <w:vAlign w:val="center"/>
          </w:tcPr>
          <w:p w14:paraId="0C663124">
            <w:pPr>
              <w:pStyle w:val="19"/>
              <w:bidi w:val="0"/>
              <w:rPr>
                <w:rFonts w:hint="default" w:eastAsia="宋体"/>
                <w:lang w:val="en-US" w:eastAsia="zh-CN"/>
              </w:rPr>
            </w:pPr>
            <w:r>
              <w:rPr>
                <w:rFonts w:hint="eastAsia"/>
                <w:lang w:val="en-US" w:eastAsia="zh-CN"/>
              </w:rPr>
              <w:t>1080</w:t>
            </w:r>
          </w:p>
        </w:tc>
      </w:tr>
      <w:tr w14:paraId="70BD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vAlign w:val="center"/>
          </w:tcPr>
          <w:p w14:paraId="15FB05EA">
            <w:pPr>
              <w:pStyle w:val="19"/>
              <w:keepNext w:val="0"/>
              <w:keepLines w:val="0"/>
              <w:pageBreakBefore w:val="0"/>
              <w:widowControl w:val="0"/>
              <w:kinsoku/>
              <w:wordWrap/>
              <w:overflowPunct/>
              <w:topLinePunct w:val="0"/>
              <w:autoSpaceDE/>
              <w:autoSpaceDN/>
              <w:bidi w:val="0"/>
              <w:adjustRightInd/>
              <w:snapToGrid/>
              <w:jc w:val="both"/>
              <w:textAlignment w:val="auto"/>
            </w:pPr>
            <w:r>
              <w:t>备注：</w:t>
            </w:r>
            <w:r>
              <w:rPr>
                <w:rFonts w:hint="eastAsia"/>
              </w:rPr>
              <w:t>①</w:t>
            </w:r>
            <w:r>
              <w:t>猪舍冲洗水定额来源于同行业其他养殖场的统计数据；</w:t>
            </w:r>
          </w:p>
        </w:tc>
      </w:tr>
    </w:tbl>
    <w:p w14:paraId="3063AAF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水帘降温用水</w:t>
      </w:r>
    </w:p>
    <w:p w14:paraId="333D1F2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本项目通风降温系统使用“负压风机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水帘”系统，循环用水量约</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0m</w:t>
      </w:r>
      <w:r>
        <w:rPr>
          <w:rFonts w:hint="eastAsia"/>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，通风降温系统用水为循环使用，不排放，每天补充</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的损耗用水量，约</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降温水帘只在每年夏季使用，每年降温天数按100天计。则年用水量为</w:t>
      </w:r>
      <w:r>
        <w:rPr>
          <w:rFonts w:hint="eastAsia"/>
          <w:color w:val="000000" w:themeColor="text1"/>
          <w:highlight w:val="none"/>
          <w:lang w:val="en-US" w:eastAsia="zh-CN"/>
          <w14:textFill>
            <w14:solidFill>
              <w14:schemeClr w14:val="tx1"/>
            </w14:solidFill>
          </w14:textFill>
        </w:rPr>
        <w:t>900</w:t>
      </w:r>
      <w:r>
        <w:rPr>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p w14:paraId="70838FA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）消毒液以及除臭剂配制用水</w:t>
      </w:r>
    </w:p>
    <w:p w14:paraId="4973FEB8">
      <w:pPr>
        <w:bidi w:val="0"/>
        <w:spacing w:line="360" w:lineRule="auto"/>
        <w:ind w:firstLine="480" w:firstLineChars="20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本项目消毒时消毒液和喷雾治疗所用药品均需用水配制后使用，配制比例约为1</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200，消毒剂年用量约</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3.3</w:t>
      </w:r>
      <w:r>
        <w:rPr>
          <w:rFonts w:hint="default" w:ascii="Times New Roman" w:hAnsi="Times New Roman" w:eastAsia="宋体" w:cs="Times New Roman"/>
          <w:b w:val="0"/>
          <w:bCs w:val="0"/>
          <w:color w:val="000000" w:themeColor="text1"/>
          <w:highlight w:val="none"/>
          <w14:textFill>
            <w14:solidFill>
              <w14:schemeClr w14:val="tx1"/>
            </w14:solidFill>
          </w14:textFill>
        </w:rPr>
        <w:t>t/a，年用水量约</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660</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；除臭剂加水配比后使用喷雾装置进行喷洒，配制比例约为1</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100，除臭剂年用量约</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highlight w:val="none"/>
          <w14:textFill>
            <w14:solidFill>
              <w14:schemeClr w14:val="tx1"/>
            </w14:solidFill>
          </w14:textFill>
        </w:rPr>
        <w:t>t/a，年用水量约</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eastAsia" w:cs="Times New Roman"/>
          <w:b w:val="0"/>
          <w:bCs w:val="0"/>
          <w:color w:val="000000" w:themeColor="text1"/>
          <w:highlight w:val="none"/>
          <w:lang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则</w:t>
      </w:r>
      <w:r>
        <w:rPr>
          <w:rFonts w:hint="default" w:ascii="Times New Roman" w:hAnsi="Times New Roman" w:eastAsia="宋体" w:cs="Times New Roman"/>
          <w:b w:val="0"/>
          <w:bCs w:val="0"/>
          <w:color w:val="000000" w:themeColor="text1"/>
          <w:highlight w:val="none"/>
          <w14:textFill>
            <w14:solidFill>
              <w14:schemeClr w14:val="tx1"/>
            </w14:solidFill>
          </w14:textFill>
        </w:rPr>
        <w:t>消毒液配制用水以及除臭剂配制用水量为</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710</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/a，</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2.37</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/d。</w:t>
      </w:r>
    </w:p>
    <w:p w14:paraId="24B79785">
      <w:pPr>
        <w:bidi w:val="0"/>
        <w:rPr>
          <w:rFonts w:hint="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锅炉用水</w:t>
      </w:r>
    </w:p>
    <w:p w14:paraId="6574F3A9">
      <w:pPr>
        <w:bidi w:val="0"/>
        <w:rPr>
          <w:rFonts w:hint="default"/>
          <w:lang w:val="en-US" w:eastAsia="zh-CN"/>
        </w:rPr>
      </w:pPr>
      <w:r>
        <w:rPr>
          <w:rFonts w:hint="default"/>
          <w:lang w:val="en-US" w:eastAsia="zh-CN"/>
        </w:rPr>
        <w:t>参照《第二次全国污染源普查产排污核算系数手册（试用版）》中</w:t>
      </w:r>
      <w:r>
        <w:rPr>
          <w:rFonts w:hint="eastAsia" w:ascii="宋体" w:hAnsi="宋体" w:eastAsia="宋体" w:cs="宋体"/>
          <w:lang w:val="en-US" w:eastAsia="zh-CN"/>
        </w:rPr>
        <w:t>“</w:t>
      </w:r>
      <w:r>
        <w:rPr>
          <w:rFonts w:hint="default"/>
          <w:lang w:val="en-US" w:eastAsia="zh-CN"/>
        </w:rPr>
        <w:t>4430工业锅炉（热力生产和供应行业）产污系数表-工业废水量和化学需氧量</w:t>
      </w:r>
      <w:r>
        <w:rPr>
          <w:rFonts w:hint="eastAsia" w:ascii="宋体" w:hAnsi="宋体" w:eastAsia="宋体" w:cs="宋体"/>
          <w:lang w:val="en-US" w:eastAsia="zh-CN"/>
        </w:rPr>
        <w:t>”</w:t>
      </w:r>
      <w:r>
        <w:rPr>
          <w:rFonts w:hint="default"/>
          <w:lang w:val="en-US" w:eastAsia="zh-CN"/>
        </w:rPr>
        <w:t>及《排污许可证申请与核发技术规范</w:t>
      </w:r>
      <w:r>
        <w:rPr>
          <w:rFonts w:hint="eastAsia"/>
          <w:lang w:val="en-US" w:eastAsia="zh-CN"/>
        </w:rPr>
        <w:t xml:space="preserve"> </w:t>
      </w:r>
      <w:r>
        <w:rPr>
          <w:rFonts w:hint="default"/>
          <w:lang w:val="en-US" w:eastAsia="zh-CN"/>
        </w:rPr>
        <w:t>锅炉》（HJ953-2018）中</w:t>
      </w:r>
      <w:r>
        <w:rPr>
          <w:rFonts w:hint="eastAsia" w:ascii="宋体" w:hAnsi="宋体" w:eastAsia="宋体" w:cs="宋体"/>
          <w:lang w:val="en-US" w:eastAsia="zh-CN"/>
        </w:rPr>
        <w:t>“</w:t>
      </w:r>
      <w:r>
        <w:rPr>
          <w:rFonts w:hint="default"/>
          <w:lang w:val="en-US" w:eastAsia="zh-CN"/>
        </w:rPr>
        <w:t>表F.5锅炉的废水产排污系数</w:t>
      </w:r>
      <w:r>
        <w:rPr>
          <w:rFonts w:hint="eastAsia" w:ascii="宋体" w:hAnsi="宋体" w:eastAsia="宋体" w:cs="宋体"/>
          <w:lang w:val="en-US" w:eastAsia="zh-CN"/>
        </w:rPr>
        <w:t>”</w:t>
      </w:r>
      <w:r>
        <w:rPr>
          <w:rFonts w:hint="default"/>
          <w:lang w:val="en-US" w:eastAsia="zh-CN"/>
        </w:rPr>
        <w:t>中的数据，本项目参照生物质燃料锅炉废水产物系数0.356吨/吨-原料（锅炉排污水+软化处理废水），本项目</w:t>
      </w:r>
      <w:r>
        <w:rPr>
          <w:rFonts w:hint="eastAsia"/>
          <w:lang w:val="en-US" w:eastAsia="zh-CN"/>
        </w:rPr>
        <w:t>单个锅炉房的</w:t>
      </w:r>
      <w:r>
        <w:rPr>
          <w:rFonts w:hint="default"/>
          <w:lang w:val="en-US" w:eastAsia="zh-CN"/>
        </w:rPr>
        <w:t>生物质燃料年用量为</w:t>
      </w:r>
      <w:r>
        <w:rPr>
          <w:rFonts w:hint="eastAsia"/>
          <w:lang w:val="en-US" w:eastAsia="zh-CN"/>
        </w:rPr>
        <w:t>1900</w:t>
      </w:r>
      <w:r>
        <w:rPr>
          <w:rFonts w:hint="default"/>
          <w:lang w:val="en-US" w:eastAsia="zh-CN"/>
        </w:rPr>
        <w:t>t/a，锅炉运行时间</w:t>
      </w:r>
      <w:r>
        <w:rPr>
          <w:rFonts w:hint="eastAsia"/>
          <w:lang w:val="en-US" w:eastAsia="zh-CN"/>
        </w:rPr>
        <w:t>181</w:t>
      </w:r>
      <w:r>
        <w:rPr>
          <w:rFonts w:hint="default"/>
          <w:lang w:val="en-US" w:eastAsia="zh-CN"/>
        </w:rPr>
        <w:t>天，每天24小时。本项目所用软水全部由软水装置提供，该装置内配备有树脂交换器，水的软化过程主要指取出其中的钙（Ca</w:t>
      </w:r>
      <w:r>
        <w:rPr>
          <w:rFonts w:hint="default"/>
          <w:vertAlign w:val="superscript"/>
          <w:lang w:val="en-US" w:eastAsia="zh-CN"/>
        </w:rPr>
        <w:t>2+</w:t>
      </w:r>
      <w:r>
        <w:rPr>
          <w:rFonts w:hint="default"/>
          <w:lang w:val="en-US" w:eastAsia="zh-CN"/>
        </w:rPr>
        <w:t>）、镁（Mg</w:t>
      </w:r>
      <w:r>
        <w:rPr>
          <w:rFonts w:hint="default"/>
          <w:vertAlign w:val="superscript"/>
          <w:lang w:val="en-US" w:eastAsia="zh-CN"/>
        </w:rPr>
        <w:t>2+</w:t>
      </w:r>
      <w:r>
        <w:rPr>
          <w:rFonts w:hint="default"/>
          <w:lang w:val="en-US" w:eastAsia="zh-CN"/>
        </w:rPr>
        <w:t>）离子等。当含有硬度的原水通过软水器钠型树脂层时，水中钙、镁离子被树脂吸附，树脂层同时释放出钠离子，这样交换器内流出的水就是去掉了硬度离子的软化水。当树脂交换器吸附钙、镁离子达到一定饱和度后，需利用氯化钠溶液（盐水）通过树脂，使失效的树脂重新恢复至钠型树脂，然后再用自来水对树脂进行反冲洗。因此树脂交换器再生过程中需用到部分水配制NaCl溶液及进行冲洗，本项目运行过程中每星期需对树脂装置进行1次再生处理。锅炉软水器产生的软化水占总用水量的80%，其余20%浓水通过管线直接排入集污池。锅炉排污水+软化处理废水产量为</w:t>
      </w:r>
      <w:r>
        <w:rPr>
          <w:rFonts w:hint="eastAsia"/>
          <w:lang w:val="en-US" w:eastAsia="zh-CN"/>
        </w:rPr>
        <w:t>2029.2m</w:t>
      </w:r>
      <w:r>
        <w:rPr>
          <w:rFonts w:hint="eastAsia"/>
          <w:vertAlign w:val="superscript"/>
          <w:lang w:val="en-US" w:eastAsia="zh-CN"/>
        </w:rPr>
        <w:t>3</w:t>
      </w:r>
      <w:r>
        <w:rPr>
          <w:rFonts w:hint="default"/>
          <w:lang w:val="en-US" w:eastAsia="zh-CN"/>
        </w:rPr>
        <w:t>/a，锅炉用水主要为锅炉运行补水，补水量即为锅炉废水量，则本项目锅炉用水量为</w:t>
      </w:r>
      <w:r>
        <w:rPr>
          <w:rFonts w:hint="eastAsia"/>
          <w:lang w:val="en-US" w:eastAsia="zh-CN"/>
        </w:rPr>
        <w:t>2029.2m</w:t>
      </w:r>
      <w:r>
        <w:rPr>
          <w:rFonts w:hint="eastAsia"/>
          <w:vertAlign w:val="superscript"/>
          <w:lang w:val="en-US" w:eastAsia="zh-CN"/>
        </w:rPr>
        <w:t>3</w:t>
      </w:r>
      <w:r>
        <w:rPr>
          <w:rFonts w:hint="default"/>
          <w:lang w:val="en-US" w:eastAsia="zh-CN"/>
        </w:rPr>
        <w:t>/a。</w:t>
      </w:r>
    </w:p>
    <w:p w14:paraId="3DA9A62E">
      <w:pPr>
        <w:bidi w:val="0"/>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综上</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所述</w:t>
      </w:r>
      <w:r>
        <w:rPr>
          <w:rFonts w:hint="default" w:ascii="Times New Roman" w:hAnsi="Times New Roman" w:eastAsia="宋体" w:cs="Times New Roman"/>
          <w:b w:val="0"/>
          <w:bCs w:val="0"/>
          <w:color w:val="000000" w:themeColor="text1"/>
          <w:highlight w:val="none"/>
          <w14:textFill>
            <w14:solidFill>
              <w14:schemeClr w14:val="tx1"/>
            </w14:solidFill>
          </w14:textFill>
        </w:rPr>
        <w:t>，本项目</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各环节用水量统计情况见表3.1-7。</w:t>
      </w:r>
    </w:p>
    <w:p w14:paraId="4DE72021">
      <w:pPr>
        <w:pStyle w:val="30"/>
        <w:bidi w:val="0"/>
        <w:rPr>
          <w:rFonts w:hint="default"/>
          <w:lang w:val="en-US" w:eastAsia="zh-CN"/>
        </w:rPr>
      </w:pPr>
      <w:r>
        <w:rPr>
          <w:rFonts w:hint="eastAsia"/>
          <w:lang w:val="en-US" w:eastAsia="zh-CN"/>
        </w:rPr>
        <w:t>表3.1-7   本项目各环节用水量汇总表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672"/>
        <w:gridCol w:w="2745"/>
        <w:gridCol w:w="1575"/>
        <w:gridCol w:w="1035"/>
        <w:gridCol w:w="1198"/>
        <w:gridCol w:w="1163"/>
      </w:tblGrid>
      <w:tr w14:paraId="0117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Merge w:val="restart"/>
            <w:vAlign w:val="center"/>
          </w:tcPr>
          <w:p w14:paraId="5154A595">
            <w:pPr>
              <w:pStyle w:val="19"/>
              <w:bidi w:val="0"/>
              <w:jc w:val="center"/>
              <w:rPr>
                <w:rFonts w:hint="default"/>
                <w:lang w:val="en-US" w:eastAsia="zh-CN"/>
              </w:rPr>
            </w:pPr>
            <w:r>
              <w:rPr>
                <w:rFonts w:hint="eastAsia"/>
                <w:lang w:val="en-US" w:eastAsia="zh-CN"/>
              </w:rPr>
              <w:t>序号</w:t>
            </w:r>
          </w:p>
        </w:tc>
        <w:tc>
          <w:tcPr>
            <w:tcW w:w="2745" w:type="dxa"/>
            <w:vMerge w:val="restart"/>
            <w:vAlign w:val="center"/>
          </w:tcPr>
          <w:p w14:paraId="30E2230C">
            <w:pPr>
              <w:pStyle w:val="19"/>
              <w:bidi w:val="0"/>
              <w:jc w:val="center"/>
              <w:rPr>
                <w:rFonts w:hint="default"/>
                <w:lang w:val="en-US" w:eastAsia="zh-CN"/>
              </w:rPr>
            </w:pPr>
            <w:r>
              <w:rPr>
                <w:rFonts w:hint="eastAsia"/>
                <w:lang w:val="en-US" w:eastAsia="zh-CN"/>
              </w:rPr>
              <w:t>用水环节</w:t>
            </w:r>
          </w:p>
        </w:tc>
        <w:tc>
          <w:tcPr>
            <w:tcW w:w="1575" w:type="dxa"/>
            <w:vMerge w:val="restart"/>
            <w:vAlign w:val="center"/>
          </w:tcPr>
          <w:p w14:paraId="25518327">
            <w:pPr>
              <w:pStyle w:val="19"/>
              <w:bidi w:val="0"/>
              <w:jc w:val="center"/>
              <w:rPr>
                <w:rFonts w:hint="default"/>
                <w:lang w:val="en-US" w:eastAsia="zh-CN"/>
              </w:rPr>
            </w:pPr>
            <w:r>
              <w:rPr>
                <w:rFonts w:hint="eastAsia"/>
                <w:lang w:val="en-US" w:eastAsia="zh-CN"/>
              </w:rPr>
              <w:t>年运行时间</w:t>
            </w:r>
          </w:p>
        </w:tc>
        <w:tc>
          <w:tcPr>
            <w:tcW w:w="2233" w:type="dxa"/>
            <w:gridSpan w:val="2"/>
            <w:vAlign w:val="center"/>
          </w:tcPr>
          <w:p w14:paraId="59C9EC15">
            <w:pPr>
              <w:pStyle w:val="19"/>
              <w:bidi w:val="0"/>
              <w:jc w:val="center"/>
              <w:rPr>
                <w:rFonts w:hint="eastAsia"/>
                <w:lang w:val="en-US" w:eastAsia="zh-CN"/>
              </w:rPr>
            </w:pPr>
            <w:r>
              <w:rPr>
                <w:rFonts w:hint="eastAsia"/>
                <w:lang w:val="en-US" w:eastAsia="zh-CN"/>
              </w:rPr>
              <w:t>用水量</w:t>
            </w:r>
          </w:p>
        </w:tc>
        <w:tc>
          <w:tcPr>
            <w:tcW w:w="1163" w:type="dxa"/>
            <w:vMerge w:val="restart"/>
            <w:vAlign w:val="center"/>
          </w:tcPr>
          <w:p w14:paraId="0BE4C935">
            <w:pPr>
              <w:pStyle w:val="19"/>
              <w:bidi w:val="0"/>
              <w:jc w:val="center"/>
              <w:rPr>
                <w:rFonts w:hint="default"/>
                <w:highlight w:val="yellow"/>
                <w:lang w:val="en-US" w:eastAsia="zh-CN"/>
              </w:rPr>
            </w:pPr>
            <w:r>
              <w:rPr>
                <w:rFonts w:hint="eastAsia"/>
                <w:highlight w:val="none"/>
                <w:lang w:val="en-US" w:eastAsia="zh-CN"/>
              </w:rPr>
              <w:t>用水来源</w:t>
            </w:r>
          </w:p>
        </w:tc>
      </w:tr>
      <w:tr w14:paraId="295C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8" w:hRule="atLeast"/>
        </w:trPr>
        <w:tc>
          <w:tcPr>
            <w:tcW w:w="672" w:type="dxa"/>
            <w:vMerge w:val="continue"/>
            <w:vAlign w:val="center"/>
          </w:tcPr>
          <w:p w14:paraId="4C7E78C8">
            <w:pPr>
              <w:pStyle w:val="19"/>
              <w:bidi w:val="0"/>
              <w:jc w:val="center"/>
              <w:rPr>
                <w:rFonts w:hint="eastAsia"/>
                <w:lang w:val="en-US" w:eastAsia="zh-CN"/>
              </w:rPr>
            </w:pPr>
          </w:p>
        </w:tc>
        <w:tc>
          <w:tcPr>
            <w:tcW w:w="2745" w:type="dxa"/>
            <w:vMerge w:val="continue"/>
            <w:vAlign w:val="center"/>
          </w:tcPr>
          <w:p w14:paraId="3EC42639">
            <w:pPr>
              <w:pStyle w:val="19"/>
              <w:bidi w:val="0"/>
              <w:jc w:val="center"/>
              <w:rPr>
                <w:rFonts w:hint="eastAsia"/>
                <w:lang w:val="en-US" w:eastAsia="zh-CN"/>
              </w:rPr>
            </w:pPr>
          </w:p>
        </w:tc>
        <w:tc>
          <w:tcPr>
            <w:tcW w:w="1575" w:type="dxa"/>
            <w:vMerge w:val="continue"/>
            <w:vAlign w:val="center"/>
          </w:tcPr>
          <w:p w14:paraId="27577D13">
            <w:pPr>
              <w:pStyle w:val="19"/>
              <w:bidi w:val="0"/>
              <w:jc w:val="center"/>
              <w:rPr>
                <w:rFonts w:hint="default"/>
                <w:vertAlign w:val="baseline"/>
                <w:lang w:val="en-US" w:eastAsia="zh-CN"/>
              </w:rPr>
            </w:pPr>
          </w:p>
        </w:tc>
        <w:tc>
          <w:tcPr>
            <w:tcW w:w="1035" w:type="dxa"/>
            <w:vAlign w:val="center"/>
          </w:tcPr>
          <w:p w14:paraId="1FBEEF98">
            <w:pPr>
              <w:pStyle w:val="19"/>
              <w:bidi w:val="0"/>
              <w:jc w:val="center"/>
              <w:rPr>
                <w:rFonts w:hint="eastAsia"/>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/d</w:t>
            </w:r>
          </w:p>
        </w:tc>
        <w:tc>
          <w:tcPr>
            <w:tcW w:w="1198" w:type="dxa"/>
            <w:vAlign w:val="center"/>
          </w:tcPr>
          <w:p w14:paraId="21C87231">
            <w:pPr>
              <w:pStyle w:val="19"/>
              <w:bidi w:val="0"/>
              <w:jc w:val="center"/>
              <w:rPr>
                <w:rFonts w:hint="default"/>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/a</w:t>
            </w:r>
          </w:p>
        </w:tc>
        <w:tc>
          <w:tcPr>
            <w:tcW w:w="1163" w:type="dxa"/>
            <w:vMerge w:val="continue"/>
            <w:vAlign w:val="center"/>
          </w:tcPr>
          <w:p w14:paraId="6140503F">
            <w:pPr>
              <w:pStyle w:val="19"/>
              <w:bidi w:val="0"/>
              <w:jc w:val="center"/>
              <w:rPr>
                <w:rFonts w:hint="eastAsia"/>
                <w:highlight w:val="yellow"/>
                <w:vertAlign w:val="baseline"/>
                <w:lang w:val="en-US" w:eastAsia="zh-CN"/>
              </w:rPr>
            </w:pPr>
          </w:p>
        </w:tc>
      </w:tr>
      <w:tr w14:paraId="28DA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42F8004C">
            <w:pPr>
              <w:pStyle w:val="19"/>
              <w:bidi w:val="0"/>
              <w:jc w:val="center"/>
              <w:rPr>
                <w:rFonts w:hint="default"/>
                <w:lang w:val="en-US" w:eastAsia="zh-CN"/>
              </w:rPr>
            </w:pPr>
            <w:r>
              <w:rPr>
                <w:rFonts w:hint="eastAsia"/>
                <w:lang w:val="en-US" w:eastAsia="zh-CN"/>
              </w:rPr>
              <w:t>1</w:t>
            </w:r>
          </w:p>
        </w:tc>
        <w:tc>
          <w:tcPr>
            <w:tcW w:w="2745" w:type="dxa"/>
            <w:vAlign w:val="center"/>
          </w:tcPr>
          <w:p w14:paraId="33AEB1E5">
            <w:pPr>
              <w:pStyle w:val="19"/>
              <w:bidi w:val="0"/>
              <w:jc w:val="center"/>
              <w:rPr>
                <w:rFonts w:hint="eastAsia"/>
                <w:lang w:val="en-US" w:eastAsia="zh-CN"/>
              </w:rPr>
            </w:pPr>
            <w:r>
              <w:rPr>
                <w:rFonts w:hint="eastAsia"/>
                <w:lang w:val="en-US" w:eastAsia="zh-CN"/>
              </w:rPr>
              <w:t>职工生活用水</w:t>
            </w:r>
          </w:p>
        </w:tc>
        <w:tc>
          <w:tcPr>
            <w:tcW w:w="1575" w:type="dxa"/>
            <w:vAlign w:val="center"/>
          </w:tcPr>
          <w:p w14:paraId="1D50B18C">
            <w:pPr>
              <w:pStyle w:val="19"/>
              <w:bidi w:val="0"/>
              <w:jc w:val="center"/>
              <w:rPr>
                <w:rFonts w:hint="default"/>
                <w:lang w:val="en-US" w:eastAsia="zh-CN"/>
              </w:rPr>
            </w:pPr>
            <w:r>
              <w:rPr>
                <w:rFonts w:hint="eastAsia"/>
                <w:lang w:val="en-US" w:eastAsia="zh-CN"/>
              </w:rPr>
              <w:t>365d</w:t>
            </w:r>
          </w:p>
        </w:tc>
        <w:tc>
          <w:tcPr>
            <w:tcW w:w="1035" w:type="dxa"/>
            <w:vAlign w:val="center"/>
          </w:tcPr>
          <w:p w14:paraId="7B46626C">
            <w:pPr>
              <w:pStyle w:val="19"/>
              <w:bidi w:val="0"/>
              <w:jc w:val="center"/>
              <w:rPr>
                <w:rFonts w:hint="default"/>
                <w:lang w:val="en-US" w:eastAsia="zh-CN"/>
              </w:rPr>
            </w:pPr>
            <w:r>
              <w:rPr>
                <w:rFonts w:hint="eastAsia"/>
                <w:lang w:val="en-US" w:eastAsia="zh-CN"/>
              </w:rPr>
              <w:t>3.6</w:t>
            </w:r>
          </w:p>
        </w:tc>
        <w:tc>
          <w:tcPr>
            <w:tcW w:w="1198" w:type="dxa"/>
            <w:vAlign w:val="center"/>
          </w:tcPr>
          <w:p w14:paraId="3D6C48B6">
            <w:pPr>
              <w:pStyle w:val="19"/>
              <w:bidi w:val="0"/>
              <w:jc w:val="center"/>
              <w:rPr>
                <w:rFonts w:hint="default"/>
                <w:lang w:val="en-US" w:eastAsia="zh-CN"/>
              </w:rPr>
            </w:pPr>
            <w:r>
              <w:rPr>
                <w:rFonts w:hint="eastAsia"/>
                <w:lang w:val="en-US" w:eastAsia="zh-CN"/>
              </w:rPr>
              <w:t>1314</w:t>
            </w:r>
          </w:p>
        </w:tc>
        <w:tc>
          <w:tcPr>
            <w:tcW w:w="1163" w:type="dxa"/>
            <w:vMerge w:val="restart"/>
            <w:vAlign w:val="center"/>
          </w:tcPr>
          <w:p w14:paraId="262A238F">
            <w:pPr>
              <w:pStyle w:val="19"/>
              <w:bidi w:val="0"/>
              <w:jc w:val="center"/>
              <w:rPr>
                <w:rFonts w:hint="default"/>
                <w:highlight w:val="yellow"/>
                <w:lang w:val="en-US" w:eastAsia="zh-CN"/>
              </w:rPr>
            </w:pPr>
            <w:r>
              <w:rPr>
                <w:rFonts w:hint="eastAsia"/>
                <w:highlight w:val="none"/>
                <w:lang w:val="en-US" w:eastAsia="zh-CN"/>
              </w:rPr>
              <w:t>由129团13连公用井提供</w:t>
            </w:r>
          </w:p>
        </w:tc>
      </w:tr>
      <w:tr w14:paraId="0C93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57C54BA5">
            <w:pPr>
              <w:pStyle w:val="19"/>
              <w:bidi w:val="0"/>
              <w:jc w:val="center"/>
              <w:rPr>
                <w:rFonts w:hint="default"/>
                <w:lang w:val="en-US" w:eastAsia="zh-CN"/>
              </w:rPr>
            </w:pPr>
            <w:r>
              <w:rPr>
                <w:rFonts w:hint="eastAsia"/>
                <w:lang w:val="en-US" w:eastAsia="zh-CN"/>
              </w:rPr>
              <w:t>2</w:t>
            </w:r>
          </w:p>
        </w:tc>
        <w:tc>
          <w:tcPr>
            <w:tcW w:w="2745" w:type="dxa"/>
            <w:vAlign w:val="center"/>
          </w:tcPr>
          <w:p w14:paraId="0A9F5A3A">
            <w:pPr>
              <w:pStyle w:val="19"/>
              <w:bidi w:val="0"/>
              <w:jc w:val="center"/>
              <w:rPr>
                <w:rFonts w:hint="eastAsia"/>
                <w:lang w:val="en-US" w:eastAsia="zh-CN"/>
              </w:rPr>
            </w:pPr>
            <w:r>
              <w:rPr>
                <w:rFonts w:hint="eastAsia"/>
                <w:lang w:val="en-US" w:eastAsia="zh-CN"/>
              </w:rPr>
              <w:t>生猪饮水</w:t>
            </w:r>
          </w:p>
        </w:tc>
        <w:tc>
          <w:tcPr>
            <w:tcW w:w="1575" w:type="dxa"/>
            <w:vAlign w:val="center"/>
          </w:tcPr>
          <w:p w14:paraId="28DA9CB2">
            <w:pPr>
              <w:pStyle w:val="19"/>
              <w:bidi w:val="0"/>
              <w:jc w:val="center"/>
              <w:rPr>
                <w:rFonts w:hint="default"/>
                <w:lang w:val="en-US" w:eastAsia="zh-CN"/>
              </w:rPr>
            </w:pPr>
            <w:r>
              <w:rPr>
                <w:rFonts w:hint="eastAsia"/>
                <w:lang w:val="en-US" w:eastAsia="zh-CN"/>
              </w:rPr>
              <w:t>365d</w:t>
            </w:r>
          </w:p>
        </w:tc>
        <w:tc>
          <w:tcPr>
            <w:tcW w:w="1035" w:type="dxa"/>
            <w:vAlign w:val="center"/>
          </w:tcPr>
          <w:p w14:paraId="5A7973C5">
            <w:pPr>
              <w:pStyle w:val="19"/>
              <w:bidi w:val="0"/>
              <w:jc w:val="center"/>
              <w:rPr>
                <w:rFonts w:hint="default"/>
                <w:lang w:val="en-US" w:eastAsia="zh-CN"/>
              </w:rPr>
            </w:pPr>
            <w:r>
              <w:rPr>
                <w:rFonts w:hint="eastAsia"/>
                <w:lang w:val="en-US" w:eastAsia="zh-CN"/>
              </w:rPr>
              <w:t>316.99</w:t>
            </w:r>
          </w:p>
        </w:tc>
        <w:tc>
          <w:tcPr>
            <w:tcW w:w="1198" w:type="dxa"/>
            <w:vAlign w:val="center"/>
          </w:tcPr>
          <w:p w14:paraId="177AA3CB">
            <w:pPr>
              <w:pStyle w:val="19"/>
              <w:bidi w:val="0"/>
              <w:jc w:val="center"/>
              <w:rPr>
                <w:rFonts w:hint="eastAsia"/>
                <w:lang w:val="en-US" w:eastAsia="zh-CN"/>
              </w:rPr>
            </w:pPr>
            <w:r>
              <w:rPr>
                <w:rFonts w:hint="eastAsia"/>
                <w:lang w:val="en-US" w:eastAsia="zh-CN"/>
              </w:rPr>
              <w:t>115700</w:t>
            </w:r>
          </w:p>
        </w:tc>
        <w:tc>
          <w:tcPr>
            <w:tcW w:w="1163" w:type="dxa"/>
            <w:vMerge w:val="continue"/>
            <w:vAlign w:val="center"/>
          </w:tcPr>
          <w:p w14:paraId="250197EC">
            <w:pPr>
              <w:pStyle w:val="19"/>
              <w:bidi w:val="0"/>
              <w:jc w:val="center"/>
              <w:rPr>
                <w:rFonts w:hint="eastAsia"/>
                <w:highlight w:val="yellow"/>
                <w:lang w:val="en-US" w:eastAsia="zh-CN"/>
              </w:rPr>
            </w:pPr>
          </w:p>
        </w:tc>
      </w:tr>
      <w:tr w14:paraId="4843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37A92CAB">
            <w:pPr>
              <w:pStyle w:val="19"/>
              <w:bidi w:val="0"/>
              <w:jc w:val="center"/>
              <w:rPr>
                <w:rFonts w:hint="default"/>
                <w:lang w:val="en-US" w:eastAsia="zh-CN"/>
              </w:rPr>
            </w:pPr>
            <w:r>
              <w:rPr>
                <w:rFonts w:hint="eastAsia"/>
                <w:lang w:val="en-US" w:eastAsia="zh-CN"/>
              </w:rPr>
              <w:t>3</w:t>
            </w:r>
          </w:p>
        </w:tc>
        <w:tc>
          <w:tcPr>
            <w:tcW w:w="2745" w:type="dxa"/>
            <w:vAlign w:val="center"/>
          </w:tcPr>
          <w:p w14:paraId="617A4DE1">
            <w:pPr>
              <w:pStyle w:val="19"/>
              <w:bidi w:val="0"/>
              <w:jc w:val="center"/>
              <w:rPr>
                <w:rFonts w:hint="eastAsia"/>
                <w:lang w:val="en-US" w:eastAsia="zh-CN"/>
              </w:rPr>
            </w:pPr>
            <w:r>
              <w:rPr>
                <w:rFonts w:hint="eastAsia"/>
                <w:lang w:val="en-US" w:eastAsia="zh-CN"/>
              </w:rPr>
              <w:t>猪舍冲洗用水</w:t>
            </w:r>
          </w:p>
        </w:tc>
        <w:tc>
          <w:tcPr>
            <w:tcW w:w="1575" w:type="dxa"/>
            <w:vAlign w:val="center"/>
          </w:tcPr>
          <w:p w14:paraId="1444E3BE">
            <w:pPr>
              <w:pStyle w:val="19"/>
              <w:bidi w:val="0"/>
              <w:jc w:val="center"/>
              <w:rPr>
                <w:rFonts w:hint="default"/>
                <w:lang w:val="en-US" w:eastAsia="zh-CN"/>
              </w:rPr>
            </w:pPr>
            <w:r>
              <w:rPr>
                <w:rFonts w:hint="eastAsia"/>
                <w:lang w:val="en-US" w:eastAsia="zh-CN"/>
              </w:rPr>
              <w:t>12d</w:t>
            </w:r>
          </w:p>
        </w:tc>
        <w:tc>
          <w:tcPr>
            <w:tcW w:w="1035" w:type="dxa"/>
            <w:vAlign w:val="center"/>
          </w:tcPr>
          <w:p w14:paraId="697587E4">
            <w:pPr>
              <w:pStyle w:val="19"/>
              <w:bidi w:val="0"/>
              <w:jc w:val="center"/>
              <w:rPr>
                <w:rFonts w:hint="default"/>
                <w:lang w:val="en-US" w:eastAsia="zh-CN"/>
              </w:rPr>
            </w:pPr>
            <w:r>
              <w:rPr>
                <w:rFonts w:hint="eastAsia"/>
                <w:lang w:val="en-US" w:eastAsia="zh-CN"/>
              </w:rPr>
              <w:t>90</w:t>
            </w:r>
          </w:p>
        </w:tc>
        <w:tc>
          <w:tcPr>
            <w:tcW w:w="1198" w:type="dxa"/>
            <w:vAlign w:val="center"/>
          </w:tcPr>
          <w:p w14:paraId="72AD5D5C">
            <w:pPr>
              <w:pStyle w:val="19"/>
              <w:bidi w:val="0"/>
              <w:jc w:val="center"/>
              <w:rPr>
                <w:rFonts w:hint="default"/>
                <w:lang w:val="en-US" w:eastAsia="zh-CN"/>
              </w:rPr>
            </w:pPr>
            <w:r>
              <w:rPr>
                <w:rFonts w:hint="eastAsia"/>
                <w:lang w:val="en-US" w:eastAsia="zh-CN"/>
              </w:rPr>
              <w:t>1080</w:t>
            </w:r>
          </w:p>
        </w:tc>
        <w:tc>
          <w:tcPr>
            <w:tcW w:w="1163" w:type="dxa"/>
            <w:vMerge w:val="continue"/>
            <w:vAlign w:val="center"/>
          </w:tcPr>
          <w:p w14:paraId="16EF4893">
            <w:pPr>
              <w:pStyle w:val="19"/>
              <w:bidi w:val="0"/>
              <w:jc w:val="center"/>
              <w:rPr>
                <w:rFonts w:hint="eastAsia"/>
                <w:lang w:val="en-US" w:eastAsia="zh-CN"/>
              </w:rPr>
            </w:pPr>
          </w:p>
        </w:tc>
      </w:tr>
      <w:tr w14:paraId="4089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3D1D2785">
            <w:pPr>
              <w:pStyle w:val="19"/>
              <w:bidi w:val="0"/>
              <w:jc w:val="center"/>
              <w:rPr>
                <w:rFonts w:hint="default"/>
                <w:lang w:val="en-US" w:eastAsia="zh-CN"/>
              </w:rPr>
            </w:pPr>
            <w:r>
              <w:rPr>
                <w:rFonts w:hint="eastAsia"/>
                <w:lang w:val="en-US" w:eastAsia="zh-CN"/>
              </w:rPr>
              <w:t>4</w:t>
            </w:r>
          </w:p>
        </w:tc>
        <w:tc>
          <w:tcPr>
            <w:tcW w:w="2745" w:type="dxa"/>
            <w:vAlign w:val="center"/>
          </w:tcPr>
          <w:p w14:paraId="27C563FA">
            <w:pPr>
              <w:pStyle w:val="19"/>
              <w:bidi w:val="0"/>
              <w:jc w:val="center"/>
              <w:rPr>
                <w:rFonts w:hint="eastAsia"/>
                <w:lang w:val="en-US" w:eastAsia="zh-CN"/>
              </w:rPr>
            </w:pPr>
            <w:r>
              <w:rPr>
                <w:rFonts w:hint="eastAsia"/>
                <w:lang w:val="en-US" w:eastAsia="zh-CN"/>
              </w:rPr>
              <w:t>水帘降温用水</w:t>
            </w:r>
          </w:p>
        </w:tc>
        <w:tc>
          <w:tcPr>
            <w:tcW w:w="1575" w:type="dxa"/>
            <w:vAlign w:val="center"/>
          </w:tcPr>
          <w:p w14:paraId="6F2CB74C">
            <w:pPr>
              <w:pStyle w:val="19"/>
              <w:bidi w:val="0"/>
              <w:jc w:val="center"/>
              <w:rPr>
                <w:rFonts w:hint="default"/>
                <w:lang w:val="en-US" w:eastAsia="zh-CN"/>
              </w:rPr>
            </w:pPr>
            <w:r>
              <w:rPr>
                <w:rFonts w:hint="eastAsia"/>
                <w:lang w:val="en-US" w:eastAsia="zh-CN"/>
              </w:rPr>
              <w:t>100d</w:t>
            </w:r>
          </w:p>
        </w:tc>
        <w:tc>
          <w:tcPr>
            <w:tcW w:w="1035" w:type="dxa"/>
            <w:vAlign w:val="center"/>
          </w:tcPr>
          <w:p w14:paraId="68542FBE">
            <w:pPr>
              <w:pStyle w:val="19"/>
              <w:bidi w:val="0"/>
              <w:jc w:val="center"/>
              <w:rPr>
                <w:rFonts w:hint="default"/>
                <w:lang w:val="en-US" w:eastAsia="zh-CN"/>
              </w:rPr>
            </w:pPr>
            <w:r>
              <w:rPr>
                <w:rFonts w:hint="eastAsia"/>
                <w:lang w:val="en-US" w:eastAsia="zh-CN"/>
              </w:rPr>
              <w:t>9</w:t>
            </w:r>
          </w:p>
        </w:tc>
        <w:tc>
          <w:tcPr>
            <w:tcW w:w="1198" w:type="dxa"/>
            <w:vAlign w:val="center"/>
          </w:tcPr>
          <w:p w14:paraId="10D9297B">
            <w:pPr>
              <w:pStyle w:val="19"/>
              <w:bidi w:val="0"/>
              <w:jc w:val="center"/>
              <w:rPr>
                <w:rFonts w:hint="default"/>
                <w:lang w:val="en-US" w:eastAsia="zh-CN"/>
              </w:rPr>
            </w:pPr>
            <w:r>
              <w:rPr>
                <w:rFonts w:hint="eastAsia"/>
                <w:lang w:val="en-US" w:eastAsia="zh-CN"/>
              </w:rPr>
              <w:t>900</w:t>
            </w:r>
          </w:p>
        </w:tc>
        <w:tc>
          <w:tcPr>
            <w:tcW w:w="1163" w:type="dxa"/>
            <w:vMerge w:val="continue"/>
            <w:vAlign w:val="center"/>
          </w:tcPr>
          <w:p w14:paraId="050F2EFF">
            <w:pPr>
              <w:pStyle w:val="19"/>
              <w:bidi w:val="0"/>
              <w:jc w:val="center"/>
              <w:rPr>
                <w:rFonts w:hint="eastAsia"/>
                <w:lang w:val="en-US" w:eastAsia="zh-CN"/>
              </w:rPr>
            </w:pPr>
          </w:p>
        </w:tc>
      </w:tr>
      <w:tr w14:paraId="03B7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59F1F4A2">
            <w:pPr>
              <w:pStyle w:val="19"/>
              <w:bidi w:val="0"/>
              <w:jc w:val="center"/>
              <w:rPr>
                <w:rFonts w:hint="default"/>
                <w:lang w:val="en-US" w:eastAsia="zh-CN"/>
              </w:rPr>
            </w:pPr>
            <w:r>
              <w:rPr>
                <w:rFonts w:hint="eastAsia"/>
                <w:lang w:val="en-US" w:eastAsia="zh-CN"/>
              </w:rPr>
              <w:t>5</w:t>
            </w:r>
          </w:p>
        </w:tc>
        <w:tc>
          <w:tcPr>
            <w:tcW w:w="2745" w:type="dxa"/>
            <w:vAlign w:val="center"/>
          </w:tcPr>
          <w:p w14:paraId="035C7D61">
            <w:pPr>
              <w:pStyle w:val="19"/>
              <w:bidi w:val="0"/>
              <w:jc w:val="center"/>
              <w:rPr>
                <w:rFonts w:hint="eastAsia"/>
                <w:lang w:val="en-US" w:eastAsia="zh-CN"/>
              </w:rPr>
            </w:pPr>
            <w:r>
              <w:rPr>
                <w:color w:val="000000" w:themeColor="text1"/>
                <w:highlight w:val="none"/>
                <w14:textFill>
                  <w14:solidFill>
                    <w14:schemeClr w14:val="tx1"/>
                  </w14:solidFill>
                </w14:textFill>
              </w:rPr>
              <w:t>消毒液以及除臭剂配制用水</w:t>
            </w:r>
          </w:p>
        </w:tc>
        <w:tc>
          <w:tcPr>
            <w:tcW w:w="1575" w:type="dxa"/>
            <w:vAlign w:val="center"/>
          </w:tcPr>
          <w:p w14:paraId="696811CE">
            <w:pPr>
              <w:pStyle w:val="19"/>
              <w:bidi w:val="0"/>
              <w:jc w:val="center"/>
              <w:rPr>
                <w:rFonts w:hint="default"/>
                <w:lang w:val="en-US" w:eastAsia="zh-CN"/>
              </w:rPr>
            </w:pPr>
            <w:r>
              <w:rPr>
                <w:rFonts w:hint="eastAsia"/>
                <w:lang w:val="en-US" w:eastAsia="zh-CN"/>
              </w:rPr>
              <w:t>365d</w:t>
            </w:r>
          </w:p>
        </w:tc>
        <w:tc>
          <w:tcPr>
            <w:tcW w:w="1035" w:type="dxa"/>
            <w:vAlign w:val="center"/>
          </w:tcPr>
          <w:p w14:paraId="5E915B6E">
            <w:pPr>
              <w:pStyle w:val="19"/>
              <w:bidi w:val="0"/>
              <w:jc w:val="center"/>
              <w:rPr>
                <w:rFonts w:hint="default"/>
                <w:lang w:val="en-US" w:eastAsia="zh-CN"/>
              </w:rPr>
            </w:pPr>
            <w:r>
              <w:rPr>
                <w:rFonts w:hint="eastAsia"/>
                <w:lang w:val="en-US" w:eastAsia="zh-CN"/>
              </w:rPr>
              <w:t>1.95</w:t>
            </w:r>
          </w:p>
        </w:tc>
        <w:tc>
          <w:tcPr>
            <w:tcW w:w="1198" w:type="dxa"/>
            <w:vAlign w:val="center"/>
          </w:tcPr>
          <w:p w14:paraId="47A8B990">
            <w:pPr>
              <w:pStyle w:val="19"/>
              <w:bidi w:val="0"/>
              <w:jc w:val="center"/>
              <w:rPr>
                <w:rFonts w:hint="default"/>
                <w:lang w:val="en-US" w:eastAsia="zh-CN"/>
              </w:rPr>
            </w:pPr>
            <w:r>
              <w:rPr>
                <w:rFonts w:hint="eastAsia"/>
                <w:lang w:val="en-US" w:eastAsia="zh-CN"/>
              </w:rPr>
              <w:t>710</w:t>
            </w:r>
          </w:p>
        </w:tc>
        <w:tc>
          <w:tcPr>
            <w:tcW w:w="1163" w:type="dxa"/>
            <w:vMerge w:val="continue"/>
            <w:vAlign w:val="center"/>
          </w:tcPr>
          <w:p w14:paraId="74C71065">
            <w:pPr>
              <w:pStyle w:val="19"/>
              <w:bidi w:val="0"/>
              <w:jc w:val="center"/>
              <w:rPr>
                <w:rFonts w:hint="eastAsia"/>
                <w:lang w:val="en-US" w:eastAsia="zh-CN"/>
              </w:rPr>
            </w:pPr>
          </w:p>
        </w:tc>
      </w:tr>
      <w:tr w14:paraId="140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755AD233">
            <w:pPr>
              <w:pStyle w:val="19"/>
              <w:bidi w:val="0"/>
              <w:jc w:val="center"/>
              <w:rPr>
                <w:rFonts w:hint="default"/>
                <w:lang w:val="en-US" w:eastAsia="zh-CN"/>
              </w:rPr>
            </w:pPr>
            <w:r>
              <w:rPr>
                <w:rFonts w:hint="eastAsia"/>
                <w:lang w:val="en-US" w:eastAsia="zh-CN"/>
              </w:rPr>
              <w:t>6</w:t>
            </w:r>
          </w:p>
        </w:tc>
        <w:tc>
          <w:tcPr>
            <w:tcW w:w="2745" w:type="dxa"/>
            <w:vAlign w:val="center"/>
          </w:tcPr>
          <w:p w14:paraId="43ACD04C">
            <w:pPr>
              <w:pStyle w:val="19"/>
              <w:bidi w:val="0"/>
              <w:jc w:val="center"/>
              <w:rPr>
                <w:rFonts w:hint="eastAsia"/>
                <w:lang w:val="en-US" w:eastAsia="zh-CN"/>
              </w:rPr>
            </w:pPr>
            <w:r>
              <w:rPr>
                <w:rFonts w:hint="eastAsia"/>
                <w:lang w:val="en-US" w:eastAsia="zh-CN"/>
              </w:rPr>
              <w:t>锅炉用水</w:t>
            </w:r>
          </w:p>
        </w:tc>
        <w:tc>
          <w:tcPr>
            <w:tcW w:w="1575" w:type="dxa"/>
            <w:vAlign w:val="center"/>
          </w:tcPr>
          <w:p w14:paraId="086C2DB8">
            <w:pPr>
              <w:pStyle w:val="19"/>
              <w:bidi w:val="0"/>
              <w:jc w:val="center"/>
              <w:rPr>
                <w:rFonts w:hint="default"/>
                <w:lang w:val="en-US" w:eastAsia="zh-CN"/>
              </w:rPr>
            </w:pPr>
            <w:r>
              <w:rPr>
                <w:rFonts w:hint="eastAsia"/>
                <w:lang w:val="en-US" w:eastAsia="zh-CN"/>
              </w:rPr>
              <w:t>181d</w:t>
            </w:r>
          </w:p>
        </w:tc>
        <w:tc>
          <w:tcPr>
            <w:tcW w:w="1035" w:type="dxa"/>
            <w:vAlign w:val="center"/>
          </w:tcPr>
          <w:p w14:paraId="53ABB27A">
            <w:pPr>
              <w:pStyle w:val="19"/>
              <w:bidi w:val="0"/>
              <w:jc w:val="center"/>
              <w:rPr>
                <w:rFonts w:hint="default"/>
                <w:lang w:val="en-US" w:eastAsia="zh-CN"/>
              </w:rPr>
            </w:pPr>
            <w:r>
              <w:rPr>
                <w:rFonts w:hint="eastAsia"/>
                <w:lang w:val="en-US" w:eastAsia="zh-CN"/>
              </w:rPr>
              <w:t>7.65</w:t>
            </w:r>
          </w:p>
        </w:tc>
        <w:tc>
          <w:tcPr>
            <w:tcW w:w="1198" w:type="dxa"/>
            <w:vAlign w:val="center"/>
          </w:tcPr>
          <w:p w14:paraId="6318A1FA">
            <w:pPr>
              <w:pStyle w:val="19"/>
              <w:bidi w:val="0"/>
              <w:jc w:val="center"/>
              <w:rPr>
                <w:rFonts w:hint="default"/>
                <w:lang w:val="en-US" w:eastAsia="zh-CN"/>
              </w:rPr>
            </w:pPr>
            <w:r>
              <w:rPr>
                <w:rFonts w:hint="eastAsia"/>
                <w:lang w:val="en-US" w:eastAsia="zh-CN"/>
              </w:rPr>
              <w:t>1384.13</w:t>
            </w:r>
          </w:p>
        </w:tc>
        <w:tc>
          <w:tcPr>
            <w:tcW w:w="1163" w:type="dxa"/>
            <w:vMerge w:val="continue"/>
            <w:vAlign w:val="center"/>
          </w:tcPr>
          <w:p w14:paraId="6EB1AC58">
            <w:pPr>
              <w:pStyle w:val="19"/>
              <w:bidi w:val="0"/>
              <w:jc w:val="center"/>
              <w:rPr>
                <w:rFonts w:hint="eastAsia"/>
                <w:lang w:val="en-US" w:eastAsia="zh-CN"/>
              </w:rPr>
            </w:pPr>
          </w:p>
        </w:tc>
      </w:tr>
      <w:tr w14:paraId="7E63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4992" w:type="dxa"/>
            <w:gridSpan w:val="3"/>
            <w:vAlign w:val="center"/>
          </w:tcPr>
          <w:p w14:paraId="046927A4">
            <w:pPr>
              <w:pStyle w:val="19"/>
              <w:bidi w:val="0"/>
              <w:jc w:val="center"/>
              <w:rPr>
                <w:rFonts w:hint="eastAsia"/>
                <w:lang w:val="en-US" w:eastAsia="zh-CN"/>
              </w:rPr>
            </w:pPr>
            <w:r>
              <w:rPr>
                <w:rFonts w:hint="eastAsia"/>
                <w:lang w:val="en-US" w:eastAsia="zh-CN"/>
              </w:rPr>
              <w:t>合计</w:t>
            </w:r>
          </w:p>
        </w:tc>
        <w:tc>
          <w:tcPr>
            <w:tcW w:w="1035" w:type="dxa"/>
            <w:vAlign w:val="center"/>
          </w:tcPr>
          <w:p w14:paraId="738442CD">
            <w:pPr>
              <w:pStyle w:val="19"/>
              <w:bidi w:val="0"/>
              <w:jc w:val="center"/>
              <w:rPr>
                <w:rFonts w:hint="eastAsia"/>
                <w:lang w:val="en-US" w:eastAsia="zh-CN"/>
              </w:rPr>
            </w:pPr>
            <w:r>
              <w:rPr>
                <w:rFonts w:hint="eastAsia"/>
                <w:lang w:val="en-US" w:eastAsia="zh-CN"/>
              </w:rPr>
              <w:fldChar w:fldCharType="begin"/>
            </w:r>
            <w:r>
              <w:rPr>
                <w:rFonts w:hint="eastAsia"/>
                <w:lang w:val="en-US" w:eastAsia="zh-CN"/>
              </w:rPr>
              <w:instrText xml:space="preserve"> = sum(D3:D8) \* MERGEFORMAT </w:instrText>
            </w:r>
            <w:r>
              <w:rPr>
                <w:rFonts w:hint="eastAsia"/>
                <w:lang w:val="en-US" w:eastAsia="zh-CN"/>
              </w:rPr>
              <w:fldChar w:fldCharType="separate"/>
            </w:r>
            <w:r>
              <w:rPr>
                <w:rFonts w:hint="eastAsia"/>
                <w:lang w:val="en-US" w:eastAsia="zh-CN"/>
              </w:rPr>
              <w:t>429.19</w:t>
            </w:r>
            <w:r>
              <w:rPr>
                <w:rFonts w:hint="eastAsia"/>
                <w:lang w:val="en-US" w:eastAsia="zh-CN"/>
              </w:rPr>
              <w:fldChar w:fldCharType="end"/>
            </w:r>
          </w:p>
        </w:tc>
        <w:tc>
          <w:tcPr>
            <w:tcW w:w="1198" w:type="dxa"/>
            <w:vAlign w:val="center"/>
          </w:tcPr>
          <w:p w14:paraId="5C4BB790">
            <w:pPr>
              <w:pStyle w:val="19"/>
              <w:bidi w:val="0"/>
              <w:jc w:val="center"/>
              <w:rPr>
                <w:rFonts w:hint="eastAsia"/>
                <w:lang w:val="en-US" w:eastAsia="zh-CN"/>
              </w:rPr>
            </w:pPr>
            <w:r>
              <w:rPr>
                <w:rFonts w:hint="eastAsia"/>
                <w:lang w:val="en-US" w:eastAsia="zh-CN"/>
              </w:rPr>
              <w:fldChar w:fldCharType="begin"/>
            </w:r>
            <w:r>
              <w:rPr>
                <w:rFonts w:hint="eastAsia"/>
                <w:lang w:val="en-US" w:eastAsia="zh-CN"/>
              </w:rPr>
              <w:instrText xml:space="preserve"> = sum(E3:E8) \* MERGEFORMAT </w:instrText>
            </w:r>
            <w:r>
              <w:rPr>
                <w:rFonts w:hint="eastAsia"/>
                <w:lang w:val="en-US" w:eastAsia="zh-CN"/>
              </w:rPr>
              <w:fldChar w:fldCharType="separate"/>
            </w:r>
            <w:r>
              <w:rPr>
                <w:rFonts w:hint="eastAsia"/>
                <w:lang w:val="en-US" w:eastAsia="zh-CN"/>
              </w:rPr>
              <w:t>121088.13</w:t>
            </w:r>
            <w:r>
              <w:rPr>
                <w:rFonts w:hint="eastAsia"/>
                <w:lang w:val="en-US" w:eastAsia="zh-CN"/>
              </w:rPr>
              <w:fldChar w:fldCharType="end"/>
            </w:r>
          </w:p>
        </w:tc>
        <w:tc>
          <w:tcPr>
            <w:tcW w:w="1163" w:type="dxa"/>
            <w:vMerge w:val="continue"/>
            <w:vAlign w:val="center"/>
          </w:tcPr>
          <w:p w14:paraId="7F979259">
            <w:pPr>
              <w:pStyle w:val="19"/>
              <w:bidi w:val="0"/>
              <w:jc w:val="center"/>
              <w:rPr>
                <w:rFonts w:hint="eastAsia"/>
                <w:lang w:val="en-US" w:eastAsia="zh-CN"/>
              </w:rPr>
            </w:pPr>
          </w:p>
        </w:tc>
      </w:tr>
    </w:tbl>
    <w:p w14:paraId="7D07B4A9">
      <w:pPr>
        <w:bidi w:val="0"/>
        <w:rPr>
          <w:rFonts w:hint="default"/>
          <w:lang w:val="en-US" w:eastAsia="zh-CN"/>
        </w:rPr>
      </w:pPr>
      <w:r>
        <w:rPr>
          <w:rFonts w:hint="eastAsia"/>
          <w:lang w:val="en-US" w:eastAsia="zh-CN"/>
        </w:rPr>
        <w:t>综上所述，本项目年用水量为121088.13</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/a。</w:t>
      </w:r>
    </w:p>
    <w:p w14:paraId="6C4B4C61">
      <w:pPr>
        <w:pStyle w:val="28"/>
        <w:bidi w:val="0"/>
        <w:rPr>
          <w:rFonts w:hint="default"/>
          <w:lang w:val="en-US" w:eastAsia="zh-CN"/>
        </w:rPr>
      </w:pPr>
      <w:r>
        <w:rPr>
          <w:rFonts w:hint="eastAsia"/>
          <w:lang w:val="en-US" w:eastAsia="zh-CN"/>
        </w:rPr>
        <w:t>排水</w:t>
      </w:r>
    </w:p>
    <w:p w14:paraId="75C8B028">
      <w:pPr>
        <w:bidi w:val="0"/>
        <w:rPr>
          <w:rFonts w:hint="default"/>
          <w:lang w:val="en-US" w:eastAsia="zh-CN"/>
        </w:rPr>
      </w:pPr>
      <w:r>
        <w:rPr>
          <w:rFonts w:hint="default"/>
          <w:lang w:val="en-US" w:eastAsia="zh-CN"/>
        </w:rPr>
        <w:t>本项目废水主要为猪尿、猪舍冲洗废水、生活污水</w:t>
      </w:r>
      <w:r>
        <w:rPr>
          <w:rFonts w:hint="eastAsia"/>
          <w:lang w:val="en-US" w:eastAsia="zh-CN"/>
        </w:rPr>
        <w:t>及生物质锅炉排污水。</w:t>
      </w:r>
    </w:p>
    <w:p w14:paraId="744243D5">
      <w:pPr>
        <w:bidi w:val="0"/>
        <w:rPr>
          <w:rFonts w:hint="eastAsia"/>
          <w:lang w:val="en-US" w:eastAsia="zh-CN"/>
        </w:rPr>
      </w:pPr>
      <w:r>
        <w:rPr>
          <w:rFonts w:hint="eastAsia"/>
          <w:lang w:val="en-US" w:eastAsia="zh-CN"/>
        </w:rPr>
        <w:t>（1）猪尿</w:t>
      </w:r>
    </w:p>
    <w:p w14:paraId="7C190866">
      <w:pPr>
        <w:bidi w:val="0"/>
      </w:pPr>
      <w:r>
        <w:t>根据《规模畜禽养殖场污染防治最佳可行技术指南（试行）》</w:t>
      </w:r>
      <w:r>
        <w:rPr>
          <w:rFonts w:hint="eastAsia"/>
        </w:rPr>
        <w:t>（HJ-BAT-10-2013）</w:t>
      </w:r>
      <w:r>
        <w:t>编制说明，猪尿排泄量计算公式为：</w:t>
      </w:r>
    </w:p>
    <w:p w14:paraId="5592FA5F">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Yu=0.205+0.438W</w:t>
      </w:r>
    </w:p>
    <w:p w14:paraId="225C714D">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式中，Yu—猪尿排泄量，单位：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/(d</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头)；</w:t>
      </w:r>
    </w:p>
    <w:p w14:paraId="7F67D079">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W—猪的饮水量，单位：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/(d</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头)。</w:t>
      </w:r>
    </w:p>
    <w:p w14:paraId="23672E57">
      <w:pPr>
        <w:spacing w:line="360" w:lineRule="auto"/>
        <w:ind w:firstLine="480" w:firstLineChars="200"/>
        <w:jc w:val="left"/>
        <w:rPr>
          <w:rFonts w:hint="eastAsia" w:eastAsia="宋体"/>
          <w:color w:val="000000" w:themeColor="text1"/>
          <w:highlight w:val="none"/>
          <w:lang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本项目常年存栏猪为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5.0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万头，</w:t>
      </w:r>
      <w:r>
        <w:rPr>
          <w:rFonts w:ascii="Times New Roman" w:hAnsi="Times New Roman" w:eastAsia="宋体" w:cs="宋体"/>
          <w:b w:val="0"/>
          <w:bCs w:val="0"/>
          <w:color w:val="000000" w:themeColor="text1"/>
          <w:kern w:val="0"/>
          <w:szCs w:val="24"/>
          <w:highlight w:val="none"/>
          <w14:textFill>
            <w14:solidFill>
              <w14:schemeClr w14:val="tx1"/>
            </w14:solidFill>
          </w14:textFill>
        </w:rPr>
        <w:t>经计算，项目养殖过程猪尿液产生量见表</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1</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8</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p>
    <w:p w14:paraId="577BFD17">
      <w:pPr>
        <w:pStyle w:val="30"/>
        <w:bidi w:val="0"/>
      </w:pPr>
      <w:r>
        <w:t>表</w:t>
      </w:r>
      <w:r>
        <w:rPr>
          <w:rFonts w:hint="eastAsia"/>
        </w:rPr>
        <w:t>3.</w:t>
      </w:r>
      <w:r>
        <w:rPr>
          <w:rFonts w:hint="eastAsia"/>
          <w:lang w:val="en-US" w:eastAsia="zh-CN"/>
        </w:rPr>
        <w:t>1</w:t>
      </w:r>
      <w:r>
        <w:rPr>
          <w:rFonts w:hint="eastAsia"/>
        </w:rPr>
        <w:t>-</w:t>
      </w:r>
      <w:r>
        <w:rPr>
          <w:rFonts w:hint="eastAsia"/>
          <w:lang w:val="en-US" w:eastAsia="zh-CN"/>
        </w:rPr>
        <w:t xml:space="preserve">8 </w:t>
      </w:r>
      <w:r>
        <w:t xml:space="preserve"> </w:t>
      </w:r>
      <w:r>
        <w:rPr>
          <w:rFonts w:hint="eastAsia"/>
          <w:lang w:val="en-US" w:eastAsia="zh-CN"/>
        </w:rPr>
        <w:t xml:space="preserve"> 本</w:t>
      </w:r>
      <w:r>
        <w:t>项目产尿量分析</w:t>
      </w: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887"/>
        <w:gridCol w:w="1226"/>
        <w:gridCol w:w="1037"/>
        <w:gridCol w:w="1139"/>
        <w:gridCol w:w="807"/>
        <w:gridCol w:w="1136"/>
        <w:gridCol w:w="1360"/>
      </w:tblGrid>
      <w:tr w14:paraId="54B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1" w:type="pct"/>
            <w:vMerge w:val="restart"/>
            <w:vAlign w:val="center"/>
          </w:tcPr>
          <w:p w14:paraId="764EE519">
            <w:pPr>
              <w:pStyle w:val="19"/>
              <w:bidi w:val="0"/>
            </w:pPr>
            <w:r>
              <w:t>种类</w:t>
            </w:r>
          </w:p>
        </w:tc>
        <w:tc>
          <w:tcPr>
            <w:tcW w:w="1241" w:type="pct"/>
            <w:gridSpan w:val="2"/>
            <w:vAlign w:val="center"/>
          </w:tcPr>
          <w:p w14:paraId="518D696B">
            <w:pPr>
              <w:pStyle w:val="19"/>
              <w:bidi w:val="0"/>
            </w:pPr>
            <w:r>
              <w:t>产尿量（kg/d</w:t>
            </w:r>
            <w:r>
              <w:rPr>
                <w:rFonts w:hint="eastAsia"/>
                <w:lang w:val="en-US" w:eastAsia="zh-CN"/>
              </w:rPr>
              <w:t>·</w:t>
            </w:r>
            <w:r>
              <w:t>头）</w:t>
            </w:r>
          </w:p>
        </w:tc>
        <w:tc>
          <w:tcPr>
            <w:tcW w:w="1278" w:type="pct"/>
            <w:gridSpan w:val="2"/>
            <w:vAlign w:val="center"/>
          </w:tcPr>
          <w:p w14:paraId="79D3826E">
            <w:pPr>
              <w:pStyle w:val="19"/>
              <w:bidi w:val="0"/>
              <w:rPr>
                <w:rFonts w:hint="eastAsia"/>
                <w:lang w:eastAsia="zh-CN"/>
              </w:rPr>
            </w:pPr>
            <w:r>
              <w:t>排尿天数</w:t>
            </w:r>
            <w:r>
              <w:rPr>
                <w:rFonts w:hint="eastAsia"/>
                <w:lang w:val="en-US" w:eastAsia="zh-CN"/>
              </w:rPr>
              <w:t>d</w:t>
            </w:r>
          </w:p>
        </w:tc>
        <w:tc>
          <w:tcPr>
            <w:tcW w:w="1939" w:type="pct"/>
            <w:gridSpan w:val="3"/>
            <w:vAlign w:val="center"/>
          </w:tcPr>
          <w:p w14:paraId="14D77DC2">
            <w:pPr>
              <w:pStyle w:val="19"/>
              <w:bidi w:val="0"/>
              <w:rPr>
                <w:rFonts w:hint="eastAsia"/>
                <w:lang w:val="en-US" w:eastAsia="zh-CN"/>
              </w:rPr>
            </w:pPr>
            <w:r>
              <w:t>总尿量</w:t>
            </w:r>
            <w:r>
              <w:rPr>
                <w:rFonts w:hint="eastAsia"/>
                <w:lang w:val="en-US" w:eastAsia="zh-CN"/>
              </w:rPr>
              <w:t>t</w:t>
            </w:r>
          </w:p>
        </w:tc>
      </w:tr>
      <w:tr w14:paraId="2D38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trPr>
        <w:tc>
          <w:tcPr>
            <w:tcW w:w="541" w:type="pct"/>
            <w:vMerge w:val="continue"/>
            <w:vAlign w:val="center"/>
          </w:tcPr>
          <w:p w14:paraId="1E807BD5">
            <w:pPr>
              <w:pStyle w:val="19"/>
              <w:bidi w:val="0"/>
            </w:pPr>
          </w:p>
        </w:tc>
        <w:tc>
          <w:tcPr>
            <w:tcW w:w="521" w:type="pct"/>
            <w:vAlign w:val="center"/>
          </w:tcPr>
          <w:p w14:paraId="12FD8C0A">
            <w:pPr>
              <w:pStyle w:val="19"/>
              <w:bidi w:val="0"/>
            </w:pPr>
            <w:r>
              <w:t>夏季</w:t>
            </w:r>
          </w:p>
        </w:tc>
        <w:tc>
          <w:tcPr>
            <w:tcW w:w="720" w:type="pct"/>
            <w:vAlign w:val="center"/>
          </w:tcPr>
          <w:p w14:paraId="79DDF44F">
            <w:pPr>
              <w:pStyle w:val="19"/>
              <w:bidi w:val="0"/>
            </w:pPr>
            <w:r>
              <w:t>其他季节</w:t>
            </w:r>
          </w:p>
        </w:tc>
        <w:tc>
          <w:tcPr>
            <w:tcW w:w="609" w:type="pct"/>
            <w:vAlign w:val="center"/>
          </w:tcPr>
          <w:p w14:paraId="6190453A">
            <w:pPr>
              <w:pStyle w:val="19"/>
              <w:bidi w:val="0"/>
            </w:pPr>
            <w:r>
              <w:t>夏季</w:t>
            </w:r>
          </w:p>
        </w:tc>
        <w:tc>
          <w:tcPr>
            <w:tcW w:w="669" w:type="pct"/>
            <w:vAlign w:val="center"/>
          </w:tcPr>
          <w:p w14:paraId="14695867">
            <w:pPr>
              <w:pStyle w:val="19"/>
              <w:bidi w:val="0"/>
            </w:pPr>
            <w:r>
              <w:t>其他季节</w:t>
            </w:r>
          </w:p>
        </w:tc>
        <w:tc>
          <w:tcPr>
            <w:tcW w:w="474" w:type="pct"/>
            <w:vAlign w:val="center"/>
          </w:tcPr>
          <w:p w14:paraId="41DC8C39">
            <w:pPr>
              <w:pStyle w:val="19"/>
              <w:bidi w:val="0"/>
            </w:pPr>
            <w:r>
              <w:t>夏季</w:t>
            </w:r>
          </w:p>
        </w:tc>
        <w:tc>
          <w:tcPr>
            <w:tcW w:w="667" w:type="pct"/>
            <w:vAlign w:val="center"/>
          </w:tcPr>
          <w:p w14:paraId="1BD7660A">
            <w:pPr>
              <w:pStyle w:val="19"/>
              <w:bidi w:val="0"/>
            </w:pPr>
            <w:r>
              <w:t>其他季节</w:t>
            </w:r>
          </w:p>
        </w:tc>
        <w:tc>
          <w:tcPr>
            <w:tcW w:w="797" w:type="pct"/>
            <w:vAlign w:val="center"/>
          </w:tcPr>
          <w:p w14:paraId="6CC4FD48">
            <w:pPr>
              <w:pStyle w:val="19"/>
              <w:bidi w:val="0"/>
            </w:pPr>
            <w:r>
              <w:t>总排尿量</w:t>
            </w:r>
          </w:p>
        </w:tc>
      </w:tr>
      <w:tr w14:paraId="5C41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trPr>
        <w:tc>
          <w:tcPr>
            <w:tcW w:w="541" w:type="pct"/>
            <w:vAlign w:val="center"/>
          </w:tcPr>
          <w:p w14:paraId="457D09B7">
            <w:pPr>
              <w:pStyle w:val="19"/>
              <w:bidi w:val="0"/>
            </w:pPr>
            <w:r>
              <w:rPr>
                <w:rFonts w:hint="eastAsia"/>
              </w:rPr>
              <w:t>商品猪</w:t>
            </w:r>
          </w:p>
        </w:tc>
        <w:tc>
          <w:tcPr>
            <w:tcW w:w="521" w:type="pct"/>
            <w:vAlign w:val="center"/>
          </w:tcPr>
          <w:p w14:paraId="2ECDDE17">
            <w:pPr>
              <w:pStyle w:val="19"/>
              <w:bidi w:val="0"/>
              <w:rPr>
                <w:rFonts w:hint="default"/>
                <w:lang w:val="en-US" w:eastAsia="zh-CN"/>
              </w:rPr>
            </w:pPr>
            <w:r>
              <w:rPr>
                <w:rFonts w:hint="eastAsia"/>
                <w:lang w:val="en-US" w:eastAsia="zh-CN"/>
              </w:rPr>
              <w:t>3.8404</w:t>
            </w:r>
          </w:p>
        </w:tc>
        <w:tc>
          <w:tcPr>
            <w:tcW w:w="720" w:type="pct"/>
            <w:vAlign w:val="center"/>
          </w:tcPr>
          <w:p w14:paraId="31BD3B39">
            <w:pPr>
              <w:pStyle w:val="19"/>
              <w:bidi w:val="0"/>
              <w:rPr>
                <w:rFonts w:hint="default"/>
                <w:lang w:val="en-US" w:eastAsia="zh-CN"/>
              </w:rPr>
            </w:pPr>
            <w:r>
              <w:rPr>
                <w:rFonts w:hint="eastAsia"/>
                <w:lang w:val="en-US" w:eastAsia="zh-CN"/>
              </w:rPr>
              <w:t>2.6578</w:t>
            </w:r>
          </w:p>
        </w:tc>
        <w:tc>
          <w:tcPr>
            <w:tcW w:w="609" w:type="pct"/>
            <w:vAlign w:val="center"/>
          </w:tcPr>
          <w:p w14:paraId="6C7BADC7">
            <w:pPr>
              <w:pStyle w:val="19"/>
              <w:bidi w:val="0"/>
            </w:pPr>
            <w:r>
              <w:rPr>
                <w:rFonts w:hint="eastAsia"/>
              </w:rPr>
              <w:t>100</w:t>
            </w:r>
          </w:p>
        </w:tc>
        <w:tc>
          <w:tcPr>
            <w:tcW w:w="669" w:type="pct"/>
            <w:vAlign w:val="center"/>
          </w:tcPr>
          <w:p w14:paraId="634838BF">
            <w:pPr>
              <w:pStyle w:val="19"/>
              <w:bidi w:val="0"/>
              <w:rPr>
                <w:rFonts w:hint="default" w:eastAsia="宋体"/>
                <w:lang w:val="en-US" w:eastAsia="zh-CN"/>
              </w:rPr>
            </w:pPr>
            <w:r>
              <w:rPr>
                <w:rFonts w:hint="eastAsia"/>
              </w:rPr>
              <w:t>2</w:t>
            </w:r>
            <w:r>
              <w:rPr>
                <w:rFonts w:hint="eastAsia"/>
                <w:lang w:val="en-US" w:eastAsia="zh-CN"/>
              </w:rPr>
              <w:t>65</w:t>
            </w:r>
          </w:p>
        </w:tc>
        <w:tc>
          <w:tcPr>
            <w:tcW w:w="474" w:type="pct"/>
            <w:vAlign w:val="center"/>
          </w:tcPr>
          <w:p w14:paraId="4E36C073">
            <w:pPr>
              <w:pStyle w:val="19"/>
              <w:bidi w:val="0"/>
              <w:rPr>
                <w:rFonts w:hint="default"/>
                <w:lang w:val="en-US" w:eastAsia="zh-CN"/>
              </w:rPr>
            </w:pPr>
            <w:r>
              <w:rPr>
                <w:rFonts w:hint="eastAsia"/>
                <w:lang w:val="en-US" w:eastAsia="zh-CN"/>
              </w:rPr>
              <w:t>19202</w:t>
            </w:r>
          </w:p>
        </w:tc>
        <w:tc>
          <w:tcPr>
            <w:tcW w:w="667" w:type="pct"/>
            <w:vAlign w:val="center"/>
          </w:tcPr>
          <w:p w14:paraId="536B7611">
            <w:pPr>
              <w:pStyle w:val="19"/>
              <w:bidi w:val="0"/>
              <w:rPr>
                <w:rFonts w:hint="default"/>
                <w:lang w:val="en-US" w:eastAsia="zh-CN"/>
              </w:rPr>
            </w:pPr>
            <w:r>
              <w:rPr>
                <w:rFonts w:hint="eastAsia"/>
                <w:lang w:val="en-US" w:eastAsia="zh-CN"/>
              </w:rPr>
              <w:t>35215.85</w:t>
            </w:r>
          </w:p>
        </w:tc>
        <w:tc>
          <w:tcPr>
            <w:tcW w:w="797" w:type="pct"/>
            <w:vAlign w:val="center"/>
          </w:tcPr>
          <w:p w14:paraId="22C7703E">
            <w:pPr>
              <w:pStyle w:val="19"/>
              <w:bidi w:val="0"/>
              <w:rPr>
                <w:rFonts w:hint="default"/>
                <w:lang w:val="en-US" w:eastAsia="zh-CN"/>
              </w:rPr>
            </w:pPr>
            <w:r>
              <w:rPr>
                <w:rFonts w:hint="eastAsia"/>
                <w:lang w:val="en-US" w:eastAsia="zh-CN"/>
              </w:rPr>
              <w:t>54417.85</w:t>
            </w:r>
          </w:p>
        </w:tc>
      </w:tr>
      <w:tr w14:paraId="3498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5000" w:type="pct"/>
            <w:gridSpan w:val="8"/>
            <w:vAlign w:val="center"/>
          </w:tcPr>
          <w:p w14:paraId="5F8FEA19">
            <w:pPr>
              <w:pStyle w:val="19"/>
              <w:bidi w:val="0"/>
              <w:rPr>
                <w:rFonts w:hint="default"/>
                <w:lang w:val="en-US" w:eastAsia="zh-CN"/>
              </w:rPr>
            </w:pPr>
            <w:r>
              <w:t>备注：</w:t>
            </w:r>
            <w:r>
              <w:rPr>
                <w:rFonts w:hint="eastAsia"/>
              </w:rPr>
              <w:t>本项目生产天数为3</w:t>
            </w:r>
            <w:r>
              <w:rPr>
                <w:rFonts w:hint="eastAsia"/>
                <w:lang w:val="en-US" w:eastAsia="zh-CN"/>
              </w:rPr>
              <w:t>65</w:t>
            </w:r>
            <w:r>
              <w:rPr>
                <w:rFonts w:hint="eastAsia"/>
              </w:rPr>
              <w:t>天，夏季按照100天算，冬季按照2</w:t>
            </w:r>
            <w:r>
              <w:rPr>
                <w:rFonts w:hint="eastAsia"/>
                <w:lang w:val="en-US" w:eastAsia="zh-CN"/>
              </w:rPr>
              <w:t>65</w:t>
            </w:r>
            <w:r>
              <w:rPr>
                <w:rFonts w:hint="eastAsia"/>
              </w:rPr>
              <w:t>天算</w:t>
            </w:r>
            <w:r>
              <w:rPr>
                <w:rFonts w:hint="eastAsia"/>
                <w:lang w:eastAsia="zh-CN"/>
              </w:rPr>
              <w:t>；</w:t>
            </w:r>
            <w:r>
              <w:rPr>
                <w:rFonts w:hint="eastAsia"/>
                <w:lang w:val="en-US" w:eastAsia="zh-CN"/>
              </w:rPr>
              <w:t>猪尿比重为1.02</w:t>
            </w:r>
          </w:p>
        </w:tc>
      </w:tr>
    </w:tbl>
    <w:p w14:paraId="58C94245">
      <w:pPr>
        <w:bidi w:val="0"/>
      </w:pPr>
      <w:r>
        <w:t>综上所述，本项目养殖过程猪尿液产生量为</w:t>
      </w:r>
      <w:r>
        <w:rPr>
          <w:rFonts w:hint="eastAsia"/>
          <w:lang w:val="en-US" w:eastAsia="zh-CN"/>
        </w:rPr>
        <w:t>54417.85t</w:t>
      </w:r>
      <w:r>
        <w:t>/a</w:t>
      </w:r>
      <w:r>
        <w:rPr>
          <w:rFonts w:hint="eastAsia"/>
          <w:lang w:eastAsia="zh-CN"/>
        </w:rPr>
        <w:t>（</w:t>
      </w:r>
      <w:r>
        <w:rPr>
          <w:rFonts w:hint="eastAsia"/>
          <w:lang w:val="en-US" w:eastAsia="zh-CN"/>
        </w:rPr>
        <w:t>53550.84m</w:t>
      </w:r>
      <w:r>
        <w:rPr>
          <w:rFonts w:hint="eastAsia"/>
          <w:vertAlign w:val="superscript"/>
          <w:lang w:val="en-US" w:eastAsia="zh-CN"/>
        </w:rPr>
        <w:t>3</w:t>
      </w:r>
      <w:r>
        <w:t>/a</w:t>
      </w:r>
      <w:r>
        <w:rPr>
          <w:rFonts w:hint="eastAsia"/>
          <w:lang w:eastAsia="zh-CN"/>
        </w:rPr>
        <w:t>）</w:t>
      </w:r>
      <w:r>
        <w:t>。</w:t>
      </w:r>
    </w:p>
    <w:p w14:paraId="5597A957">
      <w:pPr>
        <w:bidi w:val="0"/>
        <w:rPr>
          <w:rFonts w:hint="eastAsia"/>
          <w:lang w:val="en-US" w:eastAsia="zh-CN"/>
        </w:rPr>
      </w:pPr>
      <w:r>
        <w:rPr>
          <w:rFonts w:hint="eastAsia"/>
          <w:lang w:val="en-US" w:eastAsia="zh-CN"/>
        </w:rPr>
        <w:t>②猪粪滤液</w:t>
      </w:r>
    </w:p>
    <w:p w14:paraId="61FA7D7E">
      <w:pPr>
        <w:bidi w:val="0"/>
      </w:pPr>
      <w:r>
        <w:t>根据《规模畜禽养殖场污染防治最佳可行技术指南（试行）》</w:t>
      </w:r>
      <w:r>
        <w:rPr>
          <w:rFonts w:hint="eastAsia"/>
        </w:rPr>
        <w:t>（HJ-BAT-10-2013）</w:t>
      </w:r>
      <w:r>
        <w:t>编制说明，猪</w:t>
      </w:r>
      <w:r>
        <w:rPr>
          <w:rFonts w:hint="eastAsia"/>
          <w:lang w:val="en-US" w:eastAsia="zh-CN"/>
        </w:rPr>
        <w:t>粪</w:t>
      </w:r>
      <w:r>
        <w:t>排泄量计算公式为：</w:t>
      </w:r>
    </w:p>
    <w:p w14:paraId="237C7292">
      <w:pPr>
        <w:spacing w:line="360" w:lineRule="auto"/>
        <w:ind w:firstLine="480" w:firstLineChars="200"/>
        <w:jc w:val="left"/>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Yf</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530F-0.049</w:t>
      </w:r>
    </w:p>
    <w:p w14:paraId="3C4C741B">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式中，</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Yf</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粪便</w:t>
      </w:r>
      <w:r>
        <w:rPr>
          <w:rFonts w:ascii="Times New Roman" w:hAnsi="Times New Roman" w:eastAsia="宋体" w:cs="宋体"/>
          <w:b w:val="0"/>
          <w:bCs w:val="0"/>
          <w:color w:val="000000" w:themeColor="text1"/>
          <w:kern w:val="0"/>
          <w:szCs w:val="24"/>
          <w:highlight w:val="none"/>
          <w14:textFill>
            <w14:solidFill>
              <w14:schemeClr w14:val="tx1"/>
            </w14:solidFill>
          </w14:textFill>
        </w:rPr>
        <w:t>排泄量，单位：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w:t>
      </w:r>
    </w:p>
    <w:p w14:paraId="06E1DF94">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F</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饲料采食量</w:t>
      </w:r>
      <w:r>
        <w:rPr>
          <w:rFonts w:ascii="Times New Roman" w:hAnsi="Times New Roman" w:eastAsia="宋体" w:cs="宋体"/>
          <w:b w:val="0"/>
          <w:bCs w:val="0"/>
          <w:color w:val="000000" w:themeColor="text1"/>
          <w:kern w:val="0"/>
          <w:szCs w:val="24"/>
          <w:highlight w:val="none"/>
          <w14:textFill>
            <w14:solidFill>
              <w14:schemeClr w14:val="tx1"/>
            </w14:solidFill>
          </w14:textFill>
        </w:rPr>
        <w:t>，单位：</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取</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2.5kg</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/头</w:t>
      </w:r>
      <w:r>
        <w:rPr>
          <w:rFonts w:ascii="Times New Roman" w:hAnsi="Times New Roman" w:eastAsia="宋体" w:cs="宋体"/>
          <w:b w:val="0"/>
          <w:bCs w:val="0"/>
          <w:color w:val="000000" w:themeColor="text1"/>
          <w:kern w:val="0"/>
          <w:szCs w:val="24"/>
          <w:highlight w:val="none"/>
          <w14:textFill>
            <w14:solidFill>
              <w14:schemeClr w14:val="tx1"/>
            </w14:solidFill>
          </w14:textFill>
        </w:rPr>
        <w:t>。</w:t>
      </w:r>
    </w:p>
    <w:p w14:paraId="1DCA5AD4">
      <w:pPr>
        <w:spacing w:line="360" w:lineRule="auto"/>
        <w:ind w:firstLine="480" w:firstLineChars="200"/>
        <w:jc w:val="left"/>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本项目常年存栏猪为</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万头</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故粪便排泄量为1.276</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kg/d</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头</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粪便总排泄量为</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63.8</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t/d（</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23287</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t/a）。</w:t>
      </w:r>
    </w:p>
    <w:p w14:paraId="7796E335">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根据类比已投入运营的</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养殖</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场运营经验，粪</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便</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经固液分离后，约有3</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滤液产生量，即</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6986.1</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6849.12</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p>
    <w:p w14:paraId="0C2A80DE">
      <w:pPr>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育肥</w:t>
      </w:r>
      <w:r>
        <w:rPr>
          <w:color w:val="000000" w:themeColor="text1"/>
          <w:highlight w:val="none"/>
          <w14:textFill>
            <w14:solidFill>
              <w14:schemeClr w14:val="tx1"/>
            </w14:solidFill>
          </w14:textFill>
        </w:rPr>
        <w:t>舍冲洗废水</w:t>
      </w:r>
    </w:p>
    <w:p w14:paraId="2C90054F">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育肥</w:t>
      </w:r>
      <w:r>
        <w:rPr>
          <w:color w:val="000000" w:themeColor="text1"/>
          <w:highlight w:val="none"/>
          <w14:textFill>
            <w14:solidFill>
              <w14:schemeClr w14:val="tx1"/>
            </w14:solidFill>
          </w14:textFill>
        </w:rPr>
        <w:t>舍清洗用水为</w:t>
      </w:r>
      <w:r>
        <w:rPr>
          <w:rFonts w:hint="eastAsia"/>
          <w:color w:val="000000" w:themeColor="text1"/>
          <w:highlight w:val="none"/>
          <w:lang w:val="en-US" w:eastAsia="zh-CN"/>
          <w14:textFill>
            <w14:solidFill>
              <w14:schemeClr w14:val="tx1"/>
            </w14:solidFill>
          </w14:textFill>
        </w:rPr>
        <w:t>1080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/a，排污系数按</w:t>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t>0%算，则废水产生量为</w:t>
      </w:r>
      <w:r>
        <w:rPr>
          <w:rFonts w:hint="eastAsia"/>
          <w:color w:val="000000" w:themeColor="text1"/>
          <w:highlight w:val="none"/>
          <w:lang w:val="en-US" w:eastAsia="zh-CN"/>
          <w14:textFill>
            <w14:solidFill>
              <w14:schemeClr w14:val="tx1"/>
            </w14:solidFill>
          </w14:textFill>
        </w:rPr>
        <w:t>972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p w14:paraId="7D95EED9">
      <w:pPr>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生活污水</w:t>
      </w:r>
    </w:p>
    <w:p w14:paraId="3520956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生活用水年用水量为</w:t>
      </w:r>
      <w:r>
        <w:rPr>
          <w:rFonts w:hint="eastAsia"/>
          <w:color w:val="000000" w:themeColor="text1"/>
          <w:highlight w:val="none"/>
          <w:lang w:val="en-US" w:eastAsia="zh-CN"/>
          <w14:textFill>
            <w14:solidFill>
              <w14:schemeClr w14:val="tx1"/>
            </w14:solidFill>
          </w14:textFill>
        </w:rPr>
        <w:t>1314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，废水产生量按照用水量的80%计算，职工生活污水产生量为</w:t>
      </w:r>
      <w:r>
        <w:rPr>
          <w:rFonts w:hint="eastAsia"/>
          <w:color w:val="000000" w:themeColor="text1"/>
          <w:highlight w:val="none"/>
          <w:lang w:val="en-US" w:eastAsia="zh-CN"/>
          <w14:textFill>
            <w14:solidFill>
              <w14:schemeClr w14:val="tx1"/>
            </w14:solidFill>
          </w14:textFill>
        </w:rPr>
        <w:t>1051.2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2.88</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p>
    <w:p w14:paraId="4AC86998">
      <w:pPr>
        <w:bidi w:val="0"/>
        <w:rPr>
          <w:rFonts w:hint="eastAsia"/>
          <w:lang w:val="en-US" w:eastAsia="zh-CN"/>
        </w:rPr>
      </w:pPr>
      <w:r>
        <w:rPr>
          <w:rFonts w:hint="eastAsia"/>
          <w:lang w:val="en-US" w:eastAsia="zh-CN"/>
        </w:rPr>
        <w:t>⑤锅炉排水</w:t>
      </w:r>
    </w:p>
    <w:p w14:paraId="03EDE5E1">
      <w:pPr>
        <w:bidi w:val="0"/>
        <w:rPr>
          <w:rFonts w:hint="default"/>
          <w:lang w:val="en-US" w:eastAsia="zh-CN"/>
        </w:rPr>
      </w:pPr>
      <w:r>
        <w:rPr>
          <w:rFonts w:hint="eastAsia"/>
          <w:lang w:val="en-US" w:eastAsia="zh-CN"/>
        </w:rPr>
        <w:t>根据前文分析，本项目3台生物质锅炉年用生物质燃料5700t，根据《第二次全国污染源普查产排污核算系数手册（试用版）》中“4430工业锅炉（热力生产和供应行业）产污系数表-工业废水量和化学需氧量”中的“锅炉排污水十软化处理废水”排放系数为0.356吨/吨-原料，则本项目生物质锅炉排水量为2029.2m</w:t>
      </w:r>
      <w:r>
        <w:rPr>
          <w:rFonts w:hint="eastAsia"/>
          <w:vertAlign w:val="superscript"/>
          <w:lang w:val="en-US" w:eastAsia="zh-CN"/>
        </w:rPr>
        <w:t>3</w:t>
      </w:r>
      <w:r>
        <w:rPr>
          <w:rFonts w:hint="eastAsia"/>
          <w:lang w:val="en-US" w:eastAsia="zh-CN"/>
        </w:rPr>
        <w:t>/a。</w:t>
      </w:r>
    </w:p>
    <w:p w14:paraId="68787753">
      <w:pPr>
        <w:bidi w:val="0"/>
        <w:rPr>
          <w:rFonts w:hint="eastAsia"/>
          <w:lang w:val="en-US" w:eastAsia="zh-CN"/>
        </w:rPr>
      </w:pPr>
      <w:r>
        <w:rPr>
          <w:rFonts w:hint="eastAsia"/>
          <w:lang w:val="en-US" w:eastAsia="zh-CN"/>
        </w:rPr>
        <w:t>综上所述，本项目废水产生量情况见表3.1-9。</w:t>
      </w:r>
    </w:p>
    <w:p w14:paraId="56863D17">
      <w:pPr>
        <w:pStyle w:val="30"/>
        <w:bidi w:val="0"/>
        <w:rPr>
          <w:rFonts w:hint="default"/>
          <w:lang w:val="en-US" w:eastAsia="zh-CN"/>
        </w:rPr>
      </w:pPr>
      <w:r>
        <w:rPr>
          <w:rFonts w:hint="eastAsia"/>
          <w:lang w:val="en-US" w:eastAsia="zh-CN"/>
        </w:rPr>
        <w:t>表3.1-9   本项目各环节废水产生量汇总表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672"/>
        <w:gridCol w:w="1050"/>
        <w:gridCol w:w="1695"/>
        <w:gridCol w:w="1575"/>
        <w:gridCol w:w="1035"/>
        <w:gridCol w:w="1198"/>
        <w:gridCol w:w="1163"/>
      </w:tblGrid>
      <w:tr w14:paraId="0D55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Merge w:val="restart"/>
            <w:vAlign w:val="center"/>
          </w:tcPr>
          <w:p w14:paraId="449CDF8E">
            <w:pPr>
              <w:pStyle w:val="19"/>
              <w:bidi w:val="0"/>
              <w:jc w:val="center"/>
              <w:rPr>
                <w:rFonts w:hint="default"/>
                <w:lang w:val="en-US" w:eastAsia="zh-CN"/>
              </w:rPr>
            </w:pPr>
            <w:r>
              <w:rPr>
                <w:rFonts w:hint="eastAsia"/>
                <w:lang w:val="en-US" w:eastAsia="zh-CN"/>
              </w:rPr>
              <w:t>序号</w:t>
            </w:r>
          </w:p>
        </w:tc>
        <w:tc>
          <w:tcPr>
            <w:tcW w:w="2745" w:type="dxa"/>
            <w:gridSpan w:val="2"/>
            <w:vMerge w:val="restart"/>
            <w:vAlign w:val="center"/>
          </w:tcPr>
          <w:p w14:paraId="4CD7142F">
            <w:pPr>
              <w:pStyle w:val="19"/>
              <w:bidi w:val="0"/>
              <w:jc w:val="center"/>
              <w:rPr>
                <w:rFonts w:hint="default"/>
                <w:lang w:val="en-US" w:eastAsia="zh-CN"/>
              </w:rPr>
            </w:pPr>
            <w:r>
              <w:rPr>
                <w:rFonts w:hint="eastAsia"/>
                <w:lang w:val="en-US" w:eastAsia="zh-CN"/>
              </w:rPr>
              <w:t>用水环节</w:t>
            </w:r>
          </w:p>
        </w:tc>
        <w:tc>
          <w:tcPr>
            <w:tcW w:w="1575" w:type="dxa"/>
            <w:vMerge w:val="restart"/>
            <w:vAlign w:val="center"/>
          </w:tcPr>
          <w:p w14:paraId="61804767">
            <w:pPr>
              <w:pStyle w:val="19"/>
              <w:bidi w:val="0"/>
              <w:jc w:val="center"/>
              <w:rPr>
                <w:rFonts w:hint="default"/>
                <w:lang w:val="en-US" w:eastAsia="zh-CN"/>
              </w:rPr>
            </w:pPr>
            <w:r>
              <w:rPr>
                <w:rFonts w:hint="eastAsia"/>
                <w:lang w:val="en-US" w:eastAsia="zh-CN"/>
              </w:rPr>
              <w:t>年运行时间</w:t>
            </w:r>
          </w:p>
        </w:tc>
        <w:tc>
          <w:tcPr>
            <w:tcW w:w="2233" w:type="dxa"/>
            <w:gridSpan w:val="2"/>
            <w:vAlign w:val="center"/>
          </w:tcPr>
          <w:p w14:paraId="7DCE8F0C">
            <w:pPr>
              <w:pStyle w:val="19"/>
              <w:bidi w:val="0"/>
              <w:jc w:val="center"/>
              <w:rPr>
                <w:rFonts w:hint="eastAsia"/>
                <w:lang w:val="en-US" w:eastAsia="zh-CN"/>
              </w:rPr>
            </w:pPr>
            <w:r>
              <w:rPr>
                <w:rFonts w:hint="eastAsia"/>
                <w:lang w:val="en-US" w:eastAsia="zh-CN"/>
              </w:rPr>
              <w:t>排水量</w:t>
            </w:r>
          </w:p>
        </w:tc>
        <w:tc>
          <w:tcPr>
            <w:tcW w:w="1163" w:type="dxa"/>
            <w:vMerge w:val="restart"/>
            <w:vAlign w:val="center"/>
          </w:tcPr>
          <w:p w14:paraId="4522FB4C">
            <w:pPr>
              <w:pStyle w:val="19"/>
              <w:bidi w:val="0"/>
              <w:jc w:val="center"/>
              <w:rPr>
                <w:rFonts w:hint="default"/>
                <w:highlight w:val="yellow"/>
                <w:lang w:val="en-US" w:eastAsia="zh-CN"/>
              </w:rPr>
            </w:pPr>
            <w:r>
              <w:rPr>
                <w:rFonts w:hint="eastAsia"/>
                <w:highlight w:val="none"/>
                <w:lang w:val="en-US" w:eastAsia="zh-CN"/>
              </w:rPr>
              <w:t>排水去向</w:t>
            </w:r>
          </w:p>
        </w:tc>
      </w:tr>
      <w:tr w14:paraId="2BC3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8" w:hRule="atLeast"/>
        </w:trPr>
        <w:tc>
          <w:tcPr>
            <w:tcW w:w="672" w:type="dxa"/>
            <w:vMerge w:val="continue"/>
            <w:vAlign w:val="center"/>
          </w:tcPr>
          <w:p w14:paraId="17E7B38B">
            <w:pPr>
              <w:pStyle w:val="19"/>
              <w:bidi w:val="0"/>
              <w:jc w:val="center"/>
              <w:rPr>
                <w:rFonts w:hint="eastAsia"/>
                <w:lang w:val="en-US" w:eastAsia="zh-CN"/>
              </w:rPr>
            </w:pPr>
          </w:p>
        </w:tc>
        <w:tc>
          <w:tcPr>
            <w:tcW w:w="2745" w:type="dxa"/>
            <w:gridSpan w:val="2"/>
            <w:vMerge w:val="continue"/>
            <w:vAlign w:val="center"/>
          </w:tcPr>
          <w:p w14:paraId="4D9EA321">
            <w:pPr>
              <w:pStyle w:val="19"/>
              <w:bidi w:val="0"/>
              <w:jc w:val="center"/>
              <w:rPr>
                <w:rFonts w:hint="eastAsia"/>
                <w:lang w:val="en-US" w:eastAsia="zh-CN"/>
              </w:rPr>
            </w:pPr>
          </w:p>
        </w:tc>
        <w:tc>
          <w:tcPr>
            <w:tcW w:w="1575" w:type="dxa"/>
            <w:vMerge w:val="continue"/>
            <w:vAlign w:val="center"/>
          </w:tcPr>
          <w:p w14:paraId="4837803E">
            <w:pPr>
              <w:pStyle w:val="19"/>
              <w:bidi w:val="0"/>
              <w:jc w:val="center"/>
              <w:rPr>
                <w:rFonts w:hint="default"/>
                <w:vertAlign w:val="baseline"/>
                <w:lang w:val="en-US" w:eastAsia="zh-CN"/>
              </w:rPr>
            </w:pPr>
          </w:p>
        </w:tc>
        <w:tc>
          <w:tcPr>
            <w:tcW w:w="1035" w:type="dxa"/>
            <w:vAlign w:val="center"/>
          </w:tcPr>
          <w:p w14:paraId="4A36FB3B">
            <w:pPr>
              <w:pStyle w:val="19"/>
              <w:bidi w:val="0"/>
              <w:jc w:val="center"/>
              <w:rPr>
                <w:rFonts w:hint="eastAsia"/>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/d</w:t>
            </w:r>
          </w:p>
        </w:tc>
        <w:tc>
          <w:tcPr>
            <w:tcW w:w="1198" w:type="dxa"/>
            <w:vAlign w:val="center"/>
          </w:tcPr>
          <w:p w14:paraId="03E7E13F">
            <w:pPr>
              <w:pStyle w:val="19"/>
              <w:bidi w:val="0"/>
              <w:jc w:val="center"/>
              <w:rPr>
                <w:rFonts w:hint="default"/>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/a</w:t>
            </w:r>
          </w:p>
        </w:tc>
        <w:tc>
          <w:tcPr>
            <w:tcW w:w="1163" w:type="dxa"/>
            <w:vMerge w:val="continue"/>
            <w:vAlign w:val="center"/>
          </w:tcPr>
          <w:p w14:paraId="5A9EF4E9">
            <w:pPr>
              <w:pStyle w:val="19"/>
              <w:bidi w:val="0"/>
              <w:jc w:val="center"/>
              <w:rPr>
                <w:rFonts w:hint="eastAsia"/>
                <w:highlight w:val="yellow"/>
                <w:vertAlign w:val="baseline"/>
                <w:lang w:val="en-US" w:eastAsia="zh-CN"/>
              </w:rPr>
            </w:pPr>
          </w:p>
        </w:tc>
      </w:tr>
      <w:tr w14:paraId="73D7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539175B9">
            <w:pPr>
              <w:pStyle w:val="19"/>
              <w:bidi w:val="0"/>
              <w:jc w:val="center"/>
              <w:rPr>
                <w:rFonts w:hint="default"/>
                <w:lang w:val="en-US" w:eastAsia="zh-CN"/>
              </w:rPr>
            </w:pPr>
            <w:r>
              <w:rPr>
                <w:rFonts w:hint="eastAsia"/>
                <w:lang w:val="en-US" w:eastAsia="zh-CN"/>
              </w:rPr>
              <w:t>1</w:t>
            </w:r>
          </w:p>
        </w:tc>
        <w:tc>
          <w:tcPr>
            <w:tcW w:w="2745" w:type="dxa"/>
            <w:gridSpan w:val="2"/>
            <w:vAlign w:val="center"/>
          </w:tcPr>
          <w:p w14:paraId="2552534D">
            <w:pPr>
              <w:pStyle w:val="19"/>
              <w:bidi w:val="0"/>
              <w:jc w:val="center"/>
              <w:rPr>
                <w:rFonts w:hint="eastAsia"/>
                <w:lang w:val="en-US" w:eastAsia="zh-CN"/>
              </w:rPr>
            </w:pPr>
            <w:r>
              <w:rPr>
                <w:rFonts w:hint="eastAsia"/>
                <w:lang w:val="en-US" w:eastAsia="zh-CN"/>
              </w:rPr>
              <w:t>职工生活污水</w:t>
            </w:r>
          </w:p>
        </w:tc>
        <w:tc>
          <w:tcPr>
            <w:tcW w:w="1575" w:type="dxa"/>
            <w:vAlign w:val="center"/>
          </w:tcPr>
          <w:p w14:paraId="49AED0F0">
            <w:pPr>
              <w:pStyle w:val="19"/>
              <w:bidi w:val="0"/>
              <w:jc w:val="center"/>
              <w:rPr>
                <w:rFonts w:hint="default"/>
                <w:lang w:val="en-US" w:eastAsia="zh-CN"/>
              </w:rPr>
            </w:pPr>
            <w:r>
              <w:rPr>
                <w:rFonts w:hint="eastAsia"/>
                <w:lang w:val="en-US" w:eastAsia="zh-CN"/>
              </w:rPr>
              <w:t>365d</w:t>
            </w:r>
          </w:p>
        </w:tc>
        <w:tc>
          <w:tcPr>
            <w:tcW w:w="1035" w:type="dxa"/>
            <w:vAlign w:val="center"/>
          </w:tcPr>
          <w:p w14:paraId="7C249B5B">
            <w:pPr>
              <w:pStyle w:val="19"/>
              <w:bidi w:val="0"/>
              <w:jc w:val="center"/>
              <w:rPr>
                <w:rFonts w:hint="default"/>
                <w:lang w:val="en-US" w:eastAsia="zh-CN"/>
              </w:rPr>
            </w:pPr>
            <w:r>
              <w:rPr>
                <w:rFonts w:hint="eastAsia"/>
                <w:lang w:val="en-US" w:eastAsia="zh-CN"/>
              </w:rPr>
              <w:t>2.88</w:t>
            </w:r>
          </w:p>
        </w:tc>
        <w:tc>
          <w:tcPr>
            <w:tcW w:w="1198" w:type="dxa"/>
            <w:vAlign w:val="center"/>
          </w:tcPr>
          <w:p w14:paraId="047EAB37">
            <w:pPr>
              <w:pStyle w:val="19"/>
              <w:bidi w:val="0"/>
              <w:jc w:val="center"/>
              <w:rPr>
                <w:rFonts w:hint="default"/>
                <w:lang w:val="en-US" w:eastAsia="zh-CN"/>
              </w:rPr>
            </w:pPr>
            <w:r>
              <w:rPr>
                <w:rFonts w:hint="eastAsia"/>
                <w:lang w:val="en-US" w:eastAsia="zh-CN"/>
              </w:rPr>
              <w:t>1051.2</w:t>
            </w:r>
          </w:p>
        </w:tc>
        <w:tc>
          <w:tcPr>
            <w:tcW w:w="1163" w:type="dxa"/>
            <w:vMerge w:val="restart"/>
            <w:vAlign w:val="center"/>
          </w:tcPr>
          <w:p w14:paraId="0EC349B8">
            <w:pPr>
              <w:pStyle w:val="19"/>
              <w:bidi w:val="0"/>
              <w:jc w:val="center"/>
              <w:rPr>
                <w:rFonts w:hint="default"/>
                <w:highlight w:val="yellow"/>
                <w:lang w:val="en-US" w:eastAsia="zh-CN"/>
              </w:rPr>
            </w:pPr>
            <w:r>
              <w:rPr>
                <w:rFonts w:hint="eastAsia"/>
                <w:highlight w:val="none"/>
                <w:lang w:val="en-US" w:eastAsia="zh-CN"/>
              </w:rPr>
              <w:t>粪污处理池处理后委托129团农业发展中心清运处置</w:t>
            </w:r>
          </w:p>
        </w:tc>
      </w:tr>
      <w:tr w14:paraId="00C4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9" w:hRule="atLeast"/>
        </w:trPr>
        <w:tc>
          <w:tcPr>
            <w:tcW w:w="672" w:type="dxa"/>
            <w:vAlign w:val="center"/>
          </w:tcPr>
          <w:p w14:paraId="16B33EC3">
            <w:pPr>
              <w:pStyle w:val="19"/>
              <w:bidi w:val="0"/>
              <w:jc w:val="center"/>
              <w:rPr>
                <w:rFonts w:hint="default"/>
                <w:lang w:val="en-US" w:eastAsia="zh-CN"/>
              </w:rPr>
            </w:pPr>
            <w:r>
              <w:rPr>
                <w:rFonts w:hint="eastAsia"/>
                <w:lang w:val="en-US" w:eastAsia="zh-CN"/>
              </w:rPr>
              <w:t>2</w:t>
            </w:r>
          </w:p>
        </w:tc>
        <w:tc>
          <w:tcPr>
            <w:tcW w:w="1050" w:type="dxa"/>
            <w:vMerge w:val="restart"/>
            <w:vAlign w:val="center"/>
          </w:tcPr>
          <w:p w14:paraId="545F31EC">
            <w:pPr>
              <w:pStyle w:val="19"/>
              <w:bidi w:val="0"/>
              <w:jc w:val="center"/>
              <w:rPr>
                <w:rFonts w:hint="default"/>
                <w:lang w:val="en-US" w:eastAsia="zh-CN"/>
              </w:rPr>
            </w:pPr>
            <w:r>
              <w:rPr>
                <w:rFonts w:hint="eastAsia"/>
                <w:lang w:val="en-US" w:eastAsia="zh-CN"/>
              </w:rPr>
              <w:t>生猪育肥</w:t>
            </w:r>
          </w:p>
        </w:tc>
        <w:tc>
          <w:tcPr>
            <w:tcW w:w="1695" w:type="dxa"/>
            <w:vAlign w:val="center"/>
          </w:tcPr>
          <w:p w14:paraId="3499F6B5">
            <w:pPr>
              <w:pStyle w:val="19"/>
              <w:bidi w:val="0"/>
              <w:jc w:val="center"/>
              <w:rPr>
                <w:rFonts w:hint="eastAsia"/>
                <w:lang w:val="en-US" w:eastAsia="zh-CN"/>
              </w:rPr>
            </w:pPr>
            <w:r>
              <w:rPr>
                <w:rFonts w:hint="eastAsia"/>
                <w:lang w:val="en-US" w:eastAsia="zh-CN"/>
              </w:rPr>
              <w:t>猪尿</w:t>
            </w:r>
          </w:p>
        </w:tc>
        <w:tc>
          <w:tcPr>
            <w:tcW w:w="1575" w:type="dxa"/>
            <w:vMerge w:val="restart"/>
            <w:vAlign w:val="center"/>
          </w:tcPr>
          <w:p w14:paraId="09DE1447">
            <w:pPr>
              <w:pStyle w:val="19"/>
              <w:bidi w:val="0"/>
              <w:jc w:val="center"/>
              <w:rPr>
                <w:rFonts w:hint="default"/>
                <w:lang w:val="en-US" w:eastAsia="zh-CN"/>
              </w:rPr>
            </w:pPr>
            <w:r>
              <w:rPr>
                <w:rFonts w:hint="eastAsia"/>
                <w:lang w:val="en-US" w:eastAsia="zh-CN"/>
              </w:rPr>
              <w:t>365d</w:t>
            </w:r>
          </w:p>
        </w:tc>
        <w:tc>
          <w:tcPr>
            <w:tcW w:w="1035" w:type="dxa"/>
            <w:vAlign w:val="center"/>
          </w:tcPr>
          <w:p w14:paraId="409C07FD">
            <w:pPr>
              <w:pStyle w:val="19"/>
              <w:bidi w:val="0"/>
              <w:jc w:val="center"/>
              <w:rPr>
                <w:rFonts w:hint="default"/>
                <w:lang w:val="en-US" w:eastAsia="zh-CN"/>
              </w:rPr>
            </w:pPr>
            <w:r>
              <w:rPr>
                <w:rFonts w:hint="eastAsia"/>
                <w:lang w:val="en-US" w:eastAsia="zh-CN"/>
              </w:rPr>
              <w:t>146.72</w:t>
            </w:r>
          </w:p>
        </w:tc>
        <w:tc>
          <w:tcPr>
            <w:tcW w:w="1198" w:type="dxa"/>
            <w:vAlign w:val="center"/>
          </w:tcPr>
          <w:p w14:paraId="63A9BB5E">
            <w:pPr>
              <w:pStyle w:val="19"/>
              <w:bidi w:val="0"/>
              <w:jc w:val="center"/>
              <w:rPr>
                <w:rFonts w:hint="default"/>
                <w:lang w:val="en-US" w:eastAsia="zh-CN"/>
              </w:rPr>
            </w:pPr>
            <w:r>
              <w:rPr>
                <w:rFonts w:hint="eastAsia"/>
                <w:lang w:val="en-US" w:eastAsia="zh-CN"/>
              </w:rPr>
              <w:t>53550.84</w:t>
            </w:r>
          </w:p>
        </w:tc>
        <w:tc>
          <w:tcPr>
            <w:tcW w:w="1163" w:type="dxa"/>
            <w:vMerge w:val="continue"/>
            <w:vAlign w:val="center"/>
          </w:tcPr>
          <w:p w14:paraId="5395156B">
            <w:pPr>
              <w:pStyle w:val="19"/>
              <w:bidi w:val="0"/>
              <w:jc w:val="center"/>
              <w:rPr>
                <w:rFonts w:hint="eastAsia"/>
                <w:lang w:val="en-US" w:eastAsia="zh-CN"/>
              </w:rPr>
            </w:pPr>
          </w:p>
        </w:tc>
      </w:tr>
      <w:tr w14:paraId="4DFF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9" w:hRule="atLeast"/>
        </w:trPr>
        <w:tc>
          <w:tcPr>
            <w:tcW w:w="672" w:type="dxa"/>
            <w:vAlign w:val="center"/>
          </w:tcPr>
          <w:p w14:paraId="4DC3A444">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w:t>
            </w:r>
          </w:p>
        </w:tc>
        <w:tc>
          <w:tcPr>
            <w:tcW w:w="1050" w:type="dxa"/>
            <w:vMerge w:val="continue"/>
            <w:vAlign w:val="center"/>
          </w:tcPr>
          <w:p w14:paraId="73BA84D3">
            <w:pPr>
              <w:pStyle w:val="19"/>
              <w:bidi w:val="0"/>
              <w:jc w:val="center"/>
            </w:pPr>
          </w:p>
        </w:tc>
        <w:tc>
          <w:tcPr>
            <w:tcW w:w="1695" w:type="dxa"/>
            <w:vAlign w:val="center"/>
          </w:tcPr>
          <w:p w14:paraId="2D979F8E">
            <w:pPr>
              <w:pStyle w:val="19"/>
              <w:bidi w:val="0"/>
              <w:jc w:val="center"/>
              <w:rPr>
                <w:rFonts w:hint="default"/>
                <w:lang w:val="en-US" w:eastAsia="zh-CN"/>
              </w:rPr>
            </w:pPr>
            <w:r>
              <w:rPr>
                <w:rFonts w:hint="eastAsia"/>
                <w:lang w:val="en-US" w:eastAsia="zh-CN"/>
              </w:rPr>
              <w:t>猪粪滤液</w:t>
            </w:r>
          </w:p>
        </w:tc>
        <w:tc>
          <w:tcPr>
            <w:tcW w:w="1575" w:type="dxa"/>
            <w:vMerge w:val="continue"/>
            <w:vAlign w:val="center"/>
          </w:tcPr>
          <w:p w14:paraId="27DD883D">
            <w:pPr>
              <w:pStyle w:val="19"/>
              <w:bidi w:val="0"/>
              <w:jc w:val="center"/>
              <w:rPr>
                <w:rFonts w:hint="eastAsia"/>
                <w:lang w:val="en-US" w:eastAsia="zh-CN"/>
              </w:rPr>
            </w:pPr>
          </w:p>
        </w:tc>
        <w:tc>
          <w:tcPr>
            <w:tcW w:w="1035" w:type="dxa"/>
            <w:vAlign w:val="center"/>
          </w:tcPr>
          <w:p w14:paraId="3E983E9E">
            <w:pPr>
              <w:pStyle w:val="19"/>
              <w:bidi w:val="0"/>
              <w:jc w:val="center"/>
              <w:rPr>
                <w:rFonts w:hint="default"/>
                <w:lang w:val="en-US" w:eastAsia="zh-CN"/>
              </w:rPr>
            </w:pPr>
            <w:r>
              <w:rPr>
                <w:rFonts w:hint="eastAsia"/>
                <w:lang w:val="en-US" w:eastAsia="zh-CN"/>
              </w:rPr>
              <w:t>18.77</w:t>
            </w:r>
          </w:p>
        </w:tc>
        <w:tc>
          <w:tcPr>
            <w:tcW w:w="1198" w:type="dxa"/>
            <w:vAlign w:val="center"/>
          </w:tcPr>
          <w:p w14:paraId="0FB7503E">
            <w:pPr>
              <w:pStyle w:val="19"/>
              <w:bidi w:val="0"/>
              <w:jc w:val="center"/>
              <w:rPr>
                <w:rFonts w:hint="default"/>
                <w:lang w:val="en-US" w:eastAsia="zh-CN"/>
              </w:rPr>
            </w:pPr>
            <w:r>
              <w:rPr>
                <w:rFonts w:hint="eastAsia"/>
                <w:lang w:val="en-US" w:eastAsia="zh-CN"/>
              </w:rPr>
              <w:t>6849.12</w:t>
            </w:r>
          </w:p>
        </w:tc>
        <w:tc>
          <w:tcPr>
            <w:tcW w:w="1163" w:type="dxa"/>
            <w:vMerge w:val="continue"/>
            <w:vAlign w:val="center"/>
          </w:tcPr>
          <w:p w14:paraId="02092778">
            <w:pPr>
              <w:pStyle w:val="19"/>
              <w:bidi w:val="0"/>
              <w:jc w:val="center"/>
              <w:rPr>
                <w:rFonts w:hint="eastAsia"/>
                <w:lang w:val="en-US" w:eastAsia="zh-CN"/>
              </w:rPr>
            </w:pPr>
          </w:p>
        </w:tc>
      </w:tr>
      <w:tr w14:paraId="6657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2295FA0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4</w:t>
            </w:r>
          </w:p>
        </w:tc>
        <w:tc>
          <w:tcPr>
            <w:tcW w:w="2745" w:type="dxa"/>
            <w:gridSpan w:val="2"/>
            <w:vAlign w:val="center"/>
          </w:tcPr>
          <w:p w14:paraId="37E2D66A">
            <w:pPr>
              <w:pStyle w:val="19"/>
              <w:bidi w:val="0"/>
              <w:jc w:val="center"/>
              <w:rPr>
                <w:rFonts w:hint="eastAsia"/>
                <w:lang w:val="en-US" w:eastAsia="zh-CN"/>
              </w:rPr>
            </w:pPr>
            <w:r>
              <w:rPr>
                <w:rFonts w:hint="eastAsia"/>
                <w:lang w:val="en-US" w:eastAsia="zh-CN"/>
              </w:rPr>
              <w:t>猪舍冲洗废水</w:t>
            </w:r>
          </w:p>
        </w:tc>
        <w:tc>
          <w:tcPr>
            <w:tcW w:w="1575" w:type="dxa"/>
            <w:vAlign w:val="center"/>
          </w:tcPr>
          <w:p w14:paraId="7AE80A93">
            <w:pPr>
              <w:pStyle w:val="19"/>
              <w:bidi w:val="0"/>
              <w:jc w:val="center"/>
              <w:rPr>
                <w:rFonts w:hint="default"/>
                <w:lang w:val="en-US" w:eastAsia="zh-CN"/>
              </w:rPr>
            </w:pPr>
            <w:r>
              <w:rPr>
                <w:rFonts w:hint="eastAsia"/>
                <w:lang w:val="en-US" w:eastAsia="zh-CN"/>
              </w:rPr>
              <w:t>12d</w:t>
            </w:r>
          </w:p>
        </w:tc>
        <w:tc>
          <w:tcPr>
            <w:tcW w:w="1035" w:type="dxa"/>
            <w:vAlign w:val="center"/>
          </w:tcPr>
          <w:p w14:paraId="4623E8C0">
            <w:pPr>
              <w:pStyle w:val="19"/>
              <w:bidi w:val="0"/>
              <w:jc w:val="center"/>
              <w:rPr>
                <w:rFonts w:hint="default"/>
                <w:lang w:val="en-US" w:eastAsia="zh-CN"/>
              </w:rPr>
            </w:pPr>
            <w:r>
              <w:rPr>
                <w:rFonts w:hint="eastAsia"/>
                <w:lang w:val="en-US" w:eastAsia="zh-CN"/>
              </w:rPr>
              <w:t>81</w:t>
            </w:r>
          </w:p>
        </w:tc>
        <w:tc>
          <w:tcPr>
            <w:tcW w:w="1198" w:type="dxa"/>
            <w:vAlign w:val="center"/>
          </w:tcPr>
          <w:p w14:paraId="4F13ADA7">
            <w:pPr>
              <w:pStyle w:val="19"/>
              <w:bidi w:val="0"/>
              <w:jc w:val="center"/>
              <w:rPr>
                <w:rFonts w:hint="default"/>
                <w:lang w:val="en-US" w:eastAsia="zh-CN"/>
              </w:rPr>
            </w:pPr>
            <w:r>
              <w:rPr>
                <w:rFonts w:hint="eastAsia"/>
                <w:lang w:val="en-US" w:eastAsia="zh-CN"/>
              </w:rPr>
              <w:t>972</w:t>
            </w:r>
          </w:p>
        </w:tc>
        <w:tc>
          <w:tcPr>
            <w:tcW w:w="1163" w:type="dxa"/>
            <w:vMerge w:val="continue"/>
            <w:vAlign w:val="center"/>
          </w:tcPr>
          <w:p w14:paraId="28C94BD9">
            <w:pPr>
              <w:pStyle w:val="19"/>
              <w:bidi w:val="0"/>
              <w:jc w:val="center"/>
              <w:rPr>
                <w:rFonts w:hint="eastAsia"/>
                <w:lang w:val="en-US" w:eastAsia="zh-CN"/>
              </w:rPr>
            </w:pPr>
          </w:p>
        </w:tc>
      </w:tr>
      <w:tr w14:paraId="5782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72" w:type="dxa"/>
            <w:vAlign w:val="center"/>
          </w:tcPr>
          <w:p w14:paraId="1F30E4DC">
            <w:pPr>
              <w:pStyle w:val="19"/>
              <w:bidi w:val="0"/>
              <w:jc w:val="center"/>
              <w:rPr>
                <w:rFonts w:hint="default"/>
                <w:lang w:val="en-US" w:eastAsia="zh-CN"/>
              </w:rPr>
            </w:pPr>
            <w:r>
              <w:rPr>
                <w:rFonts w:hint="eastAsia"/>
                <w:lang w:val="en-US" w:eastAsia="zh-CN"/>
              </w:rPr>
              <w:t>5</w:t>
            </w:r>
          </w:p>
        </w:tc>
        <w:tc>
          <w:tcPr>
            <w:tcW w:w="2745" w:type="dxa"/>
            <w:gridSpan w:val="2"/>
            <w:vAlign w:val="center"/>
          </w:tcPr>
          <w:p w14:paraId="774E16DB">
            <w:pPr>
              <w:pStyle w:val="19"/>
              <w:bidi w:val="0"/>
              <w:jc w:val="center"/>
              <w:rPr>
                <w:rFonts w:hint="default"/>
                <w:lang w:val="en-US" w:eastAsia="zh-CN"/>
              </w:rPr>
            </w:pPr>
            <w:r>
              <w:rPr>
                <w:rFonts w:hint="eastAsia"/>
                <w:lang w:val="en-US" w:eastAsia="zh-CN"/>
              </w:rPr>
              <w:t>锅炉排污水</w:t>
            </w:r>
          </w:p>
        </w:tc>
        <w:tc>
          <w:tcPr>
            <w:tcW w:w="1575" w:type="dxa"/>
            <w:vAlign w:val="center"/>
          </w:tcPr>
          <w:p w14:paraId="40BE208D">
            <w:pPr>
              <w:pStyle w:val="19"/>
              <w:bidi w:val="0"/>
              <w:jc w:val="center"/>
              <w:rPr>
                <w:rFonts w:hint="default"/>
                <w:lang w:val="en-US" w:eastAsia="zh-CN"/>
              </w:rPr>
            </w:pPr>
            <w:r>
              <w:rPr>
                <w:rFonts w:hint="eastAsia"/>
                <w:lang w:val="en-US" w:eastAsia="zh-CN"/>
              </w:rPr>
              <w:t>181d</w:t>
            </w:r>
          </w:p>
        </w:tc>
        <w:tc>
          <w:tcPr>
            <w:tcW w:w="1035" w:type="dxa"/>
            <w:vAlign w:val="center"/>
          </w:tcPr>
          <w:p w14:paraId="2FC7D0F7">
            <w:pPr>
              <w:pStyle w:val="19"/>
              <w:bidi w:val="0"/>
              <w:jc w:val="center"/>
              <w:rPr>
                <w:rFonts w:hint="default"/>
                <w:lang w:val="en-US" w:eastAsia="zh-CN"/>
              </w:rPr>
            </w:pPr>
            <w:r>
              <w:rPr>
                <w:rFonts w:hint="eastAsia"/>
                <w:lang w:val="en-US" w:eastAsia="zh-CN"/>
              </w:rPr>
              <w:t>11.21</w:t>
            </w:r>
          </w:p>
        </w:tc>
        <w:tc>
          <w:tcPr>
            <w:tcW w:w="1198" w:type="dxa"/>
            <w:vAlign w:val="center"/>
          </w:tcPr>
          <w:p w14:paraId="7CA6ED47">
            <w:pPr>
              <w:pStyle w:val="19"/>
              <w:bidi w:val="0"/>
              <w:jc w:val="center"/>
              <w:rPr>
                <w:rFonts w:hint="default"/>
                <w:lang w:val="en-US" w:eastAsia="zh-CN"/>
              </w:rPr>
            </w:pPr>
            <w:r>
              <w:rPr>
                <w:rFonts w:hint="eastAsia"/>
                <w:lang w:val="en-US" w:eastAsia="zh-CN"/>
              </w:rPr>
              <w:t>2029.2</w:t>
            </w:r>
          </w:p>
        </w:tc>
        <w:tc>
          <w:tcPr>
            <w:tcW w:w="1163" w:type="dxa"/>
            <w:vMerge w:val="continue"/>
            <w:vAlign w:val="center"/>
          </w:tcPr>
          <w:p w14:paraId="4D2B3509">
            <w:pPr>
              <w:pStyle w:val="19"/>
              <w:bidi w:val="0"/>
              <w:jc w:val="center"/>
              <w:rPr>
                <w:rFonts w:hint="eastAsia"/>
                <w:lang w:val="en-US" w:eastAsia="zh-CN"/>
              </w:rPr>
            </w:pPr>
          </w:p>
        </w:tc>
      </w:tr>
      <w:tr w14:paraId="1139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4992" w:type="dxa"/>
            <w:gridSpan w:val="4"/>
            <w:vAlign w:val="center"/>
          </w:tcPr>
          <w:p w14:paraId="223C32EE">
            <w:pPr>
              <w:pStyle w:val="19"/>
              <w:bidi w:val="0"/>
              <w:jc w:val="center"/>
              <w:rPr>
                <w:rFonts w:hint="eastAsia"/>
                <w:lang w:val="en-US" w:eastAsia="zh-CN"/>
              </w:rPr>
            </w:pPr>
            <w:r>
              <w:rPr>
                <w:rFonts w:hint="eastAsia"/>
                <w:lang w:val="en-US" w:eastAsia="zh-CN"/>
              </w:rPr>
              <w:t>合计</w:t>
            </w:r>
          </w:p>
        </w:tc>
        <w:tc>
          <w:tcPr>
            <w:tcW w:w="1035" w:type="dxa"/>
            <w:vAlign w:val="center"/>
          </w:tcPr>
          <w:p w14:paraId="1F3A630E">
            <w:pPr>
              <w:pStyle w:val="19"/>
              <w:bidi w:val="0"/>
              <w:jc w:val="center"/>
              <w:rPr>
                <w:rFonts w:hint="default"/>
                <w:lang w:val="en-US" w:eastAsia="zh-CN"/>
              </w:rPr>
            </w:pPr>
            <w:r>
              <w:rPr>
                <w:rFonts w:hint="eastAsia"/>
                <w:lang w:val="en-US" w:eastAsia="zh-CN"/>
              </w:rPr>
              <w:t>260.58</w:t>
            </w:r>
          </w:p>
        </w:tc>
        <w:tc>
          <w:tcPr>
            <w:tcW w:w="1198" w:type="dxa"/>
            <w:vAlign w:val="center"/>
          </w:tcPr>
          <w:p w14:paraId="22E100F3">
            <w:pPr>
              <w:pStyle w:val="19"/>
              <w:bidi w:val="0"/>
              <w:jc w:val="center"/>
              <w:rPr>
                <w:rFonts w:hint="default"/>
                <w:lang w:val="en-US" w:eastAsia="zh-CN"/>
              </w:rPr>
            </w:pPr>
            <w:r>
              <w:rPr>
                <w:rFonts w:hint="eastAsia"/>
                <w:lang w:val="en-US" w:eastAsia="zh-CN"/>
              </w:rPr>
              <w:t>64452.36</w:t>
            </w:r>
          </w:p>
        </w:tc>
        <w:tc>
          <w:tcPr>
            <w:tcW w:w="1163" w:type="dxa"/>
            <w:vMerge w:val="continue"/>
            <w:vAlign w:val="center"/>
          </w:tcPr>
          <w:p w14:paraId="3A833B76">
            <w:pPr>
              <w:pStyle w:val="19"/>
              <w:bidi w:val="0"/>
              <w:jc w:val="center"/>
              <w:rPr>
                <w:rFonts w:hint="eastAsia"/>
                <w:lang w:val="en-US" w:eastAsia="zh-CN"/>
              </w:rPr>
            </w:pPr>
          </w:p>
        </w:tc>
      </w:tr>
    </w:tbl>
    <w:p w14:paraId="4F3AC50A">
      <w:pPr>
        <w:bidi w:val="0"/>
        <w:rPr>
          <w:rFonts w:hint="default"/>
          <w:vertAlign w:val="baseline"/>
          <w:lang w:val="en-US" w:eastAsia="zh-CN"/>
        </w:rPr>
      </w:pPr>
      <w:r>
        <w:rPr>
          <w:rFonts w:hint="eastAsia"/>
          <w:lang w:val="en-US" w:eastAsia="zh-CN"/>
        </w:rPr>
        <w:t>综上所述，本项目年产生废水量为64452.36m</w:t>
      </w:r>
      <w:r>
        <w:rPr>
          <w:rFonts w:hint="eastAsia"/>
          <w:vertAlign w:val="superscript"/>
          <w:lang w:val="en-US" w:eastAsia="zh-CN"/>
        </w:rPr>
        <w:t>3</w:t>
      </w:r>
      <w:r>
        <w:rPr>
          <w:rFonts w:hint="eastAsia"/>
          <w:vertAlign w:val="baseline"/>
          <w:lang w:val="en-US" w:eastAsia="zh-CN"/>
        </w:rPr>
        <w:t>/a（260.58m</w:t>
      </w:r>
      <w:r>
        <w:rPr>
          <w:rFonts w:hint="eastAsia"/>
          <w:vertAlign w:val="superscript"/>
          <w:lang w:val="en-US" w:eastAsia="zh-CN"/>
        </w:rPr>
        <w:t>3</w:t>
      </w:r>
      <w:r>
        <w:rPr>
          <w:rFonts w:hint="eastAsia"/>
          <w:vertAlign w:val="baseline"/>
          <w:lang w:val="en-US" w:eastAsia="zh-CN"/>
        </w:rPr>
        <w:t>/d）。</w:t>
      </w:r>
    </w:p>
    <w:p w14:paraId="7DBEAC9E">
      <w:pPr>
        <w:pStyle w:val="28"/>
        <w:bidi w:val="0"/>
        <w:rPr>
          <w:rFonts w:hint="eastAsia"/>
          <w:lang w:val="en-US" w:eastAsia="zh-CN"/>
        </w:rPr>
      </w:pPr>
      <w:r>
        <w:rPr>
          <w:rFonts w:hint="eastAsia"/>
          <w:lang w:val="en-US" w:eastAsia="zh-CN"/>
        </w:rPr>
        <w:t>供电</w:t>
      </w:r>
    </w:p>
    <w:p w14:paraId="0FB56FA8">
      <w:pPr>
        <w:pStyle w:val="2"/>
        <w:rPr>
          <w:rFonts w:hint="default" w:eastAsia="宋体"/>
          <w:lang w:val="en-US" w:eastAsia="zh-CN"/>
        </w:rPr>
      </w:pPr>
      <w:r>
        <w:rPr>
          <w:rFonts w:hint="eastAsia"/>
          <w:lang w:val="en-US" w:eastAsia="zh-CN"/>
        </w:rPr>
        <w:t>本项目年用电量15万kW·h，依托129团13连连部现有供电网接入。</w:t>
      </w:r>
    </w:p>
    <w:p w14:paraId="5146FE1D">
      <w:pPr>
        <w:pStyle w:val="28"/>
        <w:bidi w:val="0"/>
        <w:rPr>
          <w:rFonts w:hint="default"/>
          <w:lang w:val="en-US" w:eastAsia="zh-CN"/>
        </w:rPr>
      </w:pPr>
      <w:r>
        <w:rPr>
          <w:rFonts w:hint="eastAsia"/>
          <w:lang w:val="en-US" w:eastAsia="zh-CN"/>
        </w:rPr>
        <w:t>供暖、降温</w:t>
      </w:r>
    </w:p>
    <w:p w14:paraId="6730BBDF">
      <w:pPr>
        <w:bidi w:val="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供暖</w:t>
      </w:r>
    </w:p>
    <w:p w14:paraId="2394E9E2">
      <w:pPr>
        <w:bidi w:val="0"/>
        <w:rPr>
          <w:rFonts w:hint="eastAsia"/>
          <w:lang w:val="en-US" w:eastAsia="zh-CN"/>
        </w:rPr>
      </w:pPr>
      <w:r>
        <w:rPr>
          <w:rFonts w:hint="eastAsia"/>
          <w:lang w:val="en-US" w:eastAsia="zh-CN"/>
        </w:rPr>
        <w:t>本项目新建3台生物质锅炉，每台锅炉供蒸汽能力为3t/h，冬季（11月-次年4月）共计181天育肥舍、生活区供暖由3台生物质锅炉提供，电采暖辅助。</w:t>
      </w:r>
    </w:p>
    <w:p w14:paraId="35782B2E">
      <w:pPr>
        <w:bidi w:val="0"/>
        <w:rPr>
          <w:rFonts w:hint="default"/>
          <w:lang w:val="en-US" w:eastAsia="zh-CN"/>
        </w:rPr>
      </w:pPr>
      <w:r>
        <w:rPr>
          <w:rFonts w:hint="eastAsia"/>
          <w:lang w:val="en-US" w:eastAsia="zh-CN"/>
        </w:rPr>
        <w:t>（2）降温</w:t>
      </w:r>
    </w:p>
    <w:p w14:paraId="239A5595">
      <w:pPr>
        <w:bidi w:val="0"/>
        <w:rPr>
          <w:rFonts w:hint="eastAsia"/>
          <w:lang w:val="en-US" w:eastAsia="zh-CN"/>
        </w:rPr>
      </w:pPr>
      <w:r>
        <w:rPr>
          <w:rFonts w:hint="eastAsia"/>
          <w:lang w:val="en-US" w:eastAsia="zh-CN"/>
        </w:rPr>
        <w:t>本项目办公区、宿舍、食堂等生活区采用空调降温，育肥舍夏季采用水帘降温。本项目育肥舍共计30座，每座配套环控系统“负压风机+水帘”系统1套，用于育肥舍通风、夏季降温。</w:t>
      </w:r>
    </w:p>
    <w:p w14:paraId="66B5AF76">
      <w:pPr>
        <w:pStyle w:val="27"/>
        <w:bidi w:val="0"/>
        <w:rPr>
          <w:rFonts w:hint="default"/>
          <w:lang w:val="en-US" w:eastAsia="zh-CN"/>
        </w:rPr>
      </w:pPr>
      <w:r>
        <w:rPr>
          <w:rFonts w:hint="eastAsia"/>
          <w:lang w:val="en-US" w:eastAsia="zh-CN"/>
        </w:rPr>
        <w:t>平面布置</w:t>
      </w:r>
    </w:p>
    <w:p w14:paraId="4871FF5F">
      <w:pPr>
        <w:bidi w:val="0"/>
        <w:rPr>
          <w:rFonts w:hint="eastAsia"/>
          <w:highlight w:val="none"/>
          <w:lang w:val="en-US" w:eastAsia="zh-CN"/>
        </w:rPr>
      </w:pPr>
      <w:r>
        <w:rPr>
          <w:rFonts w:hint="eastAsia"/>
          <w:highlight w:val="none"/>
          <w:lang w:val="en-US" w:eastAsia="zh-CN"/>
        </w:rPr>
        <w:t>根据建设单位提供的平面布局设计方案，本项目的平面布局情况如下：本项目拟建设40栋育肥舍。40栋育肥舍按照每区域10栋的规模分别设置在厂区东北侧、西侧、南侧，每一座育肥舍旁配套建设1座宿舍，2座粪污处理池位于厂区最中部，干湿分离用房位于1号粪污处理池西侧，堆粪场位于干湿分离用房及粪污处理池东侧，病死猪无害化暂存间位于育肥舍南侧，危废暂存间位于洗消房西侧，办公室、食堂等生活管理及厂区出入口于厂区最南侧（常年主导风向上风向）。</w:t>
      </w:r>
    </w:p>
    <w:p w14:paraId="50877EFC">
      <w:pPr>
        <w:bidi w:val="0"/>
        <w:rPr>
          <w:rFonts w:hint="eastAsia"/>
          <w:lang w:val="en-US" w:eastAsia="zh-CN"/>
        </w:rPr>
      </w:pPr>
      <w:r>
        <w:rPr>
          <w:rFonts w:hint="eastAsia"/>
          <w:lang w:val="en-US" w:eastAsia="zh-CN"/>
        </w:rPr>
        <w:t>本区域常年主导风向为西南风，距离本项目最近的敏感点为西北侧1.6km处的129天10连，位于本项目侧风向，受项目影响较小，综上所述，本项目场区布置较合理。</w:t>
      </w:r>
    </w:p>
    <w:p w14:paraId="4DFE91D1">
      <w:pPr>
        <w:bidi w:val="0"/>
        <w:rPr>
          <w:rFonts w:hint="eastAsia"/>
          <w:lang w:val="en-US" w:eastAsia="zh-CN"/>
        </w:rPr>
      </w:pPr>
      <w:r>
        <w:rPr>
          <w:rFonts w:hint="eastAsia"/>
          <w:lang w:val="en-US" w:eastAsia="zh-CN"/>
        </w:rPr>
        <w:t>按照《畜禽养殖业污染防治技术规范》（HJ/T81-2001）的要求，粪污处理区应设在养殖区、生活管理区的下风向或侧风向。根据厂区平面布置设计情况，本项目所在区域的常年主导风向为西南风，生活管理区位于常年主导风向的上风向，符合《畜禽养殖业污染防治技术规范》（HJ/T81-2001）以及《畜禽养殖业污染治理工程技术规范》（HJ497-2009）的要求。</w:t>
      </w:r>
    </w:p>
    <w:p w14:paraId="63878635">
      <w:pPr>
        <w:bidi w:val="0"/>
        <w:rPr>
          <w:rFonts w:hint="eastAsia"/>
          <w:lang w:val="en-US" w:eastAsia="zh-CN"/>
        </w:rPr>
      </w:pPr>
      <w:r>
        <w:rPr>
          <w:rFonts w:hint="eastAsia"/>
          <w:lang w:val="en-US" w:eastAsia="zh-CN"/>
        </w:rPr>
        <w:t>本项目总平面布置体现了功能分区的原则，建筑设施按使用功能要求，划分为养殖区办公生活区和粪污处理区等区域，各区之间联系短捷、方便。本项目内外运输配合协调，分工明确，避免作业线交叉，人货分流通畅，便于节能降耗及生产管理。</w:t>
      </w:r>
    </w:p>
    <w:p w14:paraId="24E99E94">
      <w:pPr>
        <w:bidi w:val="0"/>
        <w:rPr>
          <w:rFonts w:hint="eastAsia"/>
          <w:lang w:val="en-US" w:eastAsia="zh-CN"/>
        </w:rPr>
      </w:pPr>
      <w:r>
        <w:rPr>
          <w:rFonts w:hint="eastAsia"/>
          <w:lang w:val="en-US" w:eastAsia="zh-CN"/>
        </w:rPr>
        <w:t>综上所述，本项目总平面布局设计上体现了功能分区、方便生产、安全管理的原则，平面布置基本合理。</w:t>
      </w:r>
    </w:p>
    <w:p w14:paraId="65AF5EF5">
      <w:pPr>
        <w:bidi w:val="0"/>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lang w:val="en-US" w:eastAsia="zh-CN"/>
        </w:rPr>
        <w:t>本项目平面布置图见3.1-1。</w:t>
      </w:r>
    </w:p>
    <w:p w14:paraId="1A61F14D">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14:paraId="5CFD757A">
      <w:pPr>
        <w:pStyle w:val="26"/>
        <w:bidi w:val="0"/>
        <w:rPr>
          <w:rFonts w:hint="eastAsia"/>
          <w:lang w:val="en-US" w:eastAsia="zh-CN"/>
        </w:rPr>
      </w:pPr>
      <w:bookmarkStart w:id="18" w:name="_Toc23318"/>
      <w:r>
        <w:rPr>
          <w:rFonts w:hint="eastAsia"/>
          <w:lang w:val="en-US" w:eastAsia="zh-CN"/>
        </w:rPr>
        <w:t>工艺流程</w:t>
      </w:r>
      <w:bookmarkEnd w:id="18"/>
    </w:p>
    <w:p w14:paraId="168DD00B">
      <w:pPr>
        <w:pStyle w:val="27"/>
        <w:bidi w:val="0"/>
        <w:rPr>
          <w:rFonts w:hint="default"/>
          <w:lang w:val="en-US" w:eastAsia="zh-CN"/>
        </w:rPr>
      </w:pPr>
      <w:r>
        <w:rPr>
          <w:rFonts w:hint="eastAsia"/>
          <w:lang w:val="en-US" w:eastAsia="zh-CN"/>
        </w:rPr>
        <w:t>养殖工艺</w:t>
      </w:r>
    </w:p>
    <w:p w14:paraId="19D154E8">
      <w:pPr>
        <w:bidi w:val="0"/>
        <w:rPr>
          <w:rFonts w:hint="default"/>
          <w:lang w:val="en-US"/>
        </w:rPr>
      </w:pPr>
      <w:r>
        <w:rPr>
          <w:rFonts w:hint="eastAsia"/>
          <w:lang w:val="en-US" w:eastAsia="zh-CN"/>
        </w:rPr>
        <w:t>本项目采取集约化养殖方式，在养殖场地内，采用新的工艺技术措施，通过集中管理饲养生猪。项目建成后通过外购20kg左右的仔猪进场后育肥外售，年出栏育肥猪10</w:t>
      </w:r>
      <w:r>
        <w:rPr>
          <w:rFonts w:hint="eastAsia"/>
        </w:rPr>
        <w:t>万头</w:t>
      </w:r>
      <w:r>
        <w:rPr>
          <w:rFonts w:hint="eastAsia"/>
          <w:lang w:val="en-US" w:eastAsia="zh-CN"/>
        </w:rPr>
        <w:t>头。本项目外购育肥过程所需的饲料、药品、疫苗，仔猪饲养育肥约150天，天，出栏重量约在110～120kg。</w:t>
      </w:r>
      <w:r>
        <w:rPr>
          <w:rFonts w:hint="eastAsia"/>
          <w:b/>
          <w:bCs/>
          <w:lang w:val="en-US" w:eastAsia="zh-CN"/>
        </w:rPr>
        <w:t>项目不进行饲料加工、有机肥加工、生猪屠宰。</w:t>
      </w:r>
    </w:p>
    <w:p w14:paraId="11977B92">
      <w:pPr>
        <w:bidi w:val="0"/>
        <w:rPr>
          <w:rFonts w:hint="eastAsia"/>
        </w:rPr>
      </w:pPr>
      <w:r>
        <w:rPr>
          <w:rFonts w:hint="eastAsia"/>
          <w:lang w:val="en-US" w:eastAsia="zh-CN"/>
        </w:rPr>
        <w:t>本项目养殖工艺流程如下示：</w:t>
      </w:r>
    </w:p>
    <w:p w14:paraId="4FF1F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ascii="宋体" w:hAnsi="宋体" w:eastAsia="宋体" w:cs="宋体"/>
          <w:kern w:val="0"/>
          <w:sz w:val="24"/>
          <w:szCs w:val="24"/>
          <w:lang w:val="en-US" w:eastAsia="zh-CN" w:bidi="ar"/>
        </w:rPr>
        <w:drawing>
          <wp:inline distT="0" distB="0" distL="114300" distR="114300">
            <wp:extent cx="3800475" cy="3219450"/>
            <wp:effectExtent l="0" t="0" r="9525" b="0"/>
            <wp:docPr id="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6"/>
                    <pic:cNvPicPr>
                      <a:picLocks noChangeAspect="1"/>
                    </pic:cNvPicPr>
                  </pic:nvPicPr>
                  <pic:blipFill>
                    <a:blip r:embed="rId14"/>
                    <a:stretch>
                      <a:fillRect/>
                    </a:stretch>
                  </pic:blipFill>
                  <pic:spPr>
                    <a:xfrm>
                      <a:off x="0" y="0"/>
                      <a:ext cx="3800475" cy="3219450"/>
                    </a:xfrm>
                    <a:prstGeom prst="rect">
                      <a:avLst/>
                    </a:prstGeom>
                    <a:noFill/>
                    <a:ln w="9525">
                      <a:noFill/>
                    </a:ln>
                  </pic:spPr>
                </pic:pic>
              </a:graphicData>
            </a:graphic>
          </wp:inline>
        </w:drawing>
      </w:r>
    </w:p>
    <w:p w14:paraId="65AB6E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rPr>
      </w:pPr>
      <w:r>
        <w:rPr>
          <w:rFonts w:hint="eastAsia" w:ascii="黑体" w:hAnsi="黑体" w:eastAsia="黑体" w:cs="黑体"/>
          <w:lang w:val="en-US" w:eastAsia="zh-CN"/>
        </w:rPr>
        <w:t xml:space="preserve">图3.2-1   </w:t>
      </w:r>
      <w:r>
        <w:rPr>
          <w:rFonts w:hint="eastAsia" w:ascii="黑体" w:hAnsi="黑体" w:eastAsia="黑体" w:cs="黑体"/>
          <w:color w:val="000000"/>
          <w:kern w:val="0"/>
          <w:sz w:val="24"/>
          <w:szCs w:val="24"/>
          <w:lang w:val="en-US" w:eastAsia="zh-CN" w:bidi="ar"/>
        </w:rPr>
        <w:t>育肥猪饲养工艺流程</w:t>
      </w:r>
    </w:p>
    <w:p w14:paraId="722910CA">
      <w:pPr>
        <w:bidi w:val="0"/>
        <w:rPr>
          <w:rFonts w:hint="default" w:eastAsia="宋体"/>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工艺流程简述</w:t>
      </w:r>
    </w:p>
    <w:p w14:paraId="2543F125">
      <w:pPr>
        <w:keepNext w:val="0"/>
        <w:keepLines w:val="0"/>
        <w:widowControl/>
        <w:suppressLineNumbers w:val="0"/>
        <w:jc w:val="left"/>
      </w:pPr>
      <w:r>
        <w:rPr>
          <w:rFonts w:hint="eastAsia" w:ascii="宋体" w:hAnsi="宋体" w:eastAsia="宋体" w:cs="宋体"/>
          <w:color w:val="000000"/>
          <w:kern w:val="0"/>
          <w:sz w:val="24"/>
          <w:szCs w:val="24"/>
          <w:lang w:val="en-US" w:eastAsia="zh-CN" w:bidi="ar"/>
        </w:rPr>
        <w:t>猪只饲料为成品饲料，直接喂养，无需加工；猪只饮水通过饮水器，可有效减少水资源的浪费。育肥舍在进猪前应进行维修和彻底地冲洗、消毒。进猪后保持舍内清洁、干燥、通风良好、饮水充足，温度控制在</w:t>
      </w:r>
      <w:r>
        <w:rPr>
          <w:rFonts w:hint="default" w:ascii="Times New Roman" w:hAnsi="Times New Roman" w:eastAsia="宋体" w:cs="Times New Roman"/>
          <w:color w:val="000000"/>
          <w:kern w:val="0"/>
          <w:sz w:val="24"/>
          <w:szCs w:val="24"/>
          <w:lang w:val="en-US" w:eastAsia="zh-CN" w:bidi="ar"/>
        </w:rPr>
        <w:t>18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，夏季注意防暑降温。每月要定期称重，以检查饲喂效果。经常检查猪群的采食、发育等情况，及时调整饲料配方，发现疫病及时报告，及时将病猪关至隔离区内隔离喂养，并采取有效措施进行治疗和处理。</w:t>
      </w:r>
    </w:p>
    <w:p w14:paraId="716B7E30">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项目饲养期间应保持圈舍的卫生清洁。每天清理圈内粪便，定期对场地内以及圈舍等进行消毒，消毒方法如下：</w:t>
      </w:r>
    </w:p>
    <w:p w14:paraId="5F5AC65E">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①全场外围设围墙，防止外人或外畜进入，厂区内严禁饲养其他动物，做好灭蝇、灭蚊、灭鼠工作。</w:t>
      </w:r>
    </w:p>
    <w:p w14:paraId="1FEAA810">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②每周对猪舍进行</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次消毒，消毒方式为将消毒液喷洒于猪舍内；出栏后猪舍彻底清扫并冲洗后再进行消毒。</w:t>
      </w:r>
    </w:p>
    <w:p w14:paraId="0AD0A1E1">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③养殖区入口处设置入场须知，凡进入者必须严格遵守。所有人员进入养殖区必须更换场内工作服、工作鞋，严格消毒。</w:t>
      </w:r>
    </w:p>
    <w:p w14:paraId="0278373B">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④猪的消毒防疫：用活动喷雾装置对猪体进行喷雾消毒，对猪体喷雾消毒</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次，可有效控制猪气喘病、猪萎缩性鼻炎等。根据其他养殖场经验，其效果比抗生素鼻内喷雾和饲料拌喂或疫苗接种更好些。</w:t>
      </w:r>
    </w:p>
    <w:p w14:paraId="585DEB14">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⑤猪舍器具消毒：猪饲槽、饮水器及其他用具需每天洗刷，定期进行消毒。</w:t>
      </w:r>
    </w:p>
    <w:p w14:paraId="3A3C7CAD">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⑥养殖场场区、畜禽舍、器械等消毒应采用环境友好的消毒剂和消毒措施，防止产生氯代有机物及其它的二次污染物，应选择两种以上经国家</w:t>
      </w:r>
      <w:r>
        <w:rPr>
          <w:rFonts w:hint="default" w:ascii="Times New Roman" w:hAnsi="Times New Roman" w:eastAsia="宋体" w:cs="Times New Roman"/>
          <w:color w:val="000000"/>
          <w:kern w:val="0"/>
          <w:sz w:val="24"/>
          <w:szCs w:val="24"/>
          <w:lang w:val="en-US" w:eastAsia="zh-CN" w:bidi="ar"/>
        </w:rPr>
        <w:t>GMP</w:t>
      </w:r>
      <w:r>
        <w:rPr>
          <w:rFonts w:hint="eastAsia" w:ascii="宋体" w:hAnsi="宋体" w:eastAsia="宋体" w:cs="宋体"/>
          <w:color w:val="000000"/>
          <w:kern w:val="0"/>
          <w:sz w:val="24"/>
          <w:szCs w:val="24"/>
          <w:lang w:val="en-US" w:eastAsia="zh-CN" w:bidi="ar"/>
        </w:rPr>
        <w:t>认证企业生产的消毒药，并按照规定交替使用。本项目主要采用菌毒净杀（双链季铵盐）、金碘毒杀（聚维酮碘溶液）、菌毒双杀（稀戊2酫溶液）等消毒液，为环境友好的消毒剂，不会产生氯代有机物及其它的二次污染物，符合《畜禽养殖业污染防治技术规范》（</w:t>
      </w:r>
      <w:r>
        <w:rPr>
          <w:rFonts w:hint="default" w:ascii="Times New Roman" w:hAnsi="Times New Roman" w:eastAsia="宋体" w:cs="Times New Roman"/>
          <w:color w:val="000000"/>
          <w:kern w:val="0"/>
          <w:sz w:val="24"/>
          <w:szCs w:val="24"/>
          <w:lang w:val="en-US" w:eastAsia="zh-CN" w:bidi="ar"/>
        </w:rPr>
        <w:t>HJ/T81-2001</w:t>
      </w:r>
      <w:r>
        <w:rPr>
          <w:rFonts w:hint="eastAsia" w:ascii="宋体" w:hAnsi="宋体" w:eastAsia="宋体" w:cs="宋体"/>
          <w:color w:val="000000"/>
          <w:kern w:val="0"/>
          <w:sz w:val="24"/>
          <w:szCs w:val="24"/>
          <w:lang w:val="en-US" w:eastAsia="zh-CN" w:bidi="ar"/>
        </w:rPr>
        <w:t>）的相关要求。</w:t>
      </w:r>
    </w:p>
    <w:p w14:paraId="7FE65F81">
      <w:pPr>
        <w:keepNext w:val="0"/>
        <w:keepLines w:val="0"/>
        <w:widowControl/>
        <w:suppressLineNumbers w:val="0"/>
        <w:jc w:val="left"/>
        <w:rPr>
          <w:rFonts w:hint="default" w:eastAsia="宋体"/>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猪舍设计</w:t>
      </w:r>
    </w:p>
    <w:p w14:paraId="51F16997">
      <w:pPr>
        <w:keepNext w:val="0"/>
        <w:keepLines w:val="0"/>
        <w:widowControl/>
        <w:suppressLineNumbers w:val="0"/>
        <w:jc w:val="left"/>
        <w:rPr>
          <w:b w:val="0"/>
          <w:bCs w:val="0"/>
        </w:rPr>
      </w:pPr>
      <w:r>
        <w:rPr>
          <w:rFonts w:hint="eastAsia" w:ascii="宋体" w:hAnsi="宋体" w:eastAsia="宋体" w:cs="宋体"/>
          <w:b w:val="0"/>
          <w:bCs w:val="0"/>
          <w:color w:val="000000"/>
          <w:kern w:val="0"/>
          <w:sz w:val="24"/>
          <w:szCs w:val="24"/>
          <w:lang w:val="en-US" w:eastAsia="zh-CN" w:bidi="ar"/>
        </w:rPr>
        <w:t>①通风、降温及保暖设备</w:t>
      </w:r>
    </w:p>
    <w:p w14:paraId="6F302A4F">
      <w:pPr>
        <w:keepNext w:val="0"/>
        <w:keepLines w:val="0"/>
        <w:widowControl/>
        <w:suppressLineNumbers w:val="0"/>
        <w:jc w:val="left"/>
      </w:pPr>
      <w:r>
        <w:rPr>
          <w:rFonts w:hint="eastAsia" w:ascii="宋体" w:hAnsi="宋体" w:eastAsia="宋体" w:cs="宋体"/>
          <w:color w:val="000000"/>
          <w:kern w:val="0"/>
          <w:sz w:val="24"/>
          <w:szCs w:val="24"/>
          <w:lang w:val="en-US" w:eastAsia="zh-CN" w:bidi="ar"/>
        </w:rPr>
        <w:t>猪舍全部采用风机负压通风，夏天用水帘通过风机负压通风降温，即猪舍外空气通过水帘进入舍内达到降温目的，水帘用水为循环水；冬天采用地暖加热方式达到保暖的目的。</w:t>
      </w:r>
    </w:p>
    <w:p w14:paraId="319DD6F0">
      <w:pPr>
        <w:keepNext w:val="0"/>
        <w:keepLines w:val="0"/>
        <w:widowControl/>
        <w:suppressLineNumbers w:val="0"/>
        <w:jc w:val="left"/>
        <w:rPr>
          <w:b w:val="0"/>
          <w:bCs w:val="0"/>
        </w:rPr>
      </w:pPr>
      <w:r>
        <w:rPr>
          <w:rFonts w:hint="eastAsia" w:ascii="宋体" w:hAnsi="宋体" w:eastAsia="宋体" w:cs="宋体"/>
          <w:b w:val="0"/>
          <w:bCs w:val="0"/>
          <w:color w:val="000000"/>
          <w:kern w:val="0"/>
          <w:sz w:val="24"/>
          <w:szCs w:val="24"/>
          <w:lang w:val="en-US" w:eastAsia="zh-CN" w:bidi="ar"/>
        </w:rPr>
        <w:t>②猪舍排水方式</w:t>
      </w:r>
    </w:p>
    <w:p w14:paraId="601DCB8B">
      <w:pPr>
        <w:keepNext w:val="0"/>
        <w:keepLines w:val="0"/>
        <w:widowControl/>
        <w:suppressLineNumbers w:val="0"/>
        <w:jc w:val="left"/>
      </w:pPr>
      <w:r>
        <w:rPr>
          <w:rFonts w:hint="eastAsia" w:ascii="宋体" w:hAnsi="宋体" w:eastAsia="宋体" w:cs="宋体"/>
          <w:color w:val="000000"/>
          <w:kern w:val="0"/>
          <w:sz w:val="24"/>
          <w:szCs w:val="24"/>
          <w:lang w:val="en-US" w:eastAsia="zh-CN" w:bidi="ar"/>
        </w:rPr>
        <w:t>猪舍排水实行雨污分流，室外雨水通过雨水沟渠自然排放，所有舍内污水均采用地下管道方式排到本项目拟建的粪污处理区域进行处理。</w:t>
      </w:r>
    </w:p>
    <w:p w14:paraId="36DF7AE3">
      <w:pPr>
        <w:pStyle w:val="2"/>
        <w:rPr>
          <w:rFonts w:hint="default" w:eastAsia="宋体"/>
          <w:b/>
          <w:bCs/>
          <w:lang w:val="en-US" w:eastAsia="zh-CN"/>
        </w:rPr>
      </w:pPr>
      <w:r>
        <w:rPr>
          <w:rFonts w:hint="eastAsia"/>
          <w:b/>
          <w:bCs/>
          <w:lang w:eastAsia="zh-CN"/>
        </w:rPr>
        <w:t>（</w:t>
      </w:r>
      <w:r>
        <w:rPr>
          <w:rFonts w:hint="eastAsia"/>
          <w:b/>
          <w:bCs/>
          <w:lang w:val="en-US" w:eastAsia="zh-CN"/>
        </w:rPr>
        <w:t>3</w:t>
      </w:r>
      <w:r>
        <w:rPr>
          <w:rFonts w:hint="eastAsia"/>
          <w:b/>
          <w:bCs/>
          <w:lang w:eastAsia="zh-CN"/>
        </w:rPr>
        <w:t>）</w:t>
      </w:r>
      <w:r>
        <w:rPr>
          <w:rFonts w:hint="eastAsia"/>
          <w:b/>
          <w:bCs/>
          <w:lang w:val="en-US" w:eastAsia="zh-CN"/>
        </w:rPr>
        <w:t>饲养阶段</w:t>
      </w:r>
    </w:p>
    <w:p w14:paraId="630FFFAF">
      <w:pPr>
        <w:rPr>
          <w:rFonts w:hint="eastAsia"/>
        </w:rPr>
      </w:pPr>
      <w:r>
        <w:rPr>
          <w:rFonts w:hint="eastAsia"/>
        </w:rPr>
        <w:t>①饲养环境</w:t>
      </w:r>
    </w:p>
    <w:p w14:paraId="189832BA">
      <w:pPr>
        <w:rPr>
          <w:rFonts w:hint="eastAsia"/>
        </w:rPr>
      </w:pPr>
      <w:r>
        <w:rPr>
          <w:rFonts w:hint="eastAsia"/>
        </w:rPr>
        <w:t>饲养环境主要为：</w:t>
      </w:r>
      <w:r>
        <w:rPr>
          <w:rFonts w:hint="eastAsia"/>
          <w:lang w:val="en-US" w:eastAsia="zh-CN"/>
        </w:rPr>
        <w:t>农村</w:t>
      </w:r>
      <w:r>
        <w:rPr>
          <w:rFonts w:hint="eastAsia"/>
        </w:rPr>
        <w:t>环境。</w:t>
      </w:r>
    </w:p>
    <w:p w14:paraId="4EFA82DD">
      <w:pPr>
        <w:rPr>
          <w:rFonts w:hint="eastAsia"/>
        </w:rPr>
      </w:pPr>
      <w:r>
        <w:rPr>
          <w:rFonts w:hint="eastAsia"/>
        </w:rPr>
        <w:t>②饲养条件：以饲料为主。</w:t>
      </w:r>
    </w:p>
    <w:p w14:paraId="71B86F61">
      <w:pPr>
        <w:rPr>
          <w:rFonts w:hint="eastAsia"/>
        </w:rPr>
      </w:pPr>
      <w:r>
        <w:rPr>
          <w:rFonts w:hint="eastAsia"/>
        </w:rPr>
        <w:t>③饲养管理，饲喂：自动投料。</w:t>
      </w:r>
    </w:p>
    <w:p w14:paraId="51A4AED9">
      <w:pPr>
        <w:pStyle w:val="2"/>
      </w:pPr>
      <w:r>
        <w:rPr>
          <w:rFonts w:hint="eastAsia"/>
          <w:lang w:val="en-US" w:eastAsia="zh-CN"/>
        </w:rPr>
        <w:t>饮水方式：猪只饮水主要采用限位饮水器，该饮水器底部槽体液面始终维持在</w:t>
      </w:r>
      <w:r>
        <w:rPr>
          <w:rFonts w:hint="default"/>
          <w:lang w:val="en-US" w:eastAsia="zh-CN"/>
        </w:rPr>
        <w:t>2cm</w:t>
      </w:r>
      <w:r>
        <w:rPr>
          <w:rFonts w:hint="eastAsia"/>
          <w:lang w:val="en-US" w:eastAsia="zh-CN"/>
        </w:rPr>
        <w:t>的液面高度，水自动从管内流出直至槽体液面高度在</w:t>
      </w:r>
      <w:r>
        <w:rPr>
          <w:rFonts w:hint="default"/>
          <w:lang w:val="en-US" w:eastAsia="zh-CN"/>
        </w:rPr>
        <w:t>2cm</w:t>
      </w:r>
      <w:r>
        <w:rPr>
          <w:rFonts w:hint="eastAsia"/>
          <w:lang w:val="en-US" w:eastAsia="zh-CN"/>
        </w:rPr>
        <w:t>时饮水器自动停止供水。</w:t>
      </w:r>
    </w:p>
    <w:p w14:paraId="0244DE98">
      <w:pPr>
        <w:pStyle w:val="2"/>
      </w:pPr>
      <w:r>
        <w:rPr>
          <w:rFonts w:hint="eastAsia"/>
          <w:lang w:val="en-US" w:eastAsia="zh-CN"/>
        </w:rPr>
        <w:t>禁止性要求：全期禁用任何药物添加剂。治疗药物的使用严格遵守相关标准和规定。</w:t>
      </w:r>
    </w:p>
    <w:p w14:paraId="5261D524">
      <w:pPr>
        <w:pStyle w:val="2"/>
        <w:rPr>
          <w:rFonts w:hint="default" w:eastAsia="宋体"/>
          <w:b/>
          <w:bCs/>
          <w:lang w:val="en-US" w:eastAsia="zh-CN"/>
        </w:rPr>
      </w:pPr>
      <w:r>
        <w:rPr>
          <w:rFonts w:hint="eastAsia"/>
          <w:b/>
          <w:bCs/>
          <w:lang w:eastAsia="zh-CN"/>
        </w:rPr>
        <w:t>（</w:t>
      </w:r>
      <w:r>
        <w:rPr>
          <w:rFonts w:hint="eastAsia"/>
          <w:b/>
          <w:bCs/>
          <w:lang w:val="en-US" w:eastAsia="zh-CN"/>
        </w:rPr>
        <w:t>4）饲料投放方式</w:t>
      </w:r>
    </w:p>
    <w:p w14:paraId="38F8EB13">
      <w:r>
        <w:rPr>
          <w:rFonts w:hint="eastAsia"/>
          <w:lang w:val="en-US" w:eastAsia="zh-CN"/>
        </w:rPr>
        <w:t>本项目猪只养殖所用均为成品饲料外购，饲料为颗粒状（粒径大小</w:t>
      </w:r>
      <w:r>
        <w:rPr>
          <w:rFonts w:hint="default"/>
          <w:lang w:val="en-US" w:eastAsia="zh-CN"/>
        </w:rPr>
        <w:t>3mm</w:t>
      </w:r>
      <w:r>
        <w:rPr>
          <w:rFonts w:hint="eastAsia"/>
          <w:lang w:val="en-US" w:eastAsia="zh-CN"/>
        </w:rPr>
        <w:t>～</w:t>
      </w:r>
      <w:r>
        <w:rPr>
          <w:rFonts w:hint="default"/>
          <w:lang w:val="en-US" w:eastAsia="zh-CN"/>
        </w:rPr>
        <w:t>5mm</w:t>
      </w:r>
      <w:r>
        <w:rPr>
          <w:rFonts w:hint="eastAsia"/>
          <w:lang w:val="en-US" w:eastAsia="zh-CN"/>
        </w:rPr>
        <w:t>），主要成分均为玉米、豆粕。其中还包含少量维生素添加剂、微量元素添加剂、氨基酸添加剂、微生物饲料添加剂等，饲料含水率</w:t>
      </w:r>
      <w:r>
        <w:rPr>
          <w:rFonts w:hint="default"/>
          <w:lang w:val="en-US" w:eastAsia="zh-CN"/>
        </w:rPr>
        <w:t>8%</w:t>
      </w:r>
      <w:r>
        <w:rPr>
          <w:rFonts w:hint="eastAsia"/>
          <w:lang w:val="en-US" w:eastAsia="zh-CN"/>
        </w:rPr>
        <w:t>～</w:t>
      </w:r>
      <w:r>
        <w:rPr>
          <w:rFonts w:hint="default"/>
          <w:lang w:val="en-US" w:eastAsia="zh-CN"/>
        </w:rPr>
        <w:t>10%</w:t>
      </w:r>
      <w:r>
        <w:rPr>
          <w:rFonts w:hint="eastAsia"/>
          <w:lang w:val="en-US" w:eastAsia="zh-CN"/>
        </w:rPr>
        <w:t>，粗蛋白含量</w:t>
      </w:r>
      <w:r>
        <w:rPr>
          <w:rFonts w:hint="default"/>
          <w:lang w:val="en-US" w:eastAsia="zh-CN"/>
        </w:rPr>
        <w:t>10%</w:t>
      </w:r>
      <w:r>
        <w:rPr>
          <w:rFonts w:hint="eastAsia"/>
          <w:lang w:val="en-US" w:eastAsia="zh-CN"/>
        </w:rPr>
        <w:t>～</w:t>
      </w:r>
      <w:r>
        <w:rPr>
          <w:rFonts w:hint="default"/>
          <w:lang w:val="en-US" w:eastAsia="zh-CN"/>
        </w:rPr>
        <w:t>20%</w:t>
      </w:r>
      <w:r>
        <w:rPr>
          <w:rFonts w:hint="eastAsia"/>
          <w:lang w:val="en-US" w:eastAsia="zh-CN"/>
        </w:rPr>
        <w:t>。</w:t>
      </w:r>
    </w:p>
    <w:p w14:paraId="5F17DF24">
      <w:pPr>
        <w:rPr>
          <w:b/>
          <w:bCs/>
        </w:rPr>
      </w:pPr>
      <w:r>
        <w:rPr>
          <w:rFonts w:hint="eastAsia"/>
          <w:b/>
          <w:bCs/>
          <w:lang w:val="en-US" w:eastAsia="zh-CN"/>
        </w:rPr>
        <w:t>本项目不涉及饲料的粉碎、混合工序。</w:t>
      </w:r>
    </w:p>
    <w:p w14:paraId="3D66DE5D">
      <w:pPr>
        <w:pStyle w:val="27"/>
        <w:bidi w:val="0"/>
        <w:rPr>
          <w:rFonts w:hint="default"/>
          <w:lang w:val="en-US" w:eastAsia="zh-CN"/>
        </w:rPr>
      </w:pPr>
      <w:r>
        <w:rPr>
          <w:rFonts w:hint="eastAsia"/>
          <w:lang w:val="en-US" w:eastAsia="zh-CN"/>
        </w:rPr>
        <w:t>清粪工艺</w:t>
      </w:r>
    </w:p>
    <w:p w14:paraId="5AAB5678">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根据农业部办公厅关于印发《畜禽规模养殖场粪污资源化利用设施建设规范（试行）》的通知（农办牧〔</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号）要求：畜禽规模养殖场宜采用干清粪工艺。采用水泡粪工艺的，要控制用水量，减少粪污产生总量。鼓励水冲粪工艺改造为干清粪或水泡粪。不同畜种不同清粪工艺最高允许排水量按照《畜禽养殖业污染物排放标准》（</w:t>
      </w:r>
      <w:r>
        <w:rPr>
          <w:rFonts w:hint="default" w:ascii="Times New Roman" w:hAnsi="Times New Roman" w:eastAsia="宋体" w:cs="Times New Roman"/>
          <w:color w:val="000000"/>
          <w:kern w:val="0"/>
          <w:sz w:val="24"/>
          <w:szCs w:val="24"/>
          <w:lang w:val="en-US" w:eastAsia="zh-CN" w:bidi="ar"/>
        </w:rPr>
        <w:t>GB18596</w:t>
      </w:r>
      <w:r>
        <w:rPr>
          <w:rFonts w:hint="eastAsia" w:ascii="Times New Roman" w:hAnsi="Times New Roman" w:eastAsia="宋体" w:cs="Times New Roman"/>
          <w:color w:val="000000"/>
          <w:kern w:val="0"/>
          <w:sz w:val="24"/>
          <w:szCs w:val="24"/>
          <w:lang w:val="en-US" w:eastAsia="zh-CN" w:bidi="ar"/>
        </w:rPr>
        <w:t>-2001）</w:t>
      </w:r>
      <w:r>
        <w:rPr>
          <w:rFonts w:hint="eastAsia" w:ascii="宋体" w:hAnsi="宋体" w:eastAsia="宋体" w:cs="宋体"/>
          <w:color w:val="000000"/>
          <w:kern w:val="0"/>
          <w:sz w:val="24"/>
          <w:szCs w:val="24"/>
          <w:lang w:val="en-US" w:eastAsia="zh-CN" w:bidi="ar"/>
        </w:rPr>
        <w:t>执行。</w:t>
      </w:r>
    </w:p>
    <w:p w14:paraId="51F45DE6">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水冲粪工艺：</w:t>
      </w:r>
      <w:r>
        <w:rPr>
          <w:rFonts w:hint="eastAsia" w:ascii="宋体" w:hAnsi="宋体" w:eastAsia="宋体" w:cs="宋体"/>
          <w:color w:val="000000"/>
          <w:kern w:val="0"/>
          <w:sz w:val="24"/>
          <w:szCs w:val="24"/>
          <w:lang w:val="en-US" w:eastAsia="zh-CN" w:bidi="ar"/>
        </w:rPr>
        <w:t>猪舍的上层为漏粪地板，下层为粪沟，清粪时将所有粪污冲进粪沟，之后流入地下贮粪池或者利用抽气泵将其转移到地上贮粪池。这种清粪方式的优点是能够保持猪舍内的环境卫生，劳动强度小，劳动效率高，适用于劳动力缺乏的地区；缺点是固液分离出的固体养分低，肥效差，耗水量大，且大部分可溶性有机质及微量元素等留在污水中，导致后期污水处理过程复杂且费用很高。</w:t>
      </w:r>
    </w:p>
    <w:p w14:paraId="30185FF8">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水泡粪工艺：</w:t>
      </w:r>
      <w:r>
        <w:rPr>
          <w:rFonts w:hint="eastAsia" w:ascii="宋体" w:hAnsi="宋体" w:eastAsia="宋体" w:cs="宋体"/>
          <w:color w:val="000000"/>
          <w:kern w:val="0"/>
          <w:sz w:val="24"/>
          <w:szCs w:val="24"/>
          <w:lang w:val="en-US" w:eastAsia="zh-CN" w:bidi="ar"/>
        </w:rPr>
        <w:t>水泡粪清粪方式是水冲粪工艺的进一步优化。猪舍构造与水冲粪方式的构造基本一致，同样使用漏粪地板，粪尿混合物经漏粪地板进入粪沟后，注入部分水，粪、尿、水混合物存储在粪沟一段时间后，打开闸门排除粪污至集粪池。与水冲粪相比，水泡粪的方式不仅操作简单，而且节省用水；缺点是由于粪污浸泡过程中会产生大量的氨气等有害气体。</w:t>
      </w:r>
    </w:p>
    <w:p w14:paraId="0A13A434">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干清粪工艺：</w:t>
      </w:r>
      <w:r>
        <w:rPr>
          <w:rFonts w:hint="eastAsia" w:ascii="宋体" w:hAnsi="宋体" w:eastAsia="宋体" w:cs="宋体"/>
          <w:color w:val="000000"/>
          <w:kern w:val="0"/>
          <w:sz w:val="24"/>
          <w:szCs w:val="24"/>
          <w:lang w:val="en-US" w:eastAsia="zh-CN" w:bidi="ar"/>
        </w:rPr>
        <w:t>该工艺的主要目的是及时、有效地清除猪舍内的粪便，保持猪舍环境卫生。具体工艺流程为：猪生活在漏缝地板上，猪舍内产生的猪粪由于猪的踩踏及重力作用离开猪舍进入猪舍底部的</w:t>
      </w:r>
      <w:r>
        <w:rPr>
          <w:rFonts w:hint="default" w:ascii="Times New Roman" w:hAnsi="Times New Roman" w:eastAsia="宋体" w:cs="Times New Roman"/>
          <w:color w:val="000000"/>
          <w:kern w:val="0"/>
          <w:sz w:val="24"/>
          <w:szCs w:val="24"/>
          <w:lang w:val="en-US" w:eastAsia="zh-CN" w:bidi="ar"/>
        </w:rPr>
        <w:t>V</w:t>
      </w:r>
      <w:r>
        <w:rPr>
          <w:rFonts w:hint="eastAsia" w:ascii="宋体" w:hAnsi="宋体" w:eastAsia="宋体" w:cs="宋体"/>
          <w:color w:val="000000"/>
          <w:kern w:val="0"/>
          <w:sz w:val="24"/>
          <w:szCs w:val="24"/>
          <w:lang w:val="en-US" w:eastAsia="zh-CN" w:bidi="ar"/>
        </w:rPr>
        <w:t>型刮粪系统，使固液立即进行干湿分离，分离出的固体粪渣采用自动式机械刮粪机收集至舍外集粪系统，再运输至堆肥间堆肥处理。</w:t>
      </w:r>
    </w:p>
    <w:p w14:paraId="43883ADD">
      <w:pPr>
        <w:pStyle w:val="2"/>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本项目采取干清粪工艺，满足农业部办公厅关于印发《畜禽规模养殖场粪污资源化利用设施建设规范（试行）》的通知（农办牧〔2018〕2号）的要求。</w:t>
      </w:r>
    </w:p>
    <w:p w14:paraId="6A7BCA43">
      <w:pPr>
        <w:pStyle w:val="27"/>
        <w:bidi w:val="0"/>
        <w:rPr>
          <w:rFonts w:hint="default"/>
          <w:lang w:val="en-US" w:eastAsia="zh-CN"/>
        </w:rPr>
      </w:pPr>
      <w:r>
        <w:rPr>
          <w:rFonts w:hint="eastAsia"/>
          <w:lang w:val="en-US" w:eastAsia="zh-CN"/>
        </w:rPr>
        <w:t>粪污处理工艺</w:t>
      </w:r>
    </w:p>
    <w:p w14:paraId="0B0D30DB">
      <w:pPr>
        <w:pStyle w:val="28"/>
        <w:bidi w:val="0"/>
        <w:rPr>
          <w:rFonts w:hint="default"/>
          <w:lang w:val="en-US" w:eastAsia="zh-CN"/>
        </w:rPr>
      </w:pPr>
      <w:r>
        <w:rPr>
          <w:rFonts w:hint="eastAsia"/>
          <w:lang w:val="en-US" w:eastAsia="zh-CN"/>
        </w:rPr>
        <w:t>工艺模式选择</w:t>
      </w:r>
    </w:p>
    <w:p w14:paraId="549B0A08">
      <w:pPr>
        <w:bidi w:val="0"/>
        <w:rPr>
          <w:rFonts w:hint="eastAsia"/>
          <w:lang w:val="en-US" w:eastAsia="zh-CN"/>
        </w:rPr>
      </w:pPr>
      <w:r>
        <w:rPr>
          <w:rFonts w:hint="eastAsia"/>
          <w:lang w:val="en-US" w:eastAsia="zh-CN"/>
        </w:rPr>
        <w:t>根据《畜禽养殖业污染治理工程技术规范》（HJ497-2009）要求，在选用粪污处理工艺时，应根据养殖场的养殖种类、养殖规模、粪污收集方式、当地的自然地理环境条件、排放去向等因素确定工艺路线及处理目标，并应充分考虑畜禽养殖废水的特殊性，在实 现综合利用或达标排放的情况下，优先选择低运行成本的处理工艺。</w:t>
      </w:r>
    </w:p>
    <w:p w14:paraId="7FE30611">
      <w:pPr>
        <w:keepNext w:val="0"/>
        <w:keepLines w:val="0"/>
        <w:widowControl/>
        <w:suppressLineNumbers w:val="0"/>
        <w:jc w:val="left"/>
        <w:rPr>
          <w:rFonts w:hint="eastAsia"/>
          <w:lang w:val="en-US" w:eastAsia="zh-CN"/>
        </w:rPr>
      </w:pPr>
      <w:r>
        <w:rPr>
          <w:rFonts w:hint="eastAsia"/>
          <w:lang w:val="en-US" w:eastAsia="zh-CN"/>
        </w:rPr>
        <w:t>根据《畜禽养殖业污染治理工程技术规范》（HJ497-2009）中的内容，养殖粪污处理模式包括模式</w:t>
      </w:r>
      <w:r>
        <w:rPr>
          <w:rFonts w:hint="default" w:ascii="Times New Roman" w:hAnsi="Times New Roman" w:cs="Times New Roman"/>
          <w:lang w:val="en-US" w:eastAsia="zh-CN"/>
        </w:rPr>
        <w:t>Ⅰ</w:t>
      </w:r>
      <w:r>
        <w:rPr>
          <w:rFonts w:hint="eastAsia"/>
          <w:lang w:val="en-US" w:eastAsia="zh-CN"/>
        </w:rPr>
        <w:t>、模式</w:t>
      </w:r>
      <w:r>
        <w:rPr>
          <w:rFonts w:hint="default" w:ascii="Times New Roman" w:hAnsi="Times New Roman" w:cs="Times New Roman"/>
          <w:lang w:val="en-US" w:eastAsia="zh-CN"/>
        </w:rPr>
        <w:t>Ⅱ</w:t>
      </w:r>
      <w:r>
        <w:rPr>
          <w:rFonts w:hint="eastAsia"/>
          <w:lang w:val="en-US" w:eastAsia="zh-CN"/>
        </w:rPr>
        <w:t>工艺和以废水处理后达标排放为目标的模式</w:t>
      </w:r>
      <w:r>
        <w:rPr>
          <w:rFonts w:hint="default" w:ascii="Times New Roman" w:hAnsi="Times New Roman" w:cs="Times New Roman"/>
          <w:lang w:val="en-US" w:eastAsia="zh-CN"/>
        </w:rPr>
        <w:t>Ⅲ</w:t>
      </w:r>
      <w:r>
        <w:rPr>
          <w:rFonts w:hint="eastAsia"/>
          <w:lang w:val="en-US" w:eastAsia="zh-CN"/>
        </w:rPr>
        <w:t>工艺。</w:t>
      </w:r>
      <w:r>
        <w:rPr>
          <w:rFonts w:hint="eastAsia" w:ascii="宋体" w:hAnsi="宋体" w:eastAsia="宋体" w:cs="宋体"/>
          <w:color w:val="000000"/>
          <w:kern w:val="0"/>
          <w:sz w:val="24"/>
          <w:szCs w:val="24"/>
          <w:lang w:val="en-US" w:eastAsia="zh-CN" w:bidi="ar"/>
        </w:rPr>
        <w:t>畜禽养殖废水由于其有机物浓度高及大量致病菌的存在，无论采取何种处理模式，厌氧反应是一个必不可少的处理阶段。三种模式工艺比选如下示：</w:t>
      </w:r>
    </w:p>
    <w:p w14:paraId="45F5327F">
      <w:pPr>
        <w:bidi w:val="0"/>
        <w:rPr>
          <w:rFonts w:hint="default" w:eastAsia="宋体"/>
          <w:b/>
          <w:bCs/>
          <w:lang w:val="en-US" w:eastAsia="zh-CN"/>
        </w:rPr>
      </w:pPr>
      <w:r>
        <w:rPr>
          <w:rFonts w:hint="eastAsia"/>
          <w:b/>
          <w:bCs/>
          <w:lang w:val="en-US" w:eastAsia="zh-CN"/>
        </w:rPr>
        <w:t>（1）</w:t>
      </w:r>
      <w:r>
        <w:rPr>
          <w:rFonts w:hint="eastAsia" w:ascii="宋体" w:hAnsi="宋体" w:eastAsia="宋体" w:cs="宋体"/>
          <w:b/>
          <w:bCs/>
          <w:color w:val="000000"/>
          <w:kern w:val="0"/>
          <w:sz w:val="24"/>
          <w:szCs w:val="24"/>
          <w:lang w:val="en-US" w:eastAsia="zh-CN" w:bidi="ar"/>
        </w:rPr>
        <w:t>模式</w:t>
      </w:r>
      <w:r>
        <w:rPr>
          <w:rFonts w:hint="default" w:ascii="Times New Roman" w:hAnsi="Times New Roman" w:eastAsia="宋体" w:cs="Times New Roman"/>
          <w:b/>
          <w:bCs/>
          <w:color w:val="000000"/>
          <w:kern w:val="0"/>
          <w:sz w:val="24"/>
          <w:szCs w:val="24"/>
          <w:lang w:val="en-US" w:eastAsia="zh-CN" w:bidi="ar"/>
        </w:rPr>
        <w:t>Ⅰ适用范围及工艺流程</w:t>
      </w:r>
    </w:p>
    <w:p w14:paraId="5C4FA3D0">
      <w:pPr>
        <w:keepNext w:val="0"/>
        <w:keepLines w:val="0"/>
        <w:widowControl/>
        <w:suppressLineNumbers w:val="0"/>
        <w:jc w:val="left"/>
      </w:pPr>
      <w:r>
        <w:rPr>
          <w:rFonts w:hint="eastAsia" w:ascii="宋体" w:hAnsi="宋体" w:eastAsia="宋体" w:cs="宋体"/>
          <w:color w:val="000000"/>
          <w:kern w:val="0"/>
          <w:sz w:val="24"/>
          <w:szCs w:val="24"/>
          <w:lang w:val="en-US" w:eastAsia="zh-CN" w:bidi="ar"/>
        </w:rPr>
        <w:t>该模式工艺以能源利用与综合利用为主要目的，适用于当地有较大的能源需求，沼气能完全利用，同时周边有足够土地消纳沼液、沼渣，并有一倍以上的土地轮作面积，使整个养殖场（区）的畜禽排泄物在小区域范围内全部达到循环利用的情况；该模式工艺要求粪尿全进厌氧反应器。其典型的工艺流程如下图示：</w:t>
      </w:r>
    </w:p>
    <w:p w14:paraId="2BC8D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drawing>
          <wp:inline distT="0" distB="0" distL="114300" distR="114300">
            <wp:extent cx="5273040" cy="1610995"/>
            <wp:effectExtent l="0" t="0" r="3810" b="825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5"/>
                    <a:stretch>
                      <a:fillRect/>
                    </a:stretch>
                  </pic:blipFill>
                  <pic:spPr>
                    <a:xfrm>
                      <a:off x="0" y="0"/>
                      <a:ext cx="5273040" cy="1610995"/>
                    </a:xfrm>
                    <a:prstGeom prst="rect">
                      <a:avLst/>
                    </a:prstGeom>
                    <a:noFill/>
                    <a:ln>
                      <a:noFill/>
                    </a:ln>
                  </pic:spPr>
                </pic:pic>
              </a:graphicData>
            </a:graphic>
          </wp:inline>
        </w:drawing>
      </w:r>
    </w:p>
    <w:p w14:paraId="2CA59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图3.2-2   模式Ⅰ基本工艺流程</w:t>
      </w:r>
    </w:p>
    <w:p w14:paraId="7980295A">
      <w:pPr>
        <w:bidi w:val="0"/>
        <w:rPr>
          <w:rFonts w:hint="default" w:eastAsia="宋体"/>
          <w:b/>
          <w:bCs/>
          <w:lang w:val="en-US" w:eastAsia="zh-CN"/>
        </w:rPr>
      </w:pPr>
      <w:r>
        <w:rPr>
          <w:rFonts w:hint="eastAsia"/>
          <w:b/>
          <w:bCs/>
          <w:lang w:eastAsia="zh-CN"/>
        </w:rPr>
        <w:t>（</w:t>
      </w:r>
      <w:r>
        <w:rPr>
          <w:rFonts w:hint="eastAsia"/>
          <w:b/>
          <w:bCs/>
          <w:lang w:val="en-US" w:eastAsia="zh-CN"/>
        </w:rPr>
        <w:t>2）</w:t>
      </w:r>
      <w:r>
        <w:rPr>
          <w:rFonts w:hint="eastAsia" w:ascii="宋体" w:hAnsi="宋体" w:eastAsia="宋体" w:cs="宋体"/>
          <w:b/>
          <w:bCs/>
          <w:color w:val="000000"/>
          <w:kern w:val="0"/>
          <w:sz w:val="24"/>
          <w:szCs w:val="24"/>
          <w:lang w:val="en-US" w:eastAsia="zh-CN" w:bidi="ar"/>
        </w:rPr>
        <w:t>模式</w:t>
      </w:r>
      <w:r>
        <w:rPr>
          <w:rFonts w:hint="default" w:ascii="Times New Roman" w:hAnsi="Times New Roman" w:cs="Times New Roman"/>
          <w:b/>
          <w:bCs/>
          <w:color w:val="000000"/>
          <w:kern w:val="0"/>
          <w:sz w:val="24"/>
          <w:szCs w:val="24"/>
          <w:lang w:val="en-US" w:eastAsia="zh-CN" w:bidi="ar"/>
        </w:rPr>
        <w:t>Ⅱ</w:t>
      </w:r>
      <w:r>
        <w:rPr>
          <w:rFonts w:hint="default" w:ascii="Times New Roman" w:hAnsi="Times New Roman" w:eastAsia="宋体" w:cs="Times New Roman"/>
          <w:b/>
          <w:bCs/>
          <w:color w:val="000000"/>
          <w:kern w:val="0"/>
          <w:sz w:val="24"/>
          <w:szCs w:val="24"/>
          <w:lang w:val="en-US" w:eastAsia="zh-CN" w:bidi="ar"/>
        </w:rPr>
        <w:t>适用范围及工艺流程</w:t>
      </w:r>
    </w:p>
    <w:p w14:paraId="13790078">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适用于能源需求不大，主要以进行污染物无害化处理、降低有机物浓度、减少沼液和沼渣消纳所需配套的土地面积为目的，且养殖场周围具有足够土地面积全部消纳低浓度沼液，并且有一定的土地轮作面积的情况。</w:t>
      </w:r>
    </w:p>
    <w:p w14:paraId="03577DC2">
      <w:pPr>
        <w:keepNext w:val="0"/>
        <w:keepLines w:val="0"/>
        <w:widowControl/>
        <w:suppressLineNumbers w:val="0"/>
        <w:jc w:val="left"/>
      </w:pPr>
      <w:r>
        <w:rPr>
          <w:rFonts w:hint="eastAsia" w:ascii="宋体" w:hAnsi="宋体" w:eastAsia="宋体" w:cs="宋体"/>
          <w:color w:val="000000"/>
          <w:kern w:val="0"/>
          <w:sz w:val="24"/>
          <w:szCs w:val="24"/>
          <w:lang w:val="en-US" w:eastAsia="zh-CN" w:bidi="ar"/>
        </w:rPr>
        <w:t>废水进入厌氧反应器之前应先进行固液（干湿）分离，然后再对固体粪渣和废水分别进行处理。其典型的工艺流程见下图：</w:t>
      </w:r>
    </w:p>
    <w:p w14:paraId="53822701">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drawing>
          <wp:inline distT="0" distB="0" distL="114300" distR="114300">
            <wp:extent cx="5271770" cy="1242695"/>
            <wp:effectExtent l="0" t="0" r="5080" b="1460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6"/>
                    <a:stretch>
                      <a:fillRect/>
                    </a:stretch>
                  </pic:blipFill>
                  <pic:spPr>
                    <a:xfrm>
                      <a:off x="0" y="0"/>
                      <a:ext cx="5271770" cy="1242695"/>
                    </a:xfrm>
                    <a:prstGeom prst="rect">
                      <a:avLst/>
                    </a:prstGeom>
                    <a:noFill/>
                    <a:ln>
                      <a:noFill/>
                    </a:ln>
                  </pic:spPr>
                </pic:pic>
              </a:graphicData>
            </a:graphic>
          </wp:inline>
        </w:drawing>
      </w:r>
    </w:p>
    <w:p w14:paraId="0B934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图3.2-3   模式Ⅱ基本工艺流程</w:t>
      </w:r>
    </w:p>
    <w:p w14:paraId="50CBCB6A">
      <w:pPr>
        <w:keepNext w:val="0"/>
        <w:keepLines w:val="0"/>
        <w:widowControl/>
        <w:suppressLineNumbers w:val="0"/>
        <w:jc w:val="left"/>
        <w:rPr>
          <w:b/>
          <w:bCs/>
        </w:rPr>
      </w:pPr>
      <w:r>
        <w:rPr>
          <w:rFonts w:hint="eastAsia"/>
          <w:b/>
          <w:bCs/>
          <w:lang w:eastAsia="zh-CN"/>
        </w:rPr>
        <w:t>（</w:t>
      </w:r>
      <w:r>
        <w:rPr>
          <w:rFonts w:hint="eastAsia"/>
          <w:b/>
          <w:bCs/>
          <w:lang w:val="en-US" w:eastAsia="zh-CN"/>
        </w:rPr>
        <w:t>3）</w:t>
      </w:r>
      <w:r>
        <w:rPr>
          <w:rFonts w:hint="eastAsia" w:ascii="宋体" w:hAnsi="宋体" w:eastAsia="宋体" w:cs="宋体"/>
          <w:b/>
          <w:bCs/>
          <w:color w:val="000000"/>
          <w:kern w:val="0"/>
          <w:sz w:val="24"/>
          <w:szCs w:val="24"/>
          <w:lang w:val="en-US" w:eastAsia="zh-CN" w:bidi="ar"/>
        </w:rPr>
        <w:t>模式</w:t>
      </w:r>
      <w:r>
        <w:rPr>
          <w:rFonts w:hint="default" w:ascii="Times New Roman" w:hAnsi="Times New Roman" w:eastAsia="宋体" w:cs="Times New Roman"/>
          <w:b/>
          <w:bCs/>
          <w:color w:val="000000"/>
          <w:kern w:val="0"/>
          <w:sz w:val="24"/>
          <w:szCs w:val="24"/>
          <w:lang w:val="en-US" w:eastAsia="zh-CN" w:bidi="ar"/>
        </w:rPr>
        <w:t>Ⅲ</w:t>
      </w:r>
      <w:r>
        <w:rPr>
          <w:rFonts w:hint="eastAsia" w:ascii="宋体" w:hAnsi="宋体" w:eastAsia="宋体" w:cs="宋体"/>
          <w:b/>
          <w:bCs/>
          <w:color w:val="000000"/>
          <w:kern w:val="0"/>
          <w:sz w:val="24"/>
          <w:szCs w:val="24"/>
          <w:lang w:val="en-US" w:eastAsia="zh-CN" w:bidi="ar"/>
        </w:rPr>
        <w:t>适用范围及工艺流程（本项目采取模式）</w:t>
      </w:r>
    </w:p>
    <w:p w14:paraId="01E5F087">
      <w:pPr>
        <w:keepNext w:val="0"/>
        <w:keepLines w:val="0"/>
        <w:widowControl/>
        <w:suppressLineNumbers w:val="0"/>
        <w:jc w:val="left"/>
      </w:pPr>
      <w:r>
        <w:rPr>
          <w:rFonts w:hint="default" w:eastAsia="宋体"/>
          <w:lang w:val="en-US" w:eastAsia="zh-CN"/>
        </w:rPr>
        <w:t>主要是基于受当地沼气能源供求实际情况的限制，周边又没有足够的可供消纳沼液、沼渣的土地，其厌氧出水（沼液）必须再经过进一步处理，达到国家和地方排放标准。</w:t>
      </w:r>
      <w:r>
        <w:rPr>
          <w:rFonts w:hint="eastAsia" w:ascii="宋体" w:hAnsi="宋体" w:eastAsia="宋体" w:cs="宋体"/>
          <w:color w:val="000000"/>
          <w:kern w:val="0"/>
          <w:sz w:val="24"/>
          <w:szCs w:val="24"/>
          <w:lang w:val="en-US" w:eastAsia="zh-CN" w:bidi="ar"/>
        </w:rPr>
        <w:t>其典型的工艺流程见下图：</w:t>
      </w:r>
    </w:p>
    <w:p w14:paraId="27C08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drawing>
          <wp:inline distT="0" distB="0" distL="114300" distR="114300">
            <wp:extent cx="5271135" cy="1731645"/>
            <wp:effectExtent l="0" t="0" r="5715"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7"/>
                    <a:stretch>
                      <a:fillRect/>
                    </a:stretch>
                  </pic:blipFill>
                  <pic:spPr>
                    <a:xfrm>
                      <a:off x="0" y="0"/>
                      <a:ext cx="5271135" cy="1731645"/>
                    </a:xfrm>
                    <a:prstGeom prst="rect">
                      <a:avLst/>
                    </a:prstGeom>
                    <a:noFill/>
                    <a:ln>
                      <a:noFill/>
                    </a:ln>
                  </pic:spPr>
                </pic:pic>
              </a:graphicData>
            </a:graphic>
          </wp:inline>
        </w:drawing>
      </w:r>
    </w:p>
    <w:p w14:paraId="2A665E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图3.2-4   模式Ⅲ基本工艺流程</w:t>
      </w:r>
    </w:p>
    <w:p w14:paraId="19D3B7E7">
      <w:pPr>
        <w:rPr>
          <w:rFonts w:hint="default" w:eastAsia="宋体"/>
          <w:b/>
          <w:bCs/>
          <w:lang w:val="en-US" w:eastAsia="zh-CN"/>
        </w:rPr>
      </w:pPr>
      <w:r>
        <w:rPr>
          <w:rFonts w:hint="eastAsia"/>
          <w:b/>
          <w:bCs/>
          <w:lang w:val="en-US" w:eastAsia="zh-CN"/>
        </w:rPr>
        <w:t>（4）工艺模式选择</w:t>
      </w:r>
    </w:p>
    <w:p w14:paraId="3B46B756">
      <w:pPr>
        <w:bidi w:val="0"/>
        <w:rPr>
          <w:rFonts w:hint="default"/>
          <w:lang w:val="en-US"/>
        </w:rPr>
      </w:pPr>
      <w:r>
        <w:rPr>
          <w:rFonts w:hint="eastAsia"/>
          <w:lang w:val="en-US" w:eastAsia="zh-CN"/>
        </w:rPr>
        <w:t>根据《畜禽养殖业污染治理工程技术规范》（HJ497-2009）要求，选择工艺模式的原则如下：</w:t>
      </w:r>
    </w:p>
    <w:p w14:paraId="22B63483">
      <w:pPr>
        <w:bidi w:val="0"/>
        <w:rPr>
          <w:rFonts w:hint="default"/>
          <w:lang w:val="en-US" w:eastAsia="zh-CN"/>
        </w:rPr>
      </w:pPr>
      <w:r>
        <w:rPr>
          <w:rFonts w:hint="eastAsia"/>
          <w:lang w:val="en-US" w:eastAsia="zh-CN"/>
        </w:rPr>
        <w:t>①养殖规模在存栏（以猪计）2000头及以下的应尽可能采用模式</w:t>
      </w:r>
      <w:r>
        <w:rPr>
          <w:rFonts w:hint="default"/>
          <w:lang w:val="en-US" w:eastAsia="zh-CN"/>
        </w:rPr>
        <w:t>Ⅰ</w:t>
      </w:r>
      <w:r>
        <w:rPr>
          <w:rFonts w:hint="eastAsia"/>
          <w:lang w:val="en-US" w:eastAsia="zh-CN"/>
        </w:rPr>
        <w:t>或模式</w:t>
      </w:r>
      <w:r>
        <w:rPr>
          <w:rFonts w:hint="default"/>
          <w:lang w:val="en-US" w:eastAsia="zh-CN"/>
        </w:rPr>
        <w:t>Ⅱ</w:t>
      </w:r>
      <w:r>
        <w:rPr>
          <w:rFonts w:hint="eastAsia"/>
          <w:lang w:val="en-US" w:eastAsia="zh-CN"/>
        </w:rPr>
        <w:t>处理工艺；存栏（以猪计）10000头及以上的，宜采用模式</w:t>
      </w:r>
      <w:r>
        <w:rPr>
          <w:rFonts w:hint="default"/>
          <w:lang w:val="en-US" w:eastAsia="zh-CN"/>
        </w:rPr>
        <w:t>Ⅲ</w:t>
      </w:r>
      <w:r>
        <w:rPr>
          <w:rFonts w:hint="eastAsia"/>
          <w:lang w:val="en-US" w:eastAsia="zh-CN"/>
        </w:rPr>
        <w:t>处理工艺。</w:t>
      </w:r>
    </w:p>
    <w:p w14:paraId="1EE82162">
      <w:pPr>
        <w:bidi w:val="0"/>
        <w:rPr>
          <w:rFonts w:hint="eastAsia"/>
          <w:lang w:eastAsia="zh-CN"/>
        </w:rPr>
      </w:pPr>
      <w:r>
        <w:rPr>
          <w:rFonts w:hint="eastAsia"/>
          <w:lang w:val="en-US" w:eastAsia="zh-CN"/>
        </w:rPr>
        <w:t>②</w:t>
      </w:r>
      <w:r>
        <w:rPr>
          <w:rFonts w:hint="eastAsia"/>
          <w:lang w:eastAsia="zh-CN"/>
        </w:rPr>
        <w:t>采用模式</w:t>
      </w:r>
      <w:r>
        <w:rPr>
          <w:rFonts w:hint="default"/>
          <w:lang w:eastAsia="zh-CN"/>
        </w:rPr>
        <w:t>Ⅰ</w:t>
      </w:r>
      <w:r>
        <w:rPr>
          <w:rFonts w:hint="eastAsia"/>
          <w:lang w:eastAsia="zh-CN"/>
        </w:rPr>
        <w:t>或模式</w:t>
      </w:r>
      <w:r>
        <w:rPr>
          <w:rFonts w:hint="default"/>
          <w:lang w:eastAsia="zh-CN"/>
        </w:rPr>
        <w:t>Ⅱ</w:t>
      </w:r>
      <w:r>
        <w:rPr>
          <w:rFonts w:hint="eastAsia"/>
          <w:lang w:eastAsia="zh-CN"/>
        </w:rPr>
        <w:t>处理工艺的，养殖场应位于非环境敏感区，周围的环境容量大，远离城市，有能源需求，周边有足够土地能够消纳全部的沼液、沼渣。</w:t>
      </w:r>
    </w:p>
    <w:p w14:paraId="72F24C0D">
      <w:pPr>
        <w:bidi w:val="0"/>
        <w:rPr>
          <w:rFonts w:hint="default"/>
          <w:lang w:val="en-US" w:eastAsia="zh-CN"/>
        </w:rPr>
      </w:pPr>
      <w:r>
        <w:rPr>
          <w:rFonts w:hint="eastAsia"/>
          <w:lang w:val="en-US" w:eastAsia="zh-CN"/>
        </w:rPr>
        <w:t>③干清粪工艺的养殖场，不宜采用模式</w:t>
      </w:r>
      <w:r>
        <w:rPr>
          <w:rFonts w:hint="default"/>
          <w:lang w:val="en-US" w:eastAsia="zh-CN"/>
        </w:rPr>
        <w:t>Ⅰ</w:t>
      </w:r>
      <w:r>
        <w:rPr>
          <w:rFonts w:hint="eastAsia"/>
          <w:lang w:val="en-US" w:eastAsia="zh-CN"/>
        </w:rPr>
        <w:t>处理工艺，固体粪便宜采用好氧堆肥等技术单独进行无害化处理。</w:t>
      </w:r>
    </w:p>
    <w:p w14:paraId="1509F9D8">
      <w:pPr>
        <w:bidi w:val="0"/>
        <w:rPr>
          <w:rFonts w:hint="default"/>
          <w:lang w:val="en-US" w:eastAsia="zh-CN"/>
        </w:rPr>
      </w:pPr>
      <w:r>
        <w:rPr>
          <w:rFonts w:hint="eastAsia"/>
          <w:lang w:val="en-US" w:eastAsia="zh-CN"/>
        </w:rPr>
        <w:t>④当采用干清粪工艺时，清粪比例宜控制在70%。</w:t>
      </w:r>
    </w:p>
    <w:p w14:paraId="1B3B70E2">
      <w:pPr>
        <w:keepNext w:val="0"/>
        <w:keepLines w:val="0"/>
        <w:widowControl/>
        <w:suppressLineNumbers w:val="0"/>
        <w:jc w:val="left"/>
      </w:pPr>
      <w:r>
        <w:rPr>
          <w:rFonts w:hint="default" w:ascii="Times New Roman" w:hAnsi="Times New Roman" w:cs="Times New Roman"/>
          <w:lang w:val="en-US" w:eastAsia="zh-CN"/>
        </w:rPr>
        <w:t>根据实际调查，本项目</w:t>
      </w:r>
      <w:r>
        <w:rPr>
          <w:rFonts w:hint="default" w:ascii="Times New Roman" w:hAnsi="Times New Roman" w:eastAsia="宋体" w:cs="Times New Roman"/>
          <w:color w:val="000000"/>
          <w:kern w:val="0"/>
          <w:sz w:val="24"/>
          <w:szCs w:val="24"/>
          <w:lang w:val="en-US" w:eastAsia="zh-CN" w:bidi="ar"/>
        </w:rPr>
        <w:t>年存栏成年猪量为50000头，远远大于2000头</w:t>
      </w:r>
      <w:r>
        <w:rPr>
          <w:rFonts w:hint="eastAsia" w:ascii="Times New Roman" w:hAnsi="Times New Roman" w:eastAsia="宋体" w:cs="Times New Roman"/>
          <w:color w:val="000000"/>
          <w:kern w:val="0"/>
          <w:sz w:val="24"/>
          <w:szCs w:val="24"/>
          <w:lang w:val="en-US" w:eastAsia="zh-CN" w:bidi="ar"/>
        </w:rPr>
        <w:t>，养殖场区</w:t>
      </w:r>
      <w:r>
        <w:rPr>
          <w:rFonts w:hint="eastAsia" w:ascii="宋体" w:hAnsi="宋体" w:eastAsia="宋体" w:cs="宋体"/>
          <w:color w:val="000000"/>
          <w:kern w:val="0"/>
          <w:sz w:val="24"/>
          <w:szCs w:val="24"/>
          <w:lang w:val="en-US" w:eastAsia="zh-CN" w:bidi="ar"/>
        </w:rPr>
        <w:t>周围有消纳土地。</w:t>
      </w:r>
      <w:r>
        <w:rPr>
          <w:rFonts w:hint="eastAsia" w:ascii="宋体" w:hAnsi="宋体" w:eastAsia="宋体" w:cs="宋体"/>
          <w:b/>
          <w:bCs/>
          <w:color w:val="000000"/>
          <w:kern w:val="0"/>
          <w:sz w:val="24"/>
          <w:szCs w:val="24"/>
          <w:lang w:val="en-US" w:eastAsia="zh-CN" w:bidi="ar"/>
        </w:rPr>
        <w:t>因此，本项目采用模式</w:t>
      </w:r>
      <w:r>
        <w:rPr>
          <w:rFonts w:hint="default" w:ascii="Times New Roman" w:hAnsi="Times New Roman" w:eastAsia="宋体" w:cs="Times New Roman"/>
          <w:b/>
          <w:bCs/>
          <w:color w:val="000000"/>
          <w:kern w:val="0"/>
          <w:sz w:val="24"/>
          <w:szCs w:val="24"/>
          <w:lang w:val="en-US" w:eastAsia="zh-CN" w:bidi="ar"/>
        </w:rPr>
        <w:t>Ⅲ</w:t>
      </w:r>
      <w:r>
        <w:rPr>
          <w:rFonts w:hint="eastAsia" w:ascii="宋体" w:hAnsi="宋体" w:eastAsia="宋体" w:cs="宋体"/>
          <w:b/>
          <w:bCs/>
          <w:color w:val="000000"/>
          <w:kern w:val="0"/>
          <w:sz w:val="24"/>
          <w:szCs w:val="24"/>
          <w:lang w:val="en-US" w:eastAsia="zh-CN" w:bidi="ar"/>
        </w:rPr>
        <w:t>处理工艺，项目采取干清粪工艺，废水经过厂区的废水处理系统处理后，</w:t>
      </w:r>
      <w:r>
        <w:rPr>
          <w:rFonts w:hint="eastAsia"/>
          <w:b/>
          <w:bCs/>
          <w:lang w:val="en-US" w:eastAsia="zh-CN"/>
        </w:rPr>
        <w:t>委托129团农业发展中心清运</w:t>
      </w:r>
      <w:r>
        <w:rPr>
          <w:rFonts w:hint="eastAsia"/>
          <w:b/>
          <w:bCs/>
        </w:rPr>
        <w:t>。</w:t>
      </w:r>
    </w:p>
    <w:p w14:paraId="6516CFB8">
      <w:pPr>
        <w:pStyle w:val="28"/>
        <w:bidi w:val="0"/>
        <w:rPr>
          <w:rFonts w:hint="default"/>
          <w:lang w:val="en-US" w:eastAsia="zh-CN"/>
        </w:rPr>
      </w:pPr>
      <w:r>
        <w:rPr>
          <w:rFonts w:hint="default"/>
          <w:lang w:val="en-US" w:eastAsia="zh-CN"/>
        </w:rPr>
        <w:t>本项目废水处理工艺</w:t>
      </w:r>
    </w:p>
    <w:p w14:paraId="5FB3CA5A">
      <w:pPr>
        <w:bidi w:val="0"/>
        <w:rPr>
          <w:rFonts w:hint="default"/>
          <w:lang w:val="en-US" w:eastAsia="zh-CN"/>
        </w:rPr>
      </w:pPr>
      <w:r>
        <w:rPr>
          <w:rFonts w:hint="default"/>
          <w:lang w:val="en-US" w:eastAsia="zh-CN"/>
        </w:rPr>
        <w:t>本项目生活污水、养殖废水全部进入污水处理站内进行处理后</w:t>
      </w:r>
      <w:r>
        <w:rPr>
          <w:rFonts w:hint="eastAsia"/>
          <w:lang w:val="en-US" w:eastAsia="zh-CN"/>
        </w:rPr>
        <w:t>委托129团农业发展中心清运</w:t>
      </w:r>
      <w:r>
        <w:rPr>
          <w:rFonts w:hint="default"/>
          <w:lang w:val="en-US" w:eastAsia="zh-CN"/>
        </w:rPr>
        <w:t>。项目废水处理工艺如下示：</w:t>
      </w:r>
    </w:p>
    <w:p w14:paraId="328DE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ascii="宋体" w:hAnsi="宋体" w:eastAsia="宋体" w:cs="宋体"/>
          <w:kern w:val="0"/>
          <w:sz w:val="24"/>
          <w:szCs w:val="24"/>
          <w:lang w:val="en-US" w:eastAsia="zh-CN" w:bidi="ar"/>
        </w:rPr>
        <w:drawing>
          <wp:inline distT="0" distB="0" distL="114300" distR="114300">
            <wp:extent cx="3619500" cy="4972050"/>
            <wp:effectExtent l="0" t="0" r="0"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8"/>
                    <a:stretch>
                      <a:fillRect/>
                    </a:stretch>
                  </pic:blipFill>
                  <pic:spPr>
                    <a:xfrm>
                      <a:off x="0" y="0"/>
                      <a:ext cx="3619500" cy="4972050"/>
                    </a:xfrm>
                    <a:prstGeom prst="rect">
                      <a:avLst/>
                    </a:prstGeom>
                    <a:noFill/>
                    <a:ln w="9525">
                      <a:noFill/>
                    </a:ln>
                  </pic:spPr>
                </pic:pic>
              </a:graphicData>
            </a:graphic>
          </wp:inline>
        </w:drawing>
      </w:r>
    </w:p>
    <w:p w14:paraId="13D66B31">
      <w:pPr>
        <w:pStyle w:val="31"/>
        <w:bidi w:val="0"/>
        <w:rPr>
          <w:rFonts w:hint="eastAsia"/>
          <w:lang w:val="en-US" w:eastAsia="zh-CN"/>
        </w:rPr>
      </w:pPr>
      <w:r>
        <w:rPr>
          <w:rFonts w:hint="eastAsia"/>
          <w:lang w:val="en-US" w:eastAsia="zh-CN"/>
        </w:rPr>
        <w:t>图3.2-5   废水处理工艺流程图</w:t>
      </w:r>
    </w:p>
    <w:p w14:paraId="63CE4B59">
      <w:pPr>
        <w:bidi w:val="0"/>
        <w:rPr>
          <w:rFonts w:hint="default"/>
          <w:b/>
          <w:bCs/>
          <w:lang w:val="en-US" w:eastAsia="zh-CN"/>
        </w:rPr>
      </w:pPr>
      <w:r>
        <w:rPr>
          <w:rFonts w:hint="eastAsia"/>
          <w:b/>
          <w:bCs/>
          <w:lang w:val="en-US" w:eastAsia="zh-CN"/>
        </w:rPr>
        <w:t>废水处理工艺简介：</w:t>
      </w:r>
    </w:p>
    <w:p w14:paraId="58F111AC">
      <w:pPr>
        <w:bidi w:val="0"/>
        <w:rPr>
          <w:rFonts w:hint="eastAsia"/>
          <w:b/>
          <w:bCs/>
          <w:lang w:val="en-US" w:eastAsia="zh-CN"/>
        </w:rPr>
      </w:pPr>
      <w:r>
        <w:rPr>
          <w:rFonts w:hint="eastAsia"/>
          <w:b/>
          <w:bCs/>
          <w:lang w:val="en-US" w:eastAsia="zh-CN"/>
        </w:rPr>
        <w:t>格栅：</w:t>
      </w:r>
      <w:r>
        <w:rPr>
          <w:rFonts w:hint="eastAsia"/>
          <w:b w:val="0"/>
          <w:bCs w:val="0"/>
          <w:lang w:val="en-US" w:eastAsia="zh-CN"/>
        </w:rPr>
        <w:t>主要用于去除漂浮物、略大的悬浮物。由一组平行的栅条组成，斜置于集水池的进口处，其倾斜角度为60°～80°。</w:t>
      </w:r>
      <w:r>
        <w:rPr>
          <w:rFonts w:hint="eastAsia"/>
          <w:b w:val="0"/>
          <w:bCs w:val="0"/>
          <w:u w:val="single"/>
          <w:lang w:val="en-US" w:eastAsia="zh-CN"/>
        </w:rPr>
        <w:t>格栅SS处理效率为10%。</w:t>
      </w:r>
    </w:p>
    <w:p w14:paraId="1A6F840B">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集水池（沉砂</w:t>
      </w:r>
      <w:r>
        <w:rPr>
          <w:rFonts w:hint="eastAsia" w:ascii="宋体" w:hAnsi="宋体" w:cs="宋体"/>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废水经格栅后流入集水池内，废水中的可沉悬浮物将沉入下部的泥斗。</w:t>
      </w:r>
      <w:r>
        <w:rPr>
          <w:rFonts w:hint="eastAsia" w:ascii="宋体" w:hAnsi="宋体" w:eastAsia="宋体" w:cs="宋体"/>
          <w:color w:val="000000"/>
          <w:kern w:val="0"/>
          <w:sz w:val="24"/>
          <w:szCs w:val="24"/>
          <w:u w:val="single"/>
          <w:lang w:val="en-US" w:eastAsia="zh-CN" w:bidi="ar"/>
        </w:rPr>
        <w:t>沉砂集水池</w:t>
      </w:r>
      <w:r>
        <w:rPr>
          <w:rFonts w:hint="default" w:ascii="Times New Roman" w:hAnsi="Times New Roman" w:eastAsia="宋体" w:cs="Times New Roman"/>
          <w:color w:val="000000"/>
          <w:kern w:val="0"/>
          <w:sz w:val="24"/>
          <w:szCs w:val="24"/>
          <w:u w:val="single"/>
          <w:lang w:val="en-US" w:eastAsia="zh-CN" w:bidi="ar"/>
        </w:rPr>
        <w:t>SS</w:t>
      </w:r>
      <w:r>
        <w:rPr>
          <w:rFonts w:hint="eastAsia" w:ascii="宋体" w:hAnsi="宋体" w:eastAsia="宋体" w:cs="宋体"/>
          <w:color w:val="000000"/>
          <w:kern w:val="0"/>
          <w:sz w:val="24"/>
          <w:szCs w:val="24"/>
          <w:u w:val="single"/>
          <w:lang w:val="en-US" w:eastAsia="zh-CN" w:bidi="ar"/>
        </w:rPr>
        <w:t>处理效率为</w:t>
      </w:r>
      <w:r>
        <w:rPr>
          <w:rFonts w:hint="default" w:ascii="Times New Roman" w:hAnsi="Times New Roman" w:eastAsia="宋体" w:cs="Times New Roman"/>
          <w:color w:val="000000"/>
          <w:kern w:val="0"/>
          <w:sz w:val="24"/>
          <w:szCs w:val="24"/>
          <w:u w:val="single"/>
          <w:lang w:val="en-US" w:eastAsia="zh-CN" w:bidi="ar"/>
        </w:rPr>
        <w:t>5%</w:t>
      </w:r>
      <w:r>
        <w:rPr>
          <w:rFonts w:hint="eastAsia" w:ascii="宋体" w:hAnsi="宋体" w:eastAsia="宋体" w:cs="宋体"/>
          <w:color w:val="000000"/>
          <w:kern w:val="0"/>
          <w:sz w:val="24"/>
          <w:szCs w:val="24"/>
          <w:u w:val="single"/>
          <w:lang w:val="en-US" w:eastAsia="zh-CN" w:bidi="ar"/>
        </w:rPr>
        <w:t>。</w:t>
      </w:r>
    </w:p>
    <w:p w14:paraId="7B6FBF01">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固液分离机：</w:t>
      </w:r>
      <w:r>
        <w:rPr>
          <w:rFonts w:hint="eastAsia" w:ascii="宋体" w:hAnsi="宋体" w:eastAsia="宋体" w:cs="宋体"/>
          <w:color w:val="000000"/>
          <w:kern w:val="0"/>
          <w:sz w:val="24"/>
          <w:szCs w:val="24"/>
          <w:lang w:val="en-US" w:eastAsia="zh-CN" w:bidi="ar"/>
        </w:rPr>
        <w:t>集水池中废水通过潜污泵将废水输送至固液分离机中。固液分离设备选用水力筛网，水力筛网主体由楔形钢棒经精密制成的不锈钢弧形或平面过滤筛面，待处理废水经集水池通过溢流堰均匀分布到倾斜筛面上</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由于筛网表面间隙小、平滑、背面间隙大、排水顺畅、不易阻塞，固态物质被截留，过滤后的水从筛板缝隙中流出进入水解酸化池，同时在水力作用下固态物质被推到筛板下端排出，经滤水后由人工清装运输至好氧堆肥场内。</w:t>
      </w:r>
      <w:r>
        <w:rPr>
          <w:rFonts w:hint="eastAsia" w:ascii="宋体" w:hAnsi="宋体" w:eastAsia="宋体" w:cs="宋体"/>
          <w:color w:val="000000"/>
          <w:kern w:val="0"/>
          <w:sz w:val="24"/>
          <w:szCs w:val="24"/>
          <w:u w:val="single"/>
          <w:lang w:val="en-US" w:eastAsia="zh-CN" w:bidi="ar"/>
        </w:rPr>
        <w:t>固液分离机</w:t>
      </w:r>
      <w:r>
        <w:rPr>
          <w:rFonts w:hint="default" w:ascii="Times New Roman" w:hAnsi="Times New Roman" w:eastAsia="宋体" w:cs="Times New Roman"/>
          <w:color w:val="000000"/>
          <w:kern w:val="0"/>
          <w:sz w:val="24"/>
          <w:szCs w:val="24"/>
          <w:u w:val="single"/>
          <w:lang w:val="en-US" w:eastAsia="zh-CN" w:bidi="ar"/>
        </w:rPr>
        <w:t>SS</w:t>
      </w:r>
      <w:r>
        <w:rPr>
          <w:rFonts w:hint="eastAsia" w:ascii="宋体" w:hAnsi="宋体" w:eastAsia="宋体" w:cs="宋体"/>
          <w:color w:val="000000"/>
          <w:kern w:val="0"/>
          <w:sz w:val="24"/>
          <w:szCs w:val="24"/>
          <w:u w:val="single"/>
          <w:lang w:val="en-US" w:eastAsia="zh-CN" w:bidi="ar"/>
        </w:rPr>
        <w:t>处理效率为</w:t>
      </w:r>
      <w:r>
        <w:rPr>
          <w:rFonts w:hint="default" w:ascii="Times New Roman" w:hAnsi="Times New Roman" w:eastAsia="宋体" w:cs="Times New Roman"/>
          <w:color w:val="000000"/>
          <w:kern w:val="0"/>
          <w:sz w:val="24"/>
          <w:szCs w:val="24"/>
          <w:u w:val="single"/>
          <w:lang w:val="en-US" w:eastAsia="zh-CN" w:bidi="ar"/>
        </w:rPr>
        <w:t>20%</w:t>
      </w:r>
      <w:r>
        <w:rPr>
          <w:rFonts w:hint="eastAsia" w:ascii="宋体" w:hAnsi="宋体" w:eastAsia="宋体" w:cs="宋体"/>
          <w:color w:val="000000"/>
          <w:kern w:val="0"/>
          <w:sz w:val="24"/>
          <w:szCs w:val="24"/>
          <w:u w:val="single"/>
          <w:lang w:val="en-US" w:eastAsia="zh-CN" w:bidi="ar"/>
        </w:rPr>
        <w:t>。</w:t>
      </w:r>
    </w:p>
    <w:p w14:paraId="567DB602">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水解酸化池：</w:t>
      </w:r>
      <w:r>
        <w:rPr>
          <w:rFonts w:hint="eastAsia" w:ascii="宋体" w:hAnsi="宋体" w:eastAsia="宋体" w:cs="宋体"/>
          <w:color w:val="000000"/>
          <w:kern w:val="0"/>
          <w:sz w:val="24"/>
          <w:szCs w:val="24"/>
          <w:lang w:val="en-US" w:eastAsia="zh-CN" w:bidi="ar"/>
        </w:rPr>
        <w:t>固液分离出水进入水解酸化池，池内设置填料的搅拌机，保证来水与池底污泥的充分混合，在厌氧作用下发生水解和酸化反应，部分大分子、不溶性物质断链分解成小分子、可溶解性物质，小分子物质部分转化为二氧化碳和水，使废水生化性进一步提高。在水解调节池内，生产废水充分混合，均质均量。出水端设置提升泵将废水提升进入后续</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厌氧反应器。</w:t>
      </w:r>
      <w:r>
        <w:rPr>
          <w:rFonts w:hint="eastAsia" w:ascii="宋体" w:hAnsi="宋体" w:eastAsia="宋体" w:cs="宋体"/>
          <w:color w:val="000000"/>
          <w:kern w:val="0"/>
          <w:sz w:val="24"/>
          <w:szCs w:val="24"/>
          <w:u w:val="single"/>
          <w:lang w:val="en-US" w:eastAsia="zh-CN" w:bidi="ar"/>
        </w:rPr>
        <w:t>参照《水解酸化反应器污水处理工程技术规范》（</w:t>
      </w:r>
      <w:r>
        <w:rPr>
          <w:rFonts w:hint="default" w:ascii="Times New Roman" w:hAnsi="Times New Roman" w:eastAsia="宋体" w:cs="Times New Roman"/>
          <w:color w:val="000000"/>
          <w:kern w:val="0"/>
          <w:sz w:val="24"/>
          <w:szCs w:val="24"/>
          <w:u w:val="single"/>
          <w:lang w:val="en-US" w:eastAsia="zh-CN" w:bidi="ar"/>
        </w:rPr>
        <w:t>HJ2047-2015</w:t>
      </w:r>
      <w:r>
        <w:rPr>
          <w:rFonts w:hint="eastAsia" w:ascii="宋体" w:hAnsi="宋体" w:eastAsia="宋体" w:cs="宋体"/>
          <w:color w:val="000000"/>
          <w:kern w:val="0"/>
          <w:sz w:val="24"/>
          <w:szCs w:val="24"/>
          <w:u w:val="single"/>
          <w:lang w:val="en-US" w:eastAsia="zh-CN" w:bidi="ar"/>
        </w:rPr>
        <w:t>）表</w:t>
      </w:r>
      <w:r>
        <w:rPr>
          <w:rFonts w:hint="default" w:ascii="Times New Roman" w:hAnsi="Times New Roman" w:eastAsia="宋体"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中水解酸化反应器污染物去除率</w:t>
      </w:r>
      <w:r>
        <w:rPr>
          <w:rFonts w:hint="default" w:ascii="Times New Roman" w:hAnsi="Times New Roman" w:eastAsia="宋体" w:cs="Times New Roman"/>
          <w:color w:val="000000"/>
          <w:kern w:val="0"/>
          <w:sz w:val="24"/>
          <w:szCs w:val="24"/>
          <w:u w:val="single"/>
          <w:lang w:val="en-US" w:eastAsia="zh-CN" w:bidi="ar"/>
        </w:rPr>
        <w:t>SS</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50%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80%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COD</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30%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50%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BOD</w:t>
      </w:r>
      <w:r>
        <w:rPr>
          <w:rFonts w:hint="default" w:ascii="Times New Roman" w:hAnsi="Times New Roman" w:eastAsia="宋体" w:cs="Times New Roman"/>
          <w:color w:val="000000"/>
          <w:kern w:val="0"/>
          <w:sz w:val="15"/>
          <w:szCs w:val="15"/>
          <w:u w:val="single"/>
          <w:lang w:val="en-US" w:eastAsia="zh-CN" w:bidi="ar"/>
        </w:rPr>
        <w:t>5</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20%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40%</w:t>
      </w:r>
      <w:r>
        <w:rPr>
          <w:rFonts w:hint="eastAsia" w:ascii="宋体" w:hAnsi="宋体" w:eastAsia="宋体" w:cs="宋体"/>
          <w:color w:val="000000"/>
          <w:kern w:val="0"/>
          <w:sz w:val="24"/>
          <w:szCs w:val="24"/>
          <w:u w:val="single"/>
          <w:lang w:val="en-US" w:eastAsia="zh-CN" w:bidi="ar"/>
        </w:rPr>
        <w:t>。</w:t>
      </w:r>
    </w:p>
    <w:p w14:paraId="2344310E">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lang w:val="en-US" w:eastAsia="zh-CN" w:bidi="ar"/>
        </w:rPr>
        <w:t>UASB</w:t>
      </w:r>
      <w:r>
        <w:rPr>
          <w:rFonts w:hint="eastAsia" w:ascii="宋体" w:hAnsi="宋体" w:eastAsia="宋体" w:cs="宋体"/>
          <w:b/>
          <w:bCs/>
          <w:color w:val="000000"/>
          <w:kern w:val="0"/>
          <w:sz w:val="24"/>
          <w:szCs w:val="24"/>
          <w:lang w:val="en-US" w:eastAsia="zh-CN" w:bidi="ar"/>
        </w:rPr>
        <w:t>反应器：</w:t>
      </w:r>
      <w:r>
        <w:rPr>
          <w:rFonts w:hint="eastAsia" w:ascii="宋体" w:hAnsi="宋体" w:eastAsia="宋体" w:cs="宋体"/>
          <w:color w:val="000000"/>
          <w:kern w:val="0"/>
          <w:sz w:val="24"/>
          <w:szCs w:val="24"/>
          <w:lang w:val="en-US" w:eastAsia="zh-CN" w:bidi="ar"/>
        </w:rPr>
        <w:t>即升流式厌氧污泥床反应器。废水由水解酸化池泵入</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反应器，通过</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反应器底部的布水器以</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个</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使废水进入</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底部污泥床区，废水在上升过程中与池内厌氧污泥床中的厌氧污泥充分接触，厌氧微生物吸附有机污染物并将大分子有机物降解为小分子有机物，再进一步将小分子有机物转化成甲烷、二氧化炭，从而实现废水中有机物的去除。粘附着气泡的污泥在水力和气泡浮力的作用下继续上升到三相分离器的位置，通过三相分离器实现气、液、固三相的分离，沼气进入气体收集室，由管道送入沼气净化系统净化后在缓冲罐内暂存，最终送本项目生物质锅炉燃烧，分离后的颗粒污泥在重力作用下向下沉，与池底的进水接触，继续降解其中的有机物，厌氧污泥在降解有机物的同时自身繁殖增长，因此，</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厌氧池需要定期排泥，厌氧污泥排入固液分离机与其他污泥混合后一起在堆肥场好氧堆肥处理。</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反应器内设置在线</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计和温度计，以了解反应器内反应条件，同时预留营养盐投加系统。厌氧反应过程中，为进一步确保反应器适宜的酸碱度通过在</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进水管道上设置管道混合器，备用加药系统以绝对控制和维持反应器内适宜的反应条件，包括炭氮比，确保</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的高效运行。</w:t>
      </w:r>
      <w:r>
        <w:rPr>
          <w:rFonts w:hint="eastAsia" w:ascii="宋体" w:hAnsi="宋体" w:eastAsia="宋体" w:cs="宋体"/>
          <w:color w:val="000000"/>
          <w:kern w:val="0"/>
          <w:sz w:val="24"/>
          <w:szCs w:val="24"/>
          <w:u w:val="single"/>
          <w:lang w:val="en-US" w:eastAsia="zh-CN" w:bidi="ar"/>
        </w:rPr>
        <w:t>根据《升流式厌氧污泥床反应器污水处理工程技术规范》（</w:t>
      </w:r>
      <w:r>
        <w:rPr>
          <w:rFonts w:hint="default" w:ascii="Times New Roman" w:hAnsi="Times New Roman" w:eastAsia="宋体" w:cs="Times New Roman"/>
          <w:color w:val="000000"/>
          <w:kern w:val="0"/>
          <w:sz w:val="24"/>
          <w:szCs w:val="24"/>
          <w:u w:val="single"/>
          <w:lang w:val="en-US" w:eastAsia="zh-CN" w:bidi="ar"/>
        </w:rPr>
        <w:t>HJ2013-2012</w:t>
      </w:r>
      <w:r>
        <w:rPr>
          <w:rFonts w:hint="eastAsia" w:ascii="宋体" w:hAnsi="宋体" w:eastAsia="宋体" w:cs="宋体"/>
          <w:color w:val="000000"/>
          <w:kern w:val="0"/>
          <w:sz w:val="24"/>
          <w:szCs w:val="24"/>
          <w:u w:val="single"/>
          <w:lang w:val="en-US" w:eastAsia="zh-CN" w:bidi="ar"/>
        </w:rPr>
        <w:t>）表</w:t>
      </w:r>
      <w:r>
        <w:rPr>
          <w:rFonts w:hint="default" w:ascii="Times New Roman" w:hAnsi="Times New Roman" w:eastAsia="宋体" w:cs="Times New Roman"/>
          <w:color w:val="000000"/>
          <w:kern w:val="0"/>
          <w:sz w:val="24"/>
          <w:szCs w:val="24"/>
          <w:u w:val="single"/>
          <w:lang w:val="en-US" w:eastAsia="zh-CN" w:bidi="ar"/>
        </w:rPr>
        <w:t>1UASB</w:t>
      </w:r>
      <w:r>
        <w:rPr>
          <w:rFonts w:hint="eastAsia" w:ascii="宋体" w:hAnsi="宋体" w:eastAsia="宋体" w:cs="宋体"/>
          <w:color w:val="000000"/>
          <w:kern w:val="0"/>
          <w:sz w:val="24"/>
          <w:szCs w:val="24"/>
          <w:u w:val="single"/>
          <w:lang w:val="en-US" w:eastAsia="zh-CN" w:bidi="ar"/>
        </w:rPr>
        <w:t>反应器对污染物的去除率</w:t>
      </w:r>
      <w:r>
        <w:rPr>
          <w:rFonts w:hint="default" w:ascii="Times New Roman" w:hAnsi="Times New Roman" w:eastAsia="宋体" w:cs="Times New Roman"/>
          <w:color w:val="000000"/>
          <w:kern w:val="0"/>
          <w:sz w:val="24"/>
          <w:szCs w:val="24"/>
          <w:u w:val="single"/>
          <w:lang w:val="en-US" w:eastAsia="zh-CN" w:bidi="ar"/>
        </w:rPr>
        <w:t>COD</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80%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90%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BOD</w:t>
      </w:r>
      <w:r>
        <w:rPr>
          <w:rFonts w:hint="default" w:ascii="Times New Roman" w:hAnsi="Times New Roman" w:eastAsia="宋体" w:cs="Times New Roman"/>
          <w:color w:val="000000"/>
          <w:kern w:val="0"/>
          <w:sz w:val="15"/>
          <w:szCs w:val="15"/>
          <w:u w:val="single"/>
          <w:lang w:val="en-US" w:eastAsia="zh-CN" w:bidi="ar"/>
        </w:rPr>
        <w:t>5</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70%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80%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SS</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30%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50%</w:t>
      </w:r>
      <w:r>
        <w:rPr>
          <w:rFonts w:hint="eastAsia" w:ascii="Times New Roman" w:hAnsi="Times New Roman" w:eastAsia="宋体" w:cs="Times New Roman"/>
          <w:color w:val="000000"/>
          <w:kern w:val="0"/>
          <w:sz w:val="24"/>
          <w:szCs w:val="24"/>
          <w:u w:val="single"/>
          <w:lang w:val="en-US" w:eastAsia="zh-CN" w:bidi="ar"/>
        </w:rPr>
        <w:t>。</w:t>
      </w:r>
    </w:p>
    <w:p w14:paraId="6B2CFE56">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SBR</w:t>
      </w: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SBR</w:t>
      </w:r>
      <w:r>
        <w:rPr>
          <w:rFonts w:hint="eastAsia" w:ascii="宋体" w:hAnsi="宋体" w:eastAsia="宋体" w:cs="宋体"/>
          <w:color w:val="000000"/>
          <w:kern w:val="0"/>
          <w:sz w:val="24"/>
          <w:szCs w:val="24"/>
          <w:lang w:val="en-US" w:eastAsia="zh-CN" w:bidi="ar"/>
        </w:rPr>
        <w:t>是序批式活性污泥法的简称，是一种按间歇曝气方式来运行的活性污泥污水处理技术。它的主要特征是在运行上的有序和间歇操作，</w:t>
      </w:r>
      <w:r>
        <w:rPr>
          <w:rFonts w:hint="default" w:ascii="Times New Roman" w:hAnsi="Times New Roman" w:eastAsia="宋体" w:cs="Times New Roman"/>
          <w:color w:val="000000"/>
          <w:kern w:val="0"/>
          <w:sz w:val="24"/>
          <w:szCs w:val="24"/>
          <w:lang w:val="en-US" w:eastAsia="zh-CN" w:bidi="ar"/>
        </w:rPr>
        <w:t>SBR</w:t>
      </w:r>
      <w:r>
        <w:rPr>
          <w:rFonts w:hint="eastAsia" w:ascii="宋体" w:hAnsi="宋体" w:eastAsia="宋体" w:cs="宋体"/>
          <w:color w:val="000000"/>
          <w:kern w:val="0"/>
          <w:sz w:val="24"/>
          <w:szCs w:val="24"/>
          <w:lang w:val="en-US" w:eastAsia="zh-CN" w:bidi="ar"/>
        </w:rPr>
        <w:t>技术的核心是</w:t>
      </w:r>
      <w:r>
        <w:rPr>
          <w:rFonts w:hint="default" w:ascii="Times New Roman" w:hAnsi="Times New Roman" w:eastAsia="宋体" w:cs="Times New Roman"/>
          <w:color w:val="000000"/>
          <w:kern w:val="0"/>
          <w:sz w:val="24"/>
          <w:szCs w:val="24"/>
          <w:lang w:val="en-US" w:eastAsia="zh-CN" w:bidi="ar"/>
        </w:rPr>
        <w:t>SBR</w:t>
      </w:r>
      <w:r>
        <w:rPr>
          <w:rFonts w:hint="eastAsia" w:ascii="宋体" w:hAnsi="宋体" w:eastAsia="宋体" w:cs="宋体"/>
          <w:color w:val="000000"/>
          <w:kern w:val="0"/>
          <w:sz w:val="24"/>
          <w:szCs w:val="24"/>
          <w:lang w:val="en-US" w:eastAsia="zh-CN" w:bidi="ar"/>
        </w:rPr>
        <w:t>反应池，该池集均化、初沉、生物降解、二沉等功能于一池，无污泥回流系统。尤其适用于间歇排放和流量变化较大的场合。在大多数情况下（包括工业废水处理），无需设置调节池；</w:t>
      </w:r>
      <w:r>
        <w:rPr>
          <w:rFonts w:hint="default" w:ascii="Times New Roman" w:hAnsi="Times New Roman" w:eastAsia="宋体" w:cs="Times New Roman"/>
          <w:color w:val="000000"/>
          <w:kern w:val="0"/>
          <w:sz w:val="24"/>
          <w:szCs w:val="24"/>
          <w:lang w:val="en-US" w:eastAsia="zh-CN" w:bidi="ar"/>
        </w:rPr>
        <w:t>SVI</w:t>
      </w:r>
      <w:r>
        <w:rPr>
          <w:rFonts w:hint="eastAsia" w:ascii="宋体" w:hAnsi="宋体" w:eastAsia="宋体" w:cs="宋体"/>
          <w:color w:val="000000"/>
          <w:kern w:val="0"/>
          <w:sz w:val="24"/>
          <w:szCs w:val="24"/>
          <w:lang w:val="en-US" w:eastAsia="zh-CN" w:bidi="ar"/>
        </w:rPr>
        <w:t>值较低，污泥易于沉淀，一般情况下，不产生污泥膨胀现象；通过对运行方式的调节，在单一的曝气池内能够进行脱氮和除磷反应；应用电动阀、液位计、自动计时器及可编程序控制器等自控仪表，可能使本工艺过程实现全部自动化，而由中心控制室控制；运行管理得当，处理水水质优于连续式；加深池深时，与同样的</w:t>
      </w:r>
      <w:r>
        <w:rPr>
          <w:rFonts w:hint="default" w:ascii="Times New Roman" w:hAnsi="Times New Roman" w:eastAsia="宋体" w:cs="Times New Roman"/>
          <w:color w:val="000000"/>
          <w:kern w:val="0"/>
          <w:sz w:val="24"/>
          <w:szCs w:val="24"/>
          <w:lang w:val="en-US" w:eastAsia="zh-CN" w:bidi="ar"/>
        </w:rPr>
        <w:t>BOD-SS</w:t>
      </w:r>
      <w:r>
        <w:rPr>
          <w:rFonts w:hint="eastAsia" w:ascii="宋体" w:hAnsi="宋体" w:eastAsia="宋体" w:cs="宋体"/>
          <w:color w:val="000000"/>
          <w:kern w:val="0"/>
          <w:sz w:val="24"/>
          <w:szCs w:val="24"/>
          <w:lang w:val="en-US" w:eastAsia="zh-CN" w:bidi="ar"/>
        </w:rPr>
        <w:t>负荷的其它方式相比较，占地面积较小；耐冲击负荷，处理有毒或高浓度有机废水的能力强。</w:t>
      </w:r>
      <w:r>
        <w:rPr>
          <w:rFonts w:hint="eastAsia" w:ascii="宋体" w:hAnsi="宋体" w:eastAsia="宋体" w:cs="宋体"/>
          <w:color w:val="000000"/>
          <w:kern w:val="0"/>
          <w:sz w:val="24"/>
          <w:szCs w:val="24"/>
          <w:u w:val="single"/>
          <w:lang w:val="en-US" w:eastAsia="zh-CN" w:bidi="ar"/>
        </w:rPr>
        <w:t>参照《序批式活性污泥法污水处理工程技术规范》（</w:t>
      </w:r>
      <w:r>
        <w:rPr>
          <w:rFonts w:hint="default" w:ascii="Times New Roman" w:hAnsi="Times New Roman" w:eastAsia="宋体" w:cs="Times New Roman"/>
          <w:color w:val="000000"/>
          <w:kern w:val="0"/>
          <w:sz w:val="24"/>
          <w:szCs w:val="24"/>
          <w:u w:val="single"/>
          <w:lang w:val="en-US" w:eastAsia="zh-CN" w:bidi="ar"/>
        </w:rPr>
        <w:t>HJ577-2010</w:t>
      </w:r>
      <w:r>
        <w:rPr>
          <w:rFonts w:hint="eastAsia" w:ascii="宋体" w:hAnsi="宋体" w:eastAsia="宋体" w:cs="宋体"/>
          <w:color w:val="000000"/>
          <w:kern w:val="0"/>
          <w:sz w:val="24"/>
          <w:szCs w:val="24"/>
          <w:u w:val="single"/>
          <w:lang w:val="en-US" w:eastAsia="zh-CN" w:bidi="ar"/>
        </w:rPr>
        <w:t>）表</w:t>
      </w:r>
      <w:r>
        <w:rPr>
          <w:rFonts w:hint="default" w:ascii="Times New Roman" w:hAnsi="Times New Roman" w:eastAsia="宋体" w:cs="Times New Roman"/>
          <w:color w:val="000000"/>
          <w:kern w:val="0"/>
          <w:sz w:val="24"/>
          <w:szCs w:val="24"/>
          <w:u w:val="single"/>
          <w:lang w:val="en-US" w:eastAsia="zh-CN" w:bidi="ar"/>
        </w:rPr>
        <w:t>2SBR</w:t>
      </w:r>
      <w:r>
        <w:rPr>
          <w:rFonts w:hint="eastAsia" w:ascii="宋体" w:hAnsi="宋体" w:eastAsia="宋体" w:cs="宋体"/>
          <w:color w:val="000000"/>
          <w:kern w:val="0"/>
          <w:sz w:val="24"/>
          <w:szCs w:val="24"/>
          <w:u w:val="single"/>
          <w:lang w:val="en-US" w:eastAsia="zh-CN" w:bidi="ar"/>
        </w:rPr>
        <w:t>污水处理工艺的污染物去除率设计值</w:t>
      </w:r>
      <w:r>
        <w:rPr>
          <w:rFonts w:hint="default" w:ascii="Times New Roman" w:hAnsi="Times New Roman" w:eastAsia="宋体" w:cs="Times New Roman"/>
          <w:color w:val="000000"/>
          <w:kern w:val="0"/>
          <w:sz w:val="24"/>
          <w:szCs w:val="24"/>
          <w:u w:val="single"/>
          <w:lang w:val="en-US" w:eastAsia="zh-CN" w:bidi="ar"/>
        </w:rPr>
        <w:t>SS</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70%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90%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BOD</w:t>
      </w:r>
      <w:r>
        <w:rPr>
          <w:rFonts w:hint="eastAsia" w:ascii="Times New Roman" w:hAnsi="Times New Roman" w:eastAsia="宋体" w:cs="Times New Roman"/>
          <w:color w:val="000000"/>
          <w:kern w:val="0"/>
          <w:sz w:val="24"/>
          <w:szCs w:val="24"/>
          <w:u w:val="single"/>
          <w:vertAlign w:val="subscript"/>
          <w:lang w:val="en-US" w:eastAsia="zh-CN" w:bidi="ar"/>
        </w:rPr>
        <w:t>5</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70%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90%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COD</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70%</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90%</w:t>
      </w:r>
      <w:r>
        <w:rPr>
          <w:rFonts w:hint="eastAsia" w:ascii="宋体" w:hAnsi="宋体" w:eastAsia="宋体" w:cs="宋体"/>
          <w:color w:val="000000"/>
          <w:kern w:val="0"/>
          <w:sz w:val="24"/>
          <w:szCs w:val="24"/>
          <w:u w:val="single"/>
          <w:lang w:val="en-US" w:eastAsia="zh-CN" w:bidi="ar"/>
        </w:rPr>
        <w:t>，氨氮：</w:t>
      </w:r>
      <w:r>
        <w:rPr>
          <w:rFonts w:hint="default" w:ascii="Times New Roman" w:hAnsi="Times New Roman" w:eastAsia="宋体" w:cs="Times New Roman"/>
          <w:color w:val="000000"/>
          <w:kern w:val="0"/>
          <w:sz w:val="24"/>
          <w:szCs w:val="24"/>
          <w:u w:val="single"/>
          <w:lang w:val="en-US" w:eastAsia="zh-CN" w:bidi="ar"/>
        </w:rPr>
        <w:t>85%</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95%</w:t>
      </w:r>
      <w:r>
        <w:rPr>
          <w:rFonts w:hint="eastAsia" w:ascii="宋体" w:hAnsi="宋体" w:eastAsia="宋体" w:cs="宋体"/>
          <w:color w:val="000000"/>
          <w:kern w:val="0"/>
          <w:sz w:val="24"/>
          <w:szCs w:val="24"/>
          <w:u w:val="single"/>
          <w:lang w:val="en-US" w:eastAsia="zh-CN" w:bidi="ar"/>
        </w:rPr>
        <w:t>。</w:t>
      </w:r>
    </w:p>
    <w:p w14:paraId="76E191F2">
      <w:pPr>
        <w:keepNext w:val="0"/>
        <w:keepLines w:val="0"/>
        <w:widowControl/>
        <w:suppressLineNumbers w:val="0"/>
        <w:jc w:val="left"/>
        <w:rPr>
          <w:rFonts w:hint="default" w:eastAsia="宋体"/>
          <w:lang w:val="en-US" w:eastAsia="zh-CN"/>
        </w:rPr>
      </w:pPr>
      <w:r>
        <w:rPr>
          <w:rFonts w:hint="eastAsia"/>
          <w:b/>
          <w:bCs/>
          <w:lang w:val="en-US" w:eastAsia="zh-CN"/>
        </w:rPr>
        <w:t>好氧塘储存：</w:t>
      </w:r>
      <w:r>
        <w:rPr>
          <w:rFonts w:hint="eastAsia"/>
          <w:lang w:val="en-US" w:eastAsia="zh-CN"/>
        </w:rPr>
        <w:t>经过上述污水处理工艺处理后的废水，通过管道输送至好氧塘内暂存，委托129团农业发展中心定期清运。</w:t>
      </w:r>
    </w:p>
    <w:p w14:paraId="3B9E3850">
      <w:pPr>
        <w:keepNext w:val="0"/>
        <w:keepLines w:val="0"/>
        <w:widowControl/>
        <w:suppressLineNumbers w:val="0"/>
        <w:jc w:val="left"/>
      </w:pPr>
      <w:r>
        <w:rPr>
          <w:rFonts w:hint="eastAsia"/>
          <w:b/>
          <w:bCs/>
          <w:lang w:val="en-US" w:eastAsia="zh-CN"/>
        </w:rPr>
        <w:t>本项目的养殖废水、生活污水等排放量为260.58m</w:t>
      </w:r>
      <w:r>
        <w:rPr>
          <w:rFonts w:hint="eastAsia"/>
          <w:b/>
          <w:bCs/>
          <w:vertAlign w:val="superscript"/>
          <w:lang w:val="en-US" w:eastAsia="zh-CN"/>
        </w:rPr>
        <w:t>3</w:t>
      </w:r>
      <w:r>
        <w:rPr>
          <w:rFonts w:hint="eastAsia"/>
          <w:b/>
          <w:bCs/>
          <w:lang w:val="en-US" w:eastAsia="zh-CN"/>
        </w:rPr>
        <w:t>/d，</w:t>
      </w:r>
      <w:r>
        <w:rPr>
          <w:rFonts w:hint="eastAsia" w:ascii="宋体" w:hAnsi="宋体" w:eastAsia="宋体" w:cs="宋体"/>
          <w:b/>
          <w:bCs/>
          <w:color w:val="000000"/>
          <w:kern w:val="0"/>
          <w:sz w:val="24"/>
          <w:szCs w:val="24"/>
          <w:lang w:val="en-US" w:eastAsia="zh-CN" w:bidi="ar"/>
        </w:rPr>
        <w:t>评价建议自建污水处理站日处理能力为</w:t>
      </w: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00</w:t>
      </w:r>
      <w:r>
        <w:rPr>
          <w:rFonts w:hint="eastAsia" w:ascii="Times New Roman" w:hAnsi="Times New Roman" w:eastAsia="宋体" w:cs="Times New Roman"/>
          <w:b/>
          <w:bCs/>
          <w:color w:val="000000"/>
          <w:kern w:val="0"/>
          <w:sz w:val="24"/>
          <w:szCs w:val="24"/>
          <w:lang w:val="en-US" w:eastAsia="zh-CN" w:bidi="ar"/>
        </w:rPr>
        <w:t>m</w:t>
      </w:r>
      <w:r>
        <w:rPr>
          <w:rFonts w:hint="eastAsia" w:ascii="Times New Roman" w:hAnsi="Times New Roman" w:eastAsia="宋体" w:cs="Times New Roman"/>
          <w:b/>
          <w:bCs/>
          <w:color w:val="000000"/>
          <w:kern w:val="0"/>
          <w:sz w:val="24"/>
          <w:szCs w:val="24"/>
          <w:vertAlign w:val="superscript"/>
          <w:lang w:val="en-US" w:eastAsia="zh-CN" w:bidi="ar"/>
        </w:rPr>
        <w:t>3</w:t>
      </w:r>
      <w:r>
        <w:rPr>
          <w:rFonts w:hint="eastAsia" w:ascii="Times New Roman" w:hAnsi="Times New Roman" w:eastAsia="宋体" w:cs="Times New Roman"/>
          <w:b/>
          <w:bCs/>
          <w:color w:val="000000"/>
          <w:kern w:val="0"/>
          <w:sz w:val="24"/>
          <w:szCs w:val="24"/>
          <w:vertAlign w:val="baseline"/>
          <w:lang w:val="en-US" w:eastAsia="zh-CN" w:bidi="ar"/>
        </w:rPr>
        <w:t>/d</w:t>
      </w:r>
      <w:r>
        <w:rPr>
          <w:rFonts w:hint="eastAsia" w:ascii="宋体" w:hAnsi="宋体" w:eastAsia="宋体" w:cs="宋体"/>
          <w:b/>
          <w:bCs/>
          <w:color w:val="000000"/>
          <w:kern w:val="0"/>
          <w:sz w:val="24"/>
          <w:szCs w:val="24"/>
          <w:lang w:val="en-US" w:eastAsia="zh-CN" w:bidi="ar"/>
        </w:rPr>
        <w:t>。</w:t>
      </w:r>
    </w:p>
    <w:p w14:paraId="39CD9DF0">
      <w:pPr>
        <w:pStyle w:val="28"/>
        <w:bidi w:val="0"/>
        <w:rPr>
          <w:rFonts w:hint="default"/>
          <w:lang w:val="en-US" w:eastAsia="zh-CN"/>
        </w:rPr>
      </w:pPr>
      <w:r>
        <w:rPr>
          <w:rFonts w:hint="eastAsia"/>
          <w:lang w:val="en-US" w:eastAsia="zh-CN"/>
        </w:rPr>
        <w:t>沼气利用工艺</w:t>
      </w:r>
    </w:p>
    <w:p w14:paraId="25EC478B">
      <w:pPr>
        <w:keepNext w:val="0"/>
        <w:keepLines w:val="0"/>
        <w:widowControl/>
        <w:suppressLineNumbers w:val="0"/>
        <w:jc w:val="left"/>
      </w:pPr>
      <w:r>
        <w:rPr>
          <w:rFonts w:hint="eastAsia"/>
          <w:lang w:val="en-US" w:eastAsia="zh-CN"/>
        </w:rPr>
        <w:t>根据《畜禽养殖业污染治理工程技术规范》（HJ497-2009）中的“7.2.4.1厌氧处理产生的沼气须完全利用，不得直接向环境排放。经净化处理后通过输配气系统可用于居民生活用气、锅炉燃烧、沼气发电等。”要求，本项目对UASB</w:t>
      </w:r>
      <w:r>
        <w:rPr>
          <w:rFonts w:hint="eastAsia" w:ascii="宋体" w:hAnsi="宋体" w:eastAsia="宋体" w:cs="宋体"/>
          <w:color w:val="000000"/>
          <w:kern w:val="0"/>
          <w:sz w:val="24"/>
          <w:szCs w:val="24"/>
          <w:lang w:val="en-US" w:eastAsia="zh-CN" w:bidi="ar"/>
        </w:rPr>
        <w:t>厌氧发酵产生的沼气进行收集、脱水、脱硫等净化处理，处理后的沼气作为本项目生物质锅炉的燃料直接利用。</w:t>
      </w:r>
    </w:p>
    <w:p w14:paraId="5FB46190">
      <w:pPr>
        <w:keepNext w:val="0"/>
        <w:keepLines w:val="0"/>
        <w:widowControl/>
        <w:suppressLineNumbers w:val="0"/>
        <w:jc w:val="left"/>
      </w:pPr>
      <w:r>
        <w:rPr>
          <w:rFonts w:hint="eastAsia" w:ascii="宋体" w:hAnsi="宋体" w:eastAsia="宋体" w:cs="宋体"/>
          <w:color w:val="000000"/>
          <w:kern w:val="0"/>
          <w:sz w:val="24"/>
          <w:szCs w:val="24"/>
          <w:lang w:val="en-US" w:eastAsia="zh-CN" w:bidi="ar"/>
        </w:rPr>
        <w:t>沼气净化工艺如图</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w:t>
      </w:r>
    </w:p>
    <w:p w14:paraId="6BD3A4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ascii="宋体" w:hAnsi="宋体" w:eastAsia="宋体" w:cs="宋体"/>
          <w:kern w:val="0"/>
          <w:sz w:val="24"/>
          <w:szCs w:val="24"/>
          <w:lang w:val="en-US" w:eastAsia="zh-CN" w:bidi="ar"/>
        </w:rPr>
        <w:drawing>
          <wp:inline distT="0" distB="0" distL="114300" distR="114300">
            <wp:extent cx="4438650" cy="1590675"/>
            <wp:effectExtent l="0" t="0" r="0" b="0"/>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19"/>
                    <a:stretch>
                      <a:fillRect/>
                    </a:stretch>
                  </pic:blipFill>
                  <pic:spPr>
                    <a:xfrm>
                      <a:off x="0" y="0"/>
                      <a:ext cx="4438650" cy="1590675"/>
                    </a:xfrm>
                    <a:prstGeom prst="rect">
                      <a:avLst/>
                    </a:prstGeom>
                    <a:noFill/>
                    <a:ln w="9525">
                      <a:noFill/>
                    </a:ln>
                  </pic:spPr>
                </pic:pic>
              </a:graphicData>
            </a:graphic>
          </wp:inline>
        </w:drawing>
      </w:r>
    </w:p>
    <w:p w14:paraId="238525BC">
      <w:pPr>
        <w:pStyle w:val="31"/>
        <w:bidi w:val="0"/>
        <w:rPr>
          <w:rFonts w:hint="eastAsia"/>
          <w:lang w:val="en-US" w:eastAsia="zh-CN"/>
        </w:rPr>
      </w:pPr>
      <w:r>
        <w:rPr>
          <w:rFonts w:hint="eastAsia"/>
          <w:lang w:val="en-US" w:eastAsia="zh-CN"/>
        </w:rPr>
        <w:t>图3.2-6   沼气利用流程图及产污环节图</w:t>
      </w:r>
    </w:p>
    <w:p w14:paraId="0B125516">
      <w:pPr>
        <w:keepNext w:val="0"/>
        <w:keepLines w:val="0"/>
        <w:widowControl/>
        <w:suppressLineNumbers w:val="0"/>
        <w:jc w:val="left"/>
      </w:pPr>
      <w:r>
        <w:rPr>
          <w:rFonts w:hint="eastAsia" w:ascii="宋体" w:hAnsi="宋体" w:eastAsia="宋体" w:cs="宋体"/>
          <w:color w:val="000000"/>
          <w:kern w:val="0"/>
          <w:sz w:val="24"/>
          <w:szCs w:val="24"/>
          <w:lang w:val="en-US" w:eastAsia="zh-CN" w:bidi="ar"/>
        </w:rPr>
        <w:t>沼气从</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反应器顶部三相分离装置流入管道，首先经过脱水器和脱硫装置，其目的是净化沼气。净化后的沼气从缓冲罐进入后续生物质锅炉利用。</w:t>
      </w:r>
    </w:p>
    <w:p w14:paraId="00DADCD7">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脱水器（气水分离器）：</w:t>
      </w:r>
      <w:r>
        <w:rPr>
          <w:rFonts w:hint="eastAsia" w:ascii="宋体" w:hAnsi="宋体" w:eastAsia="宋体" w:cs="宋体"/>
          <w:color w:val="000000"/>
          <w:kern w:val="0"/>
          <w:sz w:val="24"/>
          <w:szCs w:val="24"/>
          <w:lang w:val="en-US" w:eastAsia="zh-CN" w:bidi="ar"/>
        </w:rPr>
        <w:t>沼气是高湿度的混合气。沼气自</w:t>
      </w:r>
      <w:r>
        <w:rPr>
          <w:rFonts w:hint="default" w:ascii="Times New Roman" w:hAnsi="Times New Roman" w:eastAsia="宋体" w:cs="Times New Roman"/>
          <w:color w:val="000000"/>
          <w:kern w:val="0"/>
          <w:sz w:val="24"/>
          <w:szCs w:val="24"/>
          <w:lang w:val="en-US" w:eastAsia="zh-CN" w:bidi="ar"/>
        </w:rPr>
        <w:t>UASB</w:t>
      </w:r>
      <w:r>
        <w:rPr>
          <w:rFonts w:hint="eastAsia" w:ascii="宋体" w:hAnsi="宋体" w:eastAsia="宋体" w:cs="宋体"/>
          <w:color w:val="000000"/>
          <w:kern w:val="0"/>
          <w:sz w:val="24"/>
          <w:szCs w:val="24"/>
          <w:lang w:val="en-US" w:eastAsia="zh-CN" w:bidi="ar"/>
        </w:rPr>
        <w:t>反应器进入管道时，温度逐渐降低，管道中会产生大量含杂质的冷凝水。如果不从系统中除去，容易堵塞、破坏管道设备。</w:t>
      </w:r>
    </w:p>
    <w:p w14:paraId="323B0EE5">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脱硫（硫化氢的去除）：</w:t>
      </w:r>
      <w:r>
        <w:rPr>
          <w:rFonts w:hint="eastAsia" w:ascii="宋体" w:hAnsi="宋体" w:eastAsia="宋体" w:cs="宋体"/>
          <w:color w:val="000000"/>
          <w:kern w:val="0"/>
          <w:sz w:val="24"/>
          <w:szCs w:val="24"/>
          <w:lang w:val="en-US" w:eastAsia="zh-CN" w:bidi="ar"/>
        </w:rPr>
        <w:t>沼气中含有一定量的</w:t>
      </w:r>
      <w:r>
        <w:rPr>
          <w:rFonts w:hint="default" w:ascii="Times New Roman" w:hAnsi="Times New Roman" w:eastAsia="宋体" w:cs="Times New Roman"/>
          <w:color w:val="000000"/>
          <w:kern w:val="0"/>
          <w:sz w:val="24"/>
          <w:szCs w:val="24"/>
          <w:lang w:val="en-US" w:eastAsia="zh-CN" w:bidi="ar"/>
        </w:rPr>
        <w:t>H</w:t>
      </w:r>
      <w:r>
        <w:rPr>
          <w:rFonts w:hint="eastAsia"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需要进行脱硫处理，以防止对缓冲罐以及沼气输送管道产生腐蚀影响。项目采用干法脱硫对沼气中硫化氢进行去除，脱硫装置内放入专用脱硫剂。脱硫装置原理为在一个容器内放入填料，填料层有氧化铁等，沼气以低流速从一端经过容器内填料层，</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氧化成硫或硫化物后，余留在填料层中，净化后的气体从容器另一端排出。此过程会产生废脱硫剂。</w:t>
      </w:r>
    </w:p>
    <w:p w14:paraId="28202257">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eastAsia" w:ascii="宋体" w:hAnsi="宋体" w:eastAsia="宋体" w:cs="宋体"/>
          <w:color w:val="000000"/>
          <w:kern w:val="0"/>
          <w:sz w:val="24"/>
          <w:szCs w:val="24"/>
          <w:lang w:val="en-US" w:eastAsia="zh-CN" w:bidi="ar"/>
        </w:rPr>
        <w:t>脱硫剂为条状多孔结构固体，对</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能进行快速不可逆化学吸附，当沼气经过时，经过如下反应，达到脱硫（</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）目的：</w:t>
      </w:r>
    </w:p>
    <w:p w14:paraId="53E8B3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pPr>
      <w:r>
        <w:rPr>
          <w:rFonts w:hint="default" w:ascii="Times New Roman" w:hAnsi="Times New Roman" w:eastAsia="宋体" w:cs="Times New Roman"/>
          <w:color w:val="000000"/>
          <w:kern w:val="0"/>
          <w:sz w:val="24"/>
          <w:szCs w:val="24"/>
          <w:lang w:val="en-US" w:eastAsia="zh-CN" w:bidi="ar"/>
        </w:rPr>
        <w:t>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O+3H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O+3H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eastAsia" w:ascii="宋体" w:hAnsi="宋体" w:eastAsia="宋体" w:cs="宋体"/>
          <w:color w:val="000000"/>
          <w:kern w:val="0"/>
          <w:sz w:val="24"/>
          <w:szCs w:val="24"/>
          <w:lang w:val="en-US" w:eastAsia="zh-CN" w:bidi="ar"/>
        </w:rPr>
        <w:t>；</w:t>
      </w:r>
    </w:p>
    <w:p w14:paraId="5EA2C2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pPr>
      <w:r>
        <w:rPr>
          <w:rFonts w:hint="default" w:ascii="Times New Roman" w:hAnsi="Times New Roman" w:eastAsia="宋体" w:cs="Times New Roman"/>
          <w:color w:val="000000"/>
          <w:kern w:val="0"/>
          <w:sz w:val="24"/>
          <w:szCs w:val="24"/>
          <w:lang w:val="en-US" w:eastAsia="zh-CN" w:bidi="ar"/>
        </w:rPr>
        <w:t>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O+3H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S→2FeS+S+4H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eastAsia" w:ascii="宋体" w:hAnsi="宋体" w:eastAsia="宋体" w:cs="宋体"/>
          <w:color w:val="000000"/>
          <w:kern w:val="0"/>
          <w:sz w:val="24"/>
          <w:szCs w:val="24"/>
          <w:lang w:val="en-US" w:eastAsia="zh-CN" w:bidi="ar"/>
        </w:rPr>
        <w:t>。</w:t>
      </w:r>
    </w:p>
    <w:p w14:paraId="018E2484">
      <w:pPr>
        <w:keepNext w:val="0"/>
        <w:keepLines w:val="0"/>
        <w:widowControl/>
        <w:suppressLineNumbers w:val="0"/>
        <w:jc w:val="both"/>
      </w:pPr>
      <w:r>
        <w:rPr>
          <w:rFonts w:hint="eastAsia" w:ascii="宋体" w:hAnsi="宋体" w:eastAsia="宋体" w:cs="宋体"/>
          <w:b/>
          <w:bCs/>
          <w:color w:val="000000"/>
          <w:kern w:val="0"/>
          <w:sz w:val="24"/>
          <w:szCs w:val="24"/>
          <w:lang w:val="en-US" w:eastAsia="zh-CN" w:bidi="ar"/>
        </w:rPr>
        <w:t>脱硫剂再生或更换：</w:t>
      </w:r>
      <w:r>
        <w:rPr>
          <w:rFonts w:hint="eastAsia" w:ascii="宋体" w:hAnsi="宋体" w:eastAsia="宋体" w:cs="宋体"/>
          <w:color w:val="000000"/>
          <w:kern w:val="0"/>
          <w:sz w:val="24"/>
          <w:szCs w:val="24"/>
          <w:lang w:val="en-US" w:eastAsia="zh-CN" w:bidi="ar"/>
        </w:rPr>
        <w:t>脱硫剂工作一定时间后，其活性会逐渐下降，脱硫效果逐渐变差。当脱硫装置出口沼气中</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含量超过</w:t>
      </w:r>
      <w:r>
        <w:rPr>
          <w:rFonts w:hint="default" w:ascii="Times New Roman" w:hAnsi="Times New Roman" w:eastAsia="宋体" w:cs="Times New Roman"/>
          <w:color w:val="000000"/>
          <w:kern w:val="0"/>
          <w:sz w:val="24"/>
          <w:szCs w:val="24"/>
          <w:lang w:val="en-US" w:eastAsia="zh-CN" w:bidi="ar"/>
        </w:rPr>
        <w:t>20mg/m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时，就需要对脱硫剂进行处理。当脱硫剂中硫未达到</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时，脱硫剂可进行再生；若脱硫剂硫容超过</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时，就要更新脱硫剂。</w:t>
      </w:r>
    </w:p>
    <w:p w14:paraId="50B7345E">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脱硫剂再生原理：</w:t>
      </w:r>
      <w:r>
        <w:rPr>
          <w:rFonts w:hint="eastAsia" w:ascii="宋体" w:hAnsi="宋体" w:eastAsia="宋体" w:cs="宋体"/>
          <w:color w:val="000000"/>
          <w:kern w:val="0"/>
          <w:sz w:val="24"/>
          <w:szCs w:val="24"/>
          <w:lang w:val="en-US" w:eastAsia="zh-CN" w:bidi="ar"/>
        </w:rPr>
        <w:t>脱硫剂再生原理是使硫化铁（或硫化亚铁）与</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接触（向脱硫装置内通</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或把需再生的脱硫剂放在大气中），经反应生成单体</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和</w:t>
      </w:r>
      <w:r>
        <w:rPr>
          <w:rFonts w:hint="default" w:ascii="Times New Roman" w:hAnsi="Times New Roman" w:eastAsia="宋体" w:cs="Times New Roman"/>
          <w:color w:val="000000"/>
          <w:kern w:val="0"/>
          <w:sz w:val="24"/>
          <w:szCs w:val="24"/>
          <w:lang w:val="en-US" w:eastAsia="zh-CN" w:bidi="ar"/>
        </w:rPr>
        <w:t>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eastAsia" w:ascii="宋体" w:hAnsi="宋体" w:eastAsia="宋体" w:cs="宋体"/>
          <w:color w:val="000000"/>
          <w:kern w:val="0"/>
          <w:sz w:val="24"/>
          <w:szCs w:val="24"/>
          <w:lang w:val="en-US" w:eastAsia="zh-CN" w:bidi="ar"/>
        </w:rPr>
        <w:t>，再生的</w:t>
      </w:r>
      <w:r>
        <w:rPr>
          <w:rFonts w:hint="default" w:ascii="Times New Roman" w:hAnsi="Times New Roman" w:eastAsia="宋体" w:cs="Times New Roman"/>
          <w:color w:val="000000"/>
          <w:kern w:val="0"/>
          <w:sz w:val="24"/>
          <w:szCs w:val="24"/>
          <w:lang w:val="en-US" w:eastAsia="zh-CN" w:bidi="ar"/>
        </w:rPr>
        <w:t>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eastAsia" w:ascii="宋体" w:hAnsi="宋体" w:eastAsia="宋体" w:cs="宋体"/>
          <w:color w:val="000000"/>
          <w:kern w:val="0"/>
          <w:sz w:val="24"/>
          <w:szCs w:val="24"/>
          <w:lang w:val="en-US" w:eastAsia="zh-CN" w:bidi="ar"/>
        </w:rPr>
        <w:t>可继续使用，再生反应式如下：</w:t>
      </w:r>
    </w:p>
    <w:p w14:paraId="7FEE7D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pPr>
      <w:r>
        <w:rPr>
          <w:rFonts w:hint="default" w:ascii="Times New Roman" w:hAnsi="Times New Roman" w:eastAsia="宋体" w:cs="Times New Roman"/>
          <w:color w:val="000000"/>
          <w:kern w:val="0"/>
          <w:sz w:val="24"/>
          <w:szCs w:val="24"/>
          <w:lang w:val="en-US" w:eastAsia="zh-CN" w:bidi="ar"/>
        </w:rPr>
        <w:t>2Fe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O+3O</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→2Fe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O+6S</w:t>
      </w:r>
    </w:p>
    <w:p w14:paraId="439DC9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pPr>
      <w:r>
        <w:rPr>
          <w:rFonts w:hint="default" w:ascii="Times New Roman" w:hAnsi="Times New Roman" w:eastAsia="宋体" w:cs="Times New Roman"/>
          <w:color w:val="000000"/>
          <w:kern w:val="0"/>
          <w:sz w:val="24"/>
          <w:szCs w:val="24"/>
          <w:lang w:val="en-US" w:eastAsia="zh-CN" w:bidi="ar"/>
        </w:rPr>
        <w:t>4FeS+3O</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→2Fe</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 xml:space="preserve">3 </w:t>
      </w:r>
      <w:r>
        <w:rPr>
          <w:rFonts w:hint="default" w:ascii="Times New Roman" w:hAnsi="Times New Roman" w:eastAsia="宋体" w:cs="Times New Roman"/>
          <w:color w:val="000000"/>
          <w:kern w:val="0"/>
          <w:sz w:val="24"/>
          <w:szCs w:val="24"/>
          <w:lang w:val="en-US" w:eastAsia="zh-CN" w:bidi="ar"/>
        </w:rPr>
        <w:t>+4S</w:t>
      </w:r>
    </w:p>
    <w:p w14:paraId="102A3FA5">
      <w:pPr>
        <w:keepNext w:val="0"/>
        <w:keepLines w:val="0"/>
        <w:widowControl/>
        <w:suppressLineNumbers w:val="0"/>
        <w:jc w:val="both"/>
      </w:pPr>
      <w:r>
        <w:rPr>
          <w:rFonts w:hint="eastAsia" w:ascii="宋体" w:hAnsi="宋体" w:eastAsia="宋体" w:cs="宋体"/>
          <w:color w:val="000000"/>
          <w:kern w:val="0"/>
          <w:sz w:val="24"/>
          <w:szCs w:val="24"/>
          <w:lang w:val="en-US" w:eastAsia="zh-CN" w:bidi="ar"/>
        </w:rPr>
        <w:t>脱硫剂的再生反应可进行多次，直到脱硫剂微孔大部分被硫堵塞而失活为止。如在脱硫装置内进行再生，必须严格控制再生条件：压力必须为常压；床层温度必须控制在</w:t>
      </w:r>
      <w:r>
        <w:rPr>
          <w:rFonts w:hint="default" w:ascii="Times New Roman" w:hAnsi="Times New Roman" w:eastAsia="宋体" w:cs="Times New Roman"/>
          <w:color w:val="000000"/>
          <w:kern w:val="0"/>
          <w:sz w:val="24"/>
          <w:szCs w:val="24"/>
          <w:lang w:val="en-US" w:eastAsia="zh-CN" w:bidi="ar"/>
        </w:rPr>
        <w:t>30</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60℃</w:t>
      </w:r>
      <w:r>
        <w:rPr>
          <w:rFonts w:hint="eastAsia" w:ascii="宋体" w:hAnsi="宋体" w:eastAsia="宋体" w:cs="宋体"/>
          <w:color w:val="000000"/>
          <w:kern w:val="0"/>
          <w:sz w:val="24"/>
          <w:szCs w:val="24"/>
          <w:lang w:val="en-US" w:eastAsia="zh-CN" w:bidi="ar"/>
        </w:rPr>
        <w:t>。严格控制超温，否则会引起单质</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升华和自燃；水分含量必须控制在使用条件下的</w:t>
      </w:r>
      <w:r>
        <w:rPr>
          <w:rFonts w:hint="default" w:ascii="Times New Roman" w:hAnsi="Times New Roman" w:eastAsia="宋体" w:cs="Times New Roman"/>
          <w:color w:val="000000"/>
          <w:kern w:val="0"/>
          <w:sz w:val="24"/>
          <w:szCs w:val="24"/>
          <w:lang w:val="en-US" w:eastAsia="zh-CN" w:bidi="ar"/>
        </w:rPr>
        <w:t>35%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值则必须控制在</w:t>
      </w:r>
      <w:r>
        <w:rPr>
          <w:rFonts w:hint="default" w:ascii="Times New Roman" w:hAnsi="Times New Roman" w:eastAsia="宋体" w:cs="Times New Roman"/>
          <w:color w:val="000000"/>
          <w:kern w:val="0"/>
          <w:sz w:val="24"/>
          <w:szCs w:val="24"/>
          <w:lang w:val="en-US" w:eastAsia="zh-CN" w:bidi="ar"/>
        </w:rPr>
        <w:t>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的范围内。</w:t>
      </w:r>
    </w:p>
    <w:p w14:paraId="594E532F">
      <w:pPr>
        <w:keepNext w:val="0"/>
        <w:keepLines w:val="0"/>
        <w:widowControl/>
        <w:suppressLineNumbers w:val="0"/>
        <w:jc w:val="both"/>
      </w:pPr>
      <w:r>
        <w:rPr>
          <w:rFonts w:hint="eastAsia" w:ascii="宋体" w:hAnsi="宋体" w:eastAsia="宋体" w:cs="宋体"/>
          <w:color w:val="000000"/>
          <w:kern w:val="0"/>
          <w:sz w:val="24"/>
          <w:szCs w:val="24"/>
          <w:lang w:val="en-US" w:eastAsia="zh-CN" w:bidi="ar"/>
        </w:rPr>
        <w:t>沼气使用氧化铁脱硫效果好，去除效率高，根据建设单位提供的资料可知，经过氧化铁脱硫装置后，</w:t>
      </w:r>
      <w:r>
        <w:rPr>
          <w:rFonts w:hint="eastAsia" w:ascii="宋体" w:hAnsi="宋体" w:eastAsia="宋体" w:cs="宋体"/>
          <w:color w:val="000000"/>
          <w:kern w:val="0"/>
          <w:sz w:val="24"/>
          <w:szCs w:val="24"/>
          <w:u w:val="single"/>
          <w:lang w:val="en-US" w:eastAsia="zh-CN" w:bidi="ar"/>
        </w:rPr>
        <w:t>硫化氢处理效率大于</w:t>
      </w:r>
      <w:r>
        <w:rPr>
          <w:rFonts w:hint="default" w:ascii="Times New Roman" w:hAnsi="Times New Roman" w:eastAsia="宋体" w:cs="Times New Roman"/>
          <w:color w:val="000000"/>
          <w:kern w:val="0"/>
          <w:sz w:val="24"/>
          <w:szCs w:val="24"/>
          <w:u w:val="single"/>
          <w:lang w:val="en-US" w:eastAsia="zh-CN" w:bidi="ar"/>
        </w:rPr>
        <w:t>90%</w:t>
      </w:r>
      <w:r>
        <w:rPr>
          <w:rFonts w:hint="eastAsia" w:ascii="宋体" w:hAnsi="宋体" w:eastAsia="宋体" w:cs="宋体"/>
          <w:color w:val="000000"/>
          <w:kern w:val="0"/>
          <w:sz w:val="24"/>
          <w:szCs w:val="24"/>
          <w:lang w:val="en-US" w:eastAsia="zh-CN" w:bidi="ar"/>
        </w:rPr>
        <w:t>。脱硫过程中产生失去活性的氧化铁脱硫剂由厂家回收。</w:t>
      </w:r>
    </w:p>
    <w:p w14:paraId="5BE0513D">
      <w:pPr>
        <w:keepNext w:val="0"/>
        <w:keepLines w:val="0"/>
        <w:widowControl/>
        <w:suppressLineNumbers w:val="0"/>
        <w:jc w:val="both"/>
      </w:pPr>
      <w:r>
        <w:rPr>
          <w:rFonts w:hint="eastAsia" w:ascii="宋体" w:hAnsi="宋体" w:eastAsia="宋体" w:cs="宋体"/>
          <w:b/>
          <w:bCs/>
          <w:color w:val="000000"/>
          <w:kern w:val="0"/>
          <w:sz w:val="24"/>
          <w:szCs w:val="24"/>
          <w:lang w:val="en-US" w:eastAsia="zh-CN" w:bidi="ar"/>
        </w:rPr>
        <w:t>沼气的安全利用：</w:t>
      </w:r>
      <w:r>
        <w:rPr>
          <w:rFonts w:hint="eastAsia" w:ascii="宋体" w:hAnsi="宋体" w:eastAsia="宋体" w:cs="宋体"/>
          <w:color w:val="000000"/>
          <w:kern w:val="0"/>
          <w:sz w:val="24"/>
          <w:szCs w:val="24"/>
          <w:lang w:val="en-US" w:eastAsia="zh-CN" w:bidi="ar"/>
        </w:rPr>
        <w:t>沼气净化后进入缓冲罐，缓冲罐对整个系统具有气量缓冲的作用。</w:t>
      </w:r>
    </w:p>
    <w:p w14:paraId="59D706ED">
      <w:pPr>
        <w:keepNext w:val="0"/>
        <w:keepLines w:val="0"/>
        <w:widowControl/>
        <w:suppressLineNumbers w:val="0"/>
        <w:jc w:val="both"/>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b/>
          <w:bCs/>
          <w:color w:val="000000"/>
          <w:kern w:val="0"/>
          <w:sz w:val="24"/>
          <w:szCs w:val="24"/>
          <w:lang w:val="en-US" w:eastAsia="zh-CN" w:bidi="ar"/>
        </w:rPr>
        <w:t>沼气储存及利用：</w:t>
      </w:r>
      <w:r>
        <w:rPr>
          <w:rFonts w:hint="eastAsia" w:ascii="宋体" w:hAnsi="宋体" w:eastAsia="宋体" w:cs="宋体"/>
          <w:color w:val="000000"/>
          <w:kern w:val="0"/>
          <w:sz w:val="24"/>
          <w:szCs w:val="24"/>
          <w:highlight w:val="none"/>
          <w:lang w:val="en-US" w:eastAsia="zh-CN" w:bidi="ar"/>
        </w:rPr>
        <w:t>沼气采用贮气柜储存，根据《规模化畜禽养殖场沼气工程设计规范》（</w:t>
      </w:r>
      <w:r>
        <w:rPr>
          <w:rFonts w:hint="default" w:ascii="Times New Roman" w:hAnsi="Times New Roman" w:eastAsia="宋体" w:cs="Times New Roman"/>
          <w:color w:val="000000"/>
          <w:kern w:val="0"/>
          <w:sz w:val="24"/>
          <w:szCs w:val="24"/>
          <w:highlight w:val="none"/>
          <w:lang w:val="en-US" w:eastAsia="zh-CN" w:bidi="ar"/>
        </w:rPr>
        <w:t>NY/T1222-2006</w:t>
      </w:r>
      <w:r>
        <w:rPr>
          <w:rFonts w:hint="eastAsia" w:ascii="宋体" w:hAnsi="宋体" w:eastAsia="宋体" w:cs="宋体"/>
          <w:color w:val="000000"/>
          <w:kern w:val="0"/>
          <w:sz w:val="24"/>
          <w:szCs w:val="24"/>
          <w:highlight w:val="none"/>
          <w:lang w:val="en-US" w:eastAsia="zh-CN" w:bidi="ar"/>
        </w:rPr>
        <w:t>），贮气柜的容积按日产量的</w:t>
      </w:r>
      <w:r>
        <w:rPr>
          <w:rFonts w:hint="default" w:ascii="Times New Roman" w:hAnsi="Times New Roman" w:eastAsia="宋体" w:cs="Times New Roman"/>
          <w:color w:val="000000"/>
          <w:kern w:val="0"/>
          <w:sz w:val="24"/>
          <w:szCs w:val="24"/>
          <w:highlight w:val="none"/>
          <w:lang w:val="en-US" w:eastAsia="zh-CN" w:bidi="ar"/>
        </w:rPr>
        <w:t>40%</w:t>
      </w:r>
      <w:r>
        <w:rPr>
          <w:rFonts w:hint="eastAsia" w:ascii="宋体" w:hAnsi="宋体" w:eastAsia="宋体" w:cs="宋体"/>
          <w:color w:val="000000"/>
          <w:kern w:val="0"/>
          <w:sz w:val="24"/>
          <w:szCs w:val="24"/>
          <w:highlight w:val="none"/>
          <w:lang w:val="en-US" w:eastAsia="zh-CN" w:bidi="ar"/>
        </w:rPr>
        <w:t>设计，则项目场区贮气柜容积应大于</w:t>
      </w:r>
      <w:r>
        <w:rPr>
          <w:rFonts w:hint="eastAsia" w:cs="Times New Roman"/>
          <w:color w:val="000000"/>
          <w:kern w:val="0"/>
          <w:sz w:val="24"/>
          <w:szCs w:val="24"/>
          <w:highlight w:val="none"/>
          <w:lang w:val="en-US" w:eastAsia="zh-CN" w:bidi="ar"/>
        </w:rPr>
        <w:t>61.2</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宋体" w:hAnsi="宋体" w:eastAsia="宋体" w:cs="宋体"/>
          <w:color w:val="000000"/>
          <w:kern w:val="0"/>
          <w:sz w:val="24"/>
          <w:szCs w:val="24"/>
          <w:highlight w:val="none"/>
          <w:lang w:val="en-US" w:eastAsia="zh-CN" w:bidi="ar"/>
        </w:rPr>
        <w:t>，本项目设</w:t>
      </w:r>
      <w:r>
        <w:rPr>
          <w:rFonts w:hint="eastAsia"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0m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eastAsia" w:ascii="宋体" w:hAnsi="宋体" w:eastAsia="宋体" w:cs="宋体"/>
          <w:color w:val="000000"/>
          <w:kern w:val="0"/>
          <w:sz w:val="24"/>
          <w:szCs w:val="24"/>
          <w:highlight w:val="none"/>
          <w:lang w:val="en-US" w:eastAsia="zh-CN" w:bidi="ar"/>
        </w:rPr>
        <w:t>贮气柜，用于储存沼气，能够满足沼气存放要求。</w:t>
      </w:r>
    </w:p>
    <w:p w14:paraId="35173CE6">
      <w:pPr>
        <w:bidi w:val="0"/>
        <w:rPr>
          <w:rFonts w:hint="default"/>
          <w:lang w:val="en-US"/>
        </w:rPr>
      </w:pPr>
      <w:r>
        <w:rPr>
          <w:rFonts w:hint="eastAsia"/>
          <w:lang w:val="en-US" w:eastAsia="zh-CN"/>
        </w:rPr>
        <w:t>经净化后的沼气送生物质锅炉作为补充燃料燃烧，非供暖季节产生的沼气点火燃烧处理，沼气属于清洁能源，燃烧后的产物为二氧化碳和水，对周边环境影响很小。</w:t>
      </w:r>
    </w:p>
    <w:p w14:paraId="311AE2ED">
      <w:pPr>
        <w:pStyle w:val="28"/>
        <w:bidi w:val="0"/>
        <w:rPr>
          <w:rFonts w:hint="default"/>
          <w:lang w:val="en-US" w:eastAsia="zh-CN"/>
        </w:rPr>
      </w:pPr>
      <w:r>
        <w:rPr>
          <w:rFonts w:hint="eastAsia"/>
          <w:lang w:val="en-US" w:eastAsia="zh-CN"/>
        </w:rPr>
        <w:t>粪便及沼渣处理系统</w:t>
      </w:r>
    </w:p>
    <w:p w14:paraId="6CCD44F6">
      <w:pPr>
        <w:rPr>
          <w:rFonts w:hint="default"/>
          <w:lang w:val="en-US" w:eastAsia="zh-CN"/>
        </w:rPr>
      </w:pPr>
      <w:r>
        <w:rPr>
          <w:rFonts w:hint="eastAsia"/>
          <w:lang w:val="en-US" w:eastAsia="zh-CN"/>
        </w:rPr>
        <w:t>本</w:t>
      </w:r>
      <w:r>
        <w:rPr>
          <w:rFonts w:hint="default"/>
          <w:lang w:val="en-US" w:eastAsia="zh-CN"/>
        </w:rPr>
        <w:t>项目固液分离出的固粪以及</w:t>
      </w:r>
      <w:r>
        <w:rPr>
          <w:rFonts w:hint="eastAsia"/>
          <w:lang w:val="en-US" w:eastAsia="zh-CN"/>
        </w:rPr>
        <w:t>UASB和SBR</w:t>
      </w:r>
      <w:r>
        <w:rPr>
          <w:rFonts w:hint="default"/>
          <w:lang w:val="en-US" w:eastAsia="zh-CN"/>
        </w:rPr>
        <w:t>产生的沼渣</w:t>
      </w:r>
      <w:r>
        <w:rPr>
          <w:rFonts w:hint="eastAsia"/>
          <w:lang w:val="en-US" w:eastAsia="zh-CN"/>
        </w:rPr>
        <w:t>、污泥</w:t>
      </w:r>
      <w:r>
        <w:rPr>
          <w:rFonts w:hint="default"/>
          <w:lang w:val="en-US" w:eastAsia="zh-CN"/>
        </w:rPr>
        <w:t>运至堆粪场堆肥处理。项目采用条垛堆肥工艺进行粪污有机肥基料发酵处理，处理工艺如下：</w:t>
      </w:r>
    </w:p>
    <w:p w14:paraId="417FBCE4">
      <w:pPr>
        <w:rPr>
          <w:rFonts w:hint="default"/>
          <w:lang w:val="en-US" w:eastAsia="zh-CN"/>
        </w:rPr>
      </w:pPr>
      <w:r>
        <w:rPr>
          <w:rFonts w:hint="eastAsia"/>
          <w:lang w:val="en-US" w:eastAsia="zh-CN"/>
        </w:rPr>
        <w:t>（1）</w:t>
      </w:r>
      <w:r>
        <w:rPr>
          <w:rFonts w:hint="default"/>
          <w:lang w:val="en-US" w:eastAsia="zh-CN"/>
        </w:rPr>
        <w:t>原料预处理</w:t>
      </w:r>
    </w:p>
    <w:p w14:paraId="13EB4F72">
      <w:pPr>
        <w:rPr>
          <w:rFonts w:hint="default"/>
          <w:lang w:val="en-US" w:eastAsia="zh-CN"/>
        </w:rPr>
      </w:pPr>
      <w:r>
        <w:rPr>
          <w:rFonts w:hint="default"/>
          <w:lang w:val="en-US" w:eastAsia="zh-CN"/>
        </w:rPr>
        <w:t>固液分离机分离出的固粪</w:t>
      </w:r>
      <w:r>
        <w:rPr>
          <w:rFonts w:hint="eastAsia"/>
          <w:lang w:val="en-US" w:eastAsia="zh-CN"/>
        </w:rPr>
        <w:t>等</w:t>
      </w:r>
      <w:r>
        <w:rPr>
          <w:rFonts w:hint="default"/>
          <w:lang w:val="en-US" w:eastAsia="zh-CN"/>
        </w:rPr>
        <w:t>运至堆粪场按一定的比例添加菌种进行发酵，后续生产的新鲜猪粪和半成品有机肥（发酵15天左右的猪粪，含水率约为40%左右）按照9：1的比例进行混合，既起到接种的目的，又解决了新鲜猪粪含水率高的问题，避免了渗滤液的产生。</w:t>
      </w:r>
    </w:p>
    <w:p w14:paraId="1D89101E">
      <w:pPr>
        <w:rPr>
          <w:rFonts w:hint="default"/>
          <w:lang w:val="en-US" w:eastAsia="zh-CN"/>
        </w:rPr>
      </w:pPr>
      <w:r>
        <w:rPr>
          <w:rFonts w:hint="eastAsia"/>
          <w:lang w:val="en-US" w:eastAsia="zh-CN"/>
        </w:rPr>
        <w:t>（2）</w:t>
      </w:r>
      <w:r>
        <w:rPr>
          <w:rFonts w:hint="default"/>
          <w:lang w:val="en-US" w:eastAsia="zh-CN"/>
        </w:rPr>
        <w:t>好氧条垛堆肥</w:t>
      </w:r>
    </w:p>
    <w:p w14:paraId="4B2C0972">
      <w:pPr>
        <w:rPr>
          <w:rFonts w:hint="default"/>
          <w:lang w:val="en-US" w:eastAsia="zh-CN"/>
        </w:rPr>
      </w:pPr>
      <w:r>
        <w:rPr>
          <w:rFonts w:hint="eastAsia"/>
          <w:lang w:val="en-US" w:eastAsia="zh-CN"/>
        </w:rPr>
        <w:t>本</w:t>
      </w:r>
      <w:r>
        <w:rPr>
          <w:rFonts w:hint="default"/>
          <w:lang w:val="en-US" w:eastAsia="zh-CN"/>
        </w:rPr>
        <w:t>项目发酵为好氧发酵，</w:t>
      </w:r>
      <w:r>
        <w:rPr>
          <w:rFonts w:hint="default"/>
          <w:highlight w:val="none"/>
          <w:lang w:val="en-US" w:eastAsia="zh-CN"/>
        </w:rPr>
        <w:t>发酵时间为7～15天</w:t>
      </w:r>
      <w:r>
        <w:rPr>
          <w:rFonts w:hint="default"/>
          <w:lang w:val="en-US" w:eastAsia="zh-CN"/>
        </w:rPr>
        <w:t>。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机质向稳定的腐殖质转化。</w:t>
      </w:r>
    </w:p>
    <w:p w14:paraId="64FC89DD">
      <w:pPr>
        <w:rPr>
          <w:rFonts w:hint="default"/>
          <w:lang w:val="en-US" w:eastAsia="zh-CN"/>
        </w:rPr>
      </w:pPr>
      <w:r>
        <w:rPr>
          <w:rFonts w:hint="default"/>
          <w:lang w:val="en-US" w:eastAsia="zh-CN"/>
        </w:rPr>
        <w:t>本项目堆肥发酵过程分为4个阶段：</w:t>
      </w:r>
    </w:p>
    <w:p w14:paraId="1ED0AC9E">
      <w:pPr>
        <w:rPr>
          <w:rFonts w:hint="default"/>
          <w:lang w:val="en-US" w:eastAsia="zh-CN"/>
        </w:rPr>
      </w:pPr>
      <w:r>
        <w:rPr>
          <w:rFonts w:hint="default"/>
          <w:lang w:val="en-US" w:eastAsia="zh-CN"/>
        </w:rPr>
        <w:t>①升温阶段</w:t>
      </w:r>
    </w:p>
    <w:p w14:paraId="5AD573E2">
      <w:pPr>
        <w:rPr>
          <w:rFonts w:hint="default"/>
          <w:lang w:val="en-US" w:eastAsia="zh-CN"/>
        </w:rPr>
      </w:pPr>
      <w:r>
        <w:rPr>
          <w:rFonts w:hint="default"/>
          <w:lang w:val="en-US" w:eastAsia="zh-CN"/>
        </w:rPr>
        <w:t>这个过程一般指发酵过程的初期，在该阶段，发酵温度逐步从环境温度上升到45℃左右，主导微生物以嗜温性微生物为主，包括细菌、真菌和放线菌，分解底物以糖类和淀粉为主，其间能发现真菌的子实体，也有动物及原生动物参与分解。</w:t>
      </w:r>
    </w:p>
    <w:p w14:paraId="4D8F31E2">
      <w:pPr>
        <w:rPr>
          <w:rFonts w:hint="default"/>
          <w:lang w:val="en-US" w:eastAsia="zh-CN"/>
        </w:rPr>
      </w:pPr>
      <w:r>
        <w:rPr>
          <w:rFonts w:hint="default"/>
          <w:lang w:val="en-US" w:eastAsia="zh-CN"/>
        </w:rPr>
        <w:t>②高温阶段</w:t>
      </w:r>
    </w:p>
    <w:p w14:paraId="1681553A">
      <w:pPr>
        <w:rPr>
          <w:rFonts w:hint="default"/>
          <w:lang w:val="en-US" w:eastAsia="zh-CN"/>
        </w:rPr>
      </w:pPr>
      <w:r>
        <w:rPr>
          <w:rFonts w:hint="default"/>
          <w:lang w:val="en-US" w:eastAsia="zh-CN"/>
        </w:rPr>
        <w:t>堆温升至45℃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左右时最活跃的是嗜热性真菌和放线菌，温度上升到60℃时真菌几乎完全停止活动，仅有嗜热性细菌和放线菌活动，温度升到70℃时大多数嗜热性微生物已不再适应，并大批进入休眠和死亡阶段。</w:t>
      </w:r>
    </w:p>
    <w:p w14:paraId="2B6C103A">
      <w:pPr>
        <w:rPr>
          <w:rFonts w:hint="default"/>
          <w:lang w:val="en-US" w:eastAsia="zh-CN"/>
        </w:rPr>
      </w:pPr>
      <w:r>
        <w:rPr>
          <w:rFonts w:hint="default"/>
          <w:lang w:val="en-US" w:eastAsia="zh-CN"/>
        </w:rPr>
        <w:t>③降温阶段</w:t>
      </w:r>
    </w:p>
    <w:p w14:paraId="64710D09">
      <w:pPr>
        <w:rPr>
          <w:rFonts w:hint="default"/>
          <w:lang w:val="en-US" w:eastAsia="zh-CN"/>
        </w:rPr>
      </w:pPr>
      <w:r>
        <w:rPr>
          <w:rFonts w:hint="default"/>
          <w:lang w:val="en-US" w:eastAsia="zh-CN"/>
        </w:rPr>
        <w:t>高温阶段必然造成微生物的死亡和活动减少，自然进入低温阶段。在这一阶段，嗜温性微生物又开始占据优势，对残余较难分解的有机物做进一步的分解，但微生物活性普遍下降，堆体发热量减少，温度开始下降，有机物趋于稳定化，需氧量大大减少，堆肥进入腐熟或后熟阶段。</w:t>
      </w:r>
    </w:p>
    <w:p w14:paraId="3AB0D756">
      <w:pPr>
        <w:rPr>
          <w:rFonts w:hint="default"/>
          <w:lang w:val="en-US" w:eastAsia="zh-CN"/>
        </w:rPr>
      </w:pPr>
      <w:r>
        <w:rPr>
          <w:rFonts w:hint="default"/>
          <w:lang w:val="en-US" w:eastAsia="zh-CN"/>
        </w:rPr>
        <w:t>④腐熟保肥阶段</w:t>
      </w:r>
    </w:p>
    <w:p w14:paraId="143994A6">
      <w:pPr>
        <w:rPr>
          <w:rFonts w:hint="default"/>
          <w:lang w:val="en-US" w:eastAsia="zh-CN"/>
        </w:rPr>
      </w:pPr>
      <w:r>
        <w:rPr>
          <w:rFonts w:hint="default"/>
          <w:lang w:val="en-US" w:eastAsia="zh-CN"/>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发酵后的固体有机肥，经过腐熟度检测、质量检测、安全检测后通过自然风干、晾晒等方法把含水量降至30%以下，作为有机肥</w:t>
      </w:r>
      <w:r>
        <w:rPr>
          <w:rFonts w:hint="eastAsia"/>
          <w:lang w:val="en-US" w:eastAsia="zh-CN"/>
        </w:rPr>
        <w:t>还田</w:t>
      </w:r>
      <w:r>
        <w:rPr>
          <w:rFonts w:hint="default"/>
          <w:lang w:val="en-US" w:eastAsia="zh-CN"/>
        </w:rPr>
        <w:t>。</w:t>
      </w:r>
    </w:p>
    <w:p w14:paraId="78CE2D3A">
      <w:pPr>
        <w:rPr>
          <w:rFonts w:hint="default"/>
          <w:lang w:val="en-US" w:eastAsia="zh-CN"/>
        </w:rPr>
      </w:pPr>
      <w:r>
        <w:rPr>
          <w:rFonts w:hint="eastAsia"/>
          <w:lang w:val="en-US" w:eastAsia="zh-CN"/>
        </w:rPr>
        <w:t>（3）堆肥制品要求</w:t>
      </w:r>
    </w:p>
    <w:p w14:paraId="21DDA859">
      <w:pPr>
        <w:rPr>
          <w:rFonts w:hint="default"/>
          <w:lang w:val="en-US" w:eastAsia="zh-CN"/>
        </w:rPr>
      </w:pPr>
      <w:r>
        <w:rPr>
          <w:rFonts w:hint="default"/>
          <w:lang w:val="en-US" w:eastAsia="zh-CN"/>
        </w:rPr>
        <w:t>畜禽粪便经过预处理调整水分和碳氮比，应符合下列要求：</w:t>
      </w:r>
    </w:p>
    <w:p w14:paraId="6B332C74">
      <w:pPr>
        <w:rPr>
          <w:rFonts w:hint="default"/>
          <w:lang w:val="en-US" w:eastAsia="zh-CN"/>
        </w:rPr>
      </w:pPr>
      <w:r>
        <w:rPr>
          <w:rFonts w:hint="default"/>
          <w:lang w:val="en-US" w:eastAsia="zh-CN"/>
        </w:rPr>
        <w:t>①堆肥粪便的起始含水率应为40%</w:t>
      </w:r>
      <w:r>
        <w:rPr>
          <w:rFonts w:hint="eastAsia"/>
          <w:lang w:val="en-US" w:eastAsia="zh-CN"/>
        </w:rPr>
        <w:t>～</w:t>
      </w:r>
      <w:r>
        <w:rPr>
          <w:rFonts w:hint="default"/>
          <w:lang w:val="en-US" w:eastAsia="zh-CN"/>
        </w:rPr>
        <w:t>60%；</w:t>
      </w:r>
    </w:p>
    <w:p w14:paraId="05C48DB7">
      <w:pPr>
        <w:rPr>
          <w:rFonts w:hint="default"/>
          <w:lang w:val="en-US" w:eastAsia="zh-CN"/>
        </w:rPr>
      </w:pPr>
      <w:r>
        <w:rPr>
          <w:rFonts w:hint="default"/>
          <w:lang w:val="en-US" w:eastAsia="zh-CN"/>
        </w:rPr>
        <w:t>②碳氮比应为20</w:t>
      </w: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30</w:t>
      </w:r>
      <w:r>
        <w:rPr>
          <w:rFonts w:hint="eastAsia"/>
          <w:lang w:val="en-US" w:eastAsia="zh-CN"/>
        </w:rPr>
        <w:t>：</w:t>
      </w:r>
      <w:r>
        <w:rPr>
          <w:rFonts w:hint="default"/>
          <w:lang w:val="en-US" w:eastAsia="zh-CN"/>
        </w:rPr>
        <w:t>1，可通过添加植物秸秆、稻壳等物料进行调节，必要时添加菌剂和酶制剂；</w:t>
      </w:r>
    </w:p>
    <w:p w14:paraId="7CD19289">
      <w:pPr>
        <w:rPr>
          <w:rFonts w:hint="default"/>
          <w:lang w:val="en-US" w:eastAsia="zh-CN"/>
        </w:rPr>
      </w:pPr>
      <w:r>
        <w:rPr>
          <w:rFonts w:hint="default"/>
          <w:lang w:val="en-US" w:eastAsia="zh-CN"/>
        </w:rPr>
        <w:t>③堆肥粪便的pH应控制在6.5</w:t>
      </w:r>
      <w:r>
        <w:rPr>
          <w:rFonts w:hint="eastAsia"/>
          <w:lang w:val="en-US" w:eastAsia="zh-CN"/>
        </w:rPr>
        <w:t>～</w:t>
      </w:r>
      <w:r>
        <w:rPr>
          <w:rFonts w:hint="default"/>
          <w:lang w:val="en-US" w:eastAsia="zh-CN"/>
        </w:rPr>
        <w:t>8.5。好氧发酵过程应符合下列要求：发酵过程温度控制在55℃</w:t>
      </w:r>
      <w:r>
        <w:rPr>
          <w:rFonts w:hint="eastAsia"/>
          <w:lang w:val="en-US" w:eastAsia="zh-CN"/>
        </w:rPr>
        <w:t>～</w:t>
      </w:r>
      <w:r>
        <w:rPr>
          <w:rFonts w:hint="default"/>
          <w:lang w:val="en-US" w:eastAsia="zh-CN"/>
        </w:rPr>
        <w:t>65℃，且持续时间不得少于7d，最高温度不宜超过75℃；堆肥时间应根据碳氮比、湿度、天气条件、堆肥工艺类型及废物和添加剂种类确定；堆肥各点的氧气浓度不应低于10%；</w:t>
      </w:r>
    </w:p>
    <w:p w14:paraId="7F60F415">
      <w:pPr>
        <w:rPr>
          <w:rFonts w:hint="default"/>
          <w:lang w:val="en-US" w:eastAsia="zh-CN"/>
        </w:rPr>
      </w:pPr>
      <w:r>
        <w:rPr>
          <w:rFonts w:hint="default"/>
          <w:lang w:val="en-US" w:eastAsia="zh-CN"/>
        </w:rPr>
        <w:t>④可适时采用翻堆方式自然通风或设有其它机械通风装置换气，以调节堆肥物料的氧气浓度和温度。发酵结束时，应符合下列要求：碳氮比不大于20</w:t>
      </w:r>
      <w:r>
        <w:rPr>
          <w:rFonts w:hint="eastAsia"/>
          <w:lang w:val="en-US" w:eastAsia="zh-CN"/>
        </w:rPr>
        <w:t>：</w:t>
      </w:r>
      <w:r>
        <w:rPr>
          <w:rFonts w:hint="default"/>
          <w:lang w:val="en-US" w:eastAsia="zh-CN"/>
        </w:rPr>
        <w:t>1；含水率为20%</w:t>
      </w:r>
      <w:r>
        <w:rPr>
          <w:rFonts w:hint="eastAsia"/>
          <w:lang w:val="en-US" w:eastAsia="zh-CN"/>
        </w:rPr>
        <w:t>～</w:t>
      </w:r>
      <w:r>
        <w:rPr>
          <w:rFonts w:hint="default"/>
          <w:lang w:val="en-US" w:eastAsia="zh-CN"/>
        </w:rPr>
        <w:t>35%；堆肥应符合无害化卫生要求的规定；耗氧速率趋于稳定；腐熟度应大于等于Ⅳ级。发酵完毕后应进行后处理，确保堆肥制品质量合格。后处理包括再干燥、破碎、造粒、过筛、包装至成品等工序。</w:t>
      </w:r>
    </w:p>
    <w:p w14:paraId="4FD9F217">
      <w:pPr>
        <w:rPr>
          <w:rFonts w:hint="eastAsia"/>
          <w:lang w:val="en-US" w:eastAsia="zh-CN"/>
        </w:rPr>
      </w:pPr>
      <w:r>
        <w:rPr>
          <w:rFonts w:hint="eastAsia"/>
          <w:lang w:val="en-US" w:eastAsia="zh-CN"/>
        </w:rPr>
        <w:t>（4）堆肥暂存</w:t>
      </w:r>
    </w:p>
    <w:p w14:paraId="460A0DB9">
      <w:pPr>
        <w:rPr>
          <w:rFonts w:hint="default"/>
          <w:lang w:val="en-US" w:eastAsia="zh-CN"/>
        </w:rPr>
      </w:pPr>
      <w:r>
        <w:rPr>
          <w:rFonts w:hint="eastAsia"/>
          <w:lang w:val="en-US" w:eastAsia="zh-CN"/>
        </w:rPr>
        <w:t>按照项目所在地的施肥时段，全年至少有6个月是不进行施肥的，</w:t>
      </w:r>
      <w:r>
        <w:rPr>
          <w:rFonts w:hint="eastAsia"/>
        </w:rPr>
        <w:t>因此本项目的堆粪场贮存容量至少应满足6个月的堆肥产量</w:t>
      </w:r>
      <w:r>
        <w:rPr>
          <w:rFonts w:hint="eastAsia"/>
          <w:lang w:eastAsia="zh-CN"/>
        </w:rPr>
        <w:t>，</w:t>
      </w:r>
      <w:r>
        <w:rPr>
          <w:rFonts w:hint="eastAsia"/>
          <w:lang w:val="en-US" w:eastAsia="zh-CN"/>
        </w:rPr>
        <w:t>本项目粪便产生量为63.8m</w:t>
      </w:r>
      <w:r>
        <w:rPr>
          <w:rFonts w:hint="eastAsia"/>
          <w:vertAlign w:val="superscript"/>
          <w:lang w:val="en-US" w:eastAsia="zh-CN"/>
        </w:rPr>
        <w:t>3</w:t>
      </w:r>
      <w:r>
        <w:rPr>
          <w:rFonts w:hint="eastAsia"/>
          <w:vertAlign w:val="baseline"/>
          <w:lang w:val="en-US" w:eastAsia="zh-CN"/>
        </w:rPr>
        <w:t>/d（23287m</w:t>
      </w:r>
      <w:r>
        <w:rPr>
          <w:rFonts w:hint="eastAsia"/>
          <w:vertAlign w:val="superscript"/>
          <w:lang w:val="en-US" w:eastAsia="zh-CN"/>
        </w:rPr>
        <w:t>3</w:t>
      </w:r>
      <w:r>
        <w:rPr>
          <w:rFonts w:hint="eastAsia"/>
          <w:vertAlign w:val="baseline"/>
          <w:lang w:val="en-US" w:eastAsia="zh-CN"/>
        </w:rPr>
        <w:t>/a），半年粪便产生量为11643.5</w:t>
      </w:r>
      <w:r>
        <w:rPr>
          <w:rFonts w:hint="eastAsia"/>
          <w:lang w:val="en-US" w:eastAsia="zh-CN"/>
        </w:rPr>
        <w:t>m</w:t>
      </w:r>
      <w:r>
        <w:rPr>
          <w:rFonts w:hint="eastAsia"/>
          <w:vertAlign w:val="superscript"/>
          <w:lang w:val="en-US" w:eastAsia="zh-CN"/>
        </w:rPr>
        <w:t>3</w:t>
      </w:r>
      <w:r>
        <w:rPr>
          <w:rFonts w:hint="eastAsia"/>
          <w:vertAlign w:val="baseline"/>
          <w:lang w:val="en-US" w:eastAsia="zh-CN"/>
        </w:rPr>
        <w:t>，本项目堆肥场</w:t>
      </w:r>
      <w:r>
        <w:rPr>
          <w:rFonts w:hint="eastAsia"/>
          <w:lang w:val="en-US" w:eastAsia="zh-CN"/>
        </w:rPr>
        <w:t>40m×70m，×4.5m，可容纳堆肥量为12600m</w:t>
      </w:r>
      <w:r>
        <w:rPr>
          <w:rFonts w:hint="eastAsia"/>
          <w:vertAlign w:val="superscript"/>
          <w:lang w:val="en-US" w:eastAsia="zh-CN"/>
        </w:rPr>
        <w:t>3</w:t>
      </w:r>
      <w:r>
        <w:rPr>
          <w:rFonts w:hint="eastAsia"/>
          <w:vertAlign w:val="baseline"/>
          <w:lang w:val="en-US" w:eastAsia="zh-CN"/>
        </w:rPr>
        <w:t>，满足暂存量要求，堆肥场应按照</w:t>
      </w:r>
      <w:r>
        <w:rPr>
          <w:rFonts w:hint="eastAsia"/>
        </w:rPr>
        <w:t>《畜禽粪便贮存设施设计要求》（GB/T 27622-2011）</w:t>
      </w:r>
      <w:r>
        <w:rPr>
          <w:rFonts w:hint="eastAsia"/>
          <w:lang w:val="en-US" w:eastAsia="zh-CN"/>
        </w:rPr>
        <w:t>中的相关要求</w:t>
      </w:r>
      <w:r>
        <w:rPr>
          <w:rFonts w:hint="eastAsia"/>
          <w:vertAlign w:val="baseline"/>
          <w:lang w:val="en-US" w:eastAsia="zh-CN"/>
        </w:rPr>
        <w:t>建设</w:t>
      </w:r>
      <w:r>
        <w:rPr>
          <w:rFonts w:hint="eastAsia"/>
        </w:rPr>
        <w:t>。</w:t>
      </w:r>
      <w:r>
        <w:rPr>
          <w:rFonts w:hint="eastAsia"/>
          <w:lang w:val="en-US" w:eastAsia="zh-CN"/>
        </w:rPr>
        <w:t>且堆肥产品存放时，含水率应不高于30%，袋装堆肥含水率应不高于20%；堆肥产品的含盐量应在1%～2%；成品堆肥外观应为茶褐色或黑褐色，无恶臭，质地松散，具有泥土气味。</w:t>
      </w:r>
    </w:p>
    <w:p w14:paraId="7B2ABF5A">
      <w:pPr>
        <w:pStyle w:val="27"/>
        <w:bidi w:val="0"/>
        <w:rPr>
          <w:rFonts w:hint="default"/>
          <w:lang w:val="en-US" w:eastAsia="zh-CN"/>
        </w:rPr>
      </w:pPr>
      <w:r>
        <w:rPr>
          <w:rFonts w:hint="eastAsia"/>
          <w:lang w:val="en-US" w:eastAsia="zh-CN"/>
        </w:rPr>
        <w:t>消毒防疫</w:t>
      </w:r>
    </w:p>
    <w:p w14:paraId="284A24EC">
      <w:pPr>
        <w:bidi w:val="0"/>
      </w:pPr>
      <w:r>
        <w:rPr>
          <w:rFonts w:hint="eastAsia"/>
        </w:rPr>
        <w:t>集约化养殖中疫病的发生、传播具有突发性和骤然性，一旦发生将会全军覆没，损失惨重。养殖场和圈舍进出处设立消毒池</w:t>
      </w:r>
      <w:r>
        <w:rPr>
          <w:rFonts w:hint="eastAsia"/>
          <w:lang w:val="en-US" w:eastAsia="zh-CN"/>
        </w:rPr>
        <w:t>或</w:t>
      </w:r>
      <w:r>
        <w:rPr>
          <w:rFonts w:hint="eastAsia"/>
        </w:rPr>
        <w:t>消毒室等设施。另外还应设置兽医室、隔离舍、</w:t>
      </w:r>
      <w:r>
        <w:rPr>
          <w:rFonts w:hint="eastAsia"/>
          <w:lang w:val="en-US" w:eastAsia="zh-CN"/>
        </w:rPr>
        <w:t>危废暂存间</w:t>
      </w:r>
      <w:r>
        <w:rPr>
          <w:rFonts w:hint="eastAsia"/>
        </w:rPr>
        <w:t>。养殖场应备有健全的清洗消毒设施，防止疫病传播，并配备对害虫和啮齿动物等的生物防护设施。</w:t>
      </w:r>
    </w:p>
    <w:p w14:paraId="5CD5F54C">
      <w:pPr>
        <w:bidi w:val="0"/>
      </w:pPr>
      <w:r>
        <w:rPr>
          <w:rFonts w:hint="eastAsia"/>
        </w:rPr>
        <w:t>（</w:t>
      </w:r>
      <w:r>
        <w:t>1</w:t>
      </w:r>
      <w:r>
        <w:rPr>
          <w:rFonts w:hint="eastAsia"/>
        </w:rPr>
        <w:t>）防疫</w:t>
      </w:r>
    </w:p>
    <w:p w14:paraId="396DABE1">
      <w:pPr>
        <w:bidi w:val="0"/>
      </w:pPr>
      <w:r>
        <w:rPr>
          <w:rFonts w:hint="eastAsia"/>
        </w:rPr>
        <w:t>①在养殖区设立消毒池，池内保持有效的消毒液量及浓度，一般用</w:t>
      </w:r>
      <w:r>
        <w:t>2%</w:t>
      </w:r>
      <w:r>
        <w:rPr>
          <w:rFonts w:hint="eastAsia"/>
        </w:rPr>
        <w:t>的火碱或</w:t>
      </w:r>
      <w:r>
        <w:t>1</w:t>
      </w:r>
      <w:r>
        <w:rPr>
          <w:rFonts w:hint="eastAsia"/>
          <w:lang w:eastAsia="zh-CN"/>
        </w:rPr>
        <w:t>：</w:t>
      </w:r>
      <w:r>
        <w:t>800</w:t>
      </w:r>
      <w:r>
        <w:rPr>
          <w:rFonts w:hint="eastAsia"/>
        </w:rPr>
        <w:t>倍的消毒剂。门口应配备高压消毒枪，对进场车辆进行消毒。</w:t>
      </w:r>
    </w:p>
    <w:p w14:paraId="5F434AED">
      <w:pPr>
        <w:bidi w:val="0"/>
      </w:pPr>
      <w:r>
        <w:rPr>
          <w:rFonts w:hint="eastAsia"/>
        </w:rPr>
        <w:t>②建立出入登记制度，养殖场谢绝参观，非生产人员不得进入生产区。</w:t>
      </w:r>
    </w:p>
    <w:p w14:paraId="613FACB8">
      <w:pPr>
        <w:bidi w:val="0"/>
      </w:pPr>
      <w:r>
        <w:rPr>
          <w:rFonts w:hint="eastAsia"/>
        </w:rPr>
        <w:t>③生产区与生活区间设立隔离带，并设立更衣室，更衣室应清洁、无尘埃，具有紫外线灯及衣物消毒设施。</w:t>
      </w:r>
    </w:p>
    <w:p w14:paraId="4924CCD5">
      <w:pPr>
        <w:bidi w:val="0"/>
      </w:pPr>
      <w:r>
        <w:rPr>
          <w:rFonts w:hint="eastAsia"/>
        </w:rPr>
        <w:t>④饮水池保持清洁无沉积物。排水沟保持畅通无杂物，定期清除杂草；</w:t>
      </w:r>
    </w:p>
    <w:p w14:paraId="666E2CF7">
      <w:pPr>
        <w:bidi w:val="0"/>
      </w:pPr>
      <w:r>
        <w:rPr>
          <w:rFonts w:hint="eastAsia"/>
        </w:rPr>
        <w:t>⑤定点堆放粪便，定期喷洒杀虫剂，防止蚊蝇滋生。设专门供粪车等污染车辆通行的场地。</w:t>
      </w:r>
    </w:p>
    <w:p w14:paraId="4649B3BF">
      <w:pPr>
        <w:bidi w:val="0"/>
      </w:pPr>
      <w:r>
        <w:rPr>
          <w:rFonts w:hint="eastAsia"/>
        </w:rPr>
        <w:t>⑥养殖场员工每年必须进行一次健康检查，如患传染性疾病应及时在场外治疗，痊愈后方可上岗。新招员工必须经健康检查，确认无结核病与其他传染病。</w:t>
      </w:r>
    </w:p>
    <w:p w14:paraId="56D2E049">
      <w:pPr>
        <w:bidi w:val="0"/>
      </w:pPr>
      <w:r>
        <w:rPr>
          <w:rFonts w:hint="eastAsia"/>
        </w:rPr>
        <w:t>⑦死亡猪尸体应作无害化处理，尸体接触的器具和环境做好清洁及消毒工作。</w:t>
      </w:r>
    </w:p>
    <w:p w14:paraId="544A88F7">
      <w:pPr>
        <w:bidi w:val="0"/>
      </w:pPr>
      <w:r>
        <w:rPr>
          <w:rFonts w:hint="eastAsia"/>
        </w:rPr>
        <w:t>⑧淘汰及出售猪只应经检疫并取得检疫合格证明后方可出场。运猪车辆必须经过严格消毒后方可进入指定区域装车。</w:t>
      </w:r>
    </w:p>
    <w:p w14:paraId="47858946">
      <w:pPr>
        <w:bidi w:val="0"/>
      </w:pPr>
      <w:r>
        <w:rPr>
          <w:rFonts w:hint="eastAsia"/>
        </w:rPr>
        <w:t>⑨当猪发生疑似传染病或附近养殖场出现烈性传染病时，应立即采取隔离封锁和其他应急措施。</w:t>
      </w:r>
    </w:p>
    <w:p w14:paraId="146FBEBA">
      <w:pPr>
        <w:bidi w:val="0"/>
      </w:pPr>
      <w:r>
        <w:rPr>
          <w:rFonts w:hint="eastAsia"/>
        </w:rPr>
        <w:t>（</w:t>
      </w:r>
      <w:r>
        <w:t>2</w:t>
      </w:r>
      <w:r>
        <w:rPr>
          <w:rFonts w:hint="eastAsia"/>
        </w:rPr>
        <w:t>）日常消毒</w:t>
      </w:r>
    </w:p>
    <w:p w14:paraId="01F24CF0">
      <w:pPr>
        <w:bidi w:val="0"/>
      </w:pPr>
      <w:r>
        <w:rPr>
          <w:rFonts w:hint="eastAsia"/>
        </w:rPr>
        <w:t>养殖场日常消毒液应采用环境友好型的消毒剂和杀菌剂等，不选用含氯消毒剂，防止产生氯代有机物及其他的二次污染，采取的消毒措施有紫外线消毒灯。</w:t>
      </w:r>
    </w:p>
    <w:p w14:paraId="784F4A34">
      <w:pPr>
        <w:pStyle w:val="27"/>
        <w:bidi w:val="0"/>
        <w:rPr>
          <w:rFonts w:hint="default"/>
          <w:lang w:val="en-US" w:eastAsia="zh-CN"/>
        </w:rPr>
      </w:pPr>
      <w:r>
        <w:rPr>
          <w:rFonts w:hint="eastAsia"/>
          <w:lang w:val="en-US" w:eastAsia="zh-CN"/>
        </w:rPr>
        <w:t>病死猪体无害化处理</w:t>
      </w:r>
    </w:p>
    <w:p w14:paraId="609E4EB4">
      <w:pPr>
        <w:bidi w:val="0"/>
        <w:rPr>
          <w:rFonts w:hint="eastAsia"/>
        </w:rPr>
      </w:pPr>
      <w:r>
        <w:rPr>
          <w:rFonts w:hint="eastAsia"/>
        </w:rPr>
        <w:t>根据《畜禽养殖业污染防治技术政策》（环发〔2010〕151号）中有关内容，畜禽尸体应按照有关卫生防疫规定单独进行妥善处置。染疫畜禽及其排泄物、染疫畜禽产品，病死或者死因不明的畜禽尸体等污染物，应就地进行无害化处理。</w:t>
      </w:r>
    </w:p>
    <w:p w14:paraId="53DD31BF">
      <w:pPr>
        <w:bidi w:val="0"/>
        <w:rPr>
          <w:rFonts w:hint="eastAsia"/>
        </w:rPr>
      </w:pPr>
      <w:r>
        <w:rPr>
          <w:rFonts w:hint="eastAsia"/>
        </w:rPr>
        <w:t>根据《畜禽规模养殖污染防治条例》（中华人民共和国国务院令第643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14:paraId="55346C05">
      <w:pPr>
        <w:bidi w:val="0"/>
        <w:rPr>
          <w:rFonts w:hint="eastAsia" w:eastAsia="宋体"/>
          <w:lang w:eastAsia="zh-CN"/>
        </w:rPr>
      </w:pPr>
      <w:r>
        <w:rPr>
          <w:rFonts w:hint="eastAsia"/>
          <w:lang w:val="en-US" w:eastAsia="zh-CN"/>
        </w:rPr>
        <w:t>本</w:t>
      </w:r>
      <w:r>
        <w:rPr>
          <w:rFonts w:hint="eastAsia"/>
        </w:rPr>
        <w:t>项目</w:t>
      </w:r>
      <w:r>
        <w:rPr>
          <w:rFonts w:hint="eastAsia"/>
          <w:lang w:val="en-US" w:eastAsia="zh-CN"/>
        </w:rPr>
        <w:t>场区</w:t>
      </w:r>
      <w:r>
        <w:rPr>
          <w:rFonts w:hint="eastAsia"/>
        </w:rPr>
        <w:t>设置1间20m</w:t>
      </w:r>
      <w:r>
        <w:rPr>
          <w:rFonts w:hint="eastAsia"/>
          <w:vertAlign w:val="superscript"/>
        </w:rPr>
        <w:t>2</w:t>
      </w:r>
      <w:r>
        <w:rPr>
          <w:rFonts w:hint="eastAsia"/>
        </w:rPr>
        <w:t>无害化暂存间（内设冰柜）暂存病死猪，位于项目区东北角，为项目区下风向，选址对项目生产区和办公生活区影响较小</w:t>
      </w:r>
      <w:r>
        <w:rPr>
          <w:rFonts w:hint="eastAsia"/>
          <w:lang w:eastAsia="zh-CN"/>
        </w:rPr>
        <w:t>，</w:t>
      </w:r>
      <w:r>
        <w:rPr>
          <w:rFonts w:hint="eastAsia"/>
          <w:lang w:val="en-US" w:eastAsia="zh-CN"/>
        </w:rPr>
        <w:t>并</w:t>
      </w:r>
      <w:r>
        <w:rPr>
          <w:rFonts w:hint="eastAsia"/>
        </w:rPr>
        <w:t>委托</w:t>
      </w:r>
      <w:r>
        <w:rPr>
          <w:rFonts w:hint="eastAsia"/>
          <w:lang w:val="en-US" w:eastAsia="zh-CN"/>
        </w:rPr>
        <w:t>第七师123</w:t>
      </w:r>
      <w:r>
        <w:rPr>
          <w:rFonts w:hint="eastAsia"/>
        </w:rPr>
        <w:t>团病死畜禽无害化处理</w:t>
      </w:r>
      <w:r>
        <w:rPr>
          <w:rFonts w:hint="eastAsia"/>
          <w:lang w:val="en-US" w:eastAsia="zh-CN"/>
        </w:rPr>
        <w:t>中心对病死猪</w:t>
      </w:r>
      <w:r>
        <w:rPr>
          <w:rFonts w:hint="eastAsia"/>
        </w:rPr>
        <w:t>进行无害化处理</w:t>
      </w:r>
      <w:r>
        <w:rPr>
          <w:rFonts w:hint="eastAsia"/>
          <w:lang w:eastAsia="zh-CN"/>
        </w:rPr>
        <w:t>。</w:t>
      </w:r>
    </w:p>
    <w:p w14:paraId="77A3CC74">
      <w:pPr>
        <w:pStyle w:val="26"/>
        <w:bidi w:val="0"/>
        <w:rPr>
          <w:rFonts w:hint="default"/>
          <w:lang w:val="en-US" w:eastAsia="zh-CN"/>
        </w:rPr>
      </w:pPr>
      <w:bookmarkStart w:id="19" w:name="_Toc15013"/>
      <w:r>
        <w:rPr>
          <w:rFonts w:hint="eastAsia"/>
          <w:lang w:val="en-US" w:eastAsia="zh-CN"/>
        </w:rPr>
        <w:t>产排污环节</w:t>
      </w:r>
      <w:bookmarkEnd w:id="19"/>
    </w:p>
    <w:p w14:paraId="52E10AD4">
      <w:pPr>
        <w:bidi w:val="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养殖过程</w:t>
      </w:r>
    </w:p>
    <w:p w14:paraId="789A2A04">
      <w:pPr>
        <w:bidi w:val="0"/>
        <w:rPr>
          <w:rFonts w:hint="default"/>
          <w:lang w:val="en-US" w:eastAsia="zh-CN"/>
        </w:rPr>
      </w:pPr>
      <w:r>
        <w:rPr>
          <w:rFonts w:hint="eastAsia"/>
          <w:lang w:val="en-US" w:eastAsia="zh-CN"/>
        </w:rPr>
        <w:t>根据上述工艺流程描述，在生猪养殖过程中，主要的产污环节为整个喂养过程中产生的废气主要为恶臭气体，废水主要为圈舍冲洗水、猪尿、猪粪滤液等，固废主要为猪粪、病死猪、注射疫苗等产生的医疗垃圾。</w:t>
      </w:r>
    </w:p>
    <w:p w14:paraId="6147905A">
      <w:pPr>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清粪过程</w:t>
      </w:r>
    </w:p>
    <w:p w14:paraId="2F69C819">
      <w:pPr>
        <w:bidi w:val="0"/>
        <w:rPr>
          <w:rFonts w:hint="eastAsia"/>
          <w:lang w:val="en-US" w:eastAsia="zh-CN"/>
        </w:rPr>
      </w:pPr>
      <w:r>
        <w:rPr>
          <w:rFonts w:hint="eastAsia"/>
          <w:lang w:val="en-US" w:eastAsia="zh-CN"/>
        </w:rPr>
        <w:t>本项目再用的是干清粪工艺，粪便经漏缝地板+虹吸管集粪池收集后（清粪的比例宜大于等于70%），采用机械（人工辅助）清除猪舍粪便。此项工作也在育肥舍中进行，并且贯穿整个养殖过程，主要的产排污环节与养殖过程一致。</w:t>
      </w:r>
    </w:p>
    <w:p w14:paraId="53F47C92">
      <w:pPr>
        <w:bidi w:val="0"/>
        <w:rPr>
          <w:rFonts w:hint="eastAsia"/>
          <w:lang w:val="en-US" w:eastAsia="zh-CN"/>
        </w:rPr>
      </w:pPr>
      <w:r>
        <w:rPr>
          <w:rFonts w:hint="eastAsia"/>
          <w:lang w:val="en-US" w:eastAsia="zh-CN"/>
        </w:rPr>
        <w:t>（3）消毒防疫</w:t>
      </w:r>
    </w:p>
    <w:p w14:paraId="511ACC72">
      <w:pPr>
        <w:bidi w:val="0"/>
        <w:rPr>
          <w:rFonts w:hint="eastAsia"/>
          <w:lang w:val="en-US" w:eastAsia="zh-CN"/>
        </w:rPr>
      </w:pPr>
      <w:r>
        <w:rPr>
          <w:rFonts w:hint="eastAsia"/>
          <w:lang w:val="en-US" w:eastAsia="zh-CN"/>
        </w:rPr>
        <w:t>本项目作为生猪养殖场，应注重消毒防疫，包括对在场职工及生猪，消毒防疫过程喷洒的消毒水量小，可以忽略不计，主要的产污环节是消毒、防疫用药品的包装物，属于医疗垃圾，应妥善处置。</w:t>
      </w:r>
    </w:p>
    <w:p w14:paraId="36461557">
      <w:pPr>
        <w:bidi w:val="0"/>
        <w:rPr>
          <w:rFonts w:hint="eastAsia"/>
          <w:lang w:val="en-US" w:eastAsia="zh-CN"/>
        </w:rPr>
      </w:pPr>
      <w:r>
        <w:rPr>
          <w:rFonts w:hint="eastAsia"/>
          <w:lang w:val="en-US" w:eastAsia="zh-CN"/>
        </w:rPr>
        <w:t>（4）粪污处理过程</w:t>
      </w:r>
    </w:p>
    <w:p w14:paraId="09EE011A">
      <w:pPr>
        <w:bidi w:val="0"/>
        <w:rPr>
          <w:rFonts w:hint="eastAsia"/>
          <w:lang w:val="en-US" w:eastAsia="zh-CN"/>
        </w:rPr>
      </w:pPr>
      <w:r>
        <w:rPr>
          <w:rFonts w:hint="eastAsia"/>
          <w:lang w:val="en-US" w:eastAsia="zh-CN"/>
        </w:rPr>
        <w:t>本项目粪污先经过固液分离，粪污进入污水处理系统进行固液分离、无氧发酵、好氧处理等，固体粪便、厌氧沼渣及好氧污泥进入堆粪场进行有氧堆肥处理，最终液体在好氧塘中贮存，并委托129团农业发展中心定期清运，堆肥产出的固体有机肥均作为粪肥还田利用。主要的产排污环节是污水吹系统各池体及堆肥场无组织恶臭废气。</w:t>
      </w:r>
    </w:p>
    <w:p w14:paraId="731BCD0B">
      <w:pPr>
        <w:bidi w:val="0"/>
        <w:rPr>
          <w:rFonts w:hint="default"/>
          <w:lang w:val="en-US" w:eastAsia="zh-CN"/>
        </w:rPr>
      </w:pPr>
      <w:r>
        <w:rPr>
          <w:rFonts w:hint="eastAsia"/>
          <w:lang w:val="en-US" w:eastAsia="zh-CN"/>
        </w:rPr>
        <w:t>厌氧发酵过程产生的沼气经脱水、脱硫后送生物质锅炉作为燃料燃烧。</w:t>
      </w:r>
    </w:p>
    <w:p w14:paraId="56970F3B">
      <w:pPr>
        <w:bidi w:val="0"/>
        <w:rPr>
          <w:rFonts w:hint="default"/>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生活、工作</w:t>
      </w:r>
    </w:p>
    <w:p w14:paraId="299B3D5E">
      <w:pPr>
        <w:bidi w:val="0"/>
        <w:rPr>
          <w:rFonts w:hint="eastAsia"/>
          <w:lang w:val="en-US" w:eastAsia="zh-CN"/>
        </w:rPr>
      </w:pPr>
      <w:r>
        <w:rPr>
          <w:rFonts w:hint="eastAsia"/>
          <w:lang w:val="en-US" w:eastAsia="zh-CN"/>
        </w:rPr>
        <w:t>本项目劳动定员30人，在场区工作、办公及食宿过程产生生活排污，主要为生活污水、生活垃圾、食堂油烟及生物质锅炉烟气。</w:t>
      </w:r>
    </w:p>
    <w:p w14:paraId="000DD845">
      <w:pPr>
        <w:bidi w:val="0"/>
        <w:rPr>
          <w:rFonts w:hint="eastAsia"/>
          <w:lang w:val="en-US" w:eastAsia="zh-CN"/>
        </w:rPr>
      </w:pPr>
      <w:r>
        <w:rPr>
          <w:rFonts w:hint="eastAsia"/>
          <w:lang w:val="en-US" w:eastAsia="zh-CN"/>
        </w:rPr>
        <w:t>综上所述，本项目产排污环节见表3.3-1。</w:t>
      </w:r>
    </w:p>
    <w:p w14:paraId="176BDEB6">
      <w:pPr>
        <w:pStyle w:val="2"/>
        <w:rPr>
          <w:rFonts w:hint="eastAsia"/>
          <w:lang w:val="en-US" w:eastAsia="zh-CN"/>
        </w:rPr>
      </w:pPr>
      <w:r>
        <w:rPr>
          <w:rFonts w:hint="eastAsia"/>
          <w:lang w:val="en-US" w:eastAsia="zh-CN"/>
        </w:rPr>
        <w:t>本项目的工艺流程及产排污环节汇总见图3.3-1。</w:t>
      </w:r>
    </w:p>
    <w:p w14:paraId="06C93C20">
      <w:pPr>
        <w:pStyle w:val="30"/>
        <w:bidi w:val="0"/>
        <w:rPr>
          <w:rFonts w:hint="eastAsia"/>
          <w:lang w:val="en-US" w:eastAsia="zh-CN"/>
        </w:rPr>
      </w:pPr>
      <w:r>
        <w:rPr>
          <w:rFonts w:hint="eastAsia"/>
          <w:lang w:val="en-US" w:eastAsia="zh-CN"/>
        </w:rPr>
        <w:t>表3.3-1   本项目产污环节汇总表</w:t>
      </w:r>
    </w:p>
    <w:tbl>
      <w:tblPr>
        <w:tblStyle w:val="21"/>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534"/>
        <w:gridCol w:w="1257"/>
        <w:gridCol w:w="1204"/>
        <w:gridCol w:w="2069"/>
        <w:gridCol w:w="2557"/>
      </w:tblGrid>
      <w:tr w14:paraId="33F2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tcMar>
              <w:top w:w="0" w:type="dxa"/>
              <w:left w:w="0" w:type="dxa"/>
              <w:bottom w:w="0" w:type="dxa"/>
              <w:right w:w="0" w:type="dxa"/>
            </w:tcMar>
            <w:vAlign w:val="center"/>
          </w:tcPr>
          <w:p w14:paraId="44E22B1F">
            <w:pPr>
              <w:pStyle w:val="19"/>
              <w:bidi w:val="0"/>
            </w:pPr>
            <w:r>
              <w:t>污染类型</w:t>
            </w:r>
          </w:p>
        </w:tc>
        <w:tc>
          <w:tcPr>
            <w:tcW w:w="534" w:type="dxa"/>
            <w:tcMar>
              <w:top w:w="0" w:type="dxa"/>
              <w:left w:w="0" w:type="dxa"/>
              <w:bottom w:w="0" w:type="dxa"/>
              <w:right w:w="0" w:type="dxa"/>
            </w:tcMar>
            <w:vAlign w:val="center"/>
          </w:tcPr>
          <w:p w14:paraId="2ABDF947">
            <w:pPr>
              <w:pStyle w:val="19"/>
              <w:bidi w:val="0"/>
            </w:pPr>
            <w:r>
              <w:t>编号</w:t>
            </w:r>
          </w:p>
        </w:tc>
        <w:tc>
          <w:tcPr>
            <w:tcW w:w="1257" w:type="dxa"/>
            <w:tcMar>
              <w:top w:w="0" w:type="dxa"/>
              <w:left w:w="0" w:type="dxa"/>
              <w:bottom w:w="0" w:type="dxa"/>
              <w:right w:w="0" w:type="dxa"/>
            </w:tcMar>
            <w:vAlign w:val="center"/>
          </w:tcPr>
          <w:p w14:paraId="50983901">
            <w:pPr>
              <w:pStyle w:val="19"/>
              <w:bidi w:val="0"/>
            </w:pPr>
            <w:r>
              <w:t>污染环节</w:t>
            </w:r>
          </w:p>
        </w:tc>
        <w:tc>
          <w:tcPr>
            <w:tcW w:w="1204" w:type="dxa"/>
            <w:tcMar>
              <w:top w:w="0" w:type="dxa"/>
              <w:left w:w="0" w:type="dxa"/>
              <w:bottom w:w="0" w:type="dxa"/>
              <w:right w:w="0" w:type="dxa"/>
            </w:tcMar>
            <w:vAlign w:val="center"/>
          </w:tcPr>
          <w:p w14:paraId="69F6A508">
            <w:pPr>
              <w:pStyle w:val="19"/>
              <w:bidi w:val="0"/>
            </w:pPr>
            <w:r>
              <w:t>污染物名称</w:t>
            </w:r>
          </w:p>
        </w:tc>
        <w:tc>
          <w:tcPr>
            <w:tcW w:w="2069" w:type="dxa"/>
            <w:tcMar>
              <w:top w:w="0" w:type="dxa"/>
              <w:left w:w="0" w:type="dxa"/>
              <w:bottom w:w="0" w:type="dxa"/>
              <w:right w:w="0" w:type="dxa"/>
            </w:tcMar>
            <w:vAlign w:val="center"/>
          </w:tcPr>
          <w:p w14:paraId="52A743D1">
            <w:pPr>
              <w:pStyle w:val="19"/>
              <w:bidi w:val="0"/>
            </w:pPr>
            <w:r>
              <w:t>污染因子</w:t>
            </w:r>
          </w:p>
        </w:tc>
        <w:tc>
          <w:tcPr>
            <w:tcW w:w="2557" w:type="dxa"/>
            <w:tcMar>
              <w:top w:w="0" w:type="dxa"/>
              <w:left w:w="0" w:type="dxa"/>
              <w:bottom w:w="0" w:type="dxa"/>
              <w:right w:w="0" w:type="dxa"/>
            </w:tcMar>
            <w:vAlign w:val="center"/>
          </w:tcPr>
          <w:p w14:paraId="7A4B8287">
            <w:pPr>
              <w:pStyle w:val="19"/>
              <w:bidi w:val="0"/>
            </w:pPr>
            <w:r>
              <w:t>处置方式</w:t>
            </w:r>
          </w:p>
        </w:tc>
      </w:tr>
      <w:tr w14:paraId="2A89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restart"/>
            <w:tcMar>
              <w:top w:w="0" w:type="dxa"/>
              <w:left w:w="0" w:type="dxa"/>
              <w:bottom w:w="0" w:type="dxa"/>
              <w:right w:w="0" w:type="dxa"/>
            </w:tcMar>
            <w:vAlign w:val="center"/>
          </w:tcPr>
          <w:p w14:paraId="10D99BBF">
            <w:pPr>
              <w:pStyle w:val="19"/>
              <w:bidi w:val="0"/>
            </w:pPr>
            <w:r>
              <w:t>废气</w:t>
            </w:r>
          </w:p>
        </w:tc>
        <w:tc>
          <w:tcPr>
            <w:tcW w:w="534" w:type="dxa"/>
            <w:tcMar>
              <w:top w:w="0" w:type="dxa"/>
              <w:left w:w="0" w:type="dxa"/>
              <w:bottom w:w="0" w:type="dxa"/>
              <w:right w:w="0" w:type="dxa"/>
            </w:tcMar>
            <w:vAlign w:val="center"/>
          </w:tcPr>
          <w:p w14:paraId="525BBA8D">
            <w:pPr>
              <w:pStyle w:val="19"/>
              <w:bidi w:val="0"/>
            </w:pPr>
            <w:r>
              <w:t>G1</w:t>
            </w:r>
          </w:p>
        </w:tc>
        <w:tc>
          <w:tcPr>
            <w:tcW w:w="1257" w:type="dxa"/>
            <w:tcMar>
              <w:top w:w="0" w:type="dxa"/>
              <w:left w:w="0" w:type="dxa"/>
              <w:bottom w:w="0" w:type="dxa"/>
              <w:right w:w="0" w:type="dxa"/>
            </w:tcMar>
            <w:vAlign w:val="center"/>
          </w:tcPr>
          <w:p w14:paraId="76AEB720">
            <w:pPr>
              <w:pStyle w:val="19"/>
              <w:bidi w:val="0"/>
              <w:rPr>
                <w:rFonts w:hint="eastAsia" w:eastAsia="宋体"/>
                <w:lang w:eastAsia="zh-CN"/>
              </w:rPr>
            </w:pPr>
            <w:r>
              <w:rPr>
                <w:rFonts w:hint="eastAsia"/>
                <w:lang w:val="en-US" w:eastAsia="zh-CN"/>
              </w:rPr>
              <w:t>育肥</w:t>
            </w:r>
          </w:p>
        </w:tc>
        <w:tc>
          <w:tcPr>
            <w:tcW w:w="1204" w:type="dxa"/>
            <w:tcMar>
              <w:top w:w="0" w:type="dxa"/>
              <w:left w:w="0" w:type="dxa"/>
              <w:bottom w:w="0" w:type="dxa"/>
              <w:right w:w="0" w:type="dxa"/>
            </w:tcMar>
            <w:vAlign w:val="center"/>
          </w:tcPr>
          <w:p w14:paraId="5BD376CD">
            <w:pPr>
              <w:pStyle w:val="19"/>
              <w:bidi w:val="0"/>
            </w:pPr>
            <w:r>
              <w:t>恶臭气体</w:t>
            </w:r>
          </w:p>
        </w:tc>
        <w:tc>
          <w:tcPr>
            <w:tcW w:w="2069" w:type="dxa"/>
            <w:tcMar>
              <w:top w:w="0" w:type="dxa"/>
              <w:left w:w="0" w:type="dxa"/>
              <w:bottom w:w="0" w:type="dxa"/>
              <w:right w:w="0" w:type="dxa"/>
            </w:tcMar>
            <w:vAlign w:val="center"/>
          </w:tcPr>
          <w:p w14:paraId="48A1D84C">
            <w:pPr>
              <w:pStyle w:val="19"/>
              <w:bidi w:val="0"/>
            </w:pPr>
            <w:r>
              <w:t>氨、硫化氢、臭气浓度</w:t>
            </w:r>
          </w:p>
        </w:tc>
        <w:tc>
          <w:tcPr>
            <w:tcW w:w="2557" w:type="dxa"/>
            <w:tcMar>
              <w:top w:w="0" w:type="dxa"/>
              <w:left w:w="0" w:type="dxa"/>
              <w:bottom w:w="0" w:type="dxa"/>
              <w:right w:w="0" w:type="dxa"/>
            </w:tcMar>
            <w:vAlign w:val="center"/>
          </w:tcPr>
          <w:p w14:paraId="38A14C9B">
            <w:pPr>
              <w:pStyle w:val="19"/>
              <w:bidi w:val="0"/>
            </w:pPr>
            <w:r>
              <w:t>定期喷洒除臭剂风机</w:t>
            </w:r>
            <w:r>
              <w:rPr>
                <w:rFonts w:hint="eastAsia"/>
              </w:rPr>
              <w:t>排</w:t>
            </w:r>
            <w:r>
              <w:t>风</w:t>
            </w:r>
            <w:r>
              <w:rPr>
                <w:rFonts w:hint="eastAsia"/>
              </w:rPr>
              <w:t>；</w:t>
            </w:r>
          </w:p>
        </w:tc>
      </w:tr>
      <w:tr w14:paraId="2BD6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02266D9C">
            <w:pPr>
              <w:pStyle w:val="19"/>
              <w:bidi w:val="0"/>
            </w:pPr>
          </w:p>
        </w:tc>
        <w:tc>
          <w:tcPr>
            <w:tcW w:w="534" w:type="dxa"/>
            <w:tcMar>
              <w:top w:w="0" w:type="dxa"/>
              <w:left w:w="0" w:type="dxa"/>
              <w:bottom w:w="0" w:type="dxa"/>
              <w:right w:w="0" w:type="dxa"/>
            </w:tcMar>
            <w:vAlign w:val="center"/>
          </w:tcPr>
          <w:p w14:paraId="76FA6EF8">
            <w:pPr>
              <w:pStyle w:val="19"/>
              <w:bidi w:val="0"/>
            </w:pPr>
            <w:r>
              <w:t>G2</w:t>
            </w:r>
          </w:p>
        </w:tc>
        <w:tc>
          <w:tcPr>
            <w:tcW w:w="1257" w:type="dxa"/>
            <w:tcMar>
              <w:top w:w="0" w:type="dxa"/>
              <w:left w:w="0" w:type="dxa"/>
              <w:bottom w:w="0" w:type="dxa"/>
              <w:right w:w="0" w:type="dxa"/>
            </w:tcMar>
            <w:vAlign w:val="center"/>
          </w:tcPr>
          <w:p w14:paraId="026C2C21">
            <w:pPr>
              <w:pStyle w:val="19"/>
              <w:bidi w:val="0"/>
              <w:rPr>
                <w:rFonts w:hint="default" w:eastAsia="宋体"/>
                <w:lang w:val="en-US" w:eastAsia="zh-CN"/>
              </w:rPr>
            </w:pPr>
            <w:r>
              <w:rPr>
                <w:rFonts w:hint="eastAsia"/>
                <w:lang w:val="en-US" w:eastAsia="zh-CN"/>
              </w:rPr>
              <w:t>堆肥</w:t>
            </w:r>
          </w:p>
        </w:tc>
        <w:tc>
          <w:tcPr>
            <w:tcW w:w="1204" w:type="dxa"/>
            <w:tcMar>
              <w:top w:w="0" w:type="dxa"/>
              <w:left w:w="0" w:type="dxa"/>
              <w:bottom w:w="0" w:type="dxa"/>
              <w:right w:w="0" w:type="dxa"/>
            </w:tcMar>
            <w:vAlign w:val="center"/>
          </w:tcPr>
          <w:p w14:paraId="5F63CC4E">
            <w:pPr>
              <w:pStyle w:val="19"/>
              <w:bidi w:val="0"/>
              <w:rPr>
                <w:rFonts w:hint="default"/>
                <w:lang w:val="en-US" w:eastAsia="zh-CN"/>
              </w:rPr>
            </w:pPr>
            <w:r>
              <w:t>恶臭气体</w:t>
            </w:r>
          </w:p>
        </w:tc>
        <w:tc>
          <w:tcPr>
            <w:tcW w:w="2069" w:type="dxa"/>
            <w:tcMar>
              <w:top w:w="0" w:type="dxa"/>
              <w:left w:w="0" w:type="dxa"/>
              <w:bottom w:w="0" w:type="dxa"/>
              <w:right w:w="0" w:type="dxa"/>
            </w:tcMar>
            <w:vAlign w:val="center"/>
          </w:tcPr>
          <w:p w14:paraId="07420BB1">
            <w:pPr>
              <w:pStyle w:val="19"/>
              <w:bidi w:val="0"/>
              <w:rPr>
                <w:rFonts w:hint="default"/>
                <w:lang w:val="en-US" w:eastAsia="zh-CN"/>
              </w:rPr>
            </w:pPr>
            <w:r>
              <w:t>氨、硫化氢、臭气浓度</w:t>
            </w:r>
          </w:p>
        </w:tc>
        <w:tc>
          <w:tcPr>
            <w:tcW w:w="2557" w:type="dxa"/>
            <w:tcMar>
              <w:top w:w="0" w:type="dxa"/>
              <w:left w:w="0" w:type="dxa"/>
              <w:bottom w:w="0" w:type="dxa"/>
              <w:right w:w="0" w:type="dxa"/>
            </w:tcMar>
            <w:vAlign w:val="center"/>
          </w:tcPr>
          <w:p w14:paraId="604F7DFB">
            <w:pPr>
              <w:pStyle w:val="19"/>
              <w:bidi w:val="0"/>
            </w:pPr>
            <w:r>
              <w:t>定期喷洒除臭剂</w:t>
            </w:r>
            <w:r>
              <w:rPr>
                <w:rFonts w:hint="eastAsia"/>
                <w:lang w:eastAsia="zh-CN"/>
              </w:rPr>
              <w:t>，</w:t>
            </w:r>
            <w:r>
              <w:t>加强通风；</w:t>
            </w:r>
          </w:p>
        </w:tc>
      </w:tr>
      <w:tr w14:paraId="30D8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90" w:type="dxa"/>
            <w:vMerge w:val="continue"/>
            <w:tcMar>
              <w:top w:w="0" w:type="dxa"/>
              <w:left w:w="0" w:type="dxa"/>
              <w:bottom w:w="0" w:type="dxa"/>
              <w:right w:w="0" w:type="dxa"/>
            </w:tcMar>
            <w:vAlign w:val="center"/>
          </w:tcPr>
          <w:p w14:paraId="5BC20E85">
            <w:pPr>
              <w:pStyle w:val="19"/>
              <w:bidi w:val="0"/>
            </w:pPr>
          </w:p>
        </w:tc>
        <w:tc>
          <w:tcPr>
            <w:tcW w:w="534" w:type="dxa"/>
            <w:tcMar>
              <w:top w:w="0" w:type="dxa"/>
              <w:left w:w="0" w:type="dxa"/>
              <w:bottom w:w="0" w:type="dxa"/>
              <w:right w:w="0" w:type="dxa"/>
            </w:tcMar>
            <w:vAlign w:val="center"/>
          </w:tcPr>
          <w:p w14:paraId="1CA1336F">
            <w:pPr>
              <w:pStyle w:val="19"/>
              <w:bidi w:val="0"/>
              <w:rPr>
                <w:rFonts w:hint="eastAsia"/>
                <w:lang w:eastAsia="zh-CN"/>
              </w:rPr>
            </w:pPr>
            <w:r>
              <w:t>G</w:t>
            </w:r>
            <w:r>
              <w:rPr>
                <w:rFonts w:hint="eastAsia"/>
                <w:lang w:val="en-US" w:eastAsia="zh-CN"/>
              </w:rPr>
              <w:t>3</w:t>
            </w:r>
          </w:p>
        </w:tc>
        <w:tc>
          <w:tcPr>
            <w:tcW w:w="1257" w:type="dxa"/>
            <w:tcMar>
              <w:top w:w="0" w:type="dxa"/>
              <w:left w:w="0" w:type="dxa"/>
              <w:bottom w:w="0" w:type="dxa"/>
              <w:right w:w="0" w:type="dxa"/>
            </w:tcMar>
            <w:vAlign w:val="center"/>
          </w:tcPr>
          <w:p w14:paraId="6DA98E4B">
            <w:pPr>
              <w:pStyle w:val="19"/>
              <w:bidi w:val="0"/>
              <w:rPr>
                <w:rFonts w:hint="default" w:eastAsia="宋体"/>
                <w:lang w:val="en-US" w:eastAsia="zh-CN"/>
              </w:rPr>
            </w:pPr>
            <w:r>
              <w:rPr>
                <w:rFonts w:hint="eastAsia"/>
                <w:lang w:val="en-US" w:eastAsia="zh-CN"/>
              </w:rPr>
              <w:t>污水处理系统</w:t>
            </w:r>
          </w:p>
        </w:tc>
        <w:tc>
          <w:tcPr>
            <w:tcW w:w="1204" w:type="dxa"/>
            <w:tcMar>
              <w:top w:w="0" w:type="dxa"/>
              <w:left w:w="0" w:type="dxa"/>
              <w:bottom w:w="0" w:type="dxa"/>
              <w:right w:w="0" w:type="dxa"/>
            </w:tcMar>
            <w:vAlign w:val="center"/>
          </w:tcPr>
          <w:p w14:paraId="062D7C2D">
            <w:pPr>
              <w:pStyle w:val="19"/>
              <w:bidi w:val="0"/>
            </w:pPr>
            <w:r>
              <w:t>恶臭气体</w:t>
            </w:r>
            <w:r>
              <w:rPr>
                <w:rFonts w:hint="eastAsia"/>
                <w:lang w:eastAsia="zh-CN"/>
              </w:rPr>
              <w:t>、</w:t>
            </w:r>
            <w:r>
              <w:rPr>
                <w:rFonts w:hint="eastAsia"/>
                <w:lang w:val="en-US" w:eastAsia="zh-CN"/>
              </w:rPr>
              <w:t>沼气</w:t>
            </w:r>
          </w:p>
        </w:tc>
        <w:tc>
          <w:tcPr>
            <w:tcW w:w="2069" w:type="dxa"/>
            <w:tcMar>
              <w:top w:w="0" w:type="dxa"/>
              <w:left w:w="0" w:type="dxa"/>
              <w:bottom w:w="0" w:type="dxa"/>
              <w:right w:w="0" w:type="dxa"/>
            </w:tcMar>
            <w:vAlign w:val="center"/>
          </w:tcPr>
          <w:p w14:paraId="743523D9">
            <w:pPr>
              <w:pStyle w:val="19"/>
              <w:bidi w:val="0"/>
            </w:pPr>
            <w:r>
              <w:rPr>
                <w:rFonts w:hint="eastAsia"/>
                <w:lang w:val="en-US" w:eastAsia="zh-CN"/>
              </w:rPr>
              <w:t>恶臭气体（</w:t>
            </w:r>
            <w:r>
              <w:t>氨</w:t>
            </w:r>
            <w:r>
              <w:rPr>
                <w:rFonts w:hint="eastAsia"/>
                <w:lang w:val="en-US" w:eastAsia="zh-CN"/>
              </w:rPr>
              <w:t>和</w:t>
            </w:r>
            <w:r>
              <w:t>硫化氢</w:t>
            </w:r>
            <w:r>
              <w:rPr>
                <w:rFonts w:hint="eastAsia"/>
                <w:lang w:val="en-US" w:eastAsia="zh-CN"/>
              </w:rPr>
              <w:t>等</w:t>
            </w:r>
            <w:r>
              <w:rPr>
                <w:rFonts w:hint="eastAsia"/>
                <w:lang w:eastAsia="zh-CN"/>
              </w:rPr>
              <w:t>）</w:t>
            </w:r>
            <w:r>
              <w:rPr>
                <w:rFonts w:hint="eastAsia"/>
                <w:lang w:val="en-US" w:eastAsia="zh-CN"/>
              </w:rPr>
              <w:t>及沼气</w:t>
            </w:r>
          </w:p>
        </w:tc>
        <w:tc>
          <w:tcPr>
            <w:tcW w:w="2557" w:type="dxa"/>
            <w:tcMar>
              <w:top w:w="0" w:type="dxa"/>
              <w:left w:w="0" w:type="dxa"/>
              <w:bottom w:w="0" w:type="dxa"/>
              <w:right w:w="0" w:type="dxa"/>
            </w:tcMar>
            <w:vAlign w:val="center"/>
          </w:tcPr>
          <w:p w14:paraId="6766D458">
            <w:pPr>
              <w:pStyle w:val="19"/>
              <w:bidi w:val="0"/>
              <w:rPr>
                <w:rFonts w:hint="eastAsia"/>
                <w:lang w:eastAsia="zh-CN"/>
              </w:rPr>
            </w:pPr>
            <w:r>
              <w:rPr>
                <w:rFonts w:hint="eastAsia"/>
                <w:lang w:val="en-US" w:eastAsia="zh-CN"/>
              </w:rPr>
              <w:t>①恶臭气体：采取覆盖、</w:t>
            </w:r>
            <w:r>
              <w:t>定期喷洒除臭剂</w:t>
            </w:r>
            <w:r>
              <w:rPr>
                <w:rFonts w:hint="eastAsia"/>
                <w:lang w:eastAsia="zh-CN"/>
              </w:rPr>
              <w:t>；</w:t>
            </w:r>
          </w:p>
          <w:p w14:paraId="3266BD64">
            <w:pPr>
              <w:pStyle w:val="19"/>
              <w:bidi w:val="0"/>
              <w:jc w:val="both"/>
              <w:rPr>
                <w:rFonts w:hint="default"/>
                <w:lang w:val="en-US" w:eastAsia="zh-CN"/>
              </w:rPr>
            </w:pPr>
            <w:r>
              <w:rPr>
                <w:rFonts w:hint="eastAsia"/>
                <w:lang w:val="en-US" w:eastAsia="zh-CN"/>
              </w:rPr>
              <w:t>②沼气：净化后燃烧</w:t>
            </w:r>
          </w:p>
        </w:tc>
      </w:tr>
      <w:tr w14:paraId="6923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13A59A84">
            <w:pPr>
              <w:pStyle w:val="19"/>
              <w:bidi w:val="0"/>
            </w:pPr>
          </w:p>
        </w:tc>
        <w:tc>
          <w:tcPr>
            <w:tcW w:w="534" w:type="dxa"/>
            <w:tcMar>
              <w:top w:w="0" w:type="dxa"/>
              <w:left w:w="0" w:type="dxa"/>
              <w:bottom w:w="0" w:type="dxa"/>
              <w:right w:w="0" w:type="dxa"/>
            </w:tcMar>
            <w:vAlign w:val="center"/>
          </w:tcPr>
          <w:p w14:paraId="35A4587D">
            <w:pPr>
              <w:pStyle w:val="19"/>
              <w:bidi w:val="0"/>
              <w:rPr>
                <w:rFonts w:hint="eastAsia"/>
                <w:lang w:eastAsia="zh-CN"/>
              </w:rPr>
            </w:pPr>
            <w:r>
              <w:t>G</w:t>
            </w:r>
            <w:r>
              <w:rPr>
                <w:rFonts w:hint="eastAsia"/>
                <w:lang w:val="en-US" w:eastAsia="zh-CN"/>
              </w:rPr>
              <w:t>4</w:t>
            </w:r>
          </w:p>
        </w:tc>
        <w:tc>
          <w:tcPr>
            <w:tcW w:w="1257" w:type="dxa"/>
            <w:tcMar>
              <w:top w:w="0" w:type="dxa"/>
              <w:left w:w="0" w:type="dxa"/>
              <w:bottom w:w="0" w:type="dxa"/>
              <w:right w:w="0" w:type="dxa"/>
            </w:tcMar>
            <w:vAlign w:val="center"/>
          </w:tcPr>
          <w:p w14:paraId="28925A97">
            <w:pPr>
              <w:pStyle w:val="19"/>
              <w:bidi w:val="0"/>
              <w:rPr>
                <w:rFonts w:hint="eastAsia" w:eastAsia="宋体"/>
                <w:lang w:val="en-US" w:eastAsia="zh-CN"/>
              </w:rPr>
            </w:pPr>
            <w:r>
              <w:rPr>
                <w:rFonts w:hint="eastAsia"/>
              </w:rPr>
              <w:t>干湿分离</w:t>
            </w:r>
            <w:r>
              <w:rPr>
                <w:rFonts w:hint="eastAsia"/>
                <w:lang w:val="en-US" w:eastAsia="zh-CN"/>
              </w:rPr>
              <w:t>用房</w:t>
            </w:r>
          </w:p>
        </w:tc>
        <w:tc>
          <w:tcPr>
            <w:tcW w:w="1204" w:type="dxa"/>
            <w:tcMar>
              <w:top w:w="0" w:type="dxa"/>
              <w:left w:w="0" w:type="dxa"/>
              <w:bottom w:w="0" w:type="dxa"/>
              <w:right w:w="0" w:type="dxa"/>
            </w:tcMar>
            <w:vAlign w:val="center"/>
          </w:tcPr>
          <w:p w14:paraId="261BE9A0">
            <w:pPr>
              <w:pStyle w:val="19"/>
              <w:bidi w:val="0"/>
            </w:pPr>
            <w:r>
              <w:t>恶臭气体</w:t>
            </w:r>
          </w:p>
        </w:tc>
        <w:tc>
          <w:tcPr>
            <w:tcW w:w="2069" w:type="dxa"/>
            <w:tcMar>
              <w:top w:w="0" w:type="dxa"/>
              <w:left w:w="0" w:type="dxa"/>
              <w:bottom w:w="0" w:type="dxa"/>
              <w:right w:w="0" w:type="dxa"/>
            </w:tcMar>
            <w:vAlign w:val="center"/>
          </w:tcPr>
          <w:p w14:paraId="3EDEBBCD">
            <w:pPr>
              <w:pStyle w:val="19"/>
              <w:bidi w:val="0"/>
            </w:pPr>
            <w:r>
              <w:t>氨、硫化氢、臭气浓度</w:t>
            </w:r>
          </w:p>
        </w:tc>
        <w:tc>
          <w:tcPr>
            <w:tcW w:w="2557" w:type="dxa"/>
            <w:tcMar>
              <w:top w:w="0" w:type="dxa"/>
              <w:left w:w="0" w:type="dxa"/>
              <w:bottom w:w="0" w:type="dxa"/>
              <w:right w:w="0" w:type="dxa"/>
            </w:tcMar>
            <w:vAlign w:val="center"/>
          </w:tcPr>
          <w:p w14:paraId="33F36845">
            <w:pPr>
              <w:pStyle w:val="19"/>
              <w:bidi w:val="0"/>
            </w:pPr>
            <w:r>
              <w:rPr>
                <w:rFonts w:hint="eastAsia"/>
                <w:lang w:val="en-US" w:eastAsia="zh-CN"/>
              </w:rPr>
              <w:t>车间密闭，</w:t>
            </w:r>
            <w:r>
              <w:t>定期喷洒除臭剂</w:t>
            </w:r>
          </w:p>
        </w:tc>
      </w:tr>
      <w:tr w14:paraId="46B7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073D4EFA">
            <w:pPr>
              <w:pStyle w:val="19"/>
              <w:bidi w:val="0"/>
            </w:pPr>
          </w:p>
        </w:tc>
        <w:tc>
          <w:tcPr>
            <w:tcW w:w="534" w:type="dxa"/>
            <w:tcMar>
              <w:top w:w="0" w:type="dxa"/>
              <w:left w:w="0" w:type="dxa"/>
              <w:bottom w:w="0" w:type="dxa"/>
              <w:right w:w="0" w:type="dxa"/>
            </w:tcMar>
            <w:vAlign w:val="center"/>
          </w:tcPr>
          <w:p w14:paraId="4EA1D3EC">
            <w:pPr>
              <w:pStyle w:val="19"/>
              <w:bidi w:val="0"/>
              <w:rPr>
                <w:rFonts w:hint="default" w:eastAsia="宋体"/>
                <w:lang w:val="en-US" w:eastAsia="zh-CN"/>
              </w:rPr>
            </w:pPr>
            <w:r>
              <w:rPr>
                <w:rFonts w:hint="eastAsia"/>
                <w:lang w:val="en-US" w:eastAsia="zh-CN"/>
              </w:rPr>
              <w:t>G5</w:t>
            </w:r>
          </w:p>
        </w:tc>
        <w:tc>
          <w:tcPr>
            <w:tcW w:w="1257" w:type="dxa"/>
            <w:tcMar>
              <w:top w:w="0" w:type="dxa"/>
              <w:left w:w="0" w:type="dxa"/>
              <w:bottom w:w="0" w:type="dxa"/>
              <w:right w:w="0" w:type="dxa"/>
            </w:tcMar>
            <w:vAlign w:val="center"/>
          </w:tcPr>
          <w:p w14:paraId="097DA743">
            <w:pPr>
              <w:pStyle w:val="19"/>
              <w:bidi w:val="0"/>
              <w:rPr>
                <w:rFonts w:hint="default" w:eastAsia="宋体"/>
                <w:lang w:val="en-US" w:eastAsia="zh-CN"/>
              </w:rPr>
            </w:pPr>
            <w:r>
              <w:rPr>
                <w:rFonts w:hint="eastAsia"/>
                <w:lang w:val="en-US" w:eastAsia="zh-CN"/>
              </w:rPr>
              <w:t>食堂</w:t>
            </w:r>
          </w:p>
        </w:tc>
        <w:tc>
          <w:tcPr>
            <w:tcW w:w="1204" w:type="dxa"/>
            <w:tcMar>
              <w:top w:w="0" w:type="dxa"/>
              <w:left w:w="0" w:type="dxa"/>
              <w:bottom w:w="0" w:type="dxa"/>
              <w:right w:w="0" w:type="dxa"/>
            </w:tcMar>
            <w:vAlign w:val="center"/>
          </w:tcPr>
          <w:p w14:paraId="068C311E">
            <w:pPr>
              <w:pStyle w:val="19"/>
              <w:bidi w:val="0"/>
              <w:rPr>
                <w:rFonts w:hint="default" w:eastAsia="宋体"/>
                <w:lang w:val="en-US" w:eastAsia="zh-CN"/>
              </w:rPr>
            </w:pPr>
            <w:r>
              <w:rPr>
                <w:rFonts w:hint="eastAsia"/>
                <w:lang w:val="en-US" w:eastAsia="zh-CN"/>
              </w:rPr>
              <w:t>饮食油烟</w:t>
            </w:r>
          </w:p>
        </w:tc>
        <w:tc>
          <w:tcPr>
            <w:tcW w:w="2069" w:type="dxa"/>
            <w:tcMar>
              <w:top w:w="0" w:type="dxa"/>
              <w:left w:w="0" w:type="dxa"/>
              <w:bottom w:w="0" w:type="dxa"/>
              <w:right w:w="0" w:type="dxa"/>
            </w:tcMar>
            <w:vAlign w:val="center"/>
          </w:tcPr>
          <w:p w14:paraId="72CB0EE2">
            <w:pPr>
              <w:pStyle w:val="19"/>
              <w:bidi w:val="0"/>
            </w:pPr>
            <w:r>
              <w:rPr>
                <w:rFonts w:hint="eastAsia"/>
                <w:lang w:val="en-US" w:eastAsia="zh-CN"/>
              </w:rPr>
              <w:t>饮食油烟</w:t>
            </w:r>
          </w:p>
        </w:tc>
        <w:tc>
          <w:tcPr>
            <w:tcW w:w="2557" w:type="dxa"/>
            <w:tcMar>
              <w:top w:w="0" w:type="dxa"/>
              <w:left w:w="0" w:type="dxa"/>
              <w:bottom w:w="0" w:type="dxa"/>
              <w:right w:w="0" w:type="dxa"/>
            </w:tcMar>
            <w:vAlign w:val="center"/>
          </w:tcPr>
          <w:p w14:paraId="4EB6B6F6">
            <w:pPr>
              <w:pStyle w:val="19"/>
              <w:bidi w:val="0"/>
              <w:rPr>
                <w:rFonts w:hint="default"/>
                <w:lang w:val="en-US" w:eastAsia="zh-CN"/>
              </w:rPr>
            </w:pPr>
            <w:r>
              <w:rPr>
                <w:rFonts w:hint="eastAsia"/>
                <w:lang w:val="en-US" w:eastAsia="zh-CN"/>
              </w:rPr>
              <w:t>油烟净化器+楼顶烟道排放</w:t>
            </w:r>
          </w:p>
        </w:tc>
      </w:tr>
      <w:tr w14:paraId="432E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0561B4F1">
            <w:pPr>
              <w:pStyle w:val="19"/>
              <w:bidi w:val="0"/>
            </w:pPr>
          </w:p>
        </w:tc>
        <w:tc>
          <w:tcPr>
            <w:tcW w:w="534" w:type="dxa"/>
            <w:tcMar>
              <w:top w:w="0" w:type="dxa"/>
              <w:left w:w="0" w:type="dxa"/>
              <w:bottom w:w="0" w:type="dxa"/>
              <w:right w:w="0" w:type="dxa"/>
            </w:tcMar>
            <w:vAlign w:val="center"/>
          </w:tcPr>
          <w:p w14:paraId="3C45AD11">
            <w:pPr>
              <w:pStyle w:val="19"/>
              <w:bidi w:val="0"/>
              <w:rPr>
                <w:rFonts w:hint="default" w:eastAsia="宋体"/>
                <w:highlight w:val="yellow"/>
                <w:lang w:val="en-US" w:eastAsia="zh-CN"/>
              </w:rPr>
            </w:pPr>
            <w:r>
              <w:rPr>
                <w:rFonts w:hint="eastAsia"/>
                <w:highlight w:val="yellow"/>
                <w:lang w:val="en-US" w:eastAsia="zh-CN"/>
              </w:rPr>
              <w:t>G6</w:t>
            </w:r>
          </w:p>
        </w:tc>
        <w:tc>
          <w:tcPr>
            <w:tcW w:w="1257" w:type="dxa"/>
            <w:tcMar>
              <w:top w:w="0" w:type="dxa"/>
              <w:left w:w="0" w:type="dxa"/>
              <w:bottom w:w="0" w:type="dxa"/>
              <w:right w:w="0" w:type="dxa"/>
            </w:tcMar>
            <w:vAlign w:val="center"/>
          </w:tcPr>
          <w:p w14:paraId="7D10B7F1">
            <w:pPr>
              <w:pStyle w:val="19"/>
              <w:bidi w:val="0"/>
              <w:rPr>
                <w:rFonts w:hint="default" w:eastAsia="宋体"/>
                <w:highlight w:val="yellow"/>
                <w:lang w:val="en-US" w:eastAsia="zh-CN"/>
              </w:rPr>
            </w:pPr>
            <w:r>
              <w:rPr>
                <w:rFonts w:hint="eastAsia"/>
                <w:highlight w:val="yellow"/>
                <w:lang w:val="en-US" w:eastAsia="zh-CN"/>
              </w:rPr>
              <w:t>生物质锅炉</w:t>
            </w:r>
          </w:p>
        </w:tc>
        <w:tc>
          <w:tcPr>
            <w:tcW w:w="1204" w:type="dxa"/>
            <w:tcMar>
              <w:top w:w="0" w:type="dxa"/>
              <w:left w:w="0" w:type="dxa"/>
              <w:bottom w:w="0" w:type="dxa"/>
              <w:right w:w="0" w:type="dxa"/>
            </w:tcMar>
            <w:vAlign w:val="center"/>
          </w:tcPr>
          <w:p w14:paraId="28C10BCC">
            <w:pPr>
              <w:pStyle w:val="19"/>
              <w:bidi w:val="0"/>
              <w:rPr>
                <w:rFonts w:hint="eastAsia" w:eastAsia="宋体"/>
                <w:highlight w:val="yellow"/>
                <w:lang w:val="en-US" w:eastAsia="zh-CN"/>
              </w:rPr>
            </w:pPr>
            <w:r>
              <w:rPr>
                <w:rFonts w:hint="eastAsia"/>
                <w:highlight w:val="yellow"/>
                <w:lang w:val="en-US" w:eastAsia="zh-CN"/>
              </w:rPr>
              <w:t>锅炉烟气</w:t>
            </w:r>
          </w:p>
        </w:tc>
        <w:tc>
          <w:tcPr>
            <w:tcW w:w="2069" w:type="dxa"/>
            <w:tcMar>
              <w:top w:w="0" w:type="dxa"/>
              <w:left w:w="0" w:type="dxa"/>
              <w:bottom w:w="0" w:type="dxa"/>
              <w:right w:w="0" w:type="dxa"/>
            </w:tcMar>
            <w:vAlign w:val="center"/>
          </w:tcPr>
          <w:p w14:paraId="550D0139">
            <w:pPr>
              <w:pStyle w:val="19"/>
              <w:bidi w:val="0"/>
              <w:rPr>
                <w:rFonts w:hint="default" w:eastAsia="宋体"/>
                <w:highlight w:val="yellow"/>
                <w:vertAlign w:val="subscript"/>
                <w:lang w:val="en-US" w:eastAsia="zh-CN"/>
              </w:rPr>
            </w:pPr>
            <w:r>
              <w:rPr>
                <w:rFonts w:hint="eastAsia"/>
                <w:highlight w:val="yellow"/>
                <w:lang w:val="en-US" w:eastAsia="zh-CN"/>
              </w:rPr>
              <w:t>SO</w:t>
            </w:r>
            <w:r>
              <w:rPr>
                <w:rFonts w:hint="eastAsia"/>
                <w:highlight w:val="yellow"/>
                <w:vertAlign w:val="subscript"/>
                <w:lang w:val="en-US" w:eastAsia="zh-CN"/>
              </w:rPr>
              <w:t>2</w:t>
            </w:r>
            <w:r>
              <w:rPr>
                <w:rFonts w:hint="eastAsia"/>
                <w:highlight w:val="yellow"/>
                <w:vertAlign w:val="baseline"/>
                <w:lang w:val="en-US" w:eastAsia="zh-CN"/>
              </w:rPr>
              <w:t>、NO</w:t>
            </w:r>
            <w:r>
              <w:rPr>
                <w:rFonts w:hint="eastAsia"/>
                <w:highlight w:val="yellow"/>
                <w:vertAlign w:val="subscript"/>
                <w:lang w:val="en-US" w:eastAsia="zh-CN"/>
              </w:rPr>
              <w:t>2</w:t>
            </w:r>
            <w:r>
              <w:rPr>
                <w:rFonts w:hint="eastAsia"/>
                <w:highlight w:val="yellow"/>
                <w:vertAlign w:val="baseline"/>
                <w:lang w:val="en-US" w:eastAsia="zh-CN"/>
              </w:rPr>
              <w:t>、颗粒物</w:t>
            </w:r>
          </w:p>
        </w:tc>
        <w:tc>
          <w:tcPr>
            <w:tcW w:w="2557" w:type="dxa"/>
            <w:tcMar>
              <w:top w:w="0" w:type="dxa"/>
              <w:left w:w="0" w:type="dxa"/>
              <w:bottom w:w="0" w:type="dxa"/>
              <w:right w:w="0" w:type="dxa"/>
            </w:tcMar>
            <w:vAlign w:val="center"/>
          </w:tcPr>
          <w:p w14:paraId="372A60F1">
            <w:pPr>
              <w:pStyle w:val="19"/>
              <w:bidi w:val="0"/>
              <w:rPr>
                <w:rFonts w:hint="eastAsia"/>
                <w:highlight w:val="yellow"/>
                <w:lang w:val="en-US" w:eastAsia="zh-CN"/>
              </w:rPr>
            </w:pPr>
          </w:p>
        </w:tc>
      </w:tr>
      <w:tr w14:paraId="3ACE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restart"/>
            <w:tcMar>
              <w:top w:w="0" w:type="dxa"/>
              <w:left w:w="0" w:type="dxa"/>
              <w:bottom w:w="0" w:type="dxa"/>
              <w:right w:w="0" w:type="dxa"/>
            </w:tcMar>
            <w:vAlign w:val="center"/>
          </w:tcPr>
          <w:p w14:paraId="704AFB3E">
            <w:pPr>
              <w:pStyle w:val="19"/>
              <w:bidi w:val="0"/>
            </w:pPr>
            <w:r>
              <w:t>废水</w:t>
            </w:r>
          </w:p>
        </w:tc>
        <w:tc>
          <w:tcPr>
            <w:tcW w:w="534" w:type="dxa"/>
            <w:tcMar>
              <w:top w:w="0" w:type="dxa"/>
              <w:left w:w="0" w:type="dxa"/>
              <w:bottom w:w="0" w:type="dxa"/>
              <w:right w:w="0" w:type="dxa"/>
            </w:tcMar>
            <w:vAlign w:val="center"/>
          </w:tcPr>
          <w:p w14:paraId="57401A35">
            <w:pPr>
              <w:pStyle w:val="19"/>
              <w:bidi w:val="0"/>
            </w:pPr>
            <w:r>
              <w:t>W1</w:t>
            </w:r>
          </w:p>
        </w:tc>
        <w:tc>
          <w:tcPr>
            <w:tcW w:w="1257" w:type="dxa"/>
            <w:tcMar>
              <w:top w:w="0" w:type="dxa"/>
              <w:left w:w="0" w:type="dxa"/>
              <w:bottom w:w="0" w:type="dxa"/>
              <w:right w:w="0" w:type="dxa"/>
            </w:tcMar>
            <w:vAlign w:val="center"/>
          </w:tcPr>
          <w:p w14:paraId="6A59D6A9">
            <w:pPr>
              <w:pStyle w:val="19"/>
              <w:bidi w:val="0"/>
            </w:pPr>
            <w:r>
              <w:t>养殖过程</w:t>
            </w:r>
          </w:p>
        </w:tc>
        <w:tc>
          <w:tcPr>
            <w:tcW w:w="1204" w:type="dxa"/>
            <w:tcMar>
              <w:top w:w="0" w:type="dxa"/>
              <w:left w:w="0" w:type="dxa"/>
              <w:bottom w:w="0" w:type="dxa"/>
              <w:right w:w="0" w:type="dxa"/>
            </w:tcMar>
            <w:vAlign w:val="center"/>
          </w:tcPr>
          <w:p w14:paraId="1A6E3548">
            <w:pPr>
              <w:pStyle w:val="19"/>
              <w:bidi w:val="0"/>
            </w:pPr>
            <w:r>
              <w:t>猪尿</w:t>
            </w:r>
          </w:p>
        </w:tc>
        <w:tc>
          <w:tcPr>
            <w:tcW w:w="2069" w:type="dxa"/>
            <w:tcMar>
              <w:top w:w="0" w:type="dxa"/>
              <w:left w:w="0" w:type="dxa"/>
              <w:bottom w:w="0" w:type="dxa"/>
              <w:right w:w="0" w:type="dxa"/>
            </w:tcMar>
            <w:vAlign w:val="center"/>
          </w:tcPr>
          <w:p w14:paraId="251C4E7F">
            <w:pPr>
              <w:pStyle w:val="19"/>
              <w:bidi w:val="0"/>
            </w:pPr>
            <w:r>
              <w:t>COD、氨氮、SS</w:t>
            </w:r>
          </w:p>
        </w:tc>
        <w:tc>
          <w:tcPr>
            <w:tcW w:w="2557" w:type="dxa"/>
            <w:vMerge w:val="restart"/>
            <w:tcMar>
              <w:top w:w="0" w:type="dxa"/>
              <w:left w:w="0" w:type="dxa"/>
              <w:bottom w:w="0" w:type="dxa"/>
              <w:right w:w="0" w:type="dxa"/>
            </w:tcMar>
            <w:vAlign w:val="center"/>
          </w:tcPr>
          <w:p w14:paraId="129F17A1">
            <w:pPr>
              <w:pStyle w:val="19"/>
              <w:bidi w:val="0"/>
            </w:pPr>
            <w:r>
              <w:t>输送至</w:t>
            </w:r>
            <w:r>
              <w:rPr>
                <w:rFonts w:hint="eastAsia"/>
                <w:lang w:val="en-US" w:eastAsia="zh-CN"/>
              </w:rPr>
              <w:t>格栅+集水池（沉砂）+固液分离+水解酸化+UASB+SBR+好氧塘储存</w:t>
            </w:r>
            <w:r>
              <w:t>处理</w:t>
            </w:r>
          </w:p>
        </w:tc>
      </w:tr>
      <w:tr w14:paraId="65C0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426D5CDA">
            <w:pPr>
              <w:pStyle w:val="19"/>
              <w:bidi w:val="0"/>
            </w:pPr>
          </w:p>
        </w:tc>
        <w:tc>
          <w:tcPr>
            <w:tcW w:w="534" w:type="dxa"/>
            <w:tcMar>
              <w:top w:w="0" w:type="dxa"/>
              <w:left w:w="0" w:type="dxa"/>
              <w:bottom w:w="0" w:type="dxa"/>
              <w:right w:w="0" w:type="dxa"/>
            </w:tcMar>
            <w:vAlign w:val="center"/>
          </w:tcPr>
          <w:p w14:paraId="0E5D13E2">
            <w:pPr>
              <w:pStyle w:val="19"/>
              <w:bidi w:val="0"/>
            </w:pPr>
            <w:r>
              <w:t>W2</w:t>
            </w:r>
          </w:p>
        </w:tc>
        <w:tc>
          <w:tcPr>
            <w:tcW w:w="1257" w:type="dxa"/>
            <w:tcMar>
              <w:top w:w="0" w:type="dxa"/>
              <w:left w:w="0" w:type="dxa"/>
              <w:bottom w:w="0" w:type="dxa"/>
              <w:right w:w="0" w:type="dxa"/>
            </w:tcMar>
            <w:vAlign w:val="center"/>
          </w:tcPr>
          <w:p w14:paraId="1DF3E752">
            <w:pPr>
              <w:pStyle w:val="19"/>
              <w:bidi w:val="0"/>
            </w:pPr>
            <w:r>
              <w:t>猪舍冲洗</w:t>
            </w:r>
          </w:p>
        </w:tc>
        <w:tc>
          <w:tcPr>
            <w:tcW w:w="1204" w:type="dxa"/>
            <w:tcMar>
              <w:top w:w="0" w:type="dxa"/>
              <w:left w:w="0" w:type="dxa"/>
              <w:bottom w:w="0" w:type="dxa"/>
              <w:right w:w="0" w:type="dxa"/>
            </w:tcMar>
            <w:vAlign w:val="center"/>
          </w:tcPr>
          <w:p w14:paraId="5D66EEFE">
            <w:pPr>
              <w:pStyle w:val="19"/>
              <w:bidi w:val="0"/>
            </w:pPr>
            <w:r>
              <w:t>冲洗废水</w:t>
            </w:r>
          </w:p>
        </w:tc>
        <w:tc>
          <w:tcPr>
            <w:tcW w:w="2069" w:type="dxa"/>
            <w:tcMar>
              <w:top w:w="0" w:type="dxa"/>
              <w:left w:w="0" w:type="dxa"/>
              <w:bottom w:w="0" w:type="dxa"/>
              <w:right w:w="0" w:type="dxa"/>
            </w:tcMar>
            <w:vAlign w:val="center"/>
          </w:tcPr>
          <w:p w14:paraId="64FE31DC">
            <w:pPr>
              <w:pStyle w:val="19"/>
              <w:bidi w:val="0"/>
            </w:pPr>
            <w:r>
              <w:t>COD、氨氮、SS</w:t>
            </w:r>
          </w:p>
        </w:tc>
        <w:tc>
          <w:tcPr>
            <w:tcW w:w="2557" w:type="dxa"/>
            <w:vMerge w:val="continue"/>
            <w:tcMar>
              <w:top w:w="0" w:type="dxa"/>
              <w:left w:w="0" w:type="dxa"/>
              <w:bottom w:w="0" w:type="dxa"/>
              <w:right w:w="0" w:type="dxa"/>
            </w:tcMar>
            <w:vAlign w:val="center"/>
          </w:tcPr>
          <w:p w14:paraId="61F2CD06">
            <w:pPr>
              <w:pStyle w:val="19"/>
              <w:bidi w:val="0"/>
            </w:pPr>
          </w:p>
        </w:tc>
      </w:tr>
      <w:tr w14:paraId="5747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610D4459">
            <w:pPr>
              <w:pStyle w:val="19"/>
              <w:bidi w:val="0"/>
            </w:pPr>
          </w:p>
        </w:tc>
        <w:tc>
          <w:tcPr>
            <w:tcW w:w="534" w:type="dxa"/>
            <w:tcMar>
              <w:top w:w="0" w:type="dxa"/>
              <w:left w:w="0" w:type="dxa"/>
              <w:bottom w:w="0" w:type="dxa"/>
              <w:right w:w="0" w:type="dxa"/>
            </w:tcMar>
            <w:vAlign w:val="center"/>
          </w:tcPr>
          <w:p w14:paraId="01AEEA55">
            <w:pPr>
              <w:pStyle w:val="19"/>
              <w:bidi w:val="0"/>
            </w:pPr>
            <w:r>
              <w:t>W3</w:t>
            </w:r>
          </w:p>
        </w:tc>
        <w:tc>
          <w:tcPr>
            <w:tcW w:w="1257" w:type="dxa"/>
            <w:tcMar>
              <w:top w:w="0" w:type="dxa"/>
              <w:left w:w="0" w:type="dxa"/>
              <w:bottom w:w="0" w:type="dxa"/>
              <w:right w:w="0" w:type="dxa"/>
            </w:tcMar>
            <w:vAlign w:val="center"/>
          </w:tcPr>
          <w:p w14:paraId="6B54D640">
            <w:pPr>
              <w:pStyle w:val="19"/>
              <w:bidi w:val="0"/>
            </w:pPr>
            <w:r>
              <w:t>办公生活</w:t>
            </w:r>
          </w:p>
        </w:tc>
        <w:tc>
          <w:tcPr>
            <w:tcW w:w="1204" w:type="dxa"/>
            <w:tcMar>
              <w:top w:w="0" w:type="dxa"/>
              <w:left w:w="0" w:type="dxa"/>
              <w:bottom w:w="0" w:type="dxa"/>
              <w:right w:w="0" w:type="dxa"/>
            </w:tcMar>
            <w:vAlign w:val="center"/>
          </w:tcPr>
          <w:p w14:paraId="3DCFFC39">
            <w:pPr>
              <w:pStyle w:val="19"/>
              <w:bidi w:val="0"/>
            </w:pPr>
            <w:r>
              <w:t>生活污水</w:t>
            </w:r>
          </w:p>
        </w:tc>
        <w:tc>
          <w:tcPr>
            <w:tcW w:w="2069" w:type="dxa"/>
            <w:tcMar>
              <w:top w:w="0" w:type="dxa"/>
              <w:left w:w="0" w:type="dxa"/>
              <w:bottom w:w="0" w:type="dxa"/>
              <w:right w:w="0" w:type="dxa"/>
            </w:tcMar>
            <w:vAlign w:val="center"/>
          </w:tcPr>
          <w:p w14:paraId="66073402">
            <w:pPr>
              <w:pStyle w:val="19"/>
              <w:bidi w:val="0"/>
            </w:pPr>
            <w:r>
              <w:t>COD、氨氮、SS</w:t>
            </w:r>
          </w:p>
        </w:tc>
        <w:tc>
          <w:tcPr>
            <w:tcW w:w="2557" w:type="dxa"/>
            <w:vMerge w:val="continue"/>
            <w:tcMar>
              <w:top w:w="0" w:type="dxa"/>
              <w:left w:w="0" w:type="dxa"/>
              <w:bottom w:w="0" w:type="dxa"/>
              <w:right w:w="0" w:type="dxa"/>
            </w:tcMar>
            <w:vAlign w:val="center"/>
          </w:tcPr>
          <w:p w14:paraId="218F9340">
            <w:pPr>
              <w:pStyle w:val="19"/>
              <w:bidi w:val="0"/>
            </w:pPr>
          </w:p>
        </w:tc>
      </w:tr>
      <w:tr w14:paraId="0A4E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restart"/>
            <w:tcMar>
              <w:top w:w="0" w:type="dxa"/>
              <w:left w:w="0" w:type="dxa"/>
              <w:bottom w:w="0" w:type="dxa"/>
              <w:right w:w="0" w:type="dxa"/>
            </w:tcMar>
            <w:vAlign w:val="center"/>
          </w:tcPr>
          <w:p w14:paraId="2CD14CB0">
            <w:pPr>
              <w:pStyle w:val="19"/>
              <w:bidi w:val="0"/>
            </w:pPr>
            <w:r>
              <w:t>固废</w:t>
            </w:r>
          </w:p>
        </w:tc>
        <w:tc>
          <w:tcPr>
            <w:tcW w:w="534" w:type="dxa"/>
            <w:tcMar>
              <w:top w:w="0" w:type="dxa"/>
              <w:left w:w="0" w:type="dxa"/>
              <w:bottom w:w="0" w:type="dxa"/>
              <w:right w:w="0" w:type="dxa"/>
            </w:tcMar>
            <w:vAlign w:val="center"/>
          </w:tcPr>
          <w:p w14:paraId="6076C907">
            <w:pPr>
              <w:pStyle w:val="19"/>
              <w:bidi w:val="0"/>
            </w:pPr>
            <w:r>
              <w:t>S1</w:t>
            </w:r>
          </w:p>
        </w:tc>
        <w:tc>
          <w:tcPr>
            <w:tcW w:w="1257" w:type="dxa"/>
            <w:tcMar>
              <w:top w:w="0" w:type="dxa"/>
              <w:left w:w="0" w:type="dxa"/>
              <w:bottom w:w="0" w:type="dxa"/>
              <w:right w:w="0" w:type="dxa"/>
            </w:tcMar>
            <w:vAlign w:val="center"/>
          </w:tcPr>
          <w:p w14:paraId="4915847C">
            <w:pPr>
              <w:pStyle w:val="19"/>
              <w:bidi w:val="0"/>
            </w:pPr>
            <w:r>
              <w:t>养殖过程</w:t>
            </w:r>
          </w:p>
        </w:tc>
        <w:tc>
          <w:tcPr>
            <w:tcW w:w="1204" w:type="dxa"/>
            <w:tcMar>
              <w:top w:w="0" w:type="dxa"/>
              <w:left w:w="0" w:type="dxa"/>
              <w:bottom w:w="0" w:type="dxa"/>
              <w:right w:w="0" w:type="dxa"/>
            </w:tcMar>
            <w:vAlign w:val="center"/>
          </w:tcPr>
          <w:p w14:paraId="3EA7F84D">
            <w:pPr>
              <w:pStyle w:val="19"/>
              <w:bidi w:val="0"/>
            </w:pPr>
            <w:r>
              <w:t>猪粪</w:t>
            </w:r>
          </w:p>
        </w:tc>
        <w:tc>
          <w:tcPr>
            <w:tcW w:w="2069" w:type="dxa"/>
            <w:tcMar>
              <w:top w:w="0" w:type="dxa"/>
              <w:left w:w="0" w:type="dxa"/>
              <w:bottom w:w="0" w:type="dxa"/>
              <w:right w:w="0" w:type="dxa"/>
            </w:tcMar>
            <w:vAlign w:val="center"/>
          </w:tcPr>
          <w:p w14:paraId="3C1EDCA9">
            <w:pPr>
              <w:pStyle w:val="19"/>
              <w:bidi w:val="0"/>
            </w:pPr>
            <w:r>
              <w:t>有机质</w:t>
            </w:r>
          </w:p>
        </w:tc>
        <w:tc>
          <w:tcPr>
            <w:tcW w:w="2557" w:type="dxa"/>
            <w:tcMar>
              <w:top w:w="0" w:type="dxa"/>
              <w:left w:w="0" w:type="dxa"/>
              <w:bottom w:w="0" w:type="dxa"/>
              <w:right w:w="0" w:type="dxa"/>
            </w:tcMar>
            <w:vAlign w:val="center"/>
          </w:tcPr>
          <w:p w14:paraId="2F985380">
            <w:pPr>
              <w:pStyle w:val="19"/>
              <w:bidi w:val="0"/>
            </w:pPr>
            <w:r>
              <w:t>堆肥处理后作为</w:t>
            </w:r>
            <w:r>
              <w:rPr>
                <w:rFonts w:hint="eastAsia"/>
                <w:lang w:val="en-US" w:eastAsia="zh-CN"/>
              </w:rPr>
              <w:t>作为粪肥还田利用</w:t>
            </w:r>
          </w:p>
        </w:tc>
      </w:tr>
      <w:tr w14:paraId="4BC8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753CA3AF">
            <w:pPr>
              <w:pStyle w:val="19"/>
              <w:bidi w:val="0"/>
            </w:pPr>
          </w:p>
        </w:tc>
        <w:tc>
          <w:tcPr>
            <w:tcW w:w="534" w:type="dxa"/>
            <w:tcMar>
              <w:top w:w="0" w:type="dxa"/>
              <w:left w:w="0" w:type="dxa"/>
              <w:bottom w:w="0" w:type="dxa"/>
              <w:right w:w="0" w:type="dxa"/>
            </w:tcMar>
            <w:vAlign w:val="center"/>
          </w:tcPr>
          <w:p w14:paraId="367847EB">
            <w:pPr>
              <w:pStyle w:val="19"/>
              <w:bidi w:val="0"/>
            </w:pPr>
            <w:r>
              <w:t>S2</w:t>
            </w:r>
          </w:p>
        </w:tc>
        <w:tc>
          <w:tcPr>
            <w:tcW w:w="1257" w:type="dxa"/>
            <w:tcMar>
              <w:top w:w="0" w:type="dxa"/>
              <w:left w:w="0" w:type="dxa"/>
              <w:bottom w:w="0" w:type="dxa"/>
              <w:right w:w="0" w:type="dxa"/>
            </w:tcMar>
            <w:vAlign w:val="center"/>
          </w:tcPr>
          <w:p w14:paraId="4CE45562">
            <w:pPr>
              <w:pStyle w:val="19"/>
              <w:bidi w:val="0"/>
            </w:pPr>
            <w:r>
              <w:t>养殖过程</w:t>
            </w:r>
          </w:p>
        </w:tc>
        <w:tc>
          <w:tcPr>
            <w:tcW w:w="1204" w:type="dxa"/>
            <w:tcMar>
              <w:top w:w="0" w:type="dxa"/>
              <w:left w:w="0" w:type="dxa"/>
              <w:bottom w:w="0" w:type="dxa"/>
              <w:right w:w="0" w:type="dxa"/>
            </w:tcMar>
            <w:vAlign w:val="center"/>
          </w:tcPr>
          <w:p w14:paraId="0339B001">
            <w:pPr>
              <w:pStyle w:val="19"/>
              <w:bidi w:val="0"/>
            </w:pPr>
            <w:r>
              <w:t>病死猪</w:t>
            </w:r>
          </w:p>
        </w:tc>
        <w:tc>
          <w:tcPr>
            <w:tcW w:w="2069" w:type="dxa"/>
            <w:tcMar>
              <w:top w:w="0" w:type="dxa"/>
              <w:left w:w="0" w:type="dxa"/>
              <w:bottom w:w="0" w:type="dxa"/>
              <w:right w:w="0" w:type="dxa"/>
            </w:tcMar>
            <w:vAlign w:val="center"/>
          </w:tcPr>
          <w:p w14:paraId="0EE438B0">
            <w:pPr>
              <w:pStyle w:val="19"/>
              <w:bidi w:val="0"/>
            </w:pPr>
            <w:r>
              <w:t>病死猪</w:t>
            </w:r>
          </w:p>
        </w:tc>
        <w:tc>
          <w:tcPr>
            <w:tcW w:w="2557" w:type="dxa"/>
            <w:tcMar>
              <w:top w:w="0" w:type="dxa"/>
              <w:left w:w="0" w:type="dxa"/>
              <w:bottom w:w="0" w:type="dxa"/>
              <w:right w:w="0" w:type="dxa"/>
            </w:tcMar>
            <w:vAlign w:val="center"/>
          </w:tcPr>
          <w:p w14:paraId="6140EFBB">
            <w:pPr>
              <w:pStyle w:val="19"/>
              <w:bidi w:val="0"/>
            </w:pPr>
            <w:r>
              <w:t>委托有资质的单位处置</w:t>
            </w:r>
          </w:p>
        </w:tc>
      </w:tr>
      <w:tr w14:paraId="1392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55BD7B6D">
            <w:pPr>
              <w:pStyle w:val="19"/>
              <w:bidi w:val="0"/>
            </w:pPr>
          </w:p>
        </w:tc>
        <w:tc>
          <w:tcPr>
            <w:tcW w:w="534" w:type="dxa"/>
            <w:tcMar>
              <w:top w:w="0" w:type="dxa"/>
              <w:left w:w="0" w:type="dxa"/>
              <w:bottom w:w="0" w:type="dxa"/>
              <w:right w:w="0" w:type="dxa"/>
            </w:tcMar>
            <w:vAlign w:val="center"/>
          </w:tcPr>
          <w:p w14:paraId="4C38094B">
            <w:pPr>
              <w:pStyle w:val="19"/>
              <w:bidi w:val="0"/>
            </w:pPr>
            <w:r>
              <w:t>S3</w:t>
            </w:r>
          </w:p>
        </w:tc>
        <w:tc>
          <w:tcPr>
            <w:tcW w:w="1257" w:type="dxa"/>
            <w:tcMar>
              <w:top w:w="0" w:type="dxa"/>
              <w:left w:w="0" w:type="dxa"/>
              <w:bottom w:w="0" w:type="dxa"/>
              <w:right w:w="0" w:type="dxa"/>
            </w:tcMar>
            <w:vAlign w:val="center"/>
          </w:tcPr>
          <w:p w14:paraId="08DB409E">
            <w:pPr>
              <w:pStyle w:val="19"/>
              <w:bidi w:val="0"/>
            </w:pPr>
            <w:r>
              <w:t>消毒、防疫</w:t>
            </w:r>
          </w:p>
        </w:tc>
        <w:tc>
          <w:tcPr>
            <w:tcW w:w="1204" w:type="dxa"/>
            <w:tcMar>
              <w:top w:w="0" w:type="dxa"/>
              <w:left w:w="0" w:type="dxa"/>
              <w:bottom w:w="0" w:type="dxa"/>
              <w:right w:w="0" w:type="dxa"/>
            </w:tcMar>
            <w:vAlign w:val="center"/>
          </w:tcPr>
          <w:p w14:paraId="26E94590">
            <w:pPr>
              <w:pStyle w:val="19"/>
              <w:bidi w:val="0"/>
            </w:pPr>
            <w:r>
              <w:t>医疗废物</w:t>
            </w:r>
          </w:p>
        </w:tc>
        <w:tc>
          <w:tcPr>
            <w:tcW w:w="2069" w:type="dxa"/>
            <w:tcMar>
              <w:top w:w="0" w:type="dxa"/>
              <w:left w:w="0" w:type="dxa"/>
              <w:bottom w:w="0" w:type="dxa"/>
              <w:right w:w="0" w:type="dxa"/>
            </w:tcMar>
            <w:vAlign w:val="center"/>
          </w:tcPr>
          <w:p w14:paraId="7092157A">
            <w:pPr>
              <w:pStyle w:val="19"/>
              <w:bidi w:val="0"/>
            </w:pPr>
            <w:r>
              <w:t>消毒、防疫产生的医疗废物</w:t>
            </w:r>
          </w:p>
        </w:tc>
        <w:tc>
          <w:tcPr>
            <w:tcW w:w="2557" w:type="dxa"/>
            <w:tcMar>
              <w:top w:w="0" w:type="dxa"/>
              <w:left w:w="0" w:type="dxa"/>
              <w:bottom w:w="0" w:type="dxa"/>
              <w:right w:w="0" w:type="dxa"/>
            </w:tcMar>
            <w:vAlign w:val="center"/>
          </w:tcPr>
          <w:p w14:paraId="765AB044">
            <w:pPr>
              <w:pStyle w:val="19"/>
              <w:bidi w:val="0"/>
            </w:pPr>
            <w:r>
              <w:t>委托有资质的单位处置</w:t>
            </w:r>
          </w:p>
        </w:tc>
      </w:tr>
      <w:tr w14:paraId="1FB3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753425B1">
            <w:pPr>
              <w:pStyle w:val="19"/>
              <w:bidi w:val="0"/>
            </w:pPr>
          </w:p>
        </w:tc>
        <w:tc>
          <w:tcPr>
            <w:tcW w:w="534" w:type="dxa"/>
            <w:tcMar>
              <w:top w:w="0" w:type="dxa"/>
              <w:left w:w="0" w:type="dxa"/>
              <w:bottom w:w="0" w:type="dxa"/>
              <w:right w:w="0" w:type="dxa"/>
            </w:tcMar>
            <w:vAlign w:val="center"/>
          </w:tcPr>
          <w:p w14:paraId="106FA69F">
            <w:pPr>
              <w:pStyle w:val="19"/>
              <w:bidi w:val="0"/>
            </w:pPr>
            <w:r>
              <w:t>S4</w:t>
            </w:r>
          </w:p>
        </w:tc>
        <w:tc>
          <w:tcPr>
            <w:tcW w:w="1257" w:type="dxa"/>
            <w:tcMar>
              <w:top w:w="0" w:type="dxa"/>
              <w:left w:w="0" w:type="dxa"/>
              <w:bottom w:w="0" w:type="dxa"/>
              <w:right w:w="0" w:type="dxa"/>
            </w:tcMar>
            <w:vAlign w:val="center"/>
          </w:tcPr>
          <w:p w14:paraId="58A3EFEC">
            <w:pPr>
              <w:pStyle w:val="19"/>
              <w:bidi w:val="0"/>
            </w:pPr>
            <w:r>
              <w:t>废水处理</w:t>
            </w:r>
          </w:p>
        </w:tc>
        <w:tc>
          <w:tcPr>
            <w:tcW w:w="1204" w:type="dxa"/>
            <w:tcMar>
              <w:top w:w="0" w:type="dxa"/>
              <w:left w:w="0" w:type="dxa"/>
              <w:bottom w:w="0" w:type="dxa"/>
              <w:right w:w="0" w:type="dxa"/>
            </w:tcMar>
            <w:vAlign w:val="center"/>
          </w:tcPr>
          <w:p w14:paraId="4D23853A">
            <w:pPr>
              <w:pStyle w:val="19"/>
              <w:bidi w:val="0"/>
            </w:pPr>
            <w:r>
              <w:t>沼渣</w:t>
            </w:r>
          </w:p>
        </w:tc>
        <w:tc>
          <w:tcPr>
            <w:tcW w:w="2069" w:type="dxa"/>
            <w:tcMar>
              <w:top w:w="0" w:type="dxa"/>
              <w:left w:w="0" w:type="dxa"/>
              <w:bottom w:w="0" w:type="dxa"/>
              <w:right w:w="0" w:type="dxa"/>
            </w:tcMar>
            <w:vAlign w:val="center"/>
          </w:tcPr>
          <w:p w14:paraId="631466C2">
            <w:pPr>
              <w:pStyle w:val="19"/>
              <w:bidi w:val="0"/>
            </w:pPr>
            <w:r>
              <w:t>有机质</w:t>
            </w:r>
          </w:p>
        </w:tc>
        <w:tc>
          <w:tcPr>
            <w:tcW w:w="2557" w:type="dxa"/>
            <w:tcMar>
              <w:top w:w="0" w:type="dxa"/>
              <w:left w:w="0" w:type="dxa"/>
              <w:bottom w:w="0" w:type="dxa"/>
              <w:right w:w="0" w:type="dxa"/>
            </w:tcMar>
            <w:vAlign w:val="center"/>
          </w:tcPr>
          <w:p w14:paraId="59CC462B">
            <w:pPr>
              <w:pStyle w:val="19"/>
              <w:bidi w:val="0"/>
            </w:pPr>
            <w:r>
              <w:t>堆肥处理后作为</w:t>
            </w:r>
            <w:r>
              <w:rPr>
                <w:rFonts w:hint="eastAsia"/>
                <w:lang w:val="en-US" w:eastAsia="zh-CN"/>
              </w:rPr>
              <w:t>作为粪肥还田利用</w:t>
            </w:r>
          </w:p>
        </w:tc>
      </w:tr>
      <w:tr w14:paraId="48AD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3CD9688D">
            <w:pPr>
              <w:pStyle w:val="19"/>
              <w:bidi w:val="0"/>
            </w:pPr>
          </w:p>
        </w:tc>
        <w:tc>
          <w:tcPr>
            <w:tcW w:w="534" w:type="dxa"/>
            <w:tcMar>
              <w:top w:w="0" w:type="dxa"/>
              <w:left w:w="0" w:type="dxa"/>
              <w:bottom w:w="0" w:type="dxa"/>
              <w:right w:w="0" w:type="dxa"/>
            </w:tcMar>
            <w:vAlign w:val="center"/>
          </w:tcPr>
          <w:p w14:paraId="2BE97BF3">
            <w:pPr>
              <w:pStyle w:val="19"/>
              <w:bidi w:val="0"/>
            </w:pPr>
            <w:r>
              <w:t>S</w:t>
            </w:r>
            <w:r>
              <w:rPr>
                <w:rFonts w:hint="eastAsia"/>
              </w:rPr>
              <w:t>5</w:t>
            </w:r>
          </w:p>
        </w:tc>
        <w:tc>
          <w:tcPr>
            <w:tcW w:w="1257" w:type="dxa"/>
            <w:tcMar>
              <w:top w:w="0" w:type="dxa"/>
              <w:left w:w="0" w:type="dxa"/>
              <w:bottom w:w="0" w:type="dxa"/>
              <w:right w:w="0" w:type="dxa"/>
            </w:tcMar>
            <w:vAlign w:val="center"/>
          </w:tcPr>
          <w:p w14:paraId="38178A3C">
            <w:pPr>
              <w:pStyle w:val="19"/>
              <w:bidi w:val="0"/>
            </w:pPr>
            <w:r>
              <w:t>办公生活</w:t>
            </w:r>
          </w:p>
        </w:tc>
        <w:tc>
          <w:tcPr>
            <w:tcW w:w="1204" w:type="dxa"/>
            <w:tcMar>
              <w:top w:w="0" w:type="dxa"/>
              <w:left w:w="0" w:type="dxa"/>
              <w:bottom w:w="0" w:type="dxa"/>
              <w:right w:w="0" w:type="dxa"/>
            </w:tcMar>
            <w:vAlign w:val="center"/>
          </w:tcPr>
          <w:p w14:paraId="17D57968">
            <w:pPr>
              <w:pStyle w:val="19"/>
              <w:bidi w:val="0"/>
            </w:pPr>
            <w:r>
              <w:t>生活垃圾</w:t>
            </w:r>
          </w:p>
        </w:tc>
        <w:tc>
          <w:tcPr>
            <w:tcW w:w="2069" w:type="dxa"/>
            <w:tcMar>
              <w:top w:w="0" w:type="dxa"/>
              <w:left w:w="0" w:type="dxa"/>
              <w:bottom w:w="0" w:type="dxa"/>
              <w:right w:w="0" w:type="dxa"/>
            </w:tcMar>
            <w:vAlign w:val="center"/>
          </w:tcPr>
          <w:p w14:paraId="63AEEEF3">
            <w:pPr>
              <w:pStyle w:val="19"/>
              <w:bidi w:val="0"/>
            </w:pPr>
            <w:r>
              <w:t>果皮、塑料袋等</w:t>
            </w:r>
          </w:p>
        </w:tc>
        <w:tc>
          <w:tcPr>
            <w:tcW w:w="2557" w:type="dxa"/>
            <w:tcMar>
              <w:top w:w="0" w:type="dxa"/>
              <w:left w:w="0" w:type="dxa"/>
              <w:bottom w:w="0" w:type="dxa"/>
              <w:right w:w="0" w:type="dxa"/>
            </w:tcMar>
            <w:vAlign w:val="center"/>
          </w:tcPr>
          <w:p w14:paraId="2BD9B9D8">
            <w:pPr>
              <w:pStyle w:val="19"/>
              <w:bidi w:val="0"/>
            </w:pPr>
            <w:r>
              <w:t>委托环卫部门统一清运</w:t>
            </w:r>
          </w:p>
        </w:tc>
      </w:tr>
      <w:tr w14:paraId="0EC9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Merge w:val="continue"/>
            <w:tcMar>
              <w:top w:w="0" w:type="dxa"/>
              <w:left w:w="0" w:type="dxa"/>
              <w:bottom w:w="0" w:type="dxa"/>
              <w:right w:w="0" w:type="dxa"/>
            </w:tcMar>
            <w:vAlign w:val="center"/>
          </w:tcPr>
          <w:p w14:paraId="5ED8B8C2">
            <w:pPr>
              <w:pStyle w:val="19"/>
              <w:bidi w:val="0"/>
            </w:pPr>
          </w:p>
        </w:tc>
        <w:tc>
          <w:tcPr>
            <w:tcW w:w="534" w:type="dxa"/>
            <w:tcMar>
              <w:top w:w="0" w:type="dxa"/>
              <w:left w:w="0" w:type="dxa"/>
              <w:bottom w:w="0" w:type="dxa"/>
              <w:right w:w="0" w:type="dxa"/>
            </w:tcMar>
            <w:vAlign w:val="center"/>
          </w:tcPr>
          <w:p w14:paraId="56678BE6">
            <w:pPr>
              <w:pStyle w:val="19"/>
              <w:bidi w:val="0"/>
              <w:rPr>
                <w:rFonts w:hint="default" w:eastAsia="宋体"/>
                <w:lang w:val="en-US" w:eastAsia="zh-CN"/>
              </w:rPr>
            </w:pPr>
            <w:r>
              <w:rPr>
                <w:rFonts w:hint="eastAsia"/>
                <w:lang w:val="en-US" w:eastAsia="zh-CN"/>
              </w:rPr>
              <w:t>S6</w:t>
            </w:r>
          </w:p>
        </w:tc>
        <w:tc>
          <w:tcPr>
            <w:tcW w:w="1257" w:type="dxa"/>
            <w:tcMar>
              <w:top w:w="0" w:type="dxa"/>
              <w:left w:w="0" w:type="dxa"/>
              <w:bottom w:w="0" w:type="dxa"/>
              <w:right w:w="0" w:type="dxa"/>
            </w:tcMar>
            <w:vAlign w:val="center"/>
          </w:tcPr>
          <w:p w14:paraId="69090087">
            <w:pPr>
              <w:pStyle w:val="19"/>
              <w:bidi w:val="0"/>
              <w:rPr>
                <w:rFonts w:hint="default" w:eastAsia="宋体"/>
                <w:lang w:val="en-US" w:eastAsia="zh-CN"/>
              </w:rPr>
            </w:pPr>
            <w:r>
              <w:rPr>
                <w:rFonts w:hint="eastAsia"/>
                <w:lang w:val="en-US" w:eastAsia="zh-CN"/>
              </w:rPr>
              <w:t>沼气脱硫</w:t>
            </w:r>
          </w:p>
        </w:tc>
        <w:tc>
          <w:tcPr>
            <w:tcW w:w="1204" w:type="dxa"/>
            <w:tcMar>
              <w:top w:w="0" w:type="dxa"/>
              <w:left w:w="0" w:type="dxa"/>
              <w:bottom w:w="0" w:type="dxa"/>
              <w:right w:w="0" w:type="dxa"/>
            </w:tcMar>
            <w:vAlign w:val="center"/>
          </w:tcPr>
          <w:p w14:paraId="3ADA8A78">
            <w:pPr>
              <w:pStyle w:val="19"/>
              <w:bidi w:val="0"/>
              <w:rPr>
                <w:rFonts w:hint="default" w:eastAsia="宋体"/>
                <w:lang w:val="en-US" w:eastAsia="zh-CN"/>
              </w:rPr>
            </w:pPr>
            <w:r>
              <w:rPr>
                <w:rFonts w:hint="eastAsia"/>
                <w:lang w:val="en-US" w:eastAsia="zh-CN"/>
              </w:rPr>
              <w:t>脱硫剂</w:t>
            </w:r>
          </w:p>
        </w:tc>
        <w:tc>
          <w:tcPr>
            <w:tcW w:w="2069" w:type="dxa"/>
            <w:tcMar>
              <w:top w:w="0" w:type="dxa"/>
              <w:left w:w="0" w:type="dxa"/>
              <w:bottom w:w="0" w:type="dxa"/>
              <w:right w:w="0" w:type="dxa"/>
            </w:tcMar>
            <w:vAlign w:val="center"/>
          </w:tcPr>
          <w:p w14:paraId="119666C9">
            <w:pPr>
              <w:pStyle w:val="19"/>
              <w:bidi w:val="0"/>
              <w:rPr>
                <w:rFonts w:hint="default" w:eastAsia="宋体"/>
                <w:lang w:val="en-US" w:eastAsia="zh-CN"/>
              </w:rPr>
            </w:pPr>
            <w:r>
              <w:rPr>
                <w:rFonts w:hint="eastAsia"/>
                <w:lang w:val="en-US" w:eastAsia="zh-CN"/>
              </w:rPr>
              <w:t>FeS等</w:t>
            </w:r>
          </w:p>
        </w:tc>
        <w:tc>
          <w:tcPr>
            <w:tcW w:w="2557" w:type="dxa"/>
            <w:tcMar>
              <w:top w:w="0" w:type="dxa"/>
              <w:left w:w="0" w:type="dxa"/>
              <w:bottom w:w="0" w:type="dxa"/>
              <w:right w:w="0" w:type="dxa"/>
            </w:tcMar>
            <w:vAlign w:val="center"/>
          </w:tcPr>
          <w:p w14:paraId="6822A5B8">
            <w:pPr>
              <w:pStyle w:val="19"/>
              <w:bidi w:val="0"/>
              <w:rPr>
                <w:rFonts w:hint="default" w:eastAsia="宋体"/>
                <w:lang w:val="en-US" w:eastAsia="zh-CN"/>
              </w:rPr>
            </w:pPr>
            <w:r>
              <w:rPr>
                <w:rFonts w:hint="eastAsia"/>
                <w:lang w:val="en-US" w:eastAsia="zh-CN"/>
              </w:rPr>
              <w:t>脱硫剂供应商回收</w:t>
            </w:r>
          </w:p>
        </w:tc>
      </w:tr>
      <w:tr w14:paraId="2C4F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tcMar>
              <w:top w:w="0" w:type="dxa"/>
              <w:left w:w="0" w:type="dxa"/>
              <w:bottom w:w="0" w:type="dxa"/>
              <w:right w:w="0" w:type="dxa"/>
            </w:tcMar>
            <w:vAlign w:val="center"/>
          </w:tcPr>
          <w:p w14:paraId="1CF34AFB">
            <w:pPr>
              <w:pStyle w:val="19"/>
              <w:bidi w:val="0"/>
            </w:pPr>
            <w:r>
              <w:t>噪声</w:t>
            </w:r>
          </w:p>
        </w:tc>
        <w:tc>
          <w:tcPr>
            <w:tcW w:w="534" w:type="dxa"/>
            <w:tcMar>
              <w:top w:w="0" w:type="dxa"/>
              <w:left w:w="0" w:type="dxa"/>
              <w:bottom w:w="0" w:type="dxa"/>
              <w:right w:w="0" w:type="dxa"/>
            </w:tcMar>
            <w:vAlign w:val="center"/>
          </w:tcPr>
          <w:p w14:paraId="619D92E0">
            <w:pPr>
              <w:pStyle w:val="19"/>
              <w:bidi w:val="0"/>
            </w:pPr>
            <w:r>
              <w:t>N</w:t>
            </w:r>
          </w:p>
        </w:tc>
        <w:tc>
          <w:tcPr>
            <w:tcW w:w="1257" w:type="dxa"/>
            <w:tcMar>
              <w:top w:w="0" w:type="dxa"/>
              <w:left w:w="0" w:type="dxa"/>
              <w:bottom w:w="0" w:type="dxa"/>
              <w:right w:w="0" w:type="dxa"/>
            </w:tcMar>
            <w:vAlign w:val="center"/>
          </w:tcPr>
          <w:p w14:paraId="0FB72824">
            <w:pPr>
              <w:pStyle w:val="19"/>
              <w:bidi w:val="0"/>
            </w:pPr>
            <w:r>
              <w:t>设备运行</w:t>
            </w:r>
            <w:r>
              <w:rPr>
                <w:rFonts w:hint="eastAsia"/>
                <w:lang w:eastAsia="zh-CN"/>
              </w:rPr>
              <w:t>、</w:t>
            </w:r>
            <w:r>
              <w:t>养殖过程</w:t>
            </w:r>
          </w:p>
        </w:tc>
        <w:tc>
          <w:tcPr>
            <w:tcW w:w="1204" w:type="dxa"/>
            <w:tcMar>
              <w:top w:w="0" w:type="dxa"/>
              <w:left w:w="0" w:type="dxa"/>
              <w:bottom w:w="0" w:type="dxa"/>
              <w:right w:w="0" w:type="dxa"/>
            </w:tcMar>
            <w:vAlign w:val="center"/>
          </w:tcPr>
          <w:p w14:paraId="42B7011E">
            <w:pPr>
              <w:pStyle w:val="19"/>
              <w:bidi w:val="0"/>
              <w:rPr>
                <w:rFonts w:hint="default"/>
                <w:lang w:val="en-US" w:eastAsia="zh-CN"/>
              </w:rPr>
            </w:pPr>
            <w:r>
              <w:t>设备噪声</w:t>
            </w:r>
            <w:r>
              <w:rPr>
                <w:rFonts w:hint="eastAsia"/>
                <w:lang w:eastAsia="zh-CN"/>
              </w:rPr>
              <w:t>、</w:t>
            </w:r>
            <w:r>
              <w:rPr>
                <w:rFonts w:hint="eastAsia"/>
                <w:lang w:val="en-US" w:eastAsia="zh-CN"/>
              </w:rPr>
              <w:t>猪叫声</w:t>
            </w:r>
          </w:p>
        </w:tc>
        <w:tc>
          <w:tcPr>
            <w:tcW w:w="2069" w:type="dxa"/>
            <w:tcMar>
              <w:top w:w="0" w:type="dxa"/>
              <w:left w:w="0" w:type="dxa"/>
              <w:bottom w:w="0" w:type="dxa"/>
              <w:right w:w="0" w:type="dxa"/>
            </w:tcMar>
            <w:vAlign w:val="center"/>
          </w:tcPr>
          <w:p w14:paraId="386D698A">
            <w:pPr>
              <w:pStyle w:val="19"/>
              <w:bidi w:val="0"/>
            </w:pPr>
            <w:r>
              <w:t>噪声</w:t>
            </w:r>
          </w:p>
        </w:tc>
        <w:tc>
          <w:tcPr>
            <w:tcW w:w="2557" w:type="dxa"/>
            <w:tcMar>
              <w:top w:w="0" w:type="dxa"/>
              <w:left w:w="0" w:type="dxa"/>
              <w:bottom w:w="0" w:type="dxa"/>
              <w:right w:w="0" w:type="dxa"/>
            </w:tcMar>
            <w:vAlign w:val="center"/>
          </w:tcPr>
          <w:p w14:paraId="565A7629">
            <w:pPr>
              <w:pStyle w:val="19"/>
              <w:bidi w:val="0"/>
            </w:pPr>
            <w:r>
              <w:t>室内设置、低噪声设备</w:t>
            </w:r>
          </w:p>
        </w:tc>
      </w:tr>
    </w:tbl>
    <w:p w14:paraId="31E4F1C4">
      <w:pPr>
        <w:pStyle w:val="31"/>
        <w:bidi w:val="0"/>
        <w:rPr>
          <w:rFonts w:hint="eastAsia"/>
          <w:lang w:val="en-US" w:eastAsia="zh-CN"/>
        </w:rPr>
      </w:pPr>
    </w:p>
    <w:p w14:paraId="3A07EEA2">
      <w:pPr>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529B4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ascii="宋体" w:hAnsi="宋体" w:eastAsia="宋体" w:cs="宋体"/>
          <w:kern w:val="0"/>
          <w:sz w:val="24"/>
          <w:szCs w:val="24"/>
          <w:lang w:val="en-US" w:eastAsia="zh-CN" w:bidi="ar"/>
        </w:rPr>
        <w:drawing>
          <wp:inline distT="0" distB="0" distL="114300" distR="114300">
            <wp:extent cx="8858250" cy="4048125"/>
            <wp:effectExtent l="0" t="0" r="0" b="0"/>
            <wp:docPr id="3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IMG_256"/>
                    <pic:cNvPicPr>
                      <a:picLocks noChangeAspect="1"/>
                    </pic:cNvPicPr>
                  </pic:nvPicPr>
                  <pic:blipFill>
                    <a:blip r:embed="rId20"/>
                    <a:stretch>
                      <a:fillRect/>
                    </a:stretch>
                  </pic:blipFill>
                  <pic:spPr>
                    <a:xfrm>
                      <a:off x="0" y="0"/>
                      <a:ext cx="8858250" cy="4048125"/>
                    </a:xfrm>
                    <a:prstGeom prst="rect">
                      <a:avLst/>
                    </a:prstGeom>
                    <a:noFill/>
                    <a:ln w="9525">
                      <a:noFill/>
                    </a:ln>
                  </pic:spPr>
                </pic:pic>
              </a:graphicData>
            </a:graphic>
          </wp:inline>
        </w:drawing>
      </w:r>
    </w:p>
    <w:p w14:paraId="2250DB72">
      <w:pPr>
        <w:pStyle w:val="30"/>
        <w:keepNext w:val="0"/>
        <w:keepLines w:val="0"/>
        <w:pageBreakBefore w:val="0"/>
        <w:widowControl/>
        <w:kinsoku/>
        <w:wordWrap/>
        <w:overflowPunct/>
        <w:topLinePunct w:val="0"/>
        <w:autoSpaceDE/>
        <w:autoSpaceDN/>
        <w:bidi w:val="0"/>
        <w:adjustRightInd/>
        <w:snapToGrid/>
        <w:spacing w:before="188" w:beforeLines="60"/>
        <w:textAlignment w:val="auto"/>
        <w:rPr>
          <w:rFonts w:hint="default"/>
          <w:lang w:val="en-US" w:eastAsia="zh-CN"/>
        </w:rPr>
      </w:pPr>
      <w:r>
        <w:rPr>
          <w:rFonts w:hint="eastAsia"/>
          <w:lang w:val="en-US" w:eastAsia="zh-CN"/>
        </w:rPr>
        <w:t>图3.3-1   本项目工艺流程及产排污环节图</w:t>
      </w:r>
    </w:p>
    <w:p w14:paraId="21579739">
      <w:pPr>
        <w:pStyle w:val="2"/>
        <w:rPr>
          <w:rFonts w:hint="default"/>
          <w:lang w:val="en-US" w:eastAsia="zh-CN"/>
        </w:rPr>
        <w:sectPr>
          <w:pgSz w:w="16838" w:h="11906" w:orient="landscape"/>
          <w:pgMar w:top="1417" w:right="1440" w:bottom="1417" w:left="144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24719709">
      <w:pPr>
        <w:pStyle w:val="26"/>
        <w:bidi w:val="0"/>
        <w:rPr>
          <w:rFonts w:hint="default"/>
          <w:lang w:val="en-US" w:eastAsia="zh-CN"/>
        </w:rPr>
      </w:pPr>
      <w:bookmarkStart w:id="20" w:name="_Toc3650"/>
      <w:r>
        <w:rPr>
          <w:rFonts w:hint="eastAsia"/>
          <w:lang w:val="en-US" w:eastAsia="zh-CN"/>
        </w:rPr>
        <w:t>污染源分析</w:t>
      </w:r>
      <w:bookmarkEnd w:id="20"/>
    </w:p>
    <w:p w14:paraId="0744FEFF">
      <w:pPr>
        <w:pStyle w:val="27"/>
        <w:bidi w:val="0"/>
        <w:rPr>
          <w:rFonts w:hint="default"/>
          <w:lang w:val="en-US" w:eastAsia="zh-CN"/>
        </w:rPr>
      </w:pPr>
      <w:r>
        <w:rPr>
          <w:rFonts w:hint="eastAsia"/>
          <w:lang w:val="en-US" w:eastAsia="zh-CN"/>
        </w:rPr>
        <w:t>施工期污染源分析</w:t>
      </w:r>
    </w:p>
    <w:p w14:paraId="6941AFEA">
      <w:pPr>
        <w:pStyle w:val="28"/>
        <w:bidi w:val="0"/>
        <w:rPr>
          <w:rFonts w:hint="eastAsia"/>
          <w:lang w:val="en-US" w:eastAsia="zh-CN"/>
        </w:rPr>
      </w:pPr>
      <w:r>
        <w:rPr>
          <w:rFonts w:hint="eastAsia"/>
          <w:lang w:val="en-US" w:eastAsia="zh-CN"/>
        </w:rPr>
        <w:t>废气</w:t>
      </w:r>
    </w:p>
    <w:p w14:paraId="6B67E80A">
      <w:pPr>
        <w:bidi w:val="0"/>
      </w:pPr>
      <w:r>
        <w:rPr>
          <w:rFonts w:hint="eastAsia"/>
          <w:lang w:val="en-US" w:eastAsia="zh-CN"/>
        </w:rPr>
        <w:t>本项目</w:t>
      </w:r>
      <w:r>
        <w:rPr>
          <w:rFonts w:hint="eastAsia"/>
        </w:rPr>
        <w:t>施工期间造成大气污染的因素主要是施工扬尘、运输车辆和施工机械排放的尾气等。工程施工期间作业颗粒物和车辆尾气对工地附近环境空气质量会产生一定的影响，尤其是高峰施工期，颗粒物、飘尘在短时间内不易扩散，局部大气受到污染。这种影响范围很小，时间也较短，施工结束后自动消除。但需注意工程弃土的及时处理，并对施工现场进行清理，以免造成长期影响。</w:t>
      </w:r>
    </w:p>
    <w:p w14:paraId="0E90F6B5">
      <w:pPr>
        <w:pStyle w:val="28"/>
        <w:bidi w:val="0"/>
        <w:rPr>
          <w:rFonts w:hint="default"/>
          <w:lang w:val="en-US" w:eastAsia="zh-CN"/>
        </w:rPr>
      </w:pPr>
      <w:r>
        <w:rPr>
          <w:rFonts w:hint="eastAsia"/>
          <w:lang w:val="en-US" w:eastAsia="zh-CN"/>
        </w:rPr>
        <w:t>废水</w:t>
      </w:r>
    </w:p>
    <w:p w14:paraId="2B252A72">
      <w:pPr>
        <w:bidi w:val="0"/>
        <w:rPr>
          <w:rFonts w:hint="default"/>
          <w:lang w:val="en-US" w:eastAsia="zh-CN"/>
        </w:rPr>
      </w:pPr>
      <w:r>
        <w:rPr>
          <w:rFonts w:hint="default"/>
          <w:lang w:val="en-US" w:eastAsia="zh-CN"/>
        </w:rPr>
        <w:t>（1）施工废水</w:t>
      </w:r>
    </w:p>
    <w:p w14:paraId="46D8A083">
      <w:pPr>
        <w:bidi w:val="0"/>
        <w:rPr>
          <w:rFonts w:hint="default"/>
          <w:lang w:val="en-US" w:eastAsia="zh-CN"/>
        </w:rPr>
      </w:pPr>
      <w:r>
        <w:rPr>
          <w:rFonts w:hint="default"/>
          <w:lang w:val="en-US" w:eastAsia="zh-CN"/>
        </w:rPr>
        <w:t>施工期产生的废水主要来源于修建基础设施时地基的开挖、砂石料冲洗等施工过程。施工废水中不含有毒物质，主要是泥沙悬浮物等，且含量较大，修建沉砂池对施工废水进行处理，沉淀后的废水回用于施工过程或用于道路洒水降尘等。</w:t>
      </w:r>
    </w:p>
    <w:p w14:paraId="6BD72CF7">
      <w:pPr>
        <w:bidi w:val="0"/>
        <w:rPr>
          <w:rFonts w:hint="default"/>
          <w:lang w:val="en-US" w:eastAsia="zh-CN"/>
        </w:rPr>
      </w:pPr>
      <w:r>
        <w:rPr>
          <w:rFonts w:hint="default"/>
          <w:lang w:val="en-US" w:eastAsia="zh-CN"/>
        </w:rPr>
        <w:t>（2）生活污水</w:t>
      </w:r>
    </w:p>
    <w:p w14:paraId="5D1A5A2C">
      <w:pPr>
        <w:bidi w:val="0"/>
        <w:rPr>
          <w:rFonts w:hint="default"/>
          <w:lang w:val="en-US" w:eastAsia="zh-CN"/>
        </w:rPr>
      </w:pPr>
      <w:r>
        <w:rPr>
          <w:rFonts w:hint="default"/>
          <w:lang w:val="en-US" w:eastAsia="zh-CN"/>
        </w:rPr>
        <w:t>施工期内，施工人员的生活将产生少量的生活污水，根据同规模项目所需的施工人员的数量计算，</w:t>
      </w:r>
      <w:r>
        <w:rPr>
          <w:rFonts w:hint="eastAsia"/>
          <w:lang w:val="en-US" w:eastAsia="zh-CN"/>
        </w:rPr>
        <w:t>本项目</w:t>
      </w:r>
      <w:r>
        <w:rPr>
          <w:rFonts w:hint="default"/>
          <w:lang w:val="en-US" w:eastAsia="zh-CN"/>
        </w:rPr>
        <w:t>在施工期内平均每天的施工人员数量为40人，</w:t>
      </w:r>
      <w:r>
        <w:rPr>
          <w:rFonts w:hint="eastAsia"/>
          <w:lang w:val="en-US" w:eastAsia="zh-CN"/>
        </w:rPr>
        <w:t>就近租用民房，不在项目区食宿</w:t>
      </w:r>
      <w:r>
        <w:rPr>
          <w:rFonts w:hint="default"/>
          <w:lang w:val="en-US" w:eastAsia="zh-CN"/>
        </w:rPr>
        <w:t>。生活污水以每人每天用水量为50L/d计，则施工人员用水量为2.0</w:t>
      </w:r>
      <w:r>
        <w:rPr>
          <w:rFonts w:hint="eastAsia"/>
          <w:lang w:val="en-US" w:eastAsia="zh-CN"/>
        </w:rPr>
        <w:t>m</w:t>
      </w:r>
      <w:r>
        <w:rPr>
          <w:rFonts w:hint="eastAsia"/>
          <w:vertAlign w:val="superscript"/>
          <w:lang w:val="en-US" w:eastAsia="zh-CN"/>
        </w:rPr>
        <w:t>3</w:t>
      </w:r>
      <w:r>
        <w:rPr>
          <w:rFonts w:hint="default"/>
          <w:lang w:val="en-US" w:eastAsia="zh-CN"/>
        </w:rPr>
        <w:t>/d，废水产生量为1.6</w:t>
      </w:r>
      <w:r>
        <w:rPr>
          <w:rFonts w:hint="eastAsia"/>
          <w:lang w:val="en-US" w:eastAsia="zh-CN"/>
        </w:rPr>
        <w:t>m</w:t>
      </w:r>
      <w:r>
        <w:rPr>
          <w:rFonts w:hint="eastAsia"/>
          <w:vertAlign w:val="superscript"/>
          <w:lang w:val="en-US" w:eastAsia="zh-CN"/>
        </w:rPr>
        <w:t>3</w:t>
      </w:r>
      <w:r>
        <w:rPr>
          <w:rFonts w:hint="default"/>
          <w:lang w:val="en-US" w:eastAsia="zh-CN"/>
        </w:rPr>
        <w:t>/d（以0.8的排污系数计），施工期生活污水</w:t>
      </w:r>
      <w:r>
        <w:rPr>
          <w:rFonts w:hint="eastAsia"/>
          <w:lang w:val="en-US" w:eastAsia="zh-CN"/>
        </w:rPr>
        <w:t>依托租用房屋的现有收集处置方式处理</w:t>
      </w:r>
      <w:r>
        <w:rPr>
          <w:rFonts w:hint="default"/>
          <w:lang w:val="en-US" w:eastAsia="zh-CN"/>
        </w:rPr>
        <w:t>。</w:t>
      </w:r>
    </w:p>
    <w:p w14:paraId="26C1F670">
      <w:pPr>
        <w:pStyle w:val="28"/>
        <w:bidi w:val="0"/>
        <w:rPr>
          <w:rFonts w:hint="default"/>
          <w:lang w:val="en-US" w:eastAsia="zh-CN"/>
        </w:rPr>
      </w:pPr>
      <w:r>
        <w:rPr>
          <w:rFonts w:hint="eastAsia"/>
          <w:lang w:val="en-US" w:eastAsia="zh-CN"/>
        </w:rPr>
        <w:t>噪声</w:t>
      </w:r>
    </w:p>
    <w:p w14:paraId="74D73145">
      <w:pPr>
        <w:bidi w:val="0"/>
      </w:pPr>
      <w:r>
        <w:t>施工期的噪声主要是施工机械运行和车辆运输过程中产生的设备噪声和运输噪声，主要噪声源为机动车辆行驶、砂石料加工、</w:t>
      </w:r>
      <w:r>
        <w:rPr>
          <w:rFonts w:hint="eastAsia"/>
        </w:rPr>
        <w:t>混凝土浇筑</w:t>
      </w:r>
      <w:r>
        <w:t>等。具有突发性和间歇性的特点。</w:t>
      </w:r>
    </w:p>
    <w:p w14:paraId="2748FA1E">
      <w:pPr>
        <w:bidi w:val="0"/>
      </w:pPr>
      <w:r>
        <w:t>根据本工程的特点，施工期主要噪声源如表</w:t>
      </w:r>
      <w:r>
        <w:rPr>
          <w:rFonts w:hint="eastAsia"/>
        </w:rPr>
        <w:t>3</w:t>
      </w:r>
      <w:r>
        <w:t>.</w:t>
      </w:r>
      <w:r>
        <w:rPr>
          <w:rFonts w:hint="eastAsia"/>
          <w:lang w:val="en-US" w:eastAsia="zh-CN"/>
        </w:rPr>
        <w:t>4</w:t>
      </w:r>
      <w:r>
        <w:t>-1所示</w:t>
      </w:r>
      <w:bookmarkStart w:id="21" w:name="_Toc210274215"/>
      <w:r>
        <w:t>。</w:t>
      </w:r>
      <w:bookmarkEnd w:id="21"/>
    </w:p>
    <w:p w14:paraId="2709BF6A">
      <w:pPr>
        <w:pStyle w:val="2"/>
      </w:pPr>
    </w:p>
    <w:p w14:paraId="00EC5369">
      <w:pPr>
        <w:pStyle w:val="30"/>
        <w:bidi w:val="0"/>
        <w:rPr>
          <w:rFonts w:hint="eastAsia" w:eastAsia="宋体"/>
          <w:lang w:eastAsia="zh-CN"/>
        </w:rPr>
      </w:pPr>
      <w:r>
        <w:t>表</w:t>
      </w:r>
      <w:r>
        <w:rPr>
          <w:rFonts w:hint="eastAsia"/>
        </w:rPr>
        <w:t>3</w:t>
      </w:r>
      <w:r>
        <w:t>.</w:t>
      </w:r>
      <w:r>
        <w:rPr>
          <w:rFonts w:hint="eastAsia"/>
          <w:lang w:val="en-US" w:eastAsia="zh-CN"/>
        </w:rPr>
        <w:t>4</w:t>
      </w:r>
      <w:r>
        <w:t>-1</w:t>
      </w:r>
      <w:r>
        <w:rPr>
          <w:rFonts w:hint="eastAsia"/>
          <w:lang w:val="en-US" w:eastAsia="zh-CN"/>
        </w:rPr>
        <w:t xml:space="preserve"> </w:t>
      </w:r>
      <w:r>
        <w:t xml:space="preserve"> </w:t>
      </w:r>
      <w:r>
        <w:rPr>
          <w:rFonts w:hint="eastAsia"/>
        </w:rPr>
        <w:t xml:space="preserve"> </w:t>
      </w:r>
      <w:r>
        <w:t>施工期噪声</w:t>
      </w:r>
      <w:r>
        <w:rPr>
          <w:rFonts w:hint="eastAsia"/>
          <w:lang w:val="en-US" w:eastAsia="zh-CN"/>
        </w:rPr>
        <w:t>一览表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2264"/>
        <w:gridCol w:w="2267"/>
        <w:gridCol w:w="2061"/>
      </w:tblGrid>
      <w:tr w14:paraId="7EAF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tcMar>
              <w:top w:w="0" w:type="dxa"/>
              <w:left w:w="0" w:type="dxa"/>
              <w:bottom w:w="0" w:type="dxa"/>
              <w:right w:w="0" w:type="dxa"/>
            </w:tcMar>
            <w:vAlign w:val="center"/>
          </w:tcPr>
          <w:p w14:paraId="35A08E6E">
            <w:pPr>
              <w:pStyle w:val="19"/>
              <w:bidi w:val="0"/>
            </w:pPr>
            <w:r>
              <w:t>施工阶段</w:t>
            </w:r>
          </w:p>
        </w:tc>
        <w:tc>
          <w:tcPr>
            <w:tcW w:w="1361" w:type="pct"/>
            <w:tcMar>
              <w:top w:w="0" w:type="dxa"/>
              <w:left w:w="0" w:type="dxa"/>
              <w:bottom w:w="0" w:type="dxa"/>
              <w:right w:w="0" w:type="dxa"/>
            </w:tcMar>
            <w:vAlign w:val="center"/>
          </w:tcPr>
          <w:p w14:paraId="22BAD095">
            <w:pPr>
              <w:pStyle w:val="19"/>
              <w:bidi w:val="0"/>
            </w:pPr>
            <w:r>
              <w:t>设备名称</w:t>
            </w:r>
          </w:p>
        </w:tc>
        <w:tc>
          <w:tcPr>
            <w:tcW w:w="1363" w:type="pct"/>
            <w:tcMar>
              <w:top w:w="0" w:type="dxa"/>
              <w:left w:w="0" w:type="dxa"/>
              <w:bottom w:w="0" w:type="dxa"/>
              <w:right w:w="0" w:type="dxa"/>
            </w:tcMar>
            <w:vAlign w:val="center"/>
          </w:tcPr>
          <w:p w14:paraId="7A95D23A">
            <w:pPr>
              <w:pStyle w:val="19"/>
              <w:bidi w:val="0"/>
            </w:pPr>
            <w:r>
              <w:t>距声源距离（m）</w:t>
            </w:r>
          </w:p>
        </w:tc>
        <w:tc>
          <w:tcPr>
            <w:tcW w:w="1239" w:type="pct"/>
            <w:tcMar>
              <w:top w:w="0" w:type="dxa"/>
              <w:left w:w="0" w:type="dxa"/>
              <w:bottom w:w="0" w:type="dxa"/>
              <w:right w:w="0" w:type="dxa"/>
            </w:tcMar>
            <w:vAlign w:val="center"/>
          </w:tcPr>
          <w:p w14:paraId="5AAC5FE1">
            <w:pPr>
              <w:pStyle w:val="19"/>
              <w:bidi w:val="0"/>
            </w:pPr>
            <w:r>
              <w:t>噪声强度[dB(A)]</w:t>
            </w:r>
          </w:p>
        </w:tc>
      </w:tr>
      <w:tr w14:paraId="1367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restart"/>
            <w:tcMar>
              <w:top w:w="0" w:type="dxa"/>
              <w:left w:w="0" w:type="dxa"/>
              <w:bottom w:w="0" w:type="dxa"/>
              <w:right w:w="0" w:type="dxa"/>
            </w:tcMar>
            <w:vAlign w:val="center"/>
          </w:tcPr>
          <w:p w14:paraId="7778469F">
            <w:pPr>
              <w:pStyle w:val="19"/>
              <w:bidi w:val="0"/>
            </w:pPr>
            <w:r>
              <w:t>土石方阶段</w:t>
            </w:r>
          </w:p>
        </w:tc>
        <w:tc>
          <w:tcPr>
            <w:tcW w:w="1361" w:type="pct"/>
            <w:tcMar>
              <w:top w:w="0" w:type="dxa"/>
              <w:left w:w="0" w:type="dxa"/>
              <w:bottom w:w="0" w:type="dxa"/>
              <w:right w:w="0" w:type="dxa"/>
            </w:tcMar>
            <w:vAlign w:val="center"/>
          </w:tcPr>
          <w:p w14:paraId="69F1151E">
            <w:pPr>
              <w:pStyle w:val="19"/>
              <w:bidi w:val="0"/>
            </w:pPr>
            <w:r>
              <w:t>挖土机</w:t>
            </w:r>
          </w:p>
        </w:tc>
        <w:tc>
          <w:tcPr>
            <w:tcW w:w="1363" w:type="pct"/>
            <w:tcMar>
              <w:top w:w="0" w:type="dxa"/>
              <w:left w:w="0" w:type="dxa"/>
              <w:bottom w:w="0" w:type="dxa"/>
              <w:right w:w="0" w:type="dxa"/>
            </w:tcMar>
            <w:vAlign w:val="center"/>
          </w:tcPr>
          <w:p w14:paraId="2DBA16AE">
            <w:pPr>
              <w:pStyle w:val="19"/>
              <w:bidi w:val="0"/>
            </w:pPr>
            <w:r>
              <w:t>5</w:t>
            </w:r>
          </w:p>
        </w:tc>
        <w:tc>
          <w:tcPr>
            <w:tcW w:w="1239" w:type="pct"/>
            <w:tcMar>
              <w:top w:w="0" w:type="dxa"/>
              <w:left w:w="0" w:type="dxa"/>
              <w:bottom w:w="0" w:type="dxa"/>
              <w:right w:w="0" w:type="dxa"/>
            </w:tcMar>
            <w:vAlign w:val="center"/>
          </w:tcPr>
          <w:p w14:paraId="16310D1F">
            <w:pPr>
              <w:pStyle w:val="19"/>
              <w:bidi w:val="0"/>
            </w:pPr>
            <w:r>
              <w:t>80~85</w:t>
            </w:r>
          </w:p>
        </w:tc>
      </w:tr>
      <w:tr w14:paraId="3540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tcMar>
              <w:top w:w="0" w:type="dxa"/>
              <w:left w:w="0" w:type="dxa"/>
              <w:bottom w:w="0" w:type="dxa"/>
              <w:right w:w="0" w:type="dxa"/>
            </w:tcMar>
            <w:vAlign w:val="center"/>
          </w:tcPr>
          <w:p w14:paraId="2CEDD7F6">
            <w:pPr>
              <w:pStyle w:val="19"/>
              <w:bidi w:val="0"/>
            </w:pPr>
          </w:p>
        </w:tc>
        <w:tc>
          <w:tcPr>
            <w:tcW w:w="1361" w:type="pct"/>
            <w:tcMar>
              <w:top w:w="0" w:type="dxa"/>
              <w:left w:w="0" w:type="dxa"/>
              <w:bottom w:w="0" w:type="dxa"/>
              <w:right w:w="0" w:type="dxa"/>
            </w:tcMar>
            <w:vAlign w:val="center"/>
          </w:tcPr>
          <w:p w14:paraId="067FCF02">
            <w:pPr>
              <w:pStyle w:val="19"/>
              <w:bidi w:val="0"/>
            </w:pPr>
            <w:r>
              <w:t>重型载重车</w:t>
            </w:r>
          </w:p>
        </w:tc>
        <w:tc>
          <w:tcPr>
            <w:tcW w:w="1363" w:type="pct"/>
            <w:tcMar>
              <w:top w:w="0" w:type="dxa"/>
              <w:left w:w="0" w:type="dxa"/>
              <w:bottom w:w="0" w:type="dxa"/>
              <w:right w:w="0" w:type="dxa"/>
            </w:tcMar>
            <w:vAlign w:val="center"/>
          </w:tcPr>
          <w:p w14:paraId="165E7C98">
            <w:pPr>
              <w:pStyle w:val="19"/>
              <w:bidi w:val="0"/>
            </w:pPr>
            <w:r>
              <w:t>5</w:t>
            </w:r>
          </w:p>
        </w:tc>
        <w:tc>
          <w:tcPr>
            <w:tcW w:w="1239" w:type="pct"/>
            <w:tcMar>
              <w:top w:w="0" w:type="dxa"/>
              <w:left w:w="0" w:type="dxa"/>
              <w:bottom w:w="0" w:type="dxa"/>
              <w:right w:w="0" w:type="dxa"/>
            </w:tcMar>
            <w:vAlign w:val="center"/>
          </w:tcPr>
          <w:p w14:paraId="44F8212C">
            <w:pPr>
              <w:pStyle w:val="19"/>
              <w:bidi w:val="0"/>
            </w:pPr>
            <w:r>
              <w:t>80~85</w:t>
            </w:r>
          </w:p>
        </w:tc>
      </w:tr>
      <w:tr w14:paraId="2A7F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restart"/>
            <w:tcMar>
              <w:top w:w="0" w:type="dxa"/>
              <w:left w:w="0" w:type="dxa"/>
              <w:bottom w:w="0" w:type="dxa"/>
              <w:right w:w="0" w:type="dxa"/>
            </w:tcMar>
            <w:vAlign w:val="center"/>
          </w:tcPr>
          <w:p w14:paraId="3FE0AF03">
            <w:pPr>
              <w:pStyle w:val="19"/>
              <w:bidi w:val="0"/>
            </w:pPr>
            <w:r>
              <w:t>结构阶段</w:t>
            </w:r>
          </w:p>
        </w:tc>
        <w:tc>
          <w:tcPr>
            <w:tcW w:w="1361" w:type="pct"/>
            <w:tcMar>
              <w:top w:w="0" w:type="dxa"/>
              <w:left w:w="0" w:type="dxa"/>
              <w:bottom w:w="0" w:type="dxa"/>
              <w:right w:w="0" w:type="dxa"/>
            </w:tcMar>
            <w:vAlign w:val="center"/>
          </w:tcPr>
          <w:p w14:paraId="367D3FF3">
            <w:pPr>
              <w:pStyle w:val="19"/>
              <w:bidi w:val="0"/>
            </w:pPr>
            <w:r>
              <w:t>混凝土输送泵</w:t>
            </w:r>
          </w:p>
        </w:tc>
        <w:tc>
          <w:tcPr>
            <w:tcW w:w="1363" w:type="pct"/>
            <w:tcMar>
              <w:top w:w="0" w:type="dxa"/>
              <w:left w:w="0" w:type="dxa"/>
              <w:bottom w:w="0" w:type="dxa"/>
              <w:right w:w="0" w:type="dxa"/>
            </w:tcMar>
            <w:vAlign w:val="center"/>
          </w:tcPr>
          <w:p w14:paraId="414550A7">
            <w:pPr>
              <w:pStyle w:val="19"/>
              <w:bidi w:val="0"/>
            </w:pPr>
            <w:r>
              <w:t>5</w:t>
            </w:r>
          </w:p>
        </w:tc>
        <w:tc>
          <w:tcPr>
            <w:tcW w:w="1239" w:type="pct"/>
            <w:tcMar>
              <w:top w:w="0" w:type="dxa"/>
              <w:left w:w="0" w:type="dxa"/>
              <w:bottom w:w="0" w:type="dxa"/>
              <w:right w:w="0" w:type="dxa"/>
            </w:tcMar>
            <w:vAlign w:val="center"/>
          </w:tcPr>
          <w:p w14:paraId="3541475A">
            <w:pPr>
              <w:pStyle w:val="19"/>
              <w:bidi w:val="0"/>
            </w:pPr>
            <w:r>
              <w:t>80~85</w:t>
            </w:r>
          </w:p>
        </w:tc>
      </w:tr>
      <w:tr w14:paraId="661B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tcMar>
              <w:top w:w="0" w:type="dxa"/>
              <w:left w:w="0" w:type="dxa"/>
              <w:bottom w:w="0" w:type="dxa"/>
              <w:right w:w="0" w:type="dxa"/>
            </w:tcMar>
            <w:vAlign w:val="center"/>
          </w:tcPr>
          <w:p w14:paraId="652D5A93">
            <w:pPr>
              <w:pStyle w:val="19"/>
              <w:bidi w:val="0"/>
            </w:pPr>
          </w:p>
        </w:tc>
        <w:tc>
          <w:tcPr>
            <w:tcW w:w="1361" w:type="pct"/>
            <w:tcMar>
              <w:top w:w="0" w:type="dxa"/>
              <w:left w:w="0" w:type="dxa"/>
              <w:bottom w:w="0" w:type="dxa"/>
              <w:right w:w="0" w:type="dxa"/>
            </w:tcMar>
            <w:vAlign w:val="center"/>
          </w:tcPr>
          <w:p w14:paraId="5C06CC33">
            <w:pPr>
              <w:pStyle w:val="19"/>
              <w:bidi w:val="0"/>
            </w:pPr>
            <w:r>
              <w:t>振捣器</w:t>
            </w:r>
          </w:p>
        </w:tc>
        <w:tc>
          <w:tcPr>
            <w:tcW w:w="1363" w:type="pct"/>
            <w:tcMar>
              <w:top w:w="0" w:type="dxa"/>
              <w:left w:w="0" w:type="dxa"/>
              <w:bottom w:w="0" w:type="dxa"/>
              <w:right w:w="0" w:type="dxa"/>
            </w:tcMar>
            <w:vAlign w:val="center"/>
          </w:tcPr>
          <w:p w14:paraId="34A5C8BC">
            <w:pPr>
              <w:pStyle w:val="19"/>
              <w:bidi w:val="0"/>
            </w:pPr>
            <w:r>
              <w:t>5</w:t>
            </w:r>
          </w:p>
        </w:tc>
        <w:tc>
          <w:tcPr>
            <w:tcW w:w="1239" w:type="pct"/>
            <w:tcMar>
              <w:top w:w="0" w:type="dxa"/>
              <w:left w:w="0" w:type="dxa"/>
              <w:bottom w:w="0" w:type="dxa"/>
              <w:right w:w="0" w:type="dxa"/>
            </w:tcMar>
            <w:vAlign w:val="center"/>
          </w:tcPr>
          <w:p w14:paraId="4520C6BD">
            <w:pPr>
              <w:pStyle w:val="19"/>
              <w:bidi w:val="0"/>
            </w:pPr>
            <w:r>
              <w:t>80~88</w:t>
            </w:r>
          </w:p>
        </w:tc>
      </w:tr>
      <w:tr w14:paraId="4255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tcMar>
              <w:top w:w="0" w:type="dxa"/>
              <w:left w:w="0" w:type="dxa"/>
              <w:bottom w:w="0" w:type="dxa"/>
              <w:right w:w="0" w:type="dxa"/>
            </w:tcMar>
            <w:vAlign w:val="center"/>
          </w:tcPr>
          <w:p w14:paraId="7D519B16">
            <w:pPr>
              <w:pStyle w:val="19"/>
              <w:bidi w:val="0"/>
            </w:pPr>
          </w:p>
        </w:tc>
        <w:tc>
          <w:tcPr>
            <w:tcW w:w="1361" w:type="pct"/>
            <w:tcMar>
              <w:top w:w="0" w:type="dxa"/>
              <w:left w:w="0" w:type="dxa"/>
              <w:bottom w:w="0" w:type="dxa"/>
              <w:right w:w="0" w:type="dxa"/>
            </w:tcMar>
            <w:vAlign w:val="center"/>
          </w:tcPr>
          <w:p w14:paraId="6856D94F">
            <w:pPr>
              <w:pStyle w:val="19"/>
              <w:bidi w:val="0"/>
            </w:pPr>
            <w:r>
              <w:t>电焊机</w:t>
            </w:r>
          </w:p>
        </w:tc>
        <w:tc>
          <w:tcPr>
            <w:tcW w:w="1363" w:type="pct"/>
            <w:tcMar>
              <w:top w:w="0" w:type="dxa"/>
              <w:left w:w="0" w:type="dxa"/>
              <w:bottom w:w="0" w:type="dxa"/>
              <w:right w:w="0" w:type="dxa"/>
            </w:tcMar>
            <w:vAlign w:val="center"/>
          </w:tcPr>
          <w:p w14:paraId="60181115">
            <w:pPr>
              <w:pStyle w:val="19"/>
              <w:bidi w:val="0"/>
            </w:pPr>
            <w:r>
              <w:t>5</w:t>
            </w:r>
          </w:p>
        </w:tc>
        <w:tc>
          <w:tcPr>
            <w:tcW w:w="1239" w:type="pct"/>
            <w:tcMar>
              <w:top w:w="0" w:type="dxa"/>
              <w:left w:w="0" w:type="dxa"/>
              <w:bottom w:w="0" w:type="dxa"/>
              <w:right w:w="0" w:type="dxa"/>
            </w:tcMar>
            <w:vAlign w:val="center"/>
          </w:tcPr>
          <w:p w14:paraId="478FB723">
            <w:pPr>
              <w:pStyle w:val="19"/>
              <w:bidi w:val="0"/>
            </w:pPr>
            <w:r>
              <w:t>85~90</w:t>
            </w:r>
          </w:p>
        </w:tc>
      </w:tr>
      <w:tr w14:paraId="1A30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restart"/>
            <w:tcMar>
              <w:top w:w="0" w:type="dxa"/>
              <w:left w:w="0" w:type="dxa"/>
              <w:bottom w:w="0" w:type="dxa"/>
              <w:right w:w="0" w:type="dxa"/>
            </w:tcMar>
            <w:vAlign w:val="center"/>
          </w:tcPr>
          <w:p w14:paraId="2E8AE792">
            <w:pPr>
              <w:pStyle w:val="19"/>
              <w:bidi w:val="0"/>
            </w:pPr>
            <w:r>
              <w:t>装修阶段</w:t>
            </w:r>
          </w:p>
        </w:tc>
        <w:tc>
          <w:tcPr>
            <w:tcW w:w="1361" w:type="pct"/>
            <w:tcMar>
              <w:top w:w="0" w:type="dxa"/>
              <w:left w:w="0" w:type="dxa"/>
              <w:bottom w:w="0" w:type="dxa"/>
              <w:right w:w="0" w:type="dxa"/>
            </w:tcMar>
            <w:vAlign w:val="center"/>
          </w:tcPr>
          <w:p w14:paraId="20A539D3">
            <w:pPr>
              <w:pStyle w:val="19"/>
              <w:bidi w:val="0"/>
            </w:pPr>
            <w:r>
              <w:t>多功能木工刨</w:t>
            </w:r>
          </w:p>
        </w:tc>
        <w:tc>
          <w:tcPr>
            <w:tcW w:w="1363" w:type="pct"/>
            <w:tcMar>
              <w:top w:w="0" w:type="dxa"/>
              <w:left w:w="0" w:type="dxa"/>
              <w:bottom w:w="0" w:type="dxa"/>
              <w:right w:w="0" w:type="dxa"/>
            </w:tcMar>
            <w:vAlign w:val="center"/>
          </w:tcPr>
          <w:p w14:paraId="379FC143">
            <w:pPr>
              <w:pStyle w:val="19"/>
              <w:bidi w:val="0"/>
            </w:pPr>
            <w:r>
              <w:t>5</w:t>
            </w:r>
          </w:p>
        </w:tc>
        <w:tc>
          <w:tcPr>
            <w:tcW w:w="1239" w:type="pct"/>
            <w:tcMar>
              <w:top w:w="0" w:type="dxa"/>
              <w:left w:w="0" w:type="dxa"/>
              <w:bottom w:w="0" w:type="dxa"/>
              <w:right w:w="0" w:type="dxa"/>
            </w:tcMar>
            <w:vAlign w:val="center"/>
          </w:tcPr>
          <w:p w14:paraId="473FBD6F">
            <w:pPr>
              <w:pStyle w:val="19"/>
              <w:bidi w:val="0"/>
            </w:pPr>
            <w:r>
              <w:t>85~95</w:t>
            </w:r>
          </w:p>
        </w:tc>
      </w:tr>
      <w:tr w14:paraId="20F0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tcMar>
              <w:top w:w="0" w:type="dxa"/>
              <w:left w:w="0" w:type="dxa"/>
              <w:bottom w:w="0" w:type="dxa"/>
              <w:right w:w="0" w:type="dxa"/>
            </w:tcMar>
            <w:vAlign w:val="center"/>
          </w:tcPr>
          <w:p w14:paraId="22DA0074">
            <w:pPr>
              <w:pStyle w:val="19"/>
              <w:bidi w:val="0"/>
            </w:pPr>
          </w:p>
        </w:tc>
        <w:tc>
          <w:tcPr>
            <w:tcW w:w="1361" w:type="pct"/>
            <w:tcMar>
              <w:top w:w="0" w:type="dxa"/>
              <w:left w:w="0" w:type="dxa"/>
              <w:bottom w:w="0" w:type="dxa"/>
              <w:right w:w="0" w:type="dxa"/>
            </w:tcMar>
            <w:vAlign w:val="center"/>
          </w:tcPr>
          <w:p w14:paraId="0A87E5E0">
            <w:pPr>
              <w:pStyle w:val="19"/>
              <w:bidi w:val="0"/>
            </w:pPr>
            <w:r>
              <w:t>电钻</w:t>
            </w:r>
          </w:p>
        </w:tc>
        <w:tc>
          <w:tcPr>
            <w:tcW w:w="1363" w:type="pct"/>
            <w:tcMar>
              <w:top w:w="0" w:type="dxa"/>
              <w:left w:w="0" w:type="dxa"/>
              <w:bottom w:w="0" w:type="dxa"/>
              <w:right w:w="0" w:type="dxa"/>
            </w:tcMar>
            <w:vAlign w:val="center"/>
          </w:tcPr>
          <w:p w14:paraId="775A7E4B">
            <w:pPr>
              <w:pStyle w:val="19"/>
              <w:bidi w:val="0"/>
            </w:pPr>
            <w:r>
              <w:t>5</w:t>
            </w:r>
          </w:p>
        </w:tc>
        <w:tc>
          <w:tcPr>
            <w:tcW w:w="1239" w:type="pct"/>
            <w:tcMar>
              <w:top w:w="0" w:type="dxa"/>
              <w:left w:w="0" w:type="dxa"/>
              <w:bottom w:w="0" w:type="dxa"/>
              <w:right w:w="0" w:type="dxa"/>
            </w:tcMar>
            <w:vAlign w:val="center"/>
          </w:tcPr>
          <w:p w14:paraId="62F0A565">
            <w:pPr>
              <w:pStyle w:val="19"/>
              <w:bidi w:val="0"/>
            </w:pPr>
            <w:r>
              <w:t>95~100</w:t>
            </w:r>
          </w:p>
        </w:tc>
      </w:tr>
      <w:tr w14:paraId="357F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tcMar>
              <w:top w:w="0" w:type="dxa"/>
              <w:left w:w="0" w:type="dxa"/>
              <w:bottom w:w="0" w:type="dxa"/>
              <w:right w:w="0" w:type="dxa"/>
            </w:tcMar>
            <w:vAlign w:val="center"/>
          </w:tcPr>
          <w:p w14:paraId="3F54F6ED">
            <w:pPr>
              <w:pStyle w:val="19"/>
              <w:bidi w:val="0"/>
            </w:pPr>
          </w:p>
        </w:tc>
        <w:tc>
          <w:tcPr>
            <w:tcW w:w="1361" w:type="pct"/>
            <w:tcMar>
              <w:top w:w="0" w:type="dxa"/>
              <w:left w:w="0" w:type="dxa"/>
              <w:bottom w:w="0" w:type="dxa"/>
              <w:right w:w="0" w:type="dxa"/>
            </w:tcMar>
            <w:vAlign w:val="center"/>
          </w:tcPr>
          <w:p w14:paraId="64088954">
            <w:pPr>
              <w:pStyle w:val="19"/>
              <w:bidi w:val="0"/>
            </w:pPr>
            <w:r>
              <w:t>轻型载重车</w:t>
            </w:r>
          </w:p>
        </w:tc>
        <w:tc>
          <w:tcPr>
            <w:tcW w:w="1363" w:type="pct"/>
            <w:tcMar>
              <w:top w:w="0" w:type="dxa"/>
              <w:left w:w="0" w:type="dxa"/>
              <w:bottom w:w="0" w:type="dxa"/>
              <w:right w:w="0" w:type="dxa"/>
            </w:tcMar>
            <w:vAlign w:val="center"/>
          </w:tcPr>
          <w:p w14:paraId="18E5EAFD">
            <w:pPr>
              <w:pStyle w:val="19"/>
              <w:bidi w:val="0"/>
            </w:pPr>
            <w:r>
              <w:t>5</w:t>
            </w:r>
          </w:p>
        </w:tc>
        <w:tc>
          <w:tcPr>
            <w:tcW w:w="1239" w:type="pct"/>
            <w:tcMar>
              <w:top w:w="0" w:type="dxa"/>
              <w:left w:w="0" w:type="dxa"/>
              <w:bottom w:w="0" w:type="dxa"/>
              <w:right w:w="0" w:type="dxa"/>
            </w:tcMar>
            <w:vAlign w:val="center"/>
          </w:tcPr>
          <w:p w14:paraId="0E342D9D">
            <w:pPr>
              <w:pStyle w:val="19"/>
              <w:bidi w:val="0"/>
            </w:pPr>
            <w:r>
              <w:t>75~80</w:t>
            </w:r>
          </w:p>
        </w:tc>
      </w:tr>
    </w:tbl>
    <w:p w14:paraId="6CCB6FBF">
      <w:pPr>
        <w:pStyle w:val="28"/>
        <w:bidi w:val="0"/>
        <w:rPr>
          <w:rFonts w:hint="default"/>
          <w:lang w:val="en-US" w:eastAsia="zh-CN"/>
        </w:rPr>
      </w:pPr>
      <w:r>
        <w:rPr>
          <w:rFonts w:hint="eastAsia"/>
          <w:lang w:val="en-US" w:eastAsia="zh-CN"/>
        </w:rPr>
        <w:t>固体废物</w:t>
      </w:r>
    </w:p>
    <w:p w14:paraId="00034F1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施工期固体废物主要是施工过程中产生的建筑垃圾、基础设施场地平整过程中产生的废弃土石方</w:t>
      </w:r>
      <w:r>
        <w:rPr>
          <w:rFonts w:hint="eastAsia"/>
          <w:color w:val="000000" w:themeColor="text1"/>
          <w:highlight w:val="none"/>
          <w:lang w:val="en-US" w:eastAsia="zh-CN"/>
          <w14:textFill>
            <w14:solidFill>
              <w14:schemeClr w14:val="tx1"/>
            </w14:solidFill>
          </w14:textFill>
        </w:rPr>
        <w:t>以及</w:t>
      </w:r>
      <w:r>
        <w:rPr>
          <w:color w:val="000000" w:themeColor="text1"/>
          <w:highlight w:val="none"/>
          <w14:textFill>
            <w14:solidFill>
              <w14:schemeClr w14:val="tx1"/>
            </w14:solidFill>
          </w14:textFill>
        </w:rPr>
        <w:t>施工人员生活垃圾。</w:t>
      </w:r>
    </w:p>
    <w:p w14:paraId="3F7AC64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产生的建筑垃圾，主要有地面挖掘、道路修筑、管道敷设、材料运输、基础工程和房屋建筑等工程施工期间产生的大量废弃的建筑材料，如废弃砖石、水泥凝结废渣、废弃铁质及木质建材等，其中可再生利用部分回收利用。余下部分按城市建设主管部门的规定，运到指定地点妥善处置。</w:t>
      </w:r>
    </w:p>
    <w:p w14:paraId="62FEB61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根据工程资料，在施工期废水处理设施和暂存池修建过程中所调出的土方，全部调入项目</w:t>
      </w:r>
      <w:r>
        <w:rPr>
          <w:rFonts w:hint="eastAsia"/>
          <w:color w:val="000000" w:themeColor="text1"/>
          <w:highlight w:val="none"/>
          <w:lang w:val="en-US" w:eastAsia="zh-CN"/>
          <w14:textFill>
            <w14:solidFill>
              <w14:schemeClr w14:val="tx1"/>
            </w14:solidFill>
          </w14:textFill>
        </w:rPr>
        <w:t>场区道路</w:t>
      </w:r>
      <w:r>
        <w:rPr>
          <w:color w:val="000000" w:themeColor="text1"/>
          <w:highlight w:val="none"/>
          <w14:textFill>
            <w14:solidFill>
              <w14:schemeClr w14:val="tx1"/>
            </w14:solidFill>
          </w14:textFill>
        </w:rPr>
        <w:t>的修建，养殖区、辅助生产区和防疫区等分区开挖土方全部回填。</w:t>
      </w:r>
    </w:p>
    <w:p w14:paraId="4CA3C53D">
      <w:pPr>
        <w:bidi w:val="0"/>
        <w:rPr>
          <w:rFonts w:hint="eastAsia"/>
          <w:lang w:val="en-US" w:eastAsia="zh-CN"/>
        </w:rPr>
      </w:pPr>
      <w:r>
        <w:rPr>
          <w:color w:val="000000" w:themeColor="text1"/>
          <w:highlight w:val="none"/>
          <w14:textFill>
            <w14:solidFill>
              <w14:schemeClr w14:val="tx1"/>
            </w14:solidFill>
          </w14:textFill>
        </w:rPr>
        <w:t>施工期间有少量</w:t>
      </w:r>
      <w:r>
        <w:rPr>
          <w:rFonts w:hint="eastAsia"/>
          <w:color w:val="000000" w:themeColor="text1"/>
          <w:highlight w:val="none"/>
          <w:lang w:val="en-US" w:eastAsia="zh-CN"/>
          <w14:textFill>
            <w14:solidFill>
              <w14:schemeClr w14:val="tx1"/>
            </w14:solidFill>
          </w14:textFill>
        </w:rPr>
        <w:t>施工人员的</w:t>
      </w:r>
      <w:r>
        <w:rPr>
          <w:color w:val="000000" w:themeColor="text1"/>
          <w:highlight w:val="none"/>
          <w14:textFill>
            <w14:solidFill>
              <w14:schemeClr w14:val="tx1"/>
            </w14:solidFill>
          </w14:textFill>
        </w:rPr>
        <w:t>生活垃圾产生。现场平均每天</w:t>
      </w:r>
      <w:r>
        <w:rPr>
          <w:rFonts w:hint="eastAsia"/>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t>人施工，按每人每天产生垃圾量0.5kg计算，施工人员产生的生活垃圾约为</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0kg/d，生活垃圾统一收集后，委托环卫部门统一清运处置。</w:t>
      </w:r>
    </w:p>
    <w:p w14:paraId="7B4D35ED">
      <w:pPr>
        <w:pStyle w:val="27"/>
        <w:bidi w:val="0"/>
        <w:rPr>
          <w:rFonts w:hint="default"/>
          <w:lang w:val="en-US" w:eastAsia="zh-CN"/>
        </w:rPr>
      </w:pPr>
      <w:r>
        <w:rPr>
          <w:rFonts w:hint="eastAsia"/>
          <w:lang w:val="en-US" w:eastAsia="zh-CN"/>
        </w:rPr>
        <w:t>运营期污染源分析</w:t>
      </w:r>
    </w:p>
    <w:p w14:paraId="38F41767">
      <w:pPr>
        <w:pStyle w:val="28"/>
        <w:bidi w:val="0"/>
        <w:rPr>
          <w:rFonts w:hint="default"/>
          <w:lang w:val="en-US" w:eastAsia="zh-CN"/>
        </w:rPr>
      </w:pPr>
      <w:r>
        <w:rPr>
          <w:rFonts w:hint="eastAsia"/>
          <w:lang w:val="en-US" w:eastAsia="zh-CN"/>
        </w:rPr>
        <w:t>废气</w:t>
      </w:r>
    </w:p>
    <w:p w14:paraId="6C7CC220">
      <w:pPr>
        <w:bidi w:val="0"/>
        <w:rPr>
          <w:rFonts w:hint="default"/>
          <w:lang w:val="en-US" w:eastAsia="zh-CN"/>
        </w:rPr>
      </w:pPr>
      <w:r>
        <w:rPr>
          <w:rFonts w:hint="eastAsia"/>
          <w:lang w:val="en-US" w:eastAsia="zh-CN"/>
        </w:rPr>
        <w:t>（1）育肥舍恶臭气体G1</w:t>
      </w:r>
    </w:p>
    <w:p w14:paraId="334BBFA2">
      <w:pPr>
        <w:bidi w:val="0"/>
        <w:rPr>
          <w:rFonts w:hint="default"/>
          <w:lang w:val="en-US" w:eastAsia="zh-CN"/>
        </w:rPr>
      </w:pPr>
      <w:r>
        <w:rPr>
          <w:rFonts w:hint="default"/>
          <w:lang w:val="en-US" w:eastAsia="zh-CN"/>
        </w:rPr>
        <w:t>根据《规模畜禽养殖场污染防治最佳可行技术指南（试行）》（HJ-BAT-10-2013）、《畜禽养殖业污染治理工程技术规范》（HJ497-2009）中的统计资料以及建设单位提供的资料，本项目运营后，</w:t>
      </w:r>
      <w:r>
        <w:rPr>
          <w:rFonts w:hint="eastAsia"/>
          <w:lang w:val="en-US" w:eastAsia="zh-CN"/>
        </w:rPr>
        <w:t>育肥舍会</w:t>
      </w:r>
      <w:r>
        <w:rPr>
          <w:rFonts w:hint="default"/>
          <w:lang w:val="en-US" w:eastAsia="zh-CN"/>
        </w:rPr>
        <w:t>散逸的恶臭。</w:t>
      </w:r>
    </w:p>
    <w:p w14:paraId="4FCC8B39">
      <w:pPr>
        <w:bidi w:val="0"/>
        <w:rPr>
          <w:rFonts w:hint="default"/>
          <w:lang w:val="en-US" w:eastAsia="zh-CN"/>
        </w:rPr>
      </w:pPr>
      <w:r>
        <w:rPr>
          <w:rFonts w:hint="eastAsia"/>
          <w:lang w:val="en-US" w:eastAsia="zh-CN"/>
        </w:rPr>
        <w:t>育肥舍</w:t>
      </w:r>
      <w:r>
        <w:rPr>
          <w:rFonts w:hint="default"/>
          <w:lang w:val="en-US" w:eastAsia="zh-CN"/>
        </w:rPr>
        <w:t>恶臭来自猪的粪便、污水、垫料、饲料等的腐败分解，猪的新鲜粪便、消化道排出的气体，皮脂腺和汗腺的分泌物，畜体的外激素，黏附在体表的污物，呼出气中等也会散发出猪特有的难闻气味。这类恶臭气体主要为氨、硫化氢、三甲</w:t>
      </w:r>
      <w:r>
        <w:rPr>
          <w:rFonts w:hint="eastAsia"/>
          <w:lang w:val="en-US" w:eastAsia="zh-CN"/>
        </w:rPr>
        <w:t>胺</w:t>
      </w:r>
      <w:r>
        <w:rPr>
          <w:rFonts w:hint="default"/>
          <w:lang w:val="en-US" w:eastAsia="zh-CN"/>
        </w:rPr>
        <w:t>等，几种主要恶臭物质的物理性质见表3.</w:t>
      </w:r>
      <w:r>
        <w:rPr>
          <w:rFonts w:hint="eastAsia"/>
          <w:lang w:val="en-US" w:eastAsia="zh-CN"/>
        </w:rPr>
        <w:t>4</w:t>
      </w:r>
      <w:r>
        <w:rPr>
          <w:rFonts w:hint="default"/>
          <w:lang w:val="en-US" w:eastAsia="zh-CN"/>
        </w:rPr>
        <w:t>-1。</w:t>
      </w:r>
    </w:p>
    <w:p w14:paraId="0B170A4F">
      <w:pPr>
        <w:pStyle w:val="30"/>
        <w:bidi w:val="0"/>
      </w:pPr>
      <w:r>
        <w:rPr>
          <w:rFonts w:hint="eastAsia"/>
          <w:lang w:val="en-US" w:eastAsia="zh-CN"/>
        </w:rPr>
        <w:t xml:space="preserve">表3.4-1   </w:t>
      </w:r>
      <w:r>
        <w:t>恶臭物质理化特征一览表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33"/>
        <w:gridCol w:w="2237"/>
        <w:gridCol w:w="1939"/>
        <w:gridCol w:w="2204"/>
      </w:tblGrid>
      <w:tr w14:paraId="105E10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162" w:type="pct"/>
            <w:tcMar>
              <w:top w:w="0" w:type="dxa"/>
              <w:left w:w="0" w:type="dxa"/>
              <w:bottom w:w="0" w:type="dxa"/>
              <w:right w:w="0" w:type="dxa"/>
            </w:tcMar>
            <w:vAlign w:val="center"/>
          </w:tcPr>
          <w:p w14:paraId="1B759BB3">
            <w:pPr>
              <w:pStyle w:val="19"/>
              <w:bidi w:val="0"/>
            </w:pPr>
            <w:r>
              <w:t>恶臭物质</w:t>
            </w:r>
          </w:p>
        </w:tc>
        <w:tc>
          <w:tcPr>
            <w:tcW w:w="1345" w:type="pct"/>
            <w:tcMar>
              <w:top w:w="0" w:type="dxa"/>
              <w:left w:w="0" w:type="dxa"/>
              <w:bottom w:w="0" w:type="dxa"/>
              <w:right w:w="0" w:type="dxa"/>
            </w:tcMar>
            <w:vAlign w:val="center"/>
          </w:tcPr>
          <w:p w14:paraId="6F5A5C00">
            <w:pPr>
              <w:pStyle w:val="19"/>
              <w:bidi w:val="0"/>
            </w:pPr>
            <w:r>
              <w:t>分子式</w:t>
            </w:r>
          </w:p>
        </w:tc>
        <w:tc>
          <w:tcPr>
            <w:tcW w:w="1166" w:type="pct"/>
            <w:tcMar>
              <w:top w:w="0" w:type="dxa"/>
              <w:left w:w="0" w:type="dxa"/>
              <w:bottom w:w="0" w:type="dxa"/>
              <w:right w:w="0" w:type="dxa"/>
            </w:tcMar>
            <w:vAlign w:val="center"/>
          </w:tcPr>
          <w:p w14:paraId="0D6A4FB0">
            <w:pPr>
              <w:pStyle w:val="19"/>
              <w:bidi w:val="0"/>
            </w:pPr>
            <w:r>
              <w:t>嗅阈值(ppm)</w:t>
            </w:r>
          </w:p>
        </w:tc>
        <w:tc>
          <w:tcPr>
            <w:tcW w:w="1325" w:type="pct"/>
            <w:tcMar>
              <w:top w:w="0" w:type="dxa"/>
              <w:left w:w="0" w:type="dxa"/>
              <w:bottom w:w="0" w:type="dxa"/>
              <w:right w:w="0" w:type="dxa"/>
            </w:tcMar>
            <w:vAlign w:val="center"/>
          </w:tcPr>
          <w:p w14:paraId="5FF5598A">
            <w:pPr>
              <w:pStyle w:val="19"/>
              <w:bidi w:val="0"/>
            </w:pPr>
            <w:r>
              <w:t>臭气特征</w:t>
            </w:r>
          </w:p>
        </w:tc>
      </w:tr>
      <w:tr w14:paraId="1DBE54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tcMar>
              <w:top w:w="0" w:type="dxa"/>
              <w:left w:w="0" w:type="dxa"/>
              <w:bottom w:w="0" w:type="dxa"/>
              <w:right w:w="0" w:type="dxa"/>
            </w:tcMar>
            <w:vAlign w:val="center"/>
          </w:tcPr>
          <w:p w14:paraId="278AB872">
            <w:pPr>
              <w:pStyle w:val="19"/>
              <w:bidi w:val="0"/>
            </w:pPr>
            <w:r>
              <w:t>三甲胺</w:t>
            </w:r>
          </w:p>
        </w:tc>
        <w:tc>
          <w:tcPr>
            <w:tcW w:w="1345" w:type="pct"/>
            <w:tcMar>
              <w:top w:w="0" w:type="dxa"/>
              <w:left w:w="0" w:type="dxa"/>
              <w:bottom w:w="0" w:type="dxa"/>
              <w:right w:w="0" w:type="dxa"/>
            </w:tcMar>
            <w:vAlign w:val="center"/>
          </w:tcPr>
          <w:p w14:paraId="298D6A93">
            <w:pPr>
              <w:pStyle w:val="19"/>
              <w:bidi w:val="0"/>
            </w:pPr>
            <w:r>
              <w:t>（COH</w:t>
            </w:r>
            <w:r>
              <w:rPr>
                <w:vertAlign w:val="subscript"/>
              </w:rPr>
              <w:t>3</w:t>
            </w:r>
            <w:r>
              <w:t>）N</w:t>
            </w:r>
          </w:p>
        </w:tc>
        <w:tc>
          <w:tcPr>
            <w:tcW w:w="1166" w:type="pct"/>
            <w:tcMar>
              <w:top w:w="0" w:type="dxa"/>
              <w:left w:w="0" w:type="dxa"/>
              <w:bottom w:w="0" w:type="dxa"/>
              <w:right w:w="0" w:type="dxa"/>
            </w:tcMar>
            <w:vAlign w:val="center"/>
          </w:tcPr>
          <w:p w14:paraId="0411AC04">
            <w:pPr>
              <w:pStyle w:val="19"/>
              <w:bidi w:val="0"/>
            </w:pPr>
            <w:r>
              <w:t>0.00021</w:t>
            </w:r>
          </w:p>
        </w:tc>
        <w:tc>
          <w:tcPr>
            <w:tcW w:w="1325" w:type="pct"/>
            <w:tcMar>
              <w:top w:w="0" w:type="dxa"/>
              <w:left w:w="0" w:type="dxa"/>
              <w:bottom w:w="0" w:type="dxa"/>
              <w:right w:w="0" w:type="dxa"/>
            </w:tcMar>
            <w:vAlign w:val="center"/>
          </w:tcPr>
          <w:p w14:paraId="4B5C9AF3">
            <w:pPr>
              <w:pStyle w:val="19"/>
              <w:bidi w:val="0"/>
            </w:pPr>
            <w:r>
              <w:t>臭鱼味</w:t>
            </w:r>
          </w:p>
        </w:tc>
      </w:tr>
      <w:tr w14:paraId="75014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tcMar>
              <w:top w:w="0" w:type="dxa"/>
              <w:left w:w="0" w:type="dxa"/>
              <w:bottom w:w="0" w:type="dxa"/>
              <w:right w:w="0" w:type="dxa"/>
            </w:tcMar>
            <w:vAlign w:val="center"/>
          </w:tcPr>
          <w:p w14:paraId="44ECD387">
            <w:pPr>
              <w:pStyle w:val="19"/>
              <w:bidi w:val="0"/>
            </w:pPr>
            <w:r>
              <w:t>氨</w:t>
            </w:r>
          </w:p>
        </w:tc>
        <w:tc>
          <w:tcPr>
            <w:tcW w:w="1345" w:type="pct"/>
            <w:tcMar>
              <w:top w:w="0" w:type="dxa"/>
              <w:left w:w="0" w:type="dxa"/>
              <w:bottom w:w="0" w:type="dxa"/>
              <w:right w:w="0" w:type="dxa"/>
            </w:tcMar>
            <w:vAlign w:val="center"/>
          </w:tcPr>
          <w:p w14:paraId="01A394EF">
            <w:pPr>
              <w:pStyle w:val="19"/>
              <w:bidi w:val="0"/>
            </w:pPr>
            <w:r>
              <w:t>NH</w:t>
            </w:r>
            <w:r>
              <w:rPr>
                <w:vertAlign w:val="subscript"/>
              </w:rPr>
              <w:t>3</w:t>
            </w:r>
          </w:p>
        </w:tc>
        <w:tc>
          <w:tcPr>
            <w:tcW w:w="1166" w:type="pct"/>
            <w:tcMar>
              <w:top w:w="0" w:type="dxa"/>
              <w:left w:w="0" w:type="dxa"/>
              <w:bottom w:w="0" w:type="dxa"/>
              <w:right w:w="0" w:type="dxa"/>
            </w:tcMar>
            <w:vAlign w:val="center"/>
          </w:tcPr>
          <w:p w14:paraId="2AF661AD">
            <w:pPr>
              <w:pStyle w:val="19"/>
              <w:bidi w:val="0"/>
            </w:pPr>
            <w:r>
              <w:t>40～50</w:t>
            </w:r>
          </w:p>
        </w:tc>
        <w:tc>
          <w:tcPr>
            <w:tcW w:w="1325" w:type="pct"/>
            <w:tcMar>
              <w:top w:w="0" w:type="dxa"/>
              <w:left w:w="0" w:type="dxa"/>
              <w:bottom w:w="0" w:type="dxa"/>
              <w:right w:w="0" w:type="dxa"/>
            </w:tcMar>
            <w:vAlign w:val="center"/>
          </w:tcPr>
          <w:p w14:paraId="073EA783">
            <w:pPr>
              <w:pStyle w:val="19"/>
              <w:bidi w:val="0"/>
            </w:pPr>
            <w:r>
              <w:t>刺激味</w:t>
            </w:r>
          </w:p>
        </w:tc>
      </w:tr>
      <w:tr w14:paraId="1A396B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tcMar>
              <w:top w:w="0" w:type="dxa"/>
              <w:left w:w="0" w:type="dxa"/>
              <w:bottom w:w="0" w:type="dxa"/>
              <w:right w:w="0" w:type="dxa"/>
            </w:tcMar>
            <w:vAlign w:val="center"/>
          </w:tcPr>
          <w:p w14:paraId="444CFCC8">
            <w:pPr>
              <w:pStyle w:val="19"/>
              <w:bidi w:val="0"/>
            </w:pPr>
            <w:r>
              <w:t>硫化氢</w:t>
            </w:r>
          </w:p>
        </w:tc>
        <w:tc>
          <w:tcPr>
            <w:tcW w:w="1345" w:type="pct"/>
            <w:tcMar>
              <w:top w:w="0" w:type="dxa"/>
              <w:left w:w="0" w:type="dxa"/>
              <w:bottom w:w="0" w:type="dxa"/>
              <w:right w:w="0" w:type="dxa"/>
            </w:tcMar>
            <w:vAlign w:val="center"/>
          </w:tcPr>
          <w:p w14:paraId="559ED2BE">
            <w:pPr>
              <w:pStyle w:val="19"/>
              <w:bidi w:val="0"/>
            </w:pPr>
            <w:r>
              <w:t>H</w:t>
            </w:r>
            <w:r>
              <w:rPr>
                <w:vertAlign w:val="subscript"/>
              </w:rPr>
              <w:t>2</w:t>
            </w:r>
            <w:r>
              <w:t>S</w:t>
            </w:r>
          </w:p>
        </w:tc>
        <w:tc>
          <w:tcPr>
            <w:tcW w:w="1166" w:type="pct"/>
            <w:tcMar>
              <w:top w:w="0" w:type="dxa"/>
              <w:left w:w="0" w:type="dxa"/>
              <w:bottom w:w="0" w:type="dxa"/>
              <w:right w:w="0" w:type="dxa"/>
            </w:tcMar>
            <w:vAlign w:val="center"/>
          </w:tcPr>
          <w:p w14:paraId="198FEB93">
            <w:pPr>
              <w:pStyle w:val="19"/>
              <w:bidi w:val="0"/>
            </w:pPr>
            <w:r>
              <w:t>0.005～1</w:t>
            </w:r>
          </w:p>
        </w:tc>
        <w:tc>
          <w:tcPr>
            <w:tcW w:w="1325" w:type="pct"/>
            <w:tcMar>
              <w:top w:w="0" w:type="dxa"/>
              <w:left w:w="0" w:type="dxa"/>
              <w:bottom w:w="0" w:type="dxa"/>
              <w:right w:w="0" w:type="dxa"/>
            </w:tcMar>
            <w:vAlign w:val="center"/>
          </w:tcPr>
          <w:p w14:paraId="5A4F9323">
            <w:pPr>
              <w:pStyle w:val="19"/>
              <w:bidi w:val="0"/>
            </w:pPr>
            <w:r>
              <w:t>臭蛋味</w:t>
            </w:r>
          </w:p>
        </w:tc>
      </w:tr>
      <w:tr w14:paraId="0C82FC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62" w:type="pct"/>
            <w:tcMar>
              <w:top w:w="0" w:type="dxa"/>
              <w:left w:w="0" w:type="dxa"/>
              <w:bottom w:w="0" w:type="dxa"/>
              <w:right w:w="0" w:type="dxa"/>
            </w:tcMar>
            <w:vAlign w:val="center"/>
          </w:tcPr>
          <w:p w14:paraId="4ED7BC5E">
            <w:pPr>
              <w:pStyle w:val="19"/>
              <w:bidi w:val="0"/>
            </w:pPr>
            <w:r>
              <w:t>甲硫醇</w:t>
            </w:r>
          </w:p>
        </w:tc>
        <w:tc>
          <w:tcPr>
            <w:tcW w:w="1345" w:type="pct"/>
            <w:tcMar>
              <w:top w:w="0" w:type="dxa"/>
              <w:left w:w="0" w:type="dxa"/>
              <w:bottom w:w="0" w:type="dxa"/>
              <w:right w:w="0" w:type="dxa"/>
            </w:tcMar>
            <w:vAlign w:val="center"/>
          </w:tcPr>
          <w:p w14:paraId="74216563">
            <w:pPr>
              <w:pStyle w:val="19"/>
              <w:bidi w:val="0"/>
            </w:pPr>
            <w:r>
              <w:t>--</w:t>
            </w:r>
          </w:p>
        </w:tc>
        <w:tc>
          <w:tcPr>
            <w:tcW w:w="1166" w:type="pct"/>
            <w:tcMar>
              <w:top w:w="0" w:type="dxa"/>
              <w:left w:w="0" w:type="dxa"/>
              <w:bottom w:w="0" w:type="dxa"/>
              <w:right w:w="0" w:type="dxa"/>
            </w:tcMar>
            <w:vAlign w:val="center"/>
          </w:tcPr>
          <w:p w14:paraId="483888A8">
            <w:pPr>
              <w:pStyle w:val="19"/>
              <w:bidi w:val="0"/>
            </w:pPr>
            <w:r>
              <w:t>0.0001～0.0011</w:t>
            </w:r>
          </w:p>
        </w:tc>
        <w:tc>
          <w:tcPr>
            <w:tcW w:w="1325" w:type="pct"/>
            <w:tcMar>
              <w:top w:w="0" w:type="dxa"/>
              <w:left w:w="0" w:type="dxa"/>
              <w:bottom w:w="0" w:type="dxa"/>
              <w:right w:w="0" w:type="dxa"/>
            </w:tcMar>
            <w:vAlign w:val="center"/>
          </w:tcPr>
          <w:p w14:paraId="1D1C648F">
            <w:pPr>
              <w:pStyle w:val="19"/>
              <w:bidi w:val="0"/>
            </w:pPr>
            <w:r>
              <w:t>大蒜、韭菜一类臭味</w:t>
            </w:r>
          </w:p>
        </w:tc>
      </w:tr>
    </w:tbl>
    <w:p w14:paraId="1323789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养殖过程恶臭气体主要产生于圈舍内，为了有效核定出臭气中</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的产生情况，本环评引用中国环境科学学会学术年会论文集（</w:t>
      </w:r>
      <w:r>
        <w:rPr>
          <w:color w:val="000000" w:themeColor="text1"/>
          <w:highlight w:val="none"/>
          <w14:textFill>
            <w14:solidFill>
              <w14:schemeClr w14:val="tx1"/>
            </w14:solidFill>
          </w14:textFill>
        </w:rPr>
        <w:t>2010</w:t>
      </w:r>
      <w:r>
        <w:rPr>
          <w:rFonts w:hint="eastAsia"/>
          <w:color w:val="000000" w:themeColor="text1"/>
          <w:highlight w:val="none"/>
          <w14:textFill>
            <w14:solidFill>
              <w14:schemeClr w14:val="tx1"/>
            </w14:solidFill>
          </w14:textFill>
        </w:rPr>
        <w:t>）中的《养猪场恶臭影响量化分析及控制对策研究》（天津市环境影响评价中心，孙艳青、张潞、李万庆）资料，对本项目</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的产生量进行预测。本项目为育肥场，外购保育仔猪（</w:t>
      </w:r>
      <w:r>
        <w:rPr>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kg</w:t>
      </w:r>
      <w:r>
        <w:rPr>
          <w:rFonts w:hint="eastAsia"/>
          <w:color w:val="000000" w:themeColor="text1"/>
          <w:highlight w:val="none"/>
          <w14:textFill>
            <w14:solidFill>
              <w14:schemeClr w14:val="tx1"/>
            </w14:solidFill>
          </w14:textFill>
        </w:rPr>
        <w:t>），育肥至</w:t>
      </w:r>
      <w:r>
        <w:rPr>
          <w:color w:val="000000" w:themeColor="text1"/>
          <w:highlight w:val="none"/>
          <w14:textFill>
            <w14:solidFill>
              <w14:schemeClr w14:val="tx1"/>
            </w14:solidFill>
          </w14:textFill>
        </w:rPr>
        <w:t>110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120</w:t>
      </w:r>
      <w:r>
        <w:rPr>
          <w:rFonts w:hint="eastAsia"/>
          <w:color w:val="000000" w:themeColor="text1"/>
          <w:highlight w:val="none"/>
          <w:lang w:val="en-US" w:eastAsia="zh-CN"/>
          <w14:textFill>
            <w14:solidFill>
              <w14:schemeClr w14:val="tx1"/>
            </w14:solidFill>
          </w14:textFill>
        </w:rPr>
        <w:t>kg</w:t>
      </w:r>
      <w:r>
        <w:rPr>
          <w:rFonts w:hint="eastAsia"/>
          <w:color w:val="000000" w:themeColor="text1"/>
          <w:highlight w:val="none"/>
          <w14:textFill>
            <w14:solidFill>
              <w14:schemeClr w14:val="tx1"/>
            </w14:solidFill>
          </w14:textFill>
        </w:rPr>
        <w:t>出栏。</w:t>
      </w:r>
    </w:p>
    <w:p w14:paraId="6E0BACA4">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上述</w:t>
      </w:r>
      <w:r>
        <w:rPr>
          <w:rFonts w:hint="eastAsia"/>
          <w:color w:val="000000" w:themeColor="text1"/>
          <w:highlight w:val="none"/>
          <w14:textFill>
            <w14:solidFill>
              <w14:schemeClr w14:val="tx1"/>
            </w14:solidFill>
          </w14:textFill>
        </w:rPr>
        <w:t>文献资料，中猪产生的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1.9</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2.1g/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本环评折中取</w:t>
      </w:r>
      <w:r>
        <w:rPr>
          <w:color w:val="000000" w:themeColor="text1"/>
          <w:highlight w:val="none"/>
          <w14:textFill>
            <w14:solidFill>
              <w14:schemeClr w14:val="tx1"/>
            </w14:solidFill>
          </w14:textFill>
        </w:rPr>
        <w:t>2.0g/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），中猪产生的</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0.3g/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））；大猪产生的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5.6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5.7g/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本环评折中取</w:t>
      </w:r>
      <w:r>
        <w:rPr>
          <w:color w:val="000000" w:themeColor="text1"/>
          <w:highlight w:val="none"/>
          <w14:textFill>
            <w14:solidFill>
              <w14:schemeClr w14:val="tx1"/>
            </w14:solidFill>
          </w14:textFill>
        </w:rPr>
        <w:t>5.65g/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），大猪产生的</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0.5g/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））。本项目存栏</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14:textFill>
            <w14:solidFill>
              <w14:schemeClr w14:val="tx1"/>
            </w14:solidFill>
          </w14:textFill>
        </w:rPr>
        <w:t>万头，每年育肥</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批次，每批次育肥周期共计</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个月，其中保育猪育肥至中猪（</w:t>
      </w:r>
      <w:r>
        <w:rPr>
          <w:color w:val="000000" w:themeColor="text1"/>
          <w:highlight w:val="none"/>
          <w14:textFill>
            <w14:solidFill>
              <w14:schemeClr w14:val="tx1"/>
            </w14:solidFill>
          </w14:textFill>
        </w:rPr>
        <w:t>60</w:t>
      </w:r>
      <w:r>
        <w:rPr>
          <w:rFonts w:hint="eastAsia"/>
          <w:color w:val="000000" w:themeColor="text1"/>
          <w:highlight w:val="none"/>
          <w:lang w:val="en-US" w:eastAsia="zh-CN"/>
          <w14:textFill>
            <w14:solidFill>
              <w14:schemeClr w14:val="tx1"/>
            </w14:solidFill>
          </w14:textFill>
        </w:rPr>
        <w:t>kg</w:t>
      </w:r>
      <w:r>
        <w:rPr>
          <w:rFonts w:hint="eastAsia"/>
          <w:color w:val="000000" w:themeColor="text1"/>
          <w:highlight w:val="none"/>
          <w14:textFill>
            <w14:solidFill>
              <w14:schemeClr w14:val="tx1"/>
            </w14:solidFill>
          </w14:textFill>
        </w:rPr>
        <w:t>左右）需要</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周（折合</w:t>
      </w:r>
      <w:r>
        <w:rPr>
          <w:rFonts w:hint="eastAsia"/>
          <w:color w:val="000000" w:themeColor="text1"/>
          <w:highlight w:val="none"/>
          <w:lang w:val="en-US" w:eastAsia="zh-CN"/>
          <w14:textFill>
            <w14:solidFill>
              <w14:schemeClr w14:val="tx1"/>
            </w14:solidFill>
          </w14:textFill>
        </w:rPr>
        <w:t>77</w:t>
      </w:r>
      <w:r>
        <w:rPr>
          <w:rFonts w:hint="eastAsia"/>
          <w:color w:val="000000" w:themeColor="text1"/>
          <w:highlight w:val="none"/>
          <w14:textFill>
            <w14:solidFill>
              <w14:schemeClr w14:val="tx1"/>
            </w14:solidFill>
          </w14:textFill>
        </w:rPr>
        <w:t>天），中猪育肥至出栏（</w:t>
      </w:r>
      <w:r>
        <w:rPr>
          <w:color w:val="000000" w:themeColor="text1"/>
          <w:highlight w:val="none"/>
          <w14:textFill>
            <w14:solidFill>
              <w14:schemeClr w14:val="tx1"/>
            </w14:solidFill>
          </w14:textFill>
        </w:rPr>
        <w:t>115</w:t>
      </w:r>
      <w:r>
        <w:rPr>
          <w:rFonts w:hint="eastAsia"/>
          <w:color w:val="000000" w:themeColor="text1"/>
          <w:highlight w:val="none"/>
          <w:lang w:val="en-US" w:eastAsia="zh-CN"/>
          <w14:textFill>
            <w14:solidFill>
              <w14:schemeClr w14:val="tx1"/>
            </w14:solidFill>
          </w14:textFill>
        </w:rPr>
        <w:t>kg</w:t>
      </w:r>
      <w:r>
        <w:rPr>
          <w:rFonts w:hint="eastAsia"/>
          <w:color w:val="000000" w:themeColor="text1"/>
          <w:highlight w:val="none"/>
          <w14:textFill>
            <w14:solidFill>
              <w14:schemeClr w14:val="tx1"/>
            </w14:solidFill>
          </w14:textFill>
        </w:rPr>
        <w:t>左右）需要</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周（折合</w:t>
      </w:r>
      <w:r>
        <w:rPr>
          <w:rFonts w:hint="eastAsia"/>
          <w:color w:val="000000" w:themeColor="text1"/>
          <w:highlight w:val="none"/>
          <w:lang w:val="en-US" w:eastAsia="zh-CN"/>
          <w14:textFill>
            <w14:solidFill>
              <w14:schemeClr w14:val="tx1"/>
            </w14:solidFill>
          </w14:textFill>
        </w:rPr>
        <w:t>70</w:t>
      </w:r>
      <w:r>
        <w:rPr>
          <w:rFonts w:hint="eastAsia"/>
          <w:color w:val="000000" w:themeColor="text1"/>
          <w:highlight w:val="none"/>
          <w14:textFill>
            <w14:solidFill>
              <w14:schemeClr w14:val="tx1"/>
            </w14:solidFill>
          </w14:textFill>
        </w:rPr>
        <w:t>天）。</w:t>
      </w:r>
    </w:p>
    <w:p w14:paraId="14A05CE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本项目产生的NH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S产生源强计算详见表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p>
    <w:p w14:paraId="78446C8F">
      <w:pPr>
        <w:pStyle w:val="30"/>
        <w:bidi w:val="0"/>
      </w:pPr>
      <w:r>
        <w:t>表</w:t>
      </w:r>
      <w:r>
        <w:rPr>
          <w:rFonts w:hint="eastAsia"/>
        </w:rPr>
        <w:t>3</w:t>
      </w:r>
      <w:r>
        <w:t>.</w:t>
      </w:r>
      <w:r>
        <w:rPr>
          <w:rFonts w:hint="eastAsia"/>
          <w:lang w:val="en-US" w:eastAsia="zh-CN"/>
        </w:rPr>
        <w:t>4-</w:t>
      </w:r>
      <w:r>
        <w:t xml:space="preserve">2 </w:t>
      </w:r>
      <w:r>
        <w:rPr>
          <w:rFonts w:hint="eastAsia"/>
          <w:lang w:val="en-US" w:eastAsia="zh-CN"/>
        </w:rPr>
        <w:t xml:space="preserve"> </w:t>
      </w:r>
      <w:r>
        <w:t xml:space="preserve"> 本项目全场圈舍NH</w:t>
      </w:r>
      <w:r>
        <w:rPr>
          <w:vertAlign w:val="subscript"/>
        </w:rPr>
        <w:t>3</w:t>
      </w:r>
      <w:r>
        <w:t>和H</w:t>
      </w:r>
      <w:r>
        <w:rPr>
          <w:vertAlign w:val="subscript"/>
        </w:rPr>
        <w:t>2</w:t>
      </w:r>
      <w:r>
        <w:t>S产生量估算</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
        <w:gridCol w:w="1248"/>
        <w:gridCol w:w="1093"/>
        <w:gridCol w:w="1189"/>
        <w:gridCol w:w="1065"/>
        <w:gridCol w:w="1098"/>
        <w:gridCol w:w="1048"/>
      </w:tblGrid>
      <w:tr w14:paraId="7561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94" w:type="pct"/>
            <w:vMerge w:val="restart"/>
            <w:tcMar>
              <w:top w:w="0" w:type="dxa"/>
              <w:left w:w="0" w:type="dxa"/>
              <w:bottom w:w="0" w:type="dxa"/>
              <w:right w:w="0" w:type="dxa"/>
            </w:tcMar>
            <w:vAlign w:val="center"/>
          </w:tcPr>
          <w:p w14:paraId="7D40449F">
            <w:pPr>
              <w:pStyle w:val="19"/>
              <w:bidi w:val="0"/>
            </w:pPr>
            <w:r>
              <w:t>猪群</w:t>
            </w:r>
          </w:p>
        </w:tc>
        <w:tc>
          <w:tcPr>
            <w:tcW w:w="551" w:type="pct"/>
            <w:vMerge w:val="restart"/>
            <w:tcMar>
              <w:top w:w="0" w:type="dxa"/>
              <w:left w:w="0" w:type="dxa"/>
              <w:bottom w:w="0" w:type="dxa"/>
              <w:right w:w="0" w:type="dxa"/>
            </w:tcMar>
            <w:vAlign w:val="center"/>
          </w:tcPr>
          <w:p w14:paraId="703356CC">
            <w:pPr>
              <w:pStyle w:val="19"/>
              <w:bidi w:val="0"/>
            </w:pPr>
            <w:r>
              <w:t>存栏量（头）</w:t>
            </w:r>
          </w:p>
        </w:tc>
        <w:tc>
          <w:tcPr>
            <w:tcW w:w="750" w:type="pct"/>
            <w:vMerge w:val="restart"/>
            <w:tcMar>
              <w:top w:w="0" w:type="dxa"/>
              <w:left w:w="0" w:type="dxa"/>
              <w:bottom w:w="0" w:type="dxa"/>
              <w:right w:w="0" w:type="dxa"/>
            </w:tcMar>
            <w:vAlign w:val="center"/>
          </w:tcPr>
          <w:p w14:paraId="71E180F2">
            <w:pPr>
              <w:pStyle w:val="19"/>
              <w:bidi w:val="0"/>
            </w:pPr>
            <w:r>
              <w:t>存栏天数（天）</w:t>
            </w:r>
          </w:p>
        </w:tc>
        <w:tc>
          <w:tcPr>
            <w:tcW w:w="657" w:type="pct"/>
            <w:vMerge w:val="restart"/>
            <w:tcMar>
              <w:top w:w="0" w:type="dxa"/>
              <w:left w:w="0" w:type="dxa"/>
              <w:bottom w:w="0" w:type="dxa"/>
              <w:right w:w="0" w:type="dxa"/>
            </w:tcMar>
            <w:vAlign w:val="center"/>
          </w:tcPr>
          <w:p w14:paraId="1602CDF9">
            <w:pPr>
              <w:pStyle w:val="19"/>
              <w:bidi w:val="0"/>
            </w:pPr>
            <w:r>
              <w:t>存栏批次</w:t>
            </w:r>
          </w:p>
        </w:tc>
        <w:tc>
          <w:tcPr>
            <w:tcW w:w="1355" w:type="pct"/>
            <w:gridSpan w:val="2"/>
            <w:tcMar>
              <w:top w:w="0" w:type="dxa"/>
              <w:left w:w="0" w:type="dxa"/>
              <w:bottom w:w="0" w:type="dxa"/>
              <w:right w:w="0" w:type="dxa"/>
            </w:tcMar>
            <w:vAlign w:val="center"/>
          </w:tcPr>
          <w:p w14:paraId="64DDD4A8">
            <w:pPr>
              <w:pStyle w:val="19"/>
              <w:bidi w:val="0"/>
            </w:pPr>
            <w:r>
              <w:t>NH</w:t>
            </w:r>
            <w:r>
              <w:rPr>
                <w:vertAlign w:val="subscript"/>
              </w:rPr>
              <w:t>3</w:t>
            </w:r>
          </w:p>
        </w:tc>
        <w:tc>
          <w:tcPr>
            <w:tcW w:w="1290" w:type="pct"/>
            <w:gridSpan w:val="2"/>
            <w:tcMar>
              <w:top w:w="0" w:type="dxa"/>
              <w:left w:w="0" w:type="dxa"/>
              <w:bottom w:w="0" w:type="dxa"/>
              <w:right w:w="0" w:type="dxa"/>
            </w:tcMar>
            <w:vAlign w:val="center"/>
          </w:tcPr>
          <w:p w14:paraId="3153E006">
            <w:pPr>
              <w:pStyle w:val="19"/>
              <w:bidi w:val="0"/>
            </w:pPr>
            <w:r>
              <w:t>H</w:t>
            </w:r>
            <w:r>
              <w:rPr>
                <w:vertAlign w:val="subscript"/>
              </w:rPr>
              <w:t>2</w:t>
            </w:r>
            <w:r>
              <w:t>S</w:t>
            </w:r>
          </w:p>
        </w:tc>
      </w:tr>
      <w:tr w14:paraId="097D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4" w:type="pct"/>
            <w:vMerge w:val="continue"/>
            <w:tcMar>
              <w:top w:w="0" w:type="dxa"/>
              <w:left w:w="0" w:type="dxa"/>
              <w:bottom w:w="0" w:type="dxa"/>
              <w:right w:w="0" w:type="dxa"/>
            </w:tcMar>
            <w:vAlign w:val="center"/>
          </w:tcPr>
          <w:p w14:paraId="2E03CD50">
            <w:pPr>
              <w:pStyle w:val="19"/>
              <w:bidi w:val="0"/>
            </w:pPr>
          </w:p>
        </w:tc>
        <w:tc>
          <w:tcPr>
            <w:tcW w:w="551" w:type="pct"/>
            <w:vMerge w:val="continue"/>
            <w:tcMar>
              <w:top w:w="0" w:type="dxa"/>
              <w:left w:w="0" w:type="dxa"/>
              <w:bottom w:w="0" w:type="dxa"/>
              <w:right w:w="0" w:type="dxa"/>
            </w:tcMar>
            <w:vAlign w:val="center"/>
          </w:tcPr>
          <w:p w14:paraId="0B5630B4">
            <w:pPr>
              <w:pStyle w:val="19"/>
              <w:bidi w:val="0"/>
            </w:pPr>
          </w:p>
        </w:tc>
        <w:tc>
          <w:tcPr>
            <w:tcW w:w="750" w:type="pct"/>
            <w:vMerge w:val="continue"/>
            <w:tcMar>
              <w:top w:w="0" w:type="dxa"/>
              <w:left w:w="0" w:type="dxa"/>
              <w:bottom w:w="0" w:type="dxa"/>
              <w:right w:w="0" w:type="dxa"/>
            </w:tcMar>
            <w:vAlign w:val="center"/>
          </w:tcPr>
          <w:p w14:paraId="721C056F">
            <w:pPr>
              <w:pStyle w:val="19"/>
              <w:bidi w:val="0"/>
            </w:pPr>
          </w:p>
        </w:tc>
        <w:tc>
          <w:tcPr>
            <w:tcW w:w="657" w:type="pct"/>
            <w:vMerge w:val="continue"/>
            <w:tcMar>
              <w:top w:w="0" w:type="dxa"/>
              <w:left w:w="0" w:type="dxa"/>
              <w:bottom w:w="0" w:type="dxa"/>
              <w:right w:w="0" w:type="dxa"/>
            </w:tcMar>
            <w:vAlign w:val="center"/>
          </w:tcPr>
          <w:p w14:paraId="50469C90">
            <w:pPr>
              <w:pStyle w:val="19"/>
              <w:bidi w:val="0"/>
            </w:pPr>
          </w:p>
        </w:tc>
        <w:tc>
          <w:tcPr>
            <w:tcW w:w="715" w:type="pct"/>
            <w:tcMar>
              <w:top w:w="0" w:type="dxa"/>
              <w:left w:w="0" w:type="dxa"/>
              <w:bottom w:w="0" w:type="dxa"/>
              <w:right w:w="0" w:type="dxa"/>
            </w:tcMar>
            <w:vAlign w:val="center"/>
          </w:tcPr>
          <w:p w14:paraId="46B5FBFF">
            <w:pPr>
              <w:pStyle w:val="19"/>
              <w:bidi w:val="0"/>
              <w:rPr>
                <w:rFonts w:hint="eastAsia"/>
              </w:rPr>
            </w:pPr>
            <w:r>
              <w:rPr>
                <w:rFonts w:hint="eastAsia"/>
              </w:rPr>
              <w:t>产污系数</w:t>
            </w:r>
          </w:p>
          <w:p w14:paraId="6F74CDA8">
            <w:pPr>
              <w:pStyle w:val="19"/>
              <w:bidi w:val="0"/>
            </w:pPr>
            <w:r>
              <w:rPr>
                <w:rFonts w:hint="eastAsia"/>
              </w:rPr>
              <w:t>g/（头</w:t>
            </w:r>
            <w:r>
              <w:rPr>
                <w:rFonts w:hint="eastAsia"/>
                <w:lang w:val="en-US" w:eastAsia="zh-CN"/>
              </w:rPr>
              <w:t>·</w:t>
            </w:r>
            <w:r>
              <w:rPr>
                <w:rFonts w:hint="eastAsia"/>
              </w:rPr>
              <w:t>天）</w:t>
            </w:r>
          </w:p>
        </w:tc>
        <w:tc>
          <w:tcPr>
            <w:tcW w:w="640" w:type="pct"/>
            <w:tcMar>
              <w:top w:w="0" w:type="dxa"/>
              <w:left w:w="0" w:type="dxa"/>
              <w:bottom w:w="0" w:type="dxa"/>
              <w:right w:w="0" w:type="dxa"/>
            </w:tcMar>
            <w:vAlign w:val="center"/>
          </w:tcPr>
          <w:p w14:paraId="1D617934">
            <w:pPr>
              <w:pStyle w:val="19"/>
              <w:bidi w:val="0"/>
            </w:pPr>
            <w:r>
              <w:rPr>
                <w:rFonts w:hint="eastAsia"/>
              </w:rPr>
              <w:t>产生量</w:t>
            </w:r>
          </w:p>
          <w:p w14:paraId="33378EC4">
            <w:pPr>
              <w:pStyle w:val="19"/>
              <w:bidi w:val="0"/>
            </w:pPr>
            <w:r>
              <w:rPr>
                <w:rFonts w:hint="eastAsia"/>
              </w:rPr>
              <w:t>t/a</w:t>
            </w:r>
          </w:p>
        </w:tc>
        <w:tc>
          <w:tcPr>
            <w:tcW w:w="660" w:type="pct"/>
            <w:tcMar>
              <w:top w:w="0" w:type="dxa"/>
              <w:left w:w="0" w:type="dxa"/>
              <w:bottom w:w="0" w:type="dxa"/>
              <w:right w:w="0" w:type="dxa"/>
            </w:tcMar>
            <w:vAlign w:val="center"/>
          </w:tcPr>
          <w:p w14:paraId="50DC358E">
            <w:pPr>
              <w:pStyle w:val="19"/>
              <w:bidi w:val="0"/>
              <w:rPr>
                <w:rFonts w:hint="eastAsia"/>
              </w:rPr>
            </w:pPr>
            <w:r>
              <w:rPr>
                <w:rFonts w:hint="eastAsia"/>
              </w:rPr>
              <w:t>产污系数</w:t>
            </w:r>
          </w:p>
          <w:p w14:paraId="3E2F99BD">
            <w:pPr>
              <w:pStyle w:val="19"/>
              <w:bidi w:val="0"/>
            </w:pPr>
            <w:r>
              <w:rPr>
                <w:rFonts w:hint="eastAsia"/>
              </w:rPr>
              <w:t>g/（头</w:t>
            </w:r>
            <w:r>
              <w:rPr>
                <w:rFonts w:hint="eastAsia"/>
                <w:lang w:val="en-US" w:eastAsia="zh-CN"/>
              </w:rPr>
              <w:t>·</w:t>
            </w:r>
            <w:r>
              <w:rPr>
                <w:rFonts w:hint="eastAsia"/>
              </w:rPr>
              <w:t>天）</w:t>
            </w:r>
          </w:p>
        </w:tc>
        <w:tc>
          <w:tcPr>
            <w:tcW w:w="630" w:type="pct"/>
            <w:tcMar>
              <w:top w:w="0" w:type="dxa"/>
              <w:left w:w="0" w:type="dxa"/>
              <w:bottom w:w="0" w:type="dxa"/>
              <w:right w:w="0" w:type="dxa"/>
            </w:tcMar>
            <w:vAlign w:val="center"/>
          </w:tcPr>
          <w:p w14:paraId="3D1B51D1">
            <w:pPr>
              <w:pStyle w:val="19"/>
              <w:bidi w:val="0"/>
            </w:pPr>
            <w:r>
              <w:rPr>
                <w:rFonts w:hint="eastAsia"/>
              </w:rPr>
              <w:t>产生量</w:t>
            </w:r>
          </w:p>
          <w:p w14:paraId="1AF8216D">
            <w:pPr>
              <w:pStyle w:val="19"/>
              <w:bidi w:val="0"/>
            </w:pPr>
            <w:r>
              <w:rPr>
                <w:rFonts w:hint="eastAsia"/>
              </w:rPr>
              <w:t>t/a</w:t>
            </w:r>
          </w:p>
        </w:tc>
      </w:tr>
      <w:tr w14:paraId="0249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94" w:type="pct"/>
            <w:tcMar>
              <w:top w:w="0" w:type="dxa"/>
              <w:left w:w="0" w:type="dxa"/>
              <w:bottom w:w="0" w:type="dxa"/>
              <w:right w:w="0" w:type="dxa"/>
            </w:tcMar>
          </w:tcPr>
          <w:p w14:paraId="23DE8AC7">
            <w:pPr>
              <w:pStyle w:val="19"/>
              <w:bidi w:val="0"/>
            </w:pPr>
            <w:r>
              <w:t>中猪</w:t>
            </w:r>
          </w:p>
        </w:tc>
        <w:tc>
          <w:tcPr>
            <w:tcW w:w="551" w:type="pct"/>
            <w:tcMar>
              <w:top w:w="0" w:type="dxa"/>
              <w:left w:w="0" w:type="dxa"/>
              <w:bottom w:w="0" w:type="dxa"/>
              <w:right w:w="0" w:type="dxa"/>
            </w:tcMar>
          </w:tcPr>
          <w:p w14:paraId="2C1689C0">
            <w:pPr>
              <w:pStyle w:val="19"/>
              <w:bidi w:val="0"/>
            </w:pPr>
            <w:r>
              <w:t>2</w:t>
            </w:r>
            <w:r>
              <w:rPr>
                <w:rFonts w:hint="eastAsia"/>
                <w:lang w:val="en-US" w:eastAsia="zh-CN"/>
              </w:rPr>
              <w:t>5</w:t>
            </w:r>
            <w:r>
              <w:t>000</w:t>
            </w:r>
          </w:p>
        </w:tc>
        <w:tc>
          <w:tcPr>
            <w:tcW w:w="750" w:type="pct"/>
            <w:tcMar>
              <w:top w:w="0" w:type="dxa"/>
              <w:left w:w="0" w:type="dxa"/>
              <w:bottom w:w="0" w:type="dxa"/>
              <w:right w:w="0" w:type="dxa"/>
            </w:tcMar>
          </w:tcPr>
          <w:p w14:paraId="136B6115">
            <w:pPr>
              <w:pStyle w:val="19"/>
              <w:bidi w:val="0"/>
              <w:rPr>
                <w:rFonts w:hint="default"/>
                <w:lang w:val="en-US" w:eastAsia="zh-CN"/>
              </w:rPr>
            </w:pPr>
            <w:r>
              <w:rPr>
                <w:rFonts w:hint="eastAsia"/>
                <w:lang w:val="en-US" w:eastAsia="zh-CN"/>
              </w:rPr>
              <w:t>77</w:t>
            </w:r>
          </w:p>
        </w:tc>
        <w:tc>
          <w:tcPr>
            <w:tcW w:w="657" w:type="pct"/>
            <w:tcMar>
              <w:top w:w="0" w:type="dxa"/>
              <w:left w:w="0" w:type="dxa"/>
              <w:bottom w:w="0" w:type="dxa"/>
              <w:right w:w="0" w:type="dxa"/>
            </w:tcMar>
          </w:tcPr>
          <w:p w14:paraId="10F6446F">
            <w:pPr>
              <w:pStyle w:val="19"/>
              <w:bidi w:val="0"/>
            </w:pPr>
            <w:r>
              <w:t>2</w:t>
            </w:r>
          </w:p>
        </w:tc>
        <w:tc>
          <w:tcPr>
            <w:tcW w:w="715" w:type="pct"/>
            <w:tcMar>
              <w:top w:w="0" w:type="dxa"/>
              <w:left w:w="0" w:type="dxa"/>
              <w:bottom w:w="0" w:type="dxa"/>
              <w:right w:w="0" w:type="dxa"/>
            </w:tcMar>
          </w:tcPr>
          <w:p w14:paraId="10D676C5">
            <w:pPr>
              <w:pStyle w:val="19"/>
              <w:bidi w:val="0"/>
            </w:pPr>
            <w:r>
              <w:t>2.0</w:t>
            </w:r>
          </w:p>
        </w:tc>
        <w:tc>
          <w:tcPr>
            <w:tcW w:w="640" w:type="pct"/>
            <w:tcMar>
              <w:top w:w="0" w:type="dxa"/>
              <w:left w:w="0" w:type="dxa"/>
              <w:bottom w:w="0" w:type="dxa"/>
              <w:right w:w="0" w:type="dxa"/>
            </w:tcMar>
          </w:tcPr>
          <w:p w14:paraId="7A10944B">
            <w:pPr>
              <w:pStyle w:val="19"/>
              <w:bidi w:val="0"/>
              <w:rPr>
                <w:rFonts w:hint="default"/>
                <w:lang w:val="en-US" w:eastAsia="zh-CN"/>
              </w:rPr>
            </w:pPr>
            <w:r>
              <w:rPr>
                <w:rFonts w:hint="eastAsia"/>
                <w:lang w:val="en-US" w:eastAsia="zh-CN"/>
              </w:rPr>
              <w:t>7.7</w:t>
            </w:r>
          </w:p>
        </w:tc>
        <w:tc>
          <w:tcPr>
            <w:tcW w:w="660" w:type="pct"/>
            <w:tcMar>
              <w:top w:w="0" w:type="dxa"/>
              <w:left w:w="0" w:type="dxa"/>
              <w:bottom w:w="0" w:type="dxa"/>
              <w:right w:w="0" w:type="dxa"/>
            </w:tcMar>
          </w:tcPr>
          <w:p w14:paraId="618F83B2">
            <w:pPr>
              <w:pStyle w:val="19"/>
              <w:bidi w:val="0"/>
            </w:pPr>
            <w:r>
              <w:t>0.3</w:t>
            </w:r>
          </w:p>
        </w:tc>
        <w:tc>
          <w:tcPr>
            <w:tcW w:w="630" w:type="pct"/>
            <w:tcMar>
              <w:top w:w="0" w:type="dxa"/>
              <w:left w:w="0" w:type="dxa"/>
              <w:bottom w:w="0" w:type="dxa"/>
              <w:right w:w="0" w:type="dxa"/>
            </w:tcMar>
          </w:tcPr>
          <w:p w14:paraId="23EAEA74">
            <w:pPr>
              <w:pStyle w:val="19"/>
              <w:bidi w:val="0"/>
              <w:rPr>
                <w:rFonts w:hint="default"/>
                <w:lang w:val="en-US" w:eastAsia="zh-CN"/>
              </w:rPr>
            </w:pPr>
            <w:r>
              <w:rPr>
                <w:rFonts w:hint="eastAsia"/>
                <w:lang w:val="en-US" w:eastAsia="zh-CN"/>
              </w:rPr>
              <w:t>1.155</w:t>
            </w:r>
          </w:p>
        </w:tc>
      </w:tr>
      <w:tr w14:paraId="107B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Mar>
              <w:top w:w="0" w:type="dxa"/>
              <w:left w:w="0" w:type="dxa"/>
              <w:bottom w:w="0" w:type="dxa"/>
              <w:right w:w="0" w:type="dxa"/>
            </w:tcMar>
          </w:tcPr>
          <w:p w14:paraId="16DC0715">
            <w:pPr>
              <w:pStyle w:val="19"/>
              <w:bidi w:val="0"/>
            </w:pPr>
            <w:r>
              <w:t>大猪</w:t>
            </w:r>
          </w:p>
        </w:tc>
        <w:tc>
          <w:tcPr>
            <w:tcW w:w="551" w:type="pct"/>
            <w:tcMar>
              <w:top w:w="0" w:type="dxa"/>
              <w:left w:w="0" w:type="dxa"/>
              <w:bottom w:w="0" w:type="dxa"/>
              <w:right w:w="0" w:type="dxa"/>
            </w:tcMar>
          </w:tcPr>
          <w:p w14:paraId="00FE0CFB">
            <w:pPr>
              <w:pStyle w:val="19"/>
              <w:bidi w:val="0"/>
            </w:pPr>
            <w:r>
              <w:t>2</w:t>
            </w:r>
            <w:r>
              <w:rPr>
                <w:rFonts w:hint="eastAsia"/>
                <w:lang w:val="en-US" w:eastAsia="zh-CN"/>
              </w:rPr>
              <w:t>5</w:t>
            </w:r>
            <w:r>
              <w:t>000</w:t>
            </w:r>
          </w:p>
        </w:tc>
        <w:tc>
          <w:tcPr>
            <w:tcW w:w="750" w:type="pct"/>
            <w:tcMar>
              <w:top w:w="0" w:type="dxa"/>
              <w:left w:w="0" w:type="dxa"/>
              <w:bottom w:w="0" w:type="dxa"/>
              <w:right w:w="0" w:type="dxa"/>
            </w:tcMar>
          </w:tcPr>
          <w:p w14:paraId="503C002D">
            <w:pPr>
              <w:pStyle w:val="19"/>
              <w:bidi w:val="0"/>
              <w:rPr>
                <w:rFonts w:hint="default"/>
                <w:lang w:val="en-US" w:eastAsia="zh-CN"/>
              </w:rPr>
            </w:pPr>
            <w:r>
              <w:rPr>
                <w:rFonts w:hint="eastAsia"/>
                <w:lang w:val="en-US" w:eastAsia="zh-CN"/>
              </w:rPr>
              <w:t>70</w:t>
            </w:r>
          </w:p>
        </w:tc>
        <w:tc>
          <w:tcPr>
            <w:tcW w:w="657" w:type="pct"/>
            <w:tcMar>
              <w:top w:w="0" w:type="dxa"/>
              <w:left w:w="0" w:type="dxa"/>
              <w:bottom w:w="0" w:type="dxa"/>
              <w:right w:w="0" w:type="dxa"/>
            </w:tcMar>
          </w:tcPr>
          <w:p w14:paraId="3F9F9574">
            <w:pPr>
              <w:pStyle w:val="19"/>
              <w:bidi w:val="0"/>
            </w:pPr>
            <w:r>
              <w:t>2</w:t>
            </w:r>
          </w:p>
        </w:tc>
        <w:tc>
          <w:tcPr>
            <w:tcW w:w="715" w:type="pct"/>
            <w:tcMar>
              <w:top w:w="0" w:type="dxa"/>
              <w:left w:w="0" w:type="dxa"/>
              <w:bottom w:w="0" w:type="dxa"/>
              <w:right w:w="0" w:type="dxa"/>
            </w:tcMar>
          </w:tcPr>
          <w:p w14:paraId="42F58DA1">
            <w:pPr>
              <w:pStyle w:val="19"/>
              <w:bidi w:val="0"/>
            </w:pPr>
            <w:r>
              <w:t>5.65</w:t>
            </w:r>
          </w:p>
        </w:tc>
        <w:tc>
          <w:tcPr>
            <w:tcW w:w="640" w:type="pct"/>
            <w:tcMar>
              <w:top w:w="0" w:type="dxa"/>
              <w:left w:w="0" w:type="dxa"/>
              <w:bottom w:w="0" w:type="dxa"/>
              <w:right w:w="0" w:type="dxa"/>
            </w:tcMar>
          </w:tcPr>
          <w:p w14:paraId="7048E912">
            <w:pPr>
              <w:pStyle w:val="19"/>
              <w:bidi w:val="0"/>
              <w:rPr>
                <w:rFonts w:hint="default"/>
                <w:lang w:val="en-US" w:eastAsia="zh-CN"/>
              </w:rPr>
            </w:pPr>
            <w:r>
              <w:rPr>
                <w:rFonts w:hint="eastAsia"/>
                <w:lang w:val="en-US" w:eastAsia="zh-CN"/>
              </w:rPr>
              <w:t>19.775</w:t>
            </w:r>
          </w:p>
        </w:tc>
        <w:tc>
          <w:tcPr>
            <w:tcW w:w="660" w:type="pct"/>
            <w:tcMar>
              <w:top w:w="0" w:type="dxa"/>
              <w:left w:w="0" w:type="dxa"/>
              <w:bottom w:w="0" w:type="dxa"/>
              <w:right w:w="0" w:type="dxa"/>
            </w:tcMar>
            <w:vAlign w:val="top"/>
          </w:tcPr>
          <w:p w14:paraId="5C999194">
            <w:pPr>
              <w:pStyle w:val="19"/>
              <w:bidi w:val="0"/>
            </w:pPr>
            <w:r>
              <w:t>0.</w:t>
            </w:r>
            <w:r>
              <w:rPr>
                <w:rFonts w:hint="eastAsia"/>
                <w:lang w:val="en-US" w:eastAsia="zh-CN"/>
              </w:rPr>
              <w:t>5</w:t>
            </w:r>
          </w:p>
        </w:tc>
        <w:tc>
          <w:tcPr>
            <w:tcW w:w="630" w:type="pct"/>
            <w:tcMar>
              <w:top w:w="0" w:type="dxa"/>
              <w:left w:w="0" w:type="dxa"/>
              <w:bottom w:w="0" w:type="dxa"/>
              <w:right w:w="0" w:type="dxa"/>
            </w:tcMar>
            <w:vAlign w:val="top"/>
          </w:tcPr>
          <w:p w14:paraId="7B962DDA">
            <w:pPr>
              <w:pStyle w:val="19"/>
              <w:bidi w:val="0"/>
              <w:rPr>
                <w:rFonts w:hint="default"/>
                <w:lang w:val="en-US" w:eastAsia="zh-CN"/>
              </w:rPr>
            </w:pPr>
            <w:r>
              <w:rPr>
                <w:rFonts w:hint="eastAsia"/>
                <w:lang w:val="en-US" w:eastAsia="zh-CN"/>
              </w:rPr>
              <w:t>1.75</w:t>
            </w:r>
          </w:p>
        </w:tc>
      </w:tr>
      <w:tr w14:paraId="25FF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 w:type="pct"/>
            <w:tcMar>
              <w:top w:w="0" w:type="dxa"/>
              <w:left w:w="0" w:type="dxa"/>
              <w:bottom w:w="0" w:type="dxa"/>
              <w:right w:w="0" w:type="dxa"/>
            </w:tcMar>
          </w:tcPr>
          <w:p w14:paraId="4B0B103E">
            <w:pPr>
              <w:pStyle w:val="19"/>
              <w:bidi w:val="0"/>
            </w:pPr>
            <w:r>
              <w:t>合计</w:t>
            </w:r>
          </w:p>
        </w:tc>
        <w:tc>
          <w:tcPr>
            <w:tcW w:w="551" w:type="pct"/>
            <w:tcMar>
              <w:top w:w="0" w:type="dxa"/>
              <w:left w:w="0" w:type="dxa"/>
              <w:bottom w:w="0" w:type="dxa"/>
              <w:right w:w="0" w:type="dxa"/>
            </w:tcMar>
          </w:tcPr>
          <w:p w14:paraId="64A90E2A">
            <w:pPr>
              <w:pStyle w:val="19"/>
              <w:bidi w:val="0"/>
            </w:pPr>
            <w:r>
              <w:t>/</w:t>
            </w:r>
          </w:p>
        </w:tc>
        <w:tc>
          <w:tcPr>
            <w:tcW w:w="750" w:type="pct"/>
            <w:tcMar>
              <w:top w:w="0" w:type="dxa"/>
              <w:left w:w="0" w:type="dxa"/>
              <w:bottom w:w="0" w:type="dxa"/>
              <w:right w:w="0" w:type="dxa"/>
            </w:tcMar>
          </w:tcPr>
          <w:p w14:paraId="497A5C93">
            <w:pPr>
              <w:pStyle w:val="19"/>
              <w:bidi w:val="0"/>
            </w:pPr>
            <w:r>
              <w:rPr>
                <w:rFonts w:hint="eastAsia"/>
              </w:rPr>
              <w:t>/</w:t>
            </w:r>
          </w:p>
        </w:tc>
        <w:tc>
          <w:tcPr>
            <w:tcW w:w="657" w:type="pct"/>
            <w:tcMar>
              <w:top w:w="0" w:type="dxa"/>
              <w:left w:w="0" w:type="dxa"/>
              <w:bottom w:w="0" w:type="dxa"/>
              <w:right w:w="0" w:type="dxa"/>
            </w:tcMar>
          </w:tcPr>
          <w:p w14:paraId="18E9A3C3">
            <w:pPr>
              <w:pStyle w:val="19"/>
              <w:bidi w:val="0"/>
            </w:pPr>
            <w:r>
              <w:t>/</w:t>
            </w:r>
          </w:p>
        </w:tc>
        <w:tc>
          <w:tcPr>
            <w:tcW w:w="715" w:type="pct"/>
            <w:tcMar>
              <w:top w:w="0" w:type="dxa"/>
              <w:left w:w="0" w:type="dxa"/>
              <w:bottom w:w="0" w:type="dxa"/>
              <w:right w:w="0" w:type="dxa"/>
            </w:tcMar>
          </w:tcPr>
          <w:p w14:paraId="0AFDD680">
            <w:pPr>
              <w:pStyle w:val="19"/>
              <w:bidi w:val="0"/>
            </w:pPr>
            <w:r>
              <w:t>/</w:t>
            </w:r>
          </w:p>
        </w:tc>
        <w:tc>
          <w:tcPr>
            <w:tcW w:w="640" w:type="pct"/>
            <w:tcMar>
              <w:top w:w="0" w:type="dxa"/>
              <w:left w:w="0" w:type="dxa"/>
              <w:bottom w:w="0" w:type="dxa"/>
              <w:right w:w="0" w:type="dxa"/>
            </w:tcMar>
          </w:tcPr>
          <w:p w14:paraId="3000A12F">
            <w:pPr>
              <w:pStyle w:val="19"/>
              <w:bidi w:val="0"/>
              <w:rPr>
                <w:rFonts w:hint="default"/>
                <w:lang w:val="en-US" w:eastAsia="zh-CN"/>
              </w:rPr>
            </w:pPr>
            <w:r>
              <w:rPr>
                <w:rFonts w:hint="eastAsia"/>
                <w:lang w:val="en-US" w:eastAsia="zh-CN"/>
              </w:rPr>
              <w:t>27.475</w:t>
            </w:r>
          </w:p>
        </w:tc>
        <w:tc>
          <w:tcPr>
            <w:tcW w:w="660" w:type="pct"/>
            <w:tcMar>
              <w:top w:w="0" w:type="dxa"/>
              <w:left w:w="0" w:type="dxa"/>
              <w:bottom w:w="0" w:type="dxa"/>
              <w:right w:w="0" w:type="dxa"/>
            </w:tcMar>
            <w:vAlign w:val="top"/>
          </w:tcPr>
          <w:p w14:paraId="6EBE7F6D">
            <w:pPr>
              <w:pStyle w:val="19"/>
              <w:bidi w:val="0"/>
            </w:pPr>
            <w:r>
              <w:t>/</w:t>
            </w:r>
          </w:p>
        </w:tc>
        <w:tc>
          <w:tcPr>
            <w:tcW w:w="630" w:type="pct"/>
            <w:tcMar>
              <w:top w:w="0" w:type="dxa"/>
              <w:left w:w="0" w:type="dxa"/>
              <w:bottom w:w="0" w:type="dxa"/>
              <w:right w:w="0" w:type="dxa"/>
            </w:tcMar>
            <w:vAlign w:val="top"/>
          </w:tcPr>
          <w:p w14:paraId="1A3584FE">
            <w:pPr>
              <w:pStyle w:val="19"/>
              <w:bidi w:val="0"/>
              <w:rPr>
                <w:rFonts w:hint="default"/>
                <w:lang w:val="en-US" w:eastAsia="zh-CN"/>
              </w:rPr>
            </w:pPr>
            <w:r>
              <w:rPr>
                <w:rFonts w:hint="eastAsia"/>
                <w:lang w:val="en-US" w:eastAsia="zh-CN"/>
              </w:rPr>
              <w:t>2.905</w:t>
            </w:r>
          </w:p>
        </w:tc>
      </w:tr>
    </w:tbl>
    <w:p w14:paraId="113F32D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由表</w:t>
      </w:r>
      <w:r>
        <w:rPr>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2可知，项目全厂猪舍臭气</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产生量分别为</w:t>
      </w:r>
      <w:r>
        <w:rPr>
          <w:rFonts w:hint="eastAsia"/>
          <w:color w:val="000000" w:themeColor="text1"/>
          <w:highlight w:val="none"/>
          <w:lang w:val="en-US" w:eastAsia="zh-CN"/>
          <w14:textFill>
            <w14:solidFill>
              <w14:schemeClr w14:val="tx1"/>
            </w14:solidFill>
          </w14:textFill>
        </w:rPr>
        <w:t>27.475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2.905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。该数据是在猪舍没有采取任何措施情况下的产生量，本项目采用在饲料调配过程添加</w:t>
      </w:r>
      <w:r>
        <w:rPr>
          <w:color w:val="000000" w:themeColor="text1"/>
          <w:highlight w:val="none"/>
          <w14:textFill>
            <w14:solidFill>
              <w14:schemeClr w14:val="tx1"/>
            </w14:solidFill>
          </w14:textFill>
        </w:rPr>
        <w:t>EM</w:t>
      </w:r>
      <w:r>
        <w:rPr>
          <w:rFonts w:hint="eastAsia"/>
          <w:color w:val="000000" w:themeColor="text1"/>
          <w:highlight w:val="none"/>
          <w14:textFill>
            <w14:solidFill>
              <w14:schemeClr w14:val="tx1"/>
            </w14:solidFill>
          </w14:textFill>
        </w:rPr>
        <w:t>符合微生物菌剂、采用节水型饮水器、全漏缝地板等措施对项目产生的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进行治理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通过以上措施可以有效抑制和去除</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的产生及排放量。</w:t>
      </w:r>
    </w:p>
    <w:p w14:paraId="6C101A7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由于猪舍的恶臭污染源分散，集中处理困难，最有效的控制方法是预防为主，从恶臭产生的源头处理。根据《畜禽养殖业污染防治技术政策》（环发〔</w:t>
      </w:r>
      <w:r>
        <w:rPr>
          <w:color w:val="000000" w:themeColor="text1"/>
          <w:highlight w:val="none"/>
          <w14:textFill>
            <w14:solidFill>
              <w14:schemeClr w14:val="tx1"/>
            </w14:solidFill>
          </w14:textFill>
        </w:rPr>
        <w:t>2010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151</w:t>
      </w:r>
      <w:r>
        <w:rPr>
          <w:rFonts w:hint="eastAsia"/>
          <w:color w:val="000000" w:themeColor="text1"/>
          <w:highlight w:val="none"/>
          <w14:textFill>
            <w14:solidFill>
              <w14:schemeClr w14:val="tx1"/>
            </w14:solidFill>
          </w14:textFill>
        </w:rPr>
        <w:t>号）、《畜禽养殖业污染治理工程技术规范》（</w:t>
      </w:r>
      <w:r>
        <w:rPr>
          <w:color w:val="000000" w:themeColor="text1"/>
          <w:highlight w:val="none"/>
          <w14:textFill>
            <w14:solidFill>
              <w14:schemeClr w14:val="tx1"/>
            </w14:solidFill>
          </w14:textFill>
        </w:rPr>
        <w:t>HJ497-2009</w:t>
      </w:r>
      <w:r>
        <w:rPr>
          <w:rFonts w:hint="eastAsia"/>
          <w:color w:val="000000" w:themeColor="text1"/>
          <w:highlight w:val="none"/>
          <w14:textFill>
            <w14:solidFill>
              <w14:schemeClr w14:val="tx1"/>
            </w14:solidFill>
          </w14:textFill>
        </w:rPr>
        <w:t>）等文件，本次评价主要提出如下措施降低恶臭污染物的产生：</w:t>
      </w:r>
    </w:p>
    <w:p w14:paraId="2A74B9F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通过控制饲养密度，并加强舍内通风；搞好场区环境卫生，采用节水型饮水器；</w:t>
      </w:r>
    </w:p>
    <w:p w14:paraId="2EF2111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温度高时恶臭气体浓度高，猪粪在</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周后发酵较快，粪便暴露面积大的发酵率高。猪舍使用漏缝地板，保证粪便冷却，在猪舍内加强通风，加速粪便干燥，可减少猪粪污染；</w:t>
      </w:r>
    </w:p>
    <w:p w14:paraId="2CA9323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rFonts w:hint="eastAsia"/>
          <w:color w:val="000000" w:themeColor="text1"/>
          <w:highlight w:val="none"/>
          <w14:textFill>
            <w14:solidFill>
              <w14:schemeClr w14:val="tx1"/>
            </w14:solidFill>
          </w14:textFill>
        </w:rPr>
        <w:t>合理搭配饲料，采用低氮饲喂方式，减轻环境中的恶臭，减少蚊蝇滋生。通过选用优质易消化的膨化饲料原料、添加</w:t>
      </w:r>
      <w:r>
        <w:rPr>
          <w:color w:val="000000" w:themeColor="text1"/>
          <w:highlight w:val="none"/>
          <w14:textFill>
            <w14:solidFill>
              <w14:schemeClr w14:val="tx1"/>
            </w14:solidFill>
          </w14:textFill>
        </w:rPr>
        <w:t>EM</w:t>
      </w:r>
      <w:r>
        <w:rPr>
          <w:rFonts w:hint="eastAsia"/>
          <w:color w:val="000000" w:themeColor="text1"/>
          <w:highlight w:val="none"/>
          <w14:textFill>
            <w14:solidFill>
              <w14:schemeClr w14:val="tx1"/>
            </w14:solidFill>
          </w14:textFill>
        </w:rPr>
        <w:t>符合微生物菌剂、酶抑制剂等来提高饲料的消化率和转化率，减少粪便的产生量；在饲料中添加活性肽原，其中含有酸制剂、酶制剂、沸石、丝兰属植物提取物等，可从源头降低恶臭排污量，有效降低空气异常气味；</w:t>
      </w:r>
    </w:p>
    <w:p w14:paraId="541192F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向猪舍投放吸附剂和喷洒除臭剂。本项目会定时向</w:t>
      </w:r>
      <w:r>
        <w:rPr>
          <w:rFonts w:hint="eastAsia"/>
          <w:color w:val="000000" w:themeColor="text1"/>
          <w:highlight w:val="none"/>
          <w:lang w:val="en-US" w:eastAsia="zh-CN"/>
          <w14:textFill>
            <w14:solidFill>
              <w14:schemeClr w14:val="tx1"/>
            </w14:solidFill>
          </w14:textFill>
        </w:rPr>
        <w:t>育肥</w:t>
      </w:r>
      <w:r>
        <w:rPr>
          <w:rFonts w:hint="eastAsia"/>
          <w:color w:val="000000" w:themeColor="text1"/>
          <w:highlight w:val="none"/>
          <w14:textFill>
            <w14:solidFill>
              <w14:schemeClr w14:val="tx1"/>
            </w14:solidFill>
          </w14:textFill>
        </w:rPr>
        <w:t>舍内投放吸附剂（如沸石、膨润土以及秸秆等含纤维素和木质素较多的材料），以减少恶臭的散发，并且每天多次喷洒除臭剂，以减少恶臭的产生，达到除臭目的。猪转栏时利用高压水枪喷淋</w:t>
      </w:r>
      <w:r>
        <w:rPr>
          <w:rFonts w:hint="eastAsia"/>
          <w:color w:val="000000" w:themeColor="text1"/>
          <w:highlight w:val="none"/>
          <w:lang w:val="en-US" w:eastAsia="zh-CN"/>
          <w14:textFill>
            <w14:solidFill>
              <w14:schemeClr w14:val="tx1"/>
            </w14:solidFill>
          </w14:textFill>
        </w:rPr>
        <w:t>消毒水</w:t>
      </w:r>
      <w:r>
        <w:rPr>
          <w:rFonts w:hint="eastAsia"/>
          <w:color w:val="000000" w:themeColor="text1"/>
          <w:highlight w:val="none"/>
          <w14:textFill>
            <w14:solidFill>
              <w14:schemeClr w14:val="tx1"/>
            </w14:solidFill>
          </w14:textFill>
        </w:rPr>
        <w:t>水对</w:t>
      </w:r>
      <w:r>
        <w:rPr>
          <w:rFonts w:hint="eastAsia"/>
          <w:color w:val="000000" w:themeColor="text1"/>
          <w:highlight w:val="none"/>
          <w:lang w:val="en-US" w:eastAsia="zh-CN"/>
          <w14:textFill>
            <w14:solidFill>
              <w14:schemeClr w14:val="tx1"/>
            </w14:solidFill>
          </w14:textFill>
        </w:rPr>
        <w:t>育肥</w:t>
      </w:r>
      <w:r>
        <w:rPr>
          <w:rFonts w:hint="eastAsia"/>
          <w:color w:val="000000" w:themeColor="text1"/>
          <w:highlight w:val="none"/>
          <w14:textFill>
            <w14:solidFill>
              <w14:schemeClr w14:val="tx1"/>
            </w14:solidFill>
          </w14:textFill>
        </w:rPr>
        <w:t>舍进行消毒处理，夏季加强猪舍通风，降低舍内有害气体浓度；</w:t>
      </w:r>
    </w:p>
    <w:p w14:paraId="55FC7F1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w:t>
      </w:r>
      <w:r>
        <w:rPr>
          <w:rFonts w:hint="eastAsia"/>
          <w:color w:val="000000" w:themeColor="text1"/>
          <w:highlight w:val="none"/>
          <w14:textFill>
            <w14:solidFill>
              <w14:schemeClr w14:val="tx1"/>
            </w14:solidFill>
          </w14:textFill>
        </w:rPr>
        <w:t>及时清除粪便，定期冲洗猪舍和杀菌消毒，保持猪舍环境卫生；</w:t>
      </w:r>
    </w:p>
    <w:p w14:paraId="2B9EE6FE">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EM</w:t>
      </w:r>
      <w:r>
        <w:rPr>
          <w:rFonts w:hint="eastAsia"/>
          <w:color w:val="000000" w:themeColor="text1"/>
          <w:highlight w:val="none"/>
          <w14:textFill>
            <w14:solidFill>
              <w14:schemeClr w14:val="tx1"/>
            </w14:solidFill>
          </w14:textFill>
        </w:rPr>
        <w:t>菌在养猪生产中的应用》（古永辉，韩晓英</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饲料技术，</w:t>
      </w:r>
      <w:r>
        <w:rPr>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年第</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期），在日粮添加</w:t>
      </w:r>
      <w:r>
        <w:rPr>
          <w:color w:val="000000" w:themeColor="text1"/>
          <w:highlight w:val="none"/>
          <w14:textFill>
            <w14:solidFill>
              <w14:schemeClr w14:val="tx1"/>
            </w14:solidFill>
          </w14:textFill>
        </w:rPr>
        <w:t>EM</w:t>
      </w:r>
      <w:r>
        <w:rPr>
          <w:rFonts w:hint="eastAsia"/>
          <w:color w:val="000000" w:themeColor="text1"/>
          <w:highlight w:val="none"/>
          <w14:textFill>
            <w14:solidFill>
              <w14:schemeClr w14:val="tx1"/>
            </w14:solidFill>
          </w14:textFill>
        </w:rPr>
        <w:t>菌剂能在源头上控制恶臭气体的产生，有效降解</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等有害气体，舍内恶臭可下降</w:t>
      </w:r>
      <w:r>
        <w:rPr>
          <w:color w:val="000000" w:themeColor="text1"/>
          <w:highlight w:val="none"/>
          <w14:textFill>
            <w14:solidFill>
              <w14:schemeClr w14:val="tx1"/>
            </w14:solidFill>
          </w14:textFill>
        </w:rPr>
        <w:t>97.7%</w:t>
      </w:r>
      <w:r>
        <w:rPr>
          <w:rFonts w:hint="eastAsia"/>
          <w:color w:val="000000" w:themeColor="text1"/>
          <w:highlight w:val="none"/>
          <w:lang w:eastAsia="zh-CN"/>
          <w14:textFill>
            <w14:solidFill>
              <w14:schemeClr w14:val="tx1"/>
            </w14:solidFill>
          </w14:textFill>
        </w:rPr>
        <w:t>。</w:t>
      </w:r>
    </w:p>
    <w:p w14:paraId="77D39757">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综上所述，在综合采取控制饲养密度、加强舍内通风，猪舍定期冲洗、杀菌消毒、全漏缝地板、及时清粪、定期喷洒新型高效植物除臭剂等措施后恶臭排放量可减少约90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以上，经计算猪舍</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产排情况见表3.</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-3。</w:t>
      </w:r>
    </w:p>
    <w:p w14:paraId="1DB9A638">
      <w:pPr>
        <w:pStyle w:val="30"/>
        <w:bidi w:val="0"/>
      </w:pPr>
      <w:r>
        <w:t>表</w:t>
      </w:r>
      <w:r>
        <w:rPr>
          <w:rFonts w:hint="eastAsia"/>
        </w:rPr>
        <w:t>3</w:t>
      </w:r>
      <w:r>
        <w:t>.</w:t>
      </w:r>
      <w:r>
        <w:rPr>
          <w:rFonts w:hint="eastAsia"/>
          <w:lang w:val="en-US" w:eastAsia="zh-CN"/>
        </w:rPr>
        <w:t>4</w:t>
      </w:r>
      <w:r>
        <w:t xml:space="preserve">-3 </w:t>
      </w:r>
      <w:r>
        <w:rPr>
          <w:rFonts w:hint="eastAsia"/>
          <w:lang w:val="en-US" w:eastAsia="zh-CN"/>
        </w:rPr>
        <w:t xml:space="preserve"> </w:t>
      </w:r>
      <w:r>
        <w:t xml:space="preserve"> 猪舍</w:t>
      </w:r>
      <w:r>
        <w:rPr>
          <w:rFonts w:hint="eastAsia"/>
        </w:rPr>
        <w:t>恶臭</w:t>
      </w:r>
      <w:r>
        <w:t>排放情况</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7"/>
        <w:gridCol w:w="925"/>
        <w:gridCol w:w="1087"/>
        <w:gridCol w:w="2928"/>
        <w:gridCol w:w="939"/>
        <w:gridCol w:w="885"/>
        <w:gridCol w:w="1076"/>
      </w:tblGrid>
      <w:tr w14:paraId="3C9E3C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5" w:hRule="atLeast"/>
        </w:trPr>
        <w:tc>
          <w:tcPr>
            <w:tcW w:w="397" w:type="pct"/>
            <w:vAlign w:val="center"/>
          </w:tcPr>
          <w:p w14:paraId="4DC38F73">
            <w:pPr>
              <w:pStyle w:val="19"/>
              <w:bidi w:val="0"/>
            </w:pPr>
            <w:r>
              <w:t>恶臭气体</w:t>
            </w:r>
          </w:p>
        </w:tc>
        <w:tc>
          <w:tcPr>
            <w:tcW w:w="543" w:type="pct"/>
            <w:vAlign w:val="center"/>
          </w:tcPr>
          <w:p w14:paraId="26361711">
            <w:pPr>
              <w:pStyle w:val="19"/>
              <w:bidi w:val="0"/>
            </w:pPr>
            <w:r>
              <w:t>产生量（t/a）</w:t>
            </w:r>
          </w:p>
        </w:tc>
        <w:tc>
          <w:tcPr>
            <w:tcW w:w="638" w:type="pct"/>
            <w:vAlign w:val="center"/>
          </w:tcPr>
          <w:p w14:paraId="2E85D6C5">
            <w:pPr>
              <w:pStyle w:val="19"/>
              <w:bidi w:val="0"/>
            </w:pPr>
            <w:r>
              <w:t>产生速率（kg/h）</w:t>
            </w:r>
          </w:p>
        </w:tc>
        <w:tc>
          <w:tcPr>
            <w:tcW w:w="1718" w:type="pct"/>
            <w:vAlign w:val="center"/>
          </w:tcPr>
          <w:p w14:paraId="6EE7A163">
            <w:pPr>
              <w:pStyle w:val="19"/>
              <w:bidi w:val="0"/>
            </w:pPr>
            <w:r>
              <w:rPr>
                <w:rFonts w:hint="eastAsia"/>
              </w:rPr>
              <w:t>拟处理措施</w:t>
            </w:r>
          </w:p>
        </w:tc>
        <w:tc>
          <w:tcPr>
            <w:tcW w:w="551" w:type="pct"/>
            <w:vAlign w:val="center"/>
          </w:tcPr>
          <w:p w14:paraId="4569ABEA">
            <w:pPr>
              <w:pStyle w:val="19"/>
              <w:bidi w:val="0"/>
            </w:pPr>
            <w:r>
              <w:rPr>
                <w:rFonts w:hint="eastAsia"/>
              </w:rPr>
              <w:t>处理效率（%）</w:t>
            </w:r>
          </w:p>
        </w:tc>
        <w:tc>
          <w:tcPr>
            <w:tcW w:w="519" w:type="pct"/>
            <w:vAlign w:val="center"/>
          </w:tcPr>
          <w:p w14:paraId="06FAC402">
            <w:pPr>
              <w:pStyle w:val="19"/>
              <w:bidi w:val="0"/>
            </w:pPr>
            <w:r>
              <w:rPr>
                <w:rFonts w:hint="eastAsia"/>
              </w:rPr>
              <w:t>排放量（t/a）</w:t>
            </w:r>
          </w:p>
        </w:tc>
        <w:tc>
          <w:tcPr>
            <w:tcW w:w="631" w:type="pct"/>
            <w:vAlign w:val="center"/>
          </w:tcPr>
          <w:p w14:paraId="2AEF70AF">
            <w:pPr>
              <w:pStyle w:val="19"/>
              <w:bidi w:val="0"/>
            </w:pPr>
            <w:r>
              <w:t>排放速率（kg/h）</w:t>
            </w:r>
          </w:p>
        </w:tc>
      </w:tr>
      <w:tr w14:paraId="62B4C6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1" w:hRule="atLeast"/>
        </w:trPr>
        <w:tc>
          <w:tcPr>
            <w:tcW w:w="397" w:type="pct"/>
            <w:vAlign w:val="center"/>
          </w:tcPr>
          <w:p w14:paraId="308DBC14">
            <w:pPr>
              <w:pStyle w:val="19"/>
              <w:bidi w:val="0"/>
            </w:pPr>
            <w:r>
              <w:t>NH</w:t>
            </w:r>
            <w:r>
              <w:rPr>
                <w:vertAlign w:val="subscript"/>
              </w:rPr>
              <w:t>3</w:t>
            </w:r>
          </w:p>
        </w:tc>
        <w:tc>
          <w:tcPr>
            <w:tcW w:w="543" w:type="pct"/>
            <w:vAlign w:val="center"/>
          </w:tcPr>
          <w:p w14:paraId="509EE49F">
            <w:pPr>
              <w:pStyle w:val="19"/>
              <w:bidi w:val="0"/>
            </w:pPr>
            <w:r>
              <w:rPr>
                <w:rFonts w:hint="eastAsia"/>
                <w:lang w:val="en-US" w:eastAsia="zh-CN"/>
              </w:rPr>
              <w:t>27.475</w:t>
            </w:r>
          </w:p>
        </w:tc>
        <w:tc>
          <w:tcPr>
            <w:tcW w:w="638" w:type="pct"/>
            <w:vAlign w:val="center"/>
          </w:tcPr>
          <w:p w14:paraId="5E626744">
            <w:pPr>
              <w:pStyle w:val="19"/>
              <w:bidi w:val="0"/>
              <w:rPr>
                <w:rFonts w:hint="default"/>
                <w:lang w:val="en-US" w:eastAsia="zh-CN"/>
              </w:rPr>
            </w:pPr>
            <w:r>
              <w:rPr>
                <w:rFonts w:hint="eastAsia"/>
                <w:lang w:val="en-US" w:eastAsia="zh-CN"/>
              </w:rPr>
              <w:t>3.816</w:t>
            </w:r>
          </w:p>
        </w:tc>
        <w:tc>
          <w:tcPr>
            <w:tcW w:w="1718" w:type="pct"/>
            <w:vMerge w:val="restart"/>
            <w:vAlign w:val="center"/>
          </w:tcPr>
          <w:p w14:paraId="549F464B">
            <w:pPr>
              <w:pStyle w:val="19"/>
              <w:bidi w:val="0"/>
              <w:rPr>
                <w:rFonts w:hint="eastAsia" w:eastAsia="宋体"/>
                <w:lang w:eastAsia="zh-CN"/>
              </w:rPr>
            </w:pPr>
            <w:r>
              <w:rPr>
                <w:rFonts w:hint="eastAsia"/>
              </w:rPr>
              <w:t>加强通风、合理搭配饲料、投放吸附剂和喷洒除臭剂、全漏缝地板、及时清除粪便，定期冲洗猪舍和杀菌消毒，保持猪舍环境卫生</w:t>
            </w:r>
            <w:r>
              <w:rPr>
                <w:rFonts w:hint="eastAsia"/>
                <w:lang w:eastAsia="zh-CN"/>
              </w:rPr>
              <w:t>。</w:t>
            </w:r>
          </w:p>
        </w:tc>
        <w:tc>
          <w:tcPr>
            <w:tcW w:w="551" w:type="pct"/>
            <w:vMerge w:val="restart"/>
            <w:vAlign w:val="center"/>
          </w:tcPr>
          <w:p w14:paraId="41E1B78C">
            <w:pPr>
              <w:pStyle w:val="19"/>
              <w:bidi w:val="0"/>
            </w:pPr>
            <w:r>
              <w:rPr>
                <w:rFonts w:hint="eastAsia"/>
              </w:rPr>
              <w:t>90</w:t>
            </w:r>
          </w:p>
        </w:tc>
        <w:tc>
          <w:tcPr>
            <w:tcW w:w="519" w:type="pct"/>
            <w:vAlign w:val="center"/>
          </w:tcPr>
          <w:p w14:paraId="7425D98A">
            <w:pPr>
              <w:pStyle w:val="19"/>
              <w:bidi w:val="0"/>
              <w:rPr>
                <w:rFonts w:hint="default"/>
                <w:lang w:val="en-US" w:eastAsia="zh-CN"/>
              </w:rPr>
            </w:pPr>
            <w:r>
              <w:rPr>
                <w:rFonts w:hint="eastAsia"/>
                <w:lang w:val="en-US" w:eastAsia="zh-CN"/>
              </w:rPr>
              <w:t>2.745</w:t>
            </w:r>
          </w:p>
        </w:tc>
        <w:tc>
          <w:tcPr>
            <w:tcW w:w="631" w:type="pct"/>
            <w:vAlign w:val="center"/>
          </w:tcPr>
          <w:p w14:paraId="12A26C85">
            <w:pPr>
              <w:pStyle w:val="19"/>
              <w:bidi w:val="0"/>
              <w:rPr>
                <w:rFonts w:hint="default"/>
                <w:lang w:val="en-US" w:eastAsia="zh-CN"/>
              </w:rPr>
            </w:pPr>
            <w:r>
              <w:rPr>
                <w:rFonts w:hint="eastAsia"/>
                <w:lang w:val="en-US" w:eastAsia="zh-CN"/>
              </w:rPr>
              <w:t>0.3816</w:t>
            </w:r>
          </w:p>
        </w:tc>
      </w:tr>
      <w:tr w14:paraId="50786C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97" w:type="pct"/>
            <w:vAlign w:val="center"/>
          </w:tcPr>
          <w:p w14:paraId="09B5F9C7">
            <w:pPr>
              <w:pStyle w:val="19"/>
              <w:bidi w:val="0"/>
            </w:pPr>
            <w:r>
              <w:t>H</w:t>
            </w:r>
            <w:r>
              <w:rPr>
                <w:vertAlign w:val="subscript"/>
              </w:rPr>
              <w:t>2</w:t>
            </w:r>
            <w:r>
              <w:t>S</w:t>
            </w:r>
          </w:p>
        </w:tc>
        <w:tc>
          <w:tcPr>
            <w:tcW w:w="543" w:type="pct"/>
            <w:vAlign w:val="center"/>
          </w:tcPr>
          <w:p w14:paraId="07CC43DF">
            <w:pPr>
              <w:pStyle w:val="19"/>
              <w:bidi w:val="0"/>
            </w:pPr>
            <w:r>
              <w:rPr>
                <w:rFonts w:hint="eastAsia"/>
                <w:lang w:val="en-US" w:eastAsia="zh-CN"/>
              </w:rPr>
              <w:t>2.905</w:t>
            </w:r>
          </w:p>
        </w:tc>
        <w:tc>
          <w:tcPr>
            <w:tcW w:w="638" w:type="pct"/>
            <w:vAlign w:val="center"/>
          </w:tcPr>
          <w:p w14:paraId="054B0719">
            <w:pPr>
              <w:pStyle w:val="19"/>
              <w:bidi w:val="0"/>
              <w:rPr>
                <w:rFonts w:hint="default"/>
                <w:lang w:val="en-US" w:eastAsia="zh-CN"/>
              </w:rPr>
            </w:pPr>
            <w:r>
              <w:rPr>
                <w:rFonts w:hint="eastAsia"/>
                <w:lang w:val="en-US" w:eastAsia="zh-CN"/>
              </w:rPr>
              <w:t>0.403</w:t>
            </w:r>
          </w:p>
        </w:tc>
        <w:tc>
          <w:tcPr>
            <w:tcW w:w="1718" w:type="pct"/>
            <w:vMerge w:val="continue"/>
            <w:vAlign w:val="center"/>
          </w:tcPr>
          <w:p w14:paraId="02441938">
            <w:pPr>
              <w:pStyle w:val="19"/>
              <w:bidi w:val="0"/>
            </w:pPr>
          </w:p>
        </w:tc>
        <w:tc>
          <w:tcPr>
            <w:tcW w:w="551" w:type="pct"/>
            <w:vMerge w:val="continue"/>
            <w:vAlign w:val="center"/>
          </w:tcPr>
          <w:p w14:paraId="364EAD00">
            <w:pPr>
              <w:pStyle w:val="19"/>
              <w:bidi w:val="0"/>
            </w:pPr>
          </w:p>
        </w:tc>
        <w:tc>
          <w:tcPr>
            <w:tcW w:w="519" w:type="pct"/>
            <w:vAlign w:val="center"/>
          </w:tcPr>
          <w:p w14:paraId="330E4C3A">
            <w:pPr>
              <w:pStyle w:val="19"/>
              <w:bidi w:val="0"/>
              <w:rPr>
                <w:rFonts w:hint="default"/>
                <w:lang w:val="en-US" w:eastAsia="zh-CN"/>
              </w:rPr>
            </w:pPr>
            <w:r>
              <w:rPr>
                <w:rFonts w:hint="eastAsia"/>
                <w:lang w:val="en-US" w:eastAsia="zh-CN"/>
              </w:rPr>
              <w:t>0.2905</w:t>
            </w:r>
          </w:p>
        </w:tc>
        <w:tc>
          <w:tcPr>
            <w:tcW w:w="631" w:type="pct"/>
            <w:vAlign w:val="center"/>
          </w:tcPr>
          <w:p w14:paraId="699B6ABB">
            <w:pPr>
              <w:pStyle w:val="19"/>
              <w:bidi w:val="0"/>
              <w:rPr>
                <w:rFonts w:hint="default"/>
                <w:lang w:val="en-US" w:eastAsia="zh-CN"/>
              </w:rPr>
            </w:pPr>
            <w:r>
              <w:rPr>
                <w:rFonts w:hint="eastAsia"/>
                <w:lang w:val="en-US" w:eastAsia="zh-CN"/>
              </w:rPr>
              <w:t>0.0403</w:t>
            </w:r>
          </w:p>
        </w:tc>
      </w:tr>
    </w:tbl>
    <w:p w14:paraId="4DCCC6E0">
      <w:pPr>
        <w:bidi w:val="0"/>
        <w:rPr>
          <w:rFonts w:hint="default"/>
          <w:highlight w:val="none"/>
          <w:lang w:val="en-US" w:eastAsia="zh-CN"/>
        </w:rPr>
      </w:pPr>
      <w:r>
        <w:rPr>
          <w:rFonts w:hint="eastAsia"/>
          <w:highlight w:val="none"/>
          <w:lang w:val="en-US" w:eastAsia="zh-CN"/>
        </w:rPr>
        <w:t>（2）堆肥场恶臭气体G2</w:t>
      </w:r>
    </w:p>
    <w:p w14:paraId="7E1786FD">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本项目堆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场的恶臭主要来自猪粪产生的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等有害气体，在堆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和翻堆的过程中会有明显的释放，待发酵完成后则不再产生恶臭。根据《养猪场恶臭影响量化分析及控制对策研究》（天津市环境影响评价中心，孙艳青、张潞、李万庆）资料，粪便收集区在没有任何覆盖及猪粪没有结皮的情况下，</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平均排放强度约为</w:t>
      </w:r>
      <w:r>
        <w:rPr>
          <w:color w:val="000000" w:themeColor="text1"/>
          <w:highlight w:val="none"/>
          <w14:textFill>
            <w14:solidFill>
              <w14:schemeClr w14:val="tx1"/>
            </w14:solidFill>
          </w14:textFill>
        </w:rPr>
        <w:t>5.2g/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），若是结皮（</w:t>
      </w:r>
      <w:r>
        <w:rPr>
          <w:color w:val="000000" w:themeColor="text1"/>
          <w:highlight w:val="none"/>
          <w14:textFill>
            <w14:solidFill>
              <w14:schemeClr w14:val="tx1"/>
            </w14:solidFill>
          </w14:textFill>
        </w:rPr>
        <w:t>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30cm</w:t>
      </w:r>
      <w:r>
        <w:rPr>
          <w:rFonts w:hint="eastAsia"/>
          <w:color w:val="000000" w:themeColor="text1"/>
          <w:highlight w:val="none"/>
          <w14:textFill>
            <w14:solidFill>
              <w14:schemeClr w14:val="tx1"/>
            </w14:solidFill>
          </w14:textFill>
        </w:rPr>
        <w:t>）后则为</w:t>
      </w:r>
      <w:r>
        <w:rPr>
          <w:color w:val="000000" w:themeColor="text1"/>
          <w:highlight w:val="none"/>
          <w14:textFill>
            <w14:solidFill>
              <w14:schemeClr w14:val="tx1"/>
            </w14:solidFill>
          </w14:textFill>
        </w:rPr>
        <w:t>0.6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1.8g/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），若再覆以稻草（</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23cm</w:t>
      </w:r>
      <w:r>
        <w:rPr>
          <w:rFonts w:hint="eastAsia"/>
          <w:color w:val="000000" w:themeColor="text1"/>
          <w:highlight w:val="none"/>
          <w14:textFill>
            <w14:solidFill>
              <w14:schemeClr w14:val="tx1"/>
            </w14:solidFill>
          </w14:textFill>
        </w:rPr>
        <w:t>），则氨排放强度为</w:t>
      </w:r>
      <w:r>
        <w:rPr>
          <w:color w:val="000000" w:themeColor="text1"/>
          <w:highlight w:val="none"/>
          <w14:textFill>
            <w14:solidFill>
              <w14:schemeClr w14:val="tx1"/>
            </w14:solidFill>
          </w14:textFill>
        </w:rPr>
        <w:t>0.3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）。可见</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的排放强度和猪粪堆粪场的管理方式极为相关，在</w:t>
      </w:r>
      <w:r>
        <w:rPr>
          <w:rFonts w:hint="eastAsia"/>
          <w:color w:val="000000" w:themeColor="text1"/>
          <w:highlight w:val="none"/>
          <w:lang w:val="en-US" w:eastAsia="zh-CN"/>
          <w14:textFill>
            <w14:solidFill>
              <w14:schemeClr w14:val="tx1"/>
            </w14:solidFill>
          </w14:textFill>
        </w:rPr>
        <w:t>堆肥场</w:t>
      </w:r>
      <w:r>
        <w:rPr>
          <w:rFonts w:hint="eastAsia"/>
          <w:color w:val="000000" w:themeColor="text1"/>
          <w:highlight w:val="none"/>
          <w14:textFill>
            <w14:solidFill>
              <w14:schemeClr w14:val="tx1"/>
            </w14:solidFill>
          </w14:textFill>
        </w:rPr>
        <w:t>内，随腐熟程度的推进，</w:t>
      </w:r>
      <w:r>
        <w:rPr>
          <w:rFonts w:hint="eastAsia"/>
          <w:color w:val="000000" w:themeColor="text1"/>
          <w:highlight w:val="none"/>
          <w:lang w:val="en-US" w:eastAsia="zh-CN"/>
          <w14:textFill>
            <w14:solidFill>
              <w14:schemeClr w14:val="tx1"/>
            </w14:solidFill>
          </w14:textFill>
        </w:rPr>
        <w:t>恶臭气体</w:t>
      </w:r>
      <w:r>
        <w:rPr>
          <w:rFonts w:hint="eastAsia"/>
          <w:color w:val="000000" w:themeColor="text1"/>
          <w:highlight w:val="none"/>
          <w14:textFill>
            <w14:solidFill>
              <w14:schemeClr w14:val="tx1"/>
            </w14:solidFill>
          </w14:textFill>
        </w:rPr>
        <w:t>的排放强度会逐渐减少</w:t>
      </w:r>
      <w:r>
        <w:rPr>
          <w:rFonts w:hint="eastAsia"/>
          <w:color w:val="000000" w:themeColor="text1"/>
          <w:highlight w:val="none"/>
          <w:lang w:eastAsia="zh-CN"/>
          <w14:textFill>
            <w14:solidFill>
              <w14:schemeClr w14:val="tx1"/>
            </w14:solidFill>
          </w14:textFill>
        </w:rPr>
        <w:t>。</w:t>
      </w:r>
    </w:p>
    <w:p w14:paraId="48ACBB3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次</w:t>
      </w:r>
      <w:r>
        <w:rPr>
          <w:rFonts w:hint="eastAsia"/>
          <w:color w:val="000000" w:themeColor="text1"/>
          <w:highlight w:val="none"/>
          <w14:textFill>
            <w14:solidFill>
              <w14:schemeClr w14:val="tx1"/>
            </w14:solidFill>
          </w14:textFill>
        </w:rPr>
        <w:t>评价</w:t>
      </w:r>
      <w:r>
        <w:rPr>
          <w:rFonts w:hint="eastAsia"/>
          <w:color w:val="000000" w:themeColor="text1"/>
          <w:highlight w:val="none"/>
          <w:lang w:val="en-US" w:eastAsia="zh-CN"/>
          <w14:textFill>
            <w14:solidFill>
              <w14:schemeClr w14:val="tx1"/>
            </w14:solidFill>
          </w14:textFill>
        </w:rPr>
        <w:t>堆肥场</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产生量以最大值</w:t>
      </w:r>
      <w:r>
        <w:rPr>
          <w:rFonts w:hint="eastAsia"/>
          <w:color w:val="000000" w:themeColor="text1"/>
          <w:highlight w:val="none"/>
          <w:lang w:val="en-US" w:eastAsia="zh-CN"/>
          <w14:textFill>
            <w14:solidFill>
              <w14:schemeClr w14:val="tx1"/>
            </w14:solidFill>
          </w14:textFill>
        </w:rPr>
        <w:t>5.2</w:t>
      </w:r>
      <w:r>
        <w:rPr>
          <w:color w:val="000000" w:themeColor="text1"/>
          <w:highlight w:val="none"/>
          <w14:textFill>
            <w14:solidFill>
              <w14:schemeClr w14:val="tx1"/>
            </w14:solidFill>
          </w14:textFill>
        </w:rPr>
        <w:t>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）计，本项目设置堆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场占地面积为</w:t>
      </w:r>
      <w:r>
        <w:rPr>
          <w:rFonts w:hint="eastAsia"/>
          <w:color w:val="000000" w:themeColor="text1"/>
          <w:highlight w:val="none"/>
          <w:lang w:val="en-US" w:eastAsia="zh-CN"/>
          <w14:textFill>
            <w14:solidFill>
              <w14:schemeClr w14:val="tx1"/>
            </w14:solidFill>
          </w14:textFill>
        </w:rPr>
        <w:t>280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，则本项目堆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的产生量为</w:t>
      </w:r>
      <w:r>
        <w:rPr>
          <w:rFonts w:hint="eastAsia"/>
          <w:color w:val="000000" w:themeColor="text1"/>
          <w:highlight w:val="none"/>
          <w:lang w:val="en-US" w:eastAsia="zh-CN"/>
          <w14:textFill>
            <w14:solidFill>
              <w14:schemeClr w14:val="tx1"/>
            </w14:solidFill>
          </w14:textFill>
        </w:rPr>
        <w:t>14.56</w:t>
      </w:r>
      <w:r>
        <w:rPr>
          <w:color w:val="000000" w:themeColor="text1"/>
          <w:highlight w:val="none"/>
          <w14:textFill>
            <w14:solidFill>
              <w14:schemeClr w14:val="tx1"/>
            </w14:solidFill>
          </w14:textFill>
        </w:rPr>
        <w:t>kg/d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5.314</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的产生量以</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的产生量的十分之一计，则</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的产生量为</w:t>
      </w:r>
      <w:r>
        <w:rPr>
          <w:rFonts w:hint="eastAsia"/>
          <w:color w:val="000000" w:themeColor="text1"/>
          <w:highlight w:val="none"/>
          <w:lang w:val="en-US" w:eastAsia="zh-CN"/>
          <w14:textFill>
            <w14:solidFill>
              <w14:schemeClr w14:val="tx1"/>
            </w14:solidFill>
          </w14:textFill>
        </w:rPr>
        <w:t>1.456</w:t>
      </w:r>
      <w:r>
        <w:rPr>
          <w:color w:val="000000" w:themeColor="text1"/>
          <w:highlight w:val="none"/>
          <w14:textFill>
            <w14:solidFill>
              <w14:schemeClr w14:val="tx1"/>
            </w14:solidFill>
          </w14:textFill>
        </w:rPr>
        <w:t>kg/d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0.531</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p>
    <w:p w14:paraId="602B00D4">
      <w:pPr>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产生的猪粪在堆肥过程规律性翻堆，尽量保持堆肥疏松干燥等，定期给堆粪场添加物理吸附剂，如麸皮、玉米秸秆等，喷洒生化除臭剂，同时采用好氧堆肥方式，投加减少氨释放和保氮的复合菌剂；在翻堆的过程中喷入少量的水，可以有效减少氨气等</w:t>
      </w:r>
      <w:r>
        <w:rPr>
          <w:rFonts w:hint="eastAsia"/>
          <w:color w:val="000000" w:themeColor="text1"/>
          <w:highlight w:val="none"/>
          <w:lang w:val="en-US" w:eastAsia="zh-CN"/>
          <w14:textFill>
            <w14:solidFill>
              <w14:schemeClr w14:val="tx1"/>
            </w14:solidFill>
          </w14:textFill>
        </w:rPr>
        <w:t>恶臭气体</w:t>
      </w:r>
      <w:r>
        <w:rPr>
          <w:rFonts w:hint="eastAsia"/>
          <w:color w:val="000000" w:themeColor="text1"/>
          <w:highlight w:val="none"/>
          <w14:textFill>
            <w14:solidFill>
              <w14:schemeClr w14:val="tx1"/>
            </w14:solidFill>
          </w14:textFill>
        </w:rPr>
        <w:t>的排放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在采取以上措施后，堆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场可减少约</w:t>
      </w:r>
      <w:r>
        <w:rPr>
          <w:rFonts w:hint="eastAsia"/>
          <w:color w:val="000000" w:themeColor="text1"/>
          <w:highlight w:val="none"/>
          <w:lang w:val="en-US" w:eastAsia="zh-CN"/>
          <w14:textFill>
            <w14:solidFill>
              <w14:schemeClr w14:val="tx1"/>
            </w14:solidFill>
          </w14:textFill>
        </w:rPr>
        <w:t>50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的恶臭</w:t>
      </w:r>
      <w:r>
        <w:rPr>
          <w:rFonts w:hint="eastAsia"/>
          <w:color w:val="000000" w:themeColor="text1"/>
          <w:highlight w:val="none"/>
          <w:lang w:val="en-US" w:eastAsia="zh-CN"/>
          <w14:textFill>
            <w14:solidFill>
              <w14:schemeClr w14:val="tx1"/>
            </w14:solidFill>
          </w14:textFill>
        </w:rPr>
        <w:t>产生</w:t>
      </w:r>
      <w:r>
        <w:rPr>
          <w:rFonts w:hint="eastAsia"/>
          <w:color w:val="000000" w:themeColor="text1"/>
          <w:highlight w:val="none"/>
          <w14:textFill>
            <w14:solidFill>
              <w14:schemeClr w14:val="tx1"/>
            </w14:solidFill>
          </w14:textFill>
        </w:rPr>
        <w:t>量</w:t>
      </w:r>
      <w:r>
        <w:rPr>
          <w:rFonts w:hint="eastAsia"/>
          <w:color w:val="000000" w:themeColor="text1"/>
          <w:highlight w:val="none"/>
          <w:lang w:eastAsia="zh-CN"/>
          <w14:textFill>
            <w14:solidFill>
              <w14:schemeClr w14:val="tx1"/>
            </w14:solidFill>
          </w14:textFill>
        </w:rPr>
        <w:t>。</w:t>
      </w:r>
    </w:p>
    <w:p w14:paraId="128E1EF1">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畜禽养殖业污染治理工程技术规范》（HJ497-2009），养殖场粪污处理各工艺单元宜设计为密闭形式，减少恶臭对周围环境的污染。评价要求堆肥场进行密闭抽风后通过生物除臭装置处理后经15m高的排气筒（DA004）高空排放，生物除臭宜采用生物过滤法。堆肥间面积约2800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，高3.0m。拟设风机换气次数5次/h，设计风量约42000m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w:t>
      </w:r>
    </w:p>
    <w:p w14:paraId="77BC57F4">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除臭装置：除臭设施的设计处理总规模风量Q=42000m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/h。除臭的具体工艺流程为：臭气收集→风管输送→抽风机→预洗池加湿→生物滤池→排气。经生物除臭器处理后的废气集中到15m高的排气筒排放。生物除臭系统对恶臭气体收集率按98%计，对H</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S、NH</w:t>
      </w:r>
      <w:r>
        <w:rPr>
          <w:rFonts w:hint="eastAsia"/>
          <w:color w:val="000000" w:themeColor="text1"/>
          <w:highlight w:val="none"/>
          <w:vertAlign w:val="sub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等恶臭气体的去除率达90%以上，项目除臭效率按照90%计</w:t>
      </w:r>
      <w:r>
        <w:rPr>
          <w:rFonts w:hint="eastAsia"/>
          <w:color w:val="000000" w:themeColor="text1"/>
          <w:highlight w:val="none"/>
          <w14:textFill>
            <w14:solidFill>
              <w14:schemeClr w14:val="tx1"/>
            </w14:solidFill>
          </w14:textFill>
        </w:rPr>
        <w:t>，粪场恶臭排放情况见表3.</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-4。</w:t>
      </w:r>
    </w:p>
    <w:p w14:paraId="4D647262">
      <w:pPr>
        <w:pStyle w:val="30"/>
        <w:bidi w:val="0"/>
      </w:pPr>
      <w:r>
        <w:t>表</w:t>
      </w:r>
      <w:r>
        <w:rPr>
          <w:rFonts w:hint="eastAsia"/>
        </w:rPr>
        <w:t>3.</w:t>
      </w:r>
      <w:r>
        <w:rPr>
          <w:rFonts w:hint="eastAsia"/>
          <w:lang w:val="en-US" w:eastAsia="zh-CN"/>
        </w:rPr>
        <w:t>4</w:t>
      </w:r>
      <w:r>
        <w:rPr>
          <w:rFonts w:hint="eastAsia"/>
        </w:rPr>
        <w:t>-4</w:t>
      </w:r>
      <w:r>
        <w:t xml:space="preserve">  </w:t>
      </w:r>
      <w:r>
        <w:rPr>
          <w:rFonts w:hint="eastAsia"/>
          <w:lang w:val="en-US" w:eastAsia="zh-CN"/>
        </w:rPr>
        <w:t xml:space="preserve"> </w:t>
      </w:r>
      <w:r>
        <w:t>项目</w:t>
      </w:r>
      <w:r>
        <w:rPr>
          <w:rFonts w:hint="eastAsia"/>
        </w:rPr>
        <w:t>堆粪场</w:t>
      </w:r>
      <w:r>
        <w:t>恶臭排放一览表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4"/>
        <w:gridCol w:w="588"/>
        <w:gridCol w:w="890"/>
        <w:gridCol w:w="1050"/>
        <w:gridCol w:w="1920"/>
        <w:gridCol w:w="811"/>
        <w:gridCol w:w="811"/>
        <w:gridCol w:w="847"/>
        <w:gridCol w:w="1011"/>
      </w:tblGrid>
      <w:tr w14:paraId="6BDB33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343" w:type="pct"/>
            <w:vAlign w:val="center"/>
          </w:tcPr>
          <w:p w14:paraId="2ABE3106">
            <w:pPr>
              <w:pStyle w:val="19"/>
              <w:bidi w:val="0"/>
              <w:rPr>
                <w:rFonts w:hint="default" w:eastAsia="宋体"/>
                <w:lang w:val="en-US" w:eastAsia="zh-CN"/>
              </w:rPr>
            </w:pPr>
            <w:r>
              <w:rPr>
                <w:rFonts w:hint="eastAsia"/>
                <w:lang w:val="en-US" w:eastAsia="zh-CN"/>
              </w:rPr>
              <w:t>排放类型</w:t>
            </w:r>
          </w:p>
        </w:tc>
        <w:tc>
          <w:tcPr>
            <w:tcW w:w="345" w:type="pct"/>
            <w:vAlign w:val="center"/>
          </w:tcPr>
          <w:p w14:paraId="1BFF9270">
            <w:pPr>
              <w:pStyle w:val="19"/>
              <w:bidi w:val="0"/>
            </w:pPr>
            <w:r>
              <w:t>恶臭气体</w:t>
            </w:r>
          </w:p>
        </w:tc>
        <w:tc>
          <w:tcPr>
            <w:tcW w:w="522" w:type="pct"/>
            <w:vAlign w:val="center"/>
          </w:tcPr>
          <w:p w14:paraId="451E8C61">
            <w:pPr>
              <w:pStyle w:val="19"/>
              <w:bidi w:val="0"/>
            </w:pPr>
            <w:r>
              <w:t>产生量（t/a）</w:t>
            </w:r>
          </w:p>
        </w:tc>
        <w:tc>
          <w:tcPr>
            <w:tcW w:w="616" w:type="pct"/>
            <w:vAlign w:val="center"/>
          </w:tcPr>
          <w:p w14:paraId="6A9A2A1E">
            <w:pPr>
              <w:pStyle w:val="19"/>
              <w:bidi w:val="0"/>
            </w:pPr>
            <w:r>
              <w:t>产生速率（kg/h）</w:t>
            </w:r>
          </w:p>
        </w:tc>
        <w:tc>
          <w:tcPr>
            <w:tcW w:w="1127" w:type="pct"/>
            <w:vAlign w:val="center"/>
          </w:tcPr>
          <w:p w14:paraId="56D0C5FD">
            <w:pPr>
              <w:pStyle w:val="19"/>
              <w:bidi w:val="0"/>
            </w:pPr>
            <w:r>
              <w:rPr>
                <w:rFonts w:hint="eastAsia"/>
              </w:rPr>
              <w:t>拟处理措施</w:t>
            </w:r>
          </w:p>
        </w:tc>
        <w:tc>
          <w:tcPr>
            <w:tcW w:w="476" w:type="pct"/>
            <w:vAlign w:val="center"/>
          </w:tcPr>
          <w:p w14:paraId="29EA5277">
            <w:pPr>
              <w:pStyle w:val="19"/>
              <w:bidi w:val="0"/>
              <w:rPr>
                <w:rFonts w:hint="default" w:eastAsia="宋体"/>
                <w:lang w:val="en-US" w:eastAsia="zh-CN"/>
              </w:rPr>
            </w:pPr>
            <w:r>
              <w:rPr>
                <w:rFonts w:hint="eastAsia"/>
                <w:lang w:val="en-US" w:eastAsia="zh-CN"/>
              </w:rPr>
              <w:t>收集效率（%）</w:t>
            </w:r>
          </w:p>
        </w:tc>
        <w:tc>
          <w:tcPr>
            <w:tcW w:w="476" w:type="pct"/>
            <w:vAlign w:val="center"/>
          </w:tcPr>
          <w:p w14:paraId="706A68E9">
            <w:pPr>
              <w:pStyle w:val="19"/>
              <w:bidi w:val="0"/>
            </w:pPr>
            <w:r>
              <w:rPr>
                <w:rFonts w:hint="eastAsia"/>
              </w:rPr>
              <w:t>处理效率（%）</w:t>
            </w:r>
          </w:p>
        </w:tc>
        <w:tc>
          <w:tcPr>
            <w:tcW w:w="497" w:type="pct"/>
            <w:vAlign w:val="center"/>
          </w:tcPr>
          <w:p w14:paraId="42D65125">
            <w:pPr>
              <w:pStyle w:val="19"/>
              <w:bidi w:val="0"/>
            </w:pPr>
            <w:r>
              <w:rPr>
                <w:rFonts w:hint="eastAsia"/>
              </w:rPr>
              <w:t>排放量（t/a）</w:t>
            </w:r>
          </w:p>
        </w:tc>
        <w:tc>
          <w:tcPr>
            <w:tcW w:w="593" w:type="pct"/>
            <w:vAlign w:val="center"/>
          </w:tcPr>
          <w:p w14:paraId="078AFA69">
            <w:pPr>
              <w:pStyle w:val="19"/>
              <w:bidi w:val="0"/>
            </w:pPr>
            <w:r>
              <w:t>排放速率（kg/h）</w:t>
            </w:r>
          </w:p>
        </w:tc>
      </w:tr>
      <w:tr w14:paraId="4B6DC5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343" w:type="pct"/>
            <w:vMerge w:val="restart"/>
            <w:vAlign w:val="center"/>
          </w:tcPr>
          <w:p w14:paraId="7FA314DD">
            <w:pPr>
              <w:pStyle w:val="19"/>
              <w:bidi w:val="0"/>
              <w:rPr>
                <w:rFonts w:hint="eastAsia" w:eastAsia="宋体"/>
                <w:lang w:val="en-US" w:eastAsia="zh-CN"/>
              </w:rPr>
            </w:pPr>
            <w:r>
              <w:rPr>
                <w:rFonts w:hint="eastAsia"/>
                <w:lang w:val="en-US" w:eastAsia="zh-CN"/>
              </w:rPr>
              <w:t>有组织</w:t>
            </w:r>
          </w:p>
        </w:tc>
        <w:tc>
          <w:tcPr>
            <w:tcW w:w="345" w:type="pct"/>
            <w:vAlign w:val="center"/>
          </w:tcPr>
          <w:p w14:paraId="37B07D2E">
            <w:pPr>
              <w:pStyle w:val="19"/>
              <w:bidi w:val="0"/>
            </w:pPr>
            <w:r>
              <w:t>NH</w:t>
            </w:r>
            <w:r>
              <w:rPr>
                <w:vertAlign w:val="subscript"/>
              </w:rPr>
              <w:t>3</w:t>
            </w:r>
          </w:p>
        </w:tc>
        <w:tc>
          <w:tcPr>
            <w:tcW w:w="522" w:type="pct"/>
            <w:vAlign w:val="center"/>
          </w:tcPr>
          <w:p w14:paraId="493CE869">
            <w:pPr>
              <w:pStyle w:val="19"/>
              <w:bidi w:val="0"/>
              <w:rPr>
                <w:rFonts w:hint="default" w:eastAsia="宋体"/>
                <w:lang w:val="en-US" w:eastAsia="zh-CN"/>
              </w:rPr>
            </w:pPr>
            <w:r>
              <w:rPr>
                <w:rFonts w:hint="eastAsia"/>
                <w:lang w:val="en-US" w:eastAsia="zh-CN"/>
              </w:rPr>
              <w:t>2.657</w:t>
            </w:r>
          </w:p>
        </w:tc>
        <w:tc>
          <w:tcPr>
            <w:tcW w:w="616" w:type="pct"/>
            <w:vAlign w:val="center"/>
          </w:tcPr>
          <w:p w14:paraId="08F2F7B9">
            <w:pPr>
              <w:pStyle w:val="19"/>
              <w:bidi w:val="0"/>
              <w:rPr>
                <w:rFonts w:hint="default"/>
                <w:lang w:val="en-US" w:eastAsia="zh-CN"/>
              </w:rPr>
            </w:pPr>
            <w:r>
              <w:rPr>
                <w:rFonts w:hint="eastAsia"/>
                <w:lang w:val="en-US" w:eastAsia="zh-CN"/>
              </w:rPr>
              <w:t>0.303</w:t>
            </w:r>
          </w:p>
        </w:tc>
        <w:tc>
          <w:tcPr>
            <w:tcW w:w="1127" w:type="pct"/>
            <w:vMerge w:val="restart"/>
            <w:vAlign w:val="center"/>
          </w:tcPr>
          <w:p w14:paraId="6753EB3F">
            <w:pPr>
              <w:pStyle w:val="19"/>
              <w:bidi w:val="0"/>
              <w:rPr>
                <w:rFonts w:hint="eastAsia"/>
                <w:lang w:eastAsia="zh-CN"/>
              </w:rPr>
            </w:pPr>
            <w:r>
              <w:rPr>
                <w:rFonts w:hint="eastAsia"/>
                <w:lang w:val="en-US" w:eastAsia="zh-CN"/>
              </w:rPr>
              <w:t>①</w:t>
            </w:r>
            <w:r>
              <w:rPr>
                <w:rFonts w:hint="eastAsia"/>
              </w:rPr>
              <w:t>添加物理吸附剂、喷洒除臭剂等</w:t>
            </w:r>
            <w:r>
              <w:rPr>
                <w:rFonts w:hint="eastAsia"/>
                <w:lang w:eastAsia="zh-CN"/>
              </w:rPr>
              <w:t>；</w:t>
            </w:r>
          </w:p>
          <w:p w14:paraId="3A7AAF7A">
            <w:pPr>
              <w:pStyle w:val="19"/>
              <w:bidi w:val="0"/>
              <w:rPr>
                <w:rFonts w:hint="default"/>
                <w:lang w:val="en-US" w:eastAsia="zh-CN"/>
              </w:rPr>
            </w:pPr>
            <w:r>
              <w:rPr>
                <w:rFonts w:hint="eastAsia"/>
                <w:lang w:val="en-US" w:eastAsia="zh-CN"/>
              </w:rPr>
              <w:t>②设置生物除臭装置</w:t>
            </w:r>
          </w:p>
        </w:tc>
        <w:tc>
          <w:tcPr>
            <w:tcW w:w="476" w:type="pct"/>
            <w:vMerge w:val="restart"/>
            <w:vAlign w:val="center"/>
          </w:tcPr>
          <w:p w14:paraId="6B4F33DC">
            <w:pPr>
              <w:pStyle w:val="19"/>
              <w:bidi w:val="0"/>
              <w:rPr>
                <w:rFonts w:hint="default"/>
                <w:lang w:val="en-US" w:eastAsia="zh-CN"/>
              </w:rPr>
            </w:pPr>
            <w:r>
              <w:rPr>
                <w:rFonts w:hint="eastAsia"/>
                <w:lang w:val="en-US" w:eastAsia="zh-CN"/>
              </w:rPr>
              <w:t>98</w:t>
            </w:r>
          </w:p>
        </w:tc>
        <w:tc>
          <w:tcPr>
            <w:tcW w:w="476" w:type="pct"/>
            <w:vMerge w:val="restart"/>
            <w:vAlign w:val="center"/>
          </w:tcPr>
          <w:p w14:paraId="0B16FD10">
            <w:pPr>
              <w:pStyle w:val="19"/>
              <w:bidi w:val="0"/>
              <w:rPr>
                <w:rFonts w:hint="default" w:eastAsia="宋体"/>
                <w:lang w:val="en-US" w:eastAsia="zh-CN"/>
              </w:rPr>
            </w:pPr>
            <w:r>
              <w:rPr>
                <w:rFonts w:hint="eastAsia"/>
                <w:lang w:val="en-US" w:eastAsia="zh-CN"/>
              </w:rPr>
              <w:t>90</w:t>
            </w:r>
          </w:p>
        </w:tc>
        <w:tc>
          <w:tcPr>
            <w:tcW w:w="497" w:type="pct"/>
            <w:vAlign w:val="center"/>
          </w:tcPr>
          <w:p w14:paraId="15C4FB2D">
            <w:pPr>
              <w:pStyle w:val="19"/>
              <w:bidi w:val="0"/>
              <w:rPr>
                <w:rFonts w:hint="default" w:eastAsia="宋体"/>
                <w:lang w:val="en-US" w:eastAsia="zh-CN"/>
              </w:rPr>
            </w:pPr>
            <w:r>
              <w:rPr>
                <w:rFonts w:hint="eastAsia" w:eastAsia="宋体"/>
                <w:lang w:val="en-US" w:eastAsia="zh-CN"/>
              </w:rPr>
              <w:t>0.26</w:t>
            </w:r>
          </w:p>
        </w:tc>
        <w:tc>
          <w:tcPr>
            <w:tcW w:w="593" w:type="pct"/>
            <w:vAlign w:val="center"/>
          </w:tcPr>
          <w:p w14:paraId="79317A88">
            <w:pPr>
              <w:pStyle w:val="19"/>
              <w:bidi w:val="0"/>
              <w:rPr>
                <w:rFonts w:hint="default" w:eastAsia="宋体"/>
                <w:lang w:val="en-US" w:eastAsia="zh-CN"/>
              </w:rPr>
            </w:pPr>
            <w:r>
              <w:rPr>
                <w:rFonts w:hint="eastAsia" w:eastAsia="宋体"/>
                <w:lang w:val="en-US" w:eastAsia="zh-CN"/>
              </w:rPr>
              <w:t>0.03</w:t>
            </w:r>
          </w:p>
        </w:tc>
      </w:tr>
      <w:tr w14:paraId="54623D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343" w:type="pct"/>
            <w:vMerge w:val="continue"/>
            <w:vAlign w:val="center"/>
          </w:tcPr>
          <w:p w14:paraId="47F50A11">
            <w:pPr>
              <w:pStyle w:val="19"/>
              <w:bidi w:val="0"/>
            </w:pPr>
          </w:p>
        </w:tc>
        <w:tc>
          <w:tcPr>
            <w:tcW w:w="345" w:type="pct"/>
            <w:vAlign w:val="center"/>
          </w:tcPr>
          <w:p w14:paraId="167B900A">
            <w:pPr>
              <w:pStyle w:val="19"/>
              <w:bidi w:val="0"/>
            </w:pPr>
            <w:r>
              <w:t>H</w:t>
            </w:r>
            <w:r>
              <w:rPr>
                <w:vertAlign w:val="subscript"/>
              </w:rPr>
              <w:t>2</w:t>
            </w:r>
            <w:r>
              <w:t>S</w:t>
            </w:r>
          </w:p>
        </w:tc>
        <w:tc>
          <w:tcPr>
            <w:tcW w:w="522" w:type="pct"/>
            <w:vAlign w:val="center"/>
          </w:tcPr>
          <w:p w14:paraId="0B694642">
            <w:pPr>
              <w:pStyle w:val="19"/>
              <w:bidi w:val="0"/>
              <w:rPr>
                <w:rFonts w:hint="default" w:eastAsia="宋体"/>
                <w:lang w:val="en-US" w:eastAsia="zh-CN"/>
              </w:rPr>
            </w:pPr>
            <w:r>
              <w:rPr>
                <w:rFonts w:hint="eastAsia"/>
                <w:lang w:val="en-US" w:eastAsia="zh-CN"/>
              </w:rPr>
              <w:t>0.266</w:t>
            </w:r>
          </w:p>
        </w:tc>
        <w:tc>
          <w:tcPr>
            <w:tcW w:w="616" w:type="pct"/>
            <w:vAlign w:val="center"/>
          </w:tcPr>
          <w:p w14:paraId="438CBEAD">
            <w:pPr>
              <w:pStyle w:val="19"/>
              <w:bidi w:val="0"/>
              <w:rPr>
                <w:rFonts w:hint="default"/>
                <w:lang w:val="en-US" w:eastAsia="zh-CN"/>
              </w:rPr>
            </w:pPr>
            <w:r>
              <w:rPr>
                <w:rFonts w:hint="eastAsia"/>
                <w:lang w:val="en-US" w:eastAsia="zh-CN"/>
              </w:rPr>
              <w:t>0.030</w:t>
            </w:r>
          </w:p>
        </w:tc>
        <w:tc>
          <w:tcPr>
            <w:tcW w:w="1127" w:type="pct"/>
            <w:vMerge w:val="continue"/>
            <w:vAlign w:val="center"/>
          </w:tcPr>
          <w:p w14:paraId="1A5E1EB2">
            <w:pPr>
              <w:pStyle w:val="19"/>
              <w:bidi w:val="0"/>
            </w:pPr>
          </w:p>
        </w:tc>
        <w:tc>
          <w:tcPr>
            <w:tcW w:w="476" w:type="pct"/>
            <w:vMerge w:val="continue"/>
            <w:vAlign w:val="center"/>
          </w:tcPr>
          <w:p w14:paraId="60366EBF">
            <w:pPr>
              <w:pStyle w:val="19"/>
              <w:bidi w:val="0"/>
            </w:pPr>
          </w:p>
        </w:tc>
        <w:tc>
          <w:tcPr>
            <w:tcW w:w="476" w:type="pct"/>
            <w:vMerge w:val="continue"/>
            <w:vAlign w:val="center"/>
          </w:tcPr>
          <w:p w14:paraId="07DC8712">
            <w:pPr>
              <w:pStyle w:val="19"/>
              <w:bidi w:val="0"/>
            </w:pPr>
          </w:p>
        </w:tc>
        <w:tc>
          <w:tcPr>
            <w:tcW w:w="497" w:type="pct"/>
            <w:vAlign w:val="center"/>
          </w:tcPr>
          <w:p w14:paraId="295ED5FE">
            <w:pPr>
              <w:pStyle w:val="19"/>
              <w:bidi w:val="0"/>
              <w:rPr>
                <w:rFonts w:hint="default" w:eastAsia="宋体"/>
                <w:lang w:val="en-US" w:eastAsia="zh-CN"/>
              </w:rPr>
            </w:pPr>
            <w:r>
              <w:rPr>
                <w:rFonts w:hint="eastAsia" w:eastAsia="宋体"/>
                <w:lang w:val="en-US" w:eastAsia="zh-CN"/>
              </w:rPr>
              <w:t>0.026</w:t>
            </w:r>
          </w:p>
        </w:tc>
        <w:tc>
          <w:tcPr>
            <w:tcW w:w="593" w:type="pct"/>
            <w:vAlign w:val="center"/>
          </w:tcPr>
          <w:p w14:paraId="40BF95DF">
            <w:pPr>
              <w:pStyle w:val="19"/>
              <w:bidi w:val="0"/>
              <w:rPr>
                <w:rFonts w:hint="default" w:eastAsia="宋体"/>
                <w:lang w:val="en-US" w:eastAsia="zh-CN"/>
              </w:rPr>
            </w:pPr>
            <w:r>
              <w:rPr>
                <w:rFonts w:hint="eastAsia" w:eastAsia="宋体"/>
                <w:lang w:val="en-US" w:eastAsia="zh-CN"/>
              </w:rPr>
              <w:t>0.003</w:t>
            </w:r>
          </w:p>
        </w:tc>
      </w:tr>
      <w:tr w14:paraId="5A4240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343" w:type="pct"/>
            <w:vMerge w:val="restart"/>
            <w:vAlign w:val="center"/>
          </w:tcPr>
          <w:p w14:paraId="4D169FD4">
            <w:pPr>
              <w:pStyle w:val="19"/>
              <w:bidi w:val="0"/>
              <w:rPr>
                <w:rFonts w:hint="eastAsia" w:eastAsia="宋体"/>
                <w:lang w:val="en-US" w:eastAsia="zh-CN"/>
              </w:rPr>
            </w:pPr>
            <w:r>
              <w:rPr>
                <w:rFonts w:hint="eastAsia"/>
                <w:lang w:val="en-US" w:eastAsia="zh-CN"/>
              </w:rPr>
              <w:t>无组织</w:t>
            </w:r>
          </w:p>
        </w:tc>
        <w:tc>
          <w:tcPr>
            <w:tcW w:w="345" w:type="pct"/>
            <w:vAlign w:val="center"/>
          </w:tcPr>
          <w:p w14:paraId="4B92E2C9">
            <w:pPr>
              <w:pStyle w:val="19"/>
              <w:bidi w:val="0"/>
              <w:ind w:firstLine="0" w:firstLineChars="0"/>
              <w:rPr>
                <w:rFonts w:ascii="Times New Roman" w:hAnsi="Times New Roman" w:eastAsia="宋体" w:cs="Times New Roman"/>
                <w:kern w:val="2"/>
                <w:sz w:val="21"/>
                <w:szCs w:val="22"/>
                <w:lang w:val="en-US" w:eastAsia="zh-CN" w:bidi="ar-SA"/>
              </w:rPr>
            </w:pPr>
            <w:r>
              <w:t>NH</w:t>
            </w:r>
            <w:r>
              <w:rPr>
                <w:vertAlign w:val="subscript"/>
              </w:rPr>
              <w:t>3</w:t>
            </w:r>
          </w:p>
        </w:tc>
        <w:tc>
          <w:tcPr>
            <w:tcW w:w="522" w:type="pct"/>
            <w:vAlign w:val="center"/>
          </w:tcPr>
          <w:p w14:paraId="2CFB2873">
            <w:pPr>
              <w:pStyle w:val="19"/>
              <w:bidi w:val="0"/>
              <w:rPr>
                <w:rFonts w:hint="default"/>
                <w:lang w:val="en-US" w:eastAsia="zh-CN"/>
              </w:rPr>
            </w:pPr>
            <w:r>
              <w:rPr>
                <w:rFonts w:hint="eastAsia"/>
                <w:lang w:val="en-US" w:eastAsia="zh-CN"/>
              </w:rPr>
              <w:t>0.053</w:t>
            </w:r>
          </w:p>
        </w:tc>
        <w:tc>
          <w:tcPr>
            <w:tcW w:w="616" w:type="pct"/>
            <w:vAlign w:val="center"/>
          </w:tcPr>
          <w:p w14:paraId="7838A73B">
            <w:pPr>
              <w:pStyle w:val="19"/>
              <w:bidi w:val="0"/>
              <w:rPr>
                <w:rFonts w:hint="default"/>
                <w:lang w:val="en-US" w:eastAsia="zh-CN"/>
              </w:rPr>
            </w:pPr>
            <w:r>
              <w:rPr>
                <w:rFonts w:hint="eastAsia"/>
                <w:lang w:val="en-US" w:eastAsia="zh-CN"/>
              </w:rPr>
              <w:t>0.006</w:t>
            </w:r>
          </w:p>
        </w:tc>
        <w:tc>
          <w:tcPr>
            <w:tcW w:w="1127" w:type="pct"/>
            <w:vMerge w:val="continue"/>
            <w:vAlign w:val="center"/>
          </w:tcPr>
          <w:p w14:paraId="591308EA">
            <w:pPr>
              <w:pStyle w:val="19"/>
              <w:bidi w:val="0"/>
            </w:pPr>
          </w:p>
        </w:tc>
        <w:tc>
          <w:tcPr>
            <w:tcW w:w="476" w:type="pct"/>
            <w:vAlign w:val="center"/>
          </w:tcPr>
          <w:p w14:paraId="34FA420E">
            <w:pPr>
              <w:pStyle w:val="19"/>
              <w:bidi w:val="0"/>
              <w:rPr>
                <w:rFonts w:hint="eastAsia" w:eastAsia="宋体"/>
                <w:lang w:val="en-US" w:eastAsia="zh-CN"/>
              </w:rPr>
            </w:pPr>
            <w:r>
              <w:rPr>
                <w:rFonts w:hint="eastAsia"/>
                <w:lang w:val="en-US" w:eastAsia="zh-CN"/>
              </w:rPr>
              <w:t>/</w:t>
            </w:r>
          </w:p>
        </w:tc>
        <w:tc>
          <w:tcPr>
            <w:tcW w:w="476" w:type="pct"/>
            <w:vAlign w:val="center"/>
          </w:tcPr>
          <w:p w14:paraId="21414E97">
            <w:pPr>
              <w:pStyle w:val="19"/>
              <w:bidi w:val="0"/>
              <w:rPr>
                <w:rFonts w:hint="eastAsia" w:eastAsia="宋体"/>
                <w:lang w:val="en-US" w:eastAsia="zh-CN"/>
              </w:rPr>
            </w:pPr>
            <w:r>
              <w:rPr>
                <w:rFonts w:hint="eastAsia"/>
                <w:lang w:val="en-US" w:eastAsia="zh-CN"/>
              </w:rPr>
              <w:t>/</w:t>
            </w:r>
          </w:p>
        </w:tc>
        <w:tc>
          <w:tcPr>
            <w:tcW w:w="497" w:type="pct"/>
            <w:vAlign w:val="center"/>
          </w:tcPr>
          <w:p w14:paraId="76E9B97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0.053</w:t>
            </w:r>
          </w:p>
        </w:tc>
        <w:tc>
          <w:tcPr>
            <w:tcW w:w="593" w:type="pct"/>
            <w:vAlign w:val="center"/>
          </w:tcPr>
          <w:p w14:paraId="5885843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0.006</w:t>
            </w:r>
          </w:p>
        </w:tc>
      </w:tr>
      <w:tr w14:paraId="308419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343" w:type="pct"/>
            <w:vMerge w:val="continue"/>
            <w:vAlign w:val="center"/>
          </w:tcPr>
          <w:p w14:paraId="7A7E356E">
            <w:pPr>
              <w:pStyle w:val="19"/>
              <w:bidi w:val="0"/>
            </w:pPr>
          </w:p>
        </w:tc>
        <w:tc>
          <w:tcPr>
            <w:tcW w:w="345" w:type="pct"/>
            <w:vAlign w:val="center"/>
          </w:tcPr>
          <w:p w14:paraId="576C2ECF">
            <w:pPr>
              <w:pStyle w:val="19"/>
              <w:bidi w:val="0"/>
              <w:ind w:firstLine="0" w:firstLineChars="0"/>
              <w:rPr>
                <w:rFonts w:ascii="Times New Roman" w:hAnsi="Times New Roman" w:eastAsia="宋体" w:cs="Times New Roman"/>
                <w:kern w:val="2"/>
                <w:sz w:val="21"/>
                <w:szCs w:val="22"/>
                <w:lang w:val="en-US" w:eastAsia="zh-CN" w:bidi="ar-SA"/>
              </w:rPr>
            </w:pPr>
            <w:r>
              <w:t>H</w:t>
            </w:r>
            <w:r>
              <w:rPr>
                <w:vertAlign w:val="subscript"/>
              </w:rPr>
              <w:t>2</w:t>
            </w:r>
            <w:r>
              <w:t>S</w:t>
            </w:r>
          </w:p>
        </w:tc>
        <w:tc>
          <w:tcPr>
            <w:tcW w:w="522" w:type="pct"/>
            <w:vAlign w:val="center"/>
          </w:tcPr>
          <w:p w14:paraId="65985ED0">
            <w:pPr>
              <w:pStyle w:val="19"/>
              <w:bidi w:val="0"/>
              <w:rPr>
                <w:rFonts w:hint="default"/>
                <w:lang w:val="en-US" w:eastAsia="zh-CN"/>
              </w:rPr>
            </w:pPr>
            <w:r>
              <w:rPr>
                <w:rFonts w:hint="eastAsia"/>
                <w:lang w:val="en-US" w:eastAsia="zh-CN"/>
              </w:rPr>
              <w:t>0.005</w:t>
            </w:r>
          </w:p>
        </w:tc>
        <w:tc>
          <w:tcPr>
            <w:tcW w:w="616" w:type="pct"/>
            <w:vAlign w:val="center"/>
          </w:tcPr>
          <w:p w14:paraId="5F975DB5">
            <w:pPr>
              <w:pStyle w:val="19"/>
              <w:bidi w:val="0"/>
              <w:rPr>
                <w:rFonts w:hint="default"/>
                <w:lang w:val="en-US" w:eastAsia="zh-CN"/>
              </w:rPr>
            </w:pPr>
            <w:r>
              <w:rPr>
                <w:rFonts w:hint="eastAsia"/>
                <w:lang w:val="en-US" w:eastAsia="zh-CN"/>
              </w:rPr>
              <w:t>0.0006</w:t>
            </w:r>
          </w:p>
        </w:tc>
        <w:tc>
          <w:tcPr>
            <w:tcW w:w="1127" w:type="pct"/>
            <w:vMerge w:val="continue"/>
            <w:vAlign w:val="center"/>
          </w:tcPr>
          <w:p w14:paraId="41711AD8">
            <w:pPr>
              <w:pStyle w:val="19"/>
              <w:bidi w:val="0"/>
            </w:pPr>
          </w:p>
        </w:tc>
        <w:tc>
          <w:tcPr>
            <w:tcW w:w="476" w:type="pct"/>
            <w:vAlign w:val="center"/>
          </w:tcPr>
          <w:p w14:paraId="447882D8">
            <w:pPr>
              <w:pStyle w:val="19"/>
              <w:bidi w:val="0"/>
              <w:rPr>
                <w:rFonts w:hint="eastAsia" w:eastAsia="宋体"/>
                <w:lang w:val="en-US" w:eastAsia="zh-CN"/>
              </w:rPr>
            </w:pPr>
            <w:r>
              <w:rPr>
                <w:rFonts w:hint="eastAsia"/>
                <w:lang w:val="en-US" w:eastAsia="zh-CN"/>
              </w:rPr>
              <w:t>/</w:t>
            </w:r>
          </w:p>
        </w:tc>
        <w:tc>
          <w:tcPr>
            <w:tcW w:w="476" w:type="pct"/>
            <w:vAlign w:val="center"/>
          </w:tcPr>
          <w:p w14:paraId="6D95C495">
            <w:pPr>
              <w:pStyle w:val="19"/>
              <w:bidi w:val="0"/>
              <w:rPr>
                <w:rFonts w:hint="eastAsia" w:eastAsia="宋体"/>
                <w:lang w:val="en-US" w:eastAsia="zh-CN"/>
              </w:rPr>
            </w:pPr>
            <w:r>
              <w:rPr>
                <w:rFonts w:hint="eastAsia"/>
                <w:lang w:val="en-US" w:eastAsia="zh-CN"/>
              </w:rPr>
              <w:t>/</w:t>
            </w:r>
          </w:p>
        </w:tc>
        <w:tc>
          <w:tcPr>
            <w:tcW w:w="497" w:type="pct"/>
            <w:vAlign w:val="center"/>
          </w:tcPr>
          <w:p w14:paraId="0B2EEA8A">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0.005</w:t>
            </w:r>
          </w:p>
        </w:tc>
        <w:tc>
          <w:tcPr>
            <w:tcW w:w="593" w:type="pct"/>
            <w:vAlign w:val="center"/>
          </w:tcPr>
          <w:p w14:paraId="5226CED0">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0.0006</w:t>
            </w:r>
          </w:p>
        </w:tc>
      </w:tr>
    </w:tbl>
    <w:p w14:paraId="4F0BA26A">
      <w:pPr>
        <w:bidi w:val="0"/>
        <w:rPr>
          <w:rFonts w:hint="default"/>
          <w:highlight w:val="none"/>
          <w:lang w:val="en-US" w:eastAsia="zh-CN"/>
        </w:rPr>
      </w:pPr>
      <w:r>
        <w:rPr>
          <w:rFonts w:hint="eastAsia"/>
          <w:highlight w:val="none"/>
          <w:lang w:val="en-US" w:eastAsia="zh-CN"/>
        </w:rPr>
        <w:t>（3）污水处理系统恶臭气体G3</w:t>
      </w:r>
    </w:p>
    <w:p w14:paraId="0E390602">
      <w:pPr>
        <w:spacing w:line="360" w:lineRule="auto"/>
        <w:ind w:firstLine="480" w:firstLineChars="200"/>
        <w:jc w:val="left"/>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本项目污水处理系统共包括2处粪污处理池体，1号粪污处理池体主要布设水解酸化、UASB和SBR三级工序池体，2号粪污处理池作为好氧塘对处理后的污水进行储存。</w:t>
      </w:r>
    </w:p>
    <w:p w14:paraId="73A4AA50">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污水</w:t>
      </w:r>
      <w:r>
        <w:rPr>
          <w:rFonts w:hint="default" w:ascii="Times New Roman" w:hAnsi="Times New Roman" w:eastAsia="宋体" w:cs="Times New Roman"/>
          <w:b w:val="0"/>
          <w:bCs w:val="0"/>
          <w:color w:val="000000" w:themeColor="text1"/>
          <w:highlight w:val="none"/>
          <w14:textFill>
            <w14:solidFill>
              <w14:schemeClr w14:val="tx1"/>
            </w14:solidFill>
          </w14:textFill>
        </w:rPr>
        <w:t>在</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处理及</w:t>
      </w:r>
      <w:r>
        <w:rPr>
          <w:rFonts w:hint="default" w:ascii="Times New Roman" w:hAnsi="Times New Roman" w:eastAsia="宋体" w:cs="Times New Roman"/>
          <w:b w:val="0"/>
          <w:bCs w:val="0"/>
          <w:color w:val="000000" w:themeColor="text1"/>
          <w:highlight w:val="none"/>
          <w14:textFill>
            <w14:solidFill>
              <w14:schemeClr w14:val="tx1"/>
            </w14:solidFill>
          </w14:textFill>
        </w:rPr>
        <w:t>暂存过程中，</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水解酸化、</w:t>
      </w:r>
      <w:r>
        <w:rPr>
          <w:rFonts w:hint="default" w:ascii="Times New Roman" w:hAnsi="Times New Roman" w:eastAsia="宋体" w:cs="Times New Roman"/>
          <w:b w:val="0"/>
          <w:bCs w:val="0"/>
          <w:color w:val="000000" w:themeColor="text1"/>
          <w:highlight w:val="none"/>
          <w14:textFill>
            <w14:solidFill>
              <w14:schemeClr w14:val="tx1"/>
            </w14:solidFill>
          </w14:textFill>
        </w:rPr>
        <w:t>厌氧反应</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好氧反应会</w:t>
      </w:r>
      <w:r>
        <w:rPr>
          <w:rFonts w:hint="default" w:ascii="Times New Roman" w:hAnsi="Times New Roman" w:eastAsia="宋体" w:cs="Times New Roman"/>
          <w:b w:val="0"/>
          <w:bCs w:val="0"/>
          <w:color w:val="000000" w:themeColor="text1"/>
          <w:highlight w:val="none"/>
          <w14:textFill>
            <w14:solidFill>
              <w14:schemeClr w14:val="tx1"/>
            </w14:solidFill>
          </w14:textFill>
        </w:rPr>
        <w:t>产生部分恶臭气体，</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成分主要为NH</w:t>
      </w:r>
      <w:r>
        <w:rPr>
          <w:rFonts w:hint="eastAsia" w:ascii="Times New Roman" w:hAnsi="Times New Roman" w:cs="Times New Roman"/>
          <w:b w:val="0"/>
          <w:bCs w:val="0"/>
          <w:color w:val="000000" w:themeColor="text1"/>
          <w:highlight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、H</w:t>
      </w:r>
      <w:r>
        <w:rPr>
          <w:rFonts w:hint="eastAsia" w:ascii="Times New Roman" w:hAnsi="Times New Roman" w:cs="Times New Roman"/>
          <w:b w:val="0"/>
          <w:bCs w:val="0"/>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S</w:t>
      </w:r>
      <w:r>
        <w:rPr>
          <w:rFonts w:hint="default" w:ascii="Times New Roman" w:hAnsi="Times New Roman" w:eastAsia="宋体" w:cs="Times New Roman"/>
          <w:b w:val="0"/>
          <w:bCs w:val="0"/>
          <w:color w:val="000000" w:themeColor="text1"/>
          <w:highlight w:val="none"/>
          <w14:textFill>
            <w14:solidFill>
              <w14:schemeClr w14:val="tx1"/>
            </w14:solidFill>
          </w14:textFill>
        </w:rPr>
        <w:t>。</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根据美国EPA的研究，污水处理系统每处理1gBOD</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，可产生0.0031gNH</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和0.00012gH</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S，本项目污水产生量为</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64452.36</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/a，BOD</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浓度按</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764.44</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mg/L计，BOD</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产生量为</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49.27</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t/a，</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查阅相关资料，</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根据前文污水处理系统工艺描述，各工序对BOD</w:t>
      </w:r>
      <w:r>
        <w:rPr>
          <w:rFonts w:hint="eastAsia"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5</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的</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处理效率</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分别为：水解酸化20%～40%（本次取值30%）、UASB反应器70%～80%（本次取值75%）、SBR工艺70%～90%（本次取值80%）</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，故本项目废水在</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污水</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处理工序去除</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BOD</w:t>
      </w:r>
      <w:r>
        <w:rPr>
          <w:rFonts w:hint="eastAsia" w:ascii="Times New Roman" w:hAnsi="Times New Roman" w:eastAsia="宋体" w:cs="宋体"/>
          <w:b w:val="0"/>
          <w:bCs w:val="0"/>
          <w:color w:val="000000" w:themeColor="text1"/>
          <w:kern w:val="0"/>
          <w:szCs w:val="24"/>
          <w:highlight w:val="none"/>
          <w:vertAlign w:val="subscript"/>
          <w14:textFill>
            <w14:solidFill>
              <w14:schemeClr w14:val="tx1"/>
            </w14:solidFill>
          </w14:textFill>
        </w:rPr>
        <w:t>5</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量为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47.55</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则产生</w:t>
      </w:r>
      <w:r>
        <w:rPr>
          <w:rFonts w:ascii="Times New Roman" w:hAnsi="Times New Roman" w:eastAsia="宋体" w:cs="宋体"/>
          <w:b w:val="0"/>
          <w:bCs w:val="0"/>
          <w:color w:val="000000" w:themeColor="text1"/>
          <w:kern w:val="0"/>
          <w:szCs w:val="24"/>
          <w:highlight w:val="none"/>
          <w14:textFill>
            <w14:solidFill>
              <w14:schemeClr w14:val="tx1"/>
            </w14:solidFill>
          </w14:textFill>
        </w:rPr>
        <w:t>NH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的产生量为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0.147</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S</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的产生量为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0.006</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p>
    <w:p w14:paraId="52905600">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收集池（沉砂）</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位于地下，加盖密闭，污水收集系统均采用管道布设，将整个池体维持在封闭状态，同时在进水口处投放除臭剂，并在</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1号粪污处理池（包含水解酸化、UASB和SBR）</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外围定期喷洒除臭剂，可有效降低恶臭气体的无组织排放。在污水处理系</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收集池</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统</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采取</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封闭、</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1号粪污处理池采取</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喷洒除臭剂</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措施</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的情况下，臭气污染物逸散量非常小，</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本项目</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处理效率</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按</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85</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计，则臭气</w:t>
      </w:r>
      <w:r>
        <w:rPr>
          <w:rFonts w:ascii="Times New Roman" w:hAnsi="Times New Roman" w:eastAsia="宋体" w:cs="宋体"/>
          <w:b w:val="0"/>
          <w:bCs w:val="0"/>
          <w:color w:val="000000" w:themeColor="text1"/>
          <w:kern w:val="0"/>
          <w:szCs w:val="24"/>
          <w:highlight w:val="none"/>
          <w14:textFill>
            <w14:solidFill>
              <w14:schemeClr w14:val="tx1"/>
            </w14:solidFill>
          </w14:textFill>
        </w:rPr>
        <w:t>NH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的排放量为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0.022</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S</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的排放量为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0.001</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p>
    <w:p w14:paraId="7AC2ED1D">
      <w:pPr>
        <w:pStyle w:val="30"/>
        <w:bidi w:val="0"/>
      </w:pPr>
      <w:r>
        <w:t>表</w:t>
      </w:r>
      <w:r>
        <w:rPr>
          <w:rFonts w:hint="eastAsia"/>
        </w:rPr>
        <w:t>3.</w:t>
      </w:r>
      <w:r>
        <w:rPr>
          <w:rFonts w:hint="eastAsia"/>
          <w:lang w:val="en-US" w:eastAsia="zh-CN"/>
        </w:rPr>
        <w:t>4</w:t>
      </w:r>
      <w:r>
        <w:rPr>
          <w:rFonts w:hint="eastAsia"/>
        </w:rPr>
        <w:t>-5</w:t>
      </w:r>
      <w:r>
        <w:rPr>
          <w:rFonts w:hint="eastAsia"/>
          <w:lang w:val="en-US" w:eastAsia="zh-CN"/>
        </w:rPr>
        <w:t xml:space="preserve"> </w:t>
      </w:r>
      <w:r>
        <w:t xml:space="preserve">  项目</w:t>
      </w:r>
      <w:r>
        <w:rPr>
          <w:rFonts w:hint="eastAsia"/>
          <w:lang w:val="en-US" w:eastAsia="zh-CN"/>
        </w:rPr>
        <w:t>粪污收集</w:t>
      </w:r>
      <w:r>
        <w:t>恶臭排放一览表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97"/>
        <w:gridCol w:w="876"/>
        <w:gridCol w:w="1133"/>
        <w:gridCol w:w="2463"/>
        <w:gridCol w:w="1147"/>
        <w:gridCol w:w="1079"/>
        <w:gridCol w:w="1122"/>
      </w:tblGrid>
      <w:tr w14:paraId="1C313D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409" w:type="pct"/>
            <w:vAlign w:val="center"/>
          </w:tcPr>
          <w:p w14:paraId="0399C537">
            <w:pPr>
              <w:pStyle w:val="19"/>
              <w:bidi w:val="0"/>
            </w:pPr>
            <w:r>
              <w:t>恶臭气体</w:t>
            </w:r>
          </w:p>
        </w:tc>
        <w:tc>
          <w:tcPr>
            <w:tcW w:w="514" w:type="pct"/>
            <w:vAlign w:val="center"/>
          </w:tcPr>
          <w:p w14:paraId="2E5C8617">
            <w:pPr>
              <w:pStyle w:val="19"/>
              <w:bidi w:val="0"/>
            </w:pPr>
            <w:r>
              <w:t>产生量（t/a）</w:t>
            </w:r>
          </w:p>
        </w:tc>
        <w:tc>
          <w:tcPr>
            <w:tcW w:w="665" w:type="pct"/>
            <w:vAlign w:val="center"/>
          </w:tcPr>
          <w:p w14:paraId="61960616">
            <w:pPr>
              <w:pStyle w:val="19"/>
              <w:bidi w:val="0"/>
            </w:pPr>
            <w:r>
              <w:t>产生速率（kg/h）</w:t>
            </w:r>
          </w:p>
        </w:tc>
        <w:tc>
          <w:tcPr>
            <w:tcW w:w="1445" w:type="pct"/>
            <w:vAlign w:val="center"/>
          </w:tcPr>
          <w:p w14:paraId="400FB47F">
            <w:pPr>
              <w:pStyle w:val="19"/>
              <w:bidi w:val="0"/>
            </w:pPr>
            <w:r>
              <w:rPr>
                <w:rFonts w:hint="eastAsia"/>
              </w:rPr>
              <w:t>拟处理措施</w:t>
            </w:r>
          </w:p>
        </w:tc>
        <w:tc>
          <w:tcPr>
            <w:tcW w:w="673" w:type="pct"/>
            <w:vAlign w:val="center"/>
          </w:tcPr>
          <w:p w14:paraId="5DB551BB">
            <w:pPr>
              <w:pStyle w:val="19"/>
              <w:bidi w:val="0"/>
            </w:pPr>
            <w:r>
              <w:rPr>
                <w:rFonts w:hint="eastAsia"/>
              </w:rPr>
              <w:t>处理效率（%）</w:t>
            </w:r>
          </w:p>
        </w:tc>
        <w:tc>
          <w:tcPr>
            <w:tcW w:w="633" w:type="pct"/>
            <w:vAlign w:val="center"/>
          </w:tcPr>
          <w:p w14:paraId="064AA010">
            <w:pPr>
              <w:pStyle w:val="19"/>
              <w:bidi w:val="0"/>
            </w:pPr>
            <w:r>
              <w:rPr>
                <w:rFonts w:hint="eastAsia"/>
              </w:rPr>
              <w:t>排放量</w:t>
            </w:r>
          </w:p>
          <w:p w14:paraId="48B4CF84">
            <w:pPr>
              <w:pStyle w:val="19"/>
              <w:bidi w:val="0"/>
            </w:pPr>
            <w:r>
              <w:rPr>
                <w:rFonts w:hint="eastAsia"/>
              </w:rPr>
              <w:t>（t/a）</w:t>
            </w:r>
          </w:p>
        </w:tc>
        <w:tc>
          <w:tcPr>
            <w:tcW w:w="658" w:type="pct"/>
            <w:vAlign w:val="center"/>
          </w:tcPr>
          <w:p w14:paraId="2E1955FD">
            <w:pPr>
              <w:pStyle w:val="19"/>
              <w:bidi w:val="0"/>
            </w:pPr>
            <w:r>
              <w:t>排放速率（kg/h）</w:t>
            </w:r>
          </w:p>
        </w:tc>
      </w:tr>
      <w:tr w14:paraId="268E1E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409" w:type="pct"/>
            <w:vAlign w:val="center"/>
          </w:tcPr>
          <w:p w14:paraId="5307509A">
            <w:pPr>
              <w:pStyle w:val="19"/>
              <w:bidi w:val="0"/>
            </w:pPr>
            <w:r>
              <w:t>NH</w:t>
            </w:r>
            <w:r>
              <w:rPr>
                <w:vertAlign w:val="subscript"/>
              </w:rPr>
              <w:t>3</w:t>
            </w:r>
          </w:p>
        </w:tc>
        <w:tc>
          <w:tcPr>
            <w:tcW w:w="514" w:type="pct"/>
            <w:vAlign w:val="center"/>
          </w:tcPr>
          <w:p w14:paraId="667100BA">
            <w:pPr>
              <w:pStyle w:val="19"/>
              <w:bidi w:val="0"/>
              <w:rPr>
                <w:rFonts w:hint="default"/>
                <w:lang w:val="en-US" w:eastAsia="zh-CN"/>
              </w:rPr>
            </w:pPr>
            <w:r>
              <w:rPr>
                <w:rFonts w:hint="eastAsia"/>
                <w:lang w:val="en-US" w:eastAsia="zh-CN"/>
              </w:rPr>
              <w:t>0.147</w:t>
            </w:r>
          </w:p>
        </w:tc>
        <w:tc>
          <w:tcPr>
            <w:tcW w:w="665" w:type="pct"/>
            <w:vAlign w:val="center"/>
          </w:tcPr>
          <w:p w14:paraId="7C183FC3">
            <w:pPr>
              <w:pStyle w:val="19"/>
              <w:bidi w:val="0"/>
              <w:rPr>
                <w:rFonts w:hint="default"/>
                <w:lang w:val="en-US" w:eastAsia="zh-CN"/>
              </w:rPr>
            </w:pPr>
            <w:r>
              <w:rPr>
                <w:rFonts w:hint="eastAsia"/>
                <w:lang w:val="en-US" w:eastAsia="zh-CN"/>
              </w:rPr>
              <w:t>0.017</w:t>
            </w:r>
          </w:p>
        </w:tc>
        <w:tc>
          <w:tcPr>
            <w:tcW w:w="1445" w:type="pct"/>
            <w:vMerge w:val="restart"/>
            <w:vAlign w:val="center"/>
          </w:tcPr>
          <w:p w14:paraId="094D3B29">
            <w:pPr>
              <w:pStyle w:val="19"/>
              <w:bidi w:val="0"/>
            </w:pPr>
            <w:r>
              <w:rPr>
                <w:rFonts w:hint="eastAsia"/>
                <w:lang w:val="en-US" w:eastAsia="zh-CN"/>
              </w:rPr>
              <w:t>收集池</w:t>
            </w:r>
            <w:r>
              <w:rPr>
                <w:rFonts w:hint="eastAsia"/>
              </w:rPr>
              <w:t>加盖密闭、</w:t>
            </w:r>
            <w:r>
              <w:rPr>
                <w:rFonts w:hint="eastAsia"/>
                <w:lang w:val="en-US" w:eastAsia="zh-CN"/>
              </w:rPr>
              <w:t>1号粪污处理池</w:t>
            </w:r>
            <w:r>
              <w:rPr>
                <w:rFonts w:hint="eastAsia"/>
              </w:rPr>
              <w:t>外围定期喷洒除臭剂、厂区绿化</w:t>
            </w:r>
          </w:p>
        </w:tc>
        <w:tc>
          <w:tcPr>
            <w:tcW w:w="673" w:type="pct"/>
            <w:vMerge w:val="restart"/>
            <w:vAlign w:val="center"/>
          </w:tcPr>
          <w:p w14:paraId="0FAFC8BE">
            <w:pPr>
              <w:pStyle w:val="19"/>
              <w:bidi w:val="0"/>
            </w:pPr>
            <w:r>
              <w:rPr>
                <w:rFonts w:hint="eastAsia"/>
              </w:rPr>
              <w:t>85</w:t>
            </w:r>
          </w:p>
        </w:tc>
        <w:tc>
          <w:tcPr>
            <w:tcW w:w="633" w:type="pct"/>
            <w:vAlign w:val="center"/>
          </w:tcPr>
          <w:p w14:paraId="776532BB">
            <w:pPr>
              <w:pStyle w:val="19"/>
              <w:bidi w:val="0"/>
              <w:rPr>
                <w:rFonts w:hint="default"/>
                <w:lang w:val="en-US" w:eastAsia="zh-CN"/>
              </w:rPr>
            </w:pPr>
            <w:r>
              <w:rPr>
                <w:rFonts w:hint="eastAsia"/>
                <w:lang w:val="en-US" w:eastAsia="zh-CN"/>
              </w:rPr>
              <w:t>0.022</w:t>
            </w:r>
          </w:p>
        </w:tc>
        <w:tc>
          <w:tcPr>
            <w:tcW w:w="658" w:type="pct"/>
            <w:vAlign w:val="center"/>
          </w:tcPr>
          <w:p w14:paraId="07043D48">
            <w:pPr>
              <w:pStyle w:val="19"/>
              <w:bidi w:val="0"/>
              <w:rPr>
                <w:rFonts w:hint="default"/>
                <w:lang w:val="en-US" w:eastAsia="zh-CN"/>
              </w:rPr>
            </w:pPr>
            <w:r>
              <w:rPr>
                <w:rFonts w:hint="eastAsia"/>
                <w:lang w:val="en-US" w:eastAsia="zh-CN"/>
              </w:rPr>
              <w:t>0.003</w:t>
            </w:r>
          </w:p>
        </w:tc>
      </w:tr>
      <w:tr w14:paraId="39039D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409" w:type="pct"/>
            <w:vAlign w:val="center"/>
          </w:tcPr>
          <w:p w14:paraId="53D3E23F">
            <w:pPr>
              <w:pStyle w:val="19"/>
              <w:bidi w:val="0"/>
            </w:pPr>
            <w:r>
              <w:t>H</w:t>
            </w:r>
            <w:r>
              <w:rPr>
                <w:vertAlign w:val="subscript"/>
              </w:rPr>
              <w:t>2</w:t>
            </w:r>
            <w:r>
              <w:t>S</w:t>
            </w:r>
          </w:p>
        </w:tc>
        <w:tc>
          <w:tcPr>
            <w:tcW w:w="514" w:type="pct"/>
            <w:vAlign w:val="center"/>
          </w:tcPr>
          <w:p w14:paraId="2831405B">
            <w:pPr>
              <w:pStyle w:val="19"/>
              <w:bidi w:val="0"/>
              <w:rPr>
                <w:rFonts w:hint="default"/>
                <w:lang w:val="en-US" w:eastAsia="zh-CN"/>
              </w:rPr>
            </w:pPr>
            <w:r>
              <w:rPr>
                <w:rFonts w:hint="eastAsia"/>
                <w:lang w:val="en-US" w:eastAsia="zh-CN"/>
              </w:rPr>
              <w:t>0.006</w:t>
            </w:r>
          </w:p>
        </w:tc>
        <w:tc>
          <w:tcPr>
            <w:tcW w:w="665" w:type="pct"/>
            <w:vAlign w:val="center"/>
          </w:tcPr>
          <w:p w14:paraId="1EC2B01B">
            <w:pPr>
              <w:pStyle w:val="19"/>
              <w:bidi w:val="0"/>
              <w:rPr>
                <w:rFonts w:hint="default"/>
                <w:vertAlign w:val="superscript"/>
                <w:lang w:val="en-US" w:eastAsia="zh-CN"/>
              </w:rPr>
            </w:pPr>
            <w:r>
              <w:rPr>
                <w:rFonts w:hint="eastAsia"/>
                <w:vertAlign w:val="baseline"/>
                <w:lang w:val="en-US" w:eastAsia="zh-CN"/>
              </w:rPr>
              <w:t>0.007</w:t>
            </w:r>
          </w:p>
        </w:tc>
        <w:tc>
          <w:tcPr>
            <w:tcW w:w="1445" w:type="pct"/>
            <w:vMerge w:val="continue"/>
            <w:vAlign w:val="center"/>
          </w:tcPr>
          <w:p w14:paraId="127CEA64">
            <w:pPr>
              <w:pStyle w:val="19"/>
              <w:bidi w:val="0"/>
            </w:pPr>
          </w:p>
        </w:tc>
        <w:tc>
          <w:tcPr>
            <w:tcW w:w="673" w:type="pct"/>
            <w:vMerge w:val="continue"/>
            <w:vAlign w:val="center"/>
          </w:tcPr>
          <w:p w14:paraId="590738CF">
            <w:pPr>
              <w:pStyle w:val="19"/>
              <w:bidi w:val="0"/>
            </w:pPr>
          </w:p>
        </w:tc>
        <w:tc>
          <w:tcPr>
            <w:tcW w:w="633" w:type="pct"/>
            <w:vAlign w:val="center"/>
          </w:tcPr>
          <w:p w14:paraId="63447ACA">
            <w:pPr>
              <w:pStyle w:val="19"/>
              <w:bidi w:val="0"/>
              <w:rPr>
                <w:rFonts w:hint="default"/>
                <w:lang w:val="en-US" w:eastAsia="zh-CN"/>
              </w:rPr>
            </w:pPr>
            <w:r>
              <w:rPr>
                <w:rFonts w:hint="eastAsia"/>
                <w:lang w:val="en-US" w:eastAsia="zh-CN"/>
              </w:rPr>
              <w:t>0.001</w:t>
            </w:r>
          </w:p>
        </w:tc>
        <w:tc>
          <w:tcPr>
            <w:tcW w:w="658" w:type="pct"/>
            <w:vAlign w:val="center"/>
          </w:tcPr>
          <w:p w14:paraId="2ACBED31">
            <w:pPr>
              <w:pStyle w:val="19"/>
              <w:bidi w:val="0"/>
              <w:rPr>
                <w:rFonts w:hint="default"/>
                <w:lang w:val="en-US" w:eastAsia="zh-CN"/>
              </w:rPr>
            </w:pPr>
            <w:r>
              <w:rPr>
                <w:rFonts w:hint="eastAsia"/>
                <w:lang w:val="en-US" w:eastAsia="zh-CN"/>
              </w:rPr>
              <w:t>0.001</w:t>
            </w:r>
          </w:p>
        </w:tc>
      </w:tr>
    </w:tbl>
    <w:p w14:paraId="63A43EDF">
      <w:pPr>
        <w:bidi w:val="0"/>
        <w:rPr>
          <w:rFonts w:hint="default"/>
          <w:lang w:val="en-US" w:eastAsia="zh-CN"/>
        </w:rPr>
      </w:pPr>
      <w:r>
        <w:rPr>
          <w:rFonts w:hint="eastAsia"/>
          <w:lang w:val="en-US" w:eastAsia="zh-CN"/>
        </w:rPr>
        <w:t>（4）沼气及其燃烧废气</w:t>
      </w:r>
    </w:p>
    <w:p w14:paraId="03EBF44F">
      <w:pPr>
        <w:bidi w:val="0"/>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厌氧发酵产生的沼气是含CH</w:t>
      </w:r>
      <w:r>
        <w:rPr>
          <w:rFonts w:hint="default"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4</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（50%</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80%）、CO</w:t>
      </w:r>
      <w:r>
        <w:rPr>
          <w:rFonts w:hint="default"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2</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（20%</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40%）、H</w:t>
      </w:r>
      <w:r>
        <w:rPr>
          <w:rFonts w:hint="default"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2</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S（0.1%</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3%）、H</w:t>
      </w:r>
      <w:r>
        <w:rPr>
          <w:rFonts w:hint="default"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2</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（＜1%）等和饱和水蒸气的混合气体。H</w:t>
      </w:r>
      <w:r>
        <w:rPr>
          <w:rFonts w:hint="default"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2</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S不仅有毒，而且有很强的腐蚀性。过量的H</w:t>
      </w:r>
      <w:r>
        <w:rPr>
          <w:rFonts w:hint="default" w:ascii="Times New Roman" w:hAnsi="Times New Roman" w:eastAsia="宋体" w:cs="宋体"/>
          <w:b w:val="0"/>
          <w:bCs w:val="0"/>
          <w:color w:val="000000" w:themeColor="text1"/>
          <w:kern w:val="0"/>
          <w:szCs w:val="24"/>
          <w:highlight w:val="none"/>
          <w:vertAlign w:val="subscript"/>
          <w:lang w:val="en-US" w:eastAsia="zh-CN"/>
          <w14:textFill>
            <w14:solidFill>
              <w14:schemeClr w14:val="tx1"/>
            </w14:solidFill>
          </w14:textFill>
        </w:rPr>
        <w:t>2</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S和杂质会危及沼气管网的寿命，因此使用脱硫剂对沼气进行脱硫处理。</w:t>
      </w:r>
    </w:p>
    <w:p w14:paraId="00009486">
      <w:pPr>
        <w:bidi w:val="0"/>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沼气中含有一定水分，在输气管路凝结会阻碍沼气的流动，所以设置</w:t>
      </w:r>
      <w:r>
        <w:rPr>
          <w:rFonts w:hint="eastAsia" w:cs="宋体"/>
          <w:b w:val="0"/>
          <w:bCs w:val="0"/>
          <w:color w:val="000000" w:themeColor="text1"/>
          <w:kern w:val="0"/>
          <w:szCs w:val="24"/>
          <w:highlight w:val="none"/>
          <w:lang w:val="en-US" w:eastAsia="zh-CN"/>
          <w14:textFill>
            <w14:solidFill>
              <w14:schemeClr w14:val="tx1"/>
            </w14:solidFill>
          </w14:textFill>
        </w:rPr>
        <w:t>脱水</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装置。沼气的产生是一个连续的过程，但是沼气使用时间比较集中。因此设置沼气</w:t>
      </w:r>
      <w:r>
        <w:rPr>
          <w:rFonts w:hint="eastAsia" w:cs="宋体"/>
          <w:b w:val="0"/>
          <w:bCs w:val="0"/>
          <w:color w:val="000000" w:themeColor="text1"/>
          <w:kern w:val="0"/>
          <w:szCs w:val="24"/>
          <w:highlight w:val="none"/>
          <w:lang w:val="en-US" w:eastAsia="zh-CN"/>
          <w14:textFill>
            <w14:solidFill>
              <w14:schemeClr w14:val="tx1"/>
            </w14:solidFill>
          </w14:textFill>
        </w:rPr>
        <w:t>缓冲罐</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调节产气和用气的时间差。</w:t>
      </w:r>
    </w:p>
    <w:p w14:paraId="0B202E69">
      <w:pPr>
        <w:bidi w:val="0"/>
        <w:rPr>
          <w:rFonts w:hint="default"/>
          <w:lang w:val="en-US" w:eastAsia="zh-CN"/>
        </w:rPr>
      </w:pPr>
      <w:r>
        <w:rPr>
          <w:rFonts w:hint="default"/>
          <w:lang w:val="en-US" w:eastAsia="zh-CN"/>
        </w:rPr>
        <w:t>沼气特性参数</w:t>
      </w:r>
      <w:r>
        <w:rPr>
          <w:rFonts w:hint="eastAsia"/>
          <w:lang w:val="en-US" w:eastAsia="zh-CN"/>
        </w:rPr>
        <w:t>见表3.4-6。</w:t>
      </w:r>
    </w:p>
    <w:p w14:paraId="65EE6727">
      <w:pPr>
        <w:pStyle w:val="30"/>
        <w:bidi w:val="0"/>
        <w:rPr>
          <w:rFonts w:hint="eastAsia"/>
          <w:lang w:val="en-US" w:eastAsia="zh-CN"/>
        </w:rPr>
      </w:pPr>
      <w:r>
        <w:rPr>
          <w:rFonts w:hint="eastAsia"/>
          <w:lang w:val="en-US" w:eastAsia="zh-CN"/>
        </w:rPr>
        <w:t>表3.4-6   沼气特性参数一览表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126"/>
        <w:gridCol w:w="2811"/>
        <w:gridCol w:w="3083"/>
      </w:tblGrid>
      <w:tr w14:paraId="3918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9" w:type="pct"/>
            <w:vMerge w:val="restart"/>
            <w:tcMar>
              <w:top w:w="0" w:type="dxa"/>
              <w:left w:w="0" w:type="dxa"/>
              <w:bottom w:w="0" w:type="dxa"/>
              <w:right w:w="0" w:type="dxa"/>
            </w:tcMar>
            <w:vAlign w:val="center"/>
          </w:tcPr>
          <w:p w14:paraId="5190B60E">
            <w:pPr>
              <w:pStyle w:val="19"/>
              <w:bidi w:val="0"/>
              <w:jc w:val="center"/>
              <w:rPr>
                <w:rFonts w:hint="default"/>
                <w:lang w:val="en-US" w:eastAsia="zh-CN"/>
              </w:rPr>
            </w:pPr>
            <w:r>
              <w:rPr>
                <w:rFonts w:hint="eastAsia"/>
                <w:lang w:val="en-US" w:eastAsia="zh-CN"/>
              </w:rPr>
              <w:t>序号</w:t>
            </w:r>
          </w:p>
        </w:tc>
        <w:tc>
          <w:tcPr>
            <w:tcW w:w="2367" w:type="pct"/>
            <w:gridSpan w:val="2"/>
            <w:vMerge w:val="restart"/>
            <w:tcMar>
              <w:top w:w="0" w:type="dxa"/>
              <w:left w:w="0" w:type="dxa"/>
              <w:bottom w:w="0" w:type="dxa"/>
              <w:right w:w="0" w:type="dxa"/>
            </w:tcMar>
            <w:vAlign w:val="center"/>
          </w:tcPr>
          <w:p w14:paraId="1B80D374">
            <w:pPr>
              <w:pStyle w:val="19"/>
              <w:bidi w:val="0"/>
              <w:jc w:val="center"/>
              <w:rPr>
                <w:rFonts w:hint="default"/>
                <w:lang w:val="en-US" w:eastAsia="zh-CN"/>
              </w:rPr>
            </w:pPr>
            <w:r>
              <w:rPr>
                <w:rFonts w:hint="eastAsia"/>
                <w:lang w:val="en-US" w:eastAsia="zh-CN"/>
              </w:rPr>
              <w:t>特性参数</w:t>
            </w:r>
          </w:p>
        </w:tc>
        <w:tc>
          <w:tcPr>
            <w:tcW w:w="1853" w:type="pct"/>
            <w:tcMar>
              <w:top w:w="0" w:type="dxa"/>
              <w:left w:w="0" w:type="dxa"/>
              <w:bottom w:w="0" w:type="dxa"/>
              <w:right w:w="0" w:type="dxa"/>
            </w:tcMar>
            <w:vAlign w:val="center"/>
          </w:tcPr>
          <w:p w14:paraId="77B6AB80">
            <w:pPr>
              <w:pStyle w:val="19"/>
              <w:bidi w:val="0"/>
              <w:jc w:val="center"/>
              <w:rPr>
                <w:rFonts w:hint="default"/>
                <w:vertAlign w:val="baseline"/>
                <w:lang w:val="en-US" w:eastAsia="zh-CN"/>
              </w:rPr>
            </w:pPr>
            <w:r>
              <w:rPr>
                <w:rFonts w:hint="eastAsia"/>
                <w:lang w:val="en-US" w:eastAsia="zh-CN"/>
              </w:rPr>
              <w:t>CH</w:t>
            </w:r>
            <w:r>
              <w:rPr>
                <w:rFonts w:hint="eastAsia"/>
                <w:vertAlign w:val="subscript"/>
                <w:lang w:val="en-US" w:eastAsia="zh-CN"/>
              </w:rPr>
              <w:t>4</w:t>
            </w:r>
            <w:r>
              <w:rPr>
                <w:rFonts w:hint="eastAsia"/>
                <w:vertAlign w:val="baseline"/>
                <w:lang w:val="en-US" w:eastAsia="zh-CN"/>
              </w:rPr>
              <w:t>56%</w:t>
            </w:r>
          </w:p>
        </w:tc>
      </w:tr>
      <w:tr w14:paraId="48A5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Merge w:val="continue"/>
            <w:tcMar>
              <w:top w:w="0" w:type="dxa"/>
              <w:left w:w="0" w:type="dxa"/>
              <w:bottom w:w="0" w:type="dxa"/>
              <w:right w:w="0" w:type="dxa"/>
            </w:tcMar>
            <w:vAlign w:val="center"/>
          </w:tcPr>
          <w:p w14:paraId="218C2336">
            <w:pPr>
              <w:pStyle w:val="19"/>
              <w:bidi w:val="0"/>
              <w:jc w:val="center"/>
              <w:rPr>
                <w:rFonts w:hint="default"/>
                <w:lang w:val="en-US" w:eastAsia="zh-CN"/>
              </w:rPr>
            </w:pPr>
          </w:p>
        </w:tc>
        <w:tc>
          <w:tcPr>
            <w:tcW w:w="2367" w:type="pct"/>
            <w:gridSpan w:val="2"/>
            <w:vMerge w:val="continue"/>
            <w:tcMar>
              <w:top w:w="0" w:type="dxa"/>
              <w:left w:w="0" w:type="dxa"/>
              <w:bottom w:w="0" w:type="dxa"/>
              <w:right w:w="0" w:type="dxa"/>
            </w:tcMar>
            <w:vAlign w:val="center"/>
          </w:tcPr>
          <w:p w14:paraId="781D36E9">
            <w:pPr>
              <w:pStyle w:val="19"/>
              <w:bidi w:val="0"/>
              <w:jc w:val="center"/>
              <w:rPr>
                <w:rFonts w:hint="default"/>
                <w:lang w:val="en-US" w:eastAsia="zh-CN"/>
              </w:rPr>
            </w:pPr>
          </w:p>
        </w:tc>
        <w:tc>
          <w:tcPr>
            <w:tcW w:w="1853" w:type="pct"/>
            <w:tcMar>
              <w:top w:w="0" w:type="dxa"/>
              <w:left w:w="0" w:type="dxa"/>
              <w:bottom w:w="0" w:type="dxa"/>
              <w:right w:w="0" w:type="dxa"/>
            </w:tcMar>
            <w:vAlign w:val="center"/>
          </w:tcPr>
          <w:p w14:paraId="1530E655">
            <w:pPr>
              <w:pStyle w:val="19"/>
              <w:bidi w:val="0"/>
              <w:jc w:val="center"/>
              <w:rPr>
                <w:rFonts w:hint="default"/>
                <w:vertAlign w:val="baseline"/>
                <w:lang w:val="en-US" w:eastAsia="zh-CN"/>
              </w:rPr>
            </w:pPr>
            <w:r>
              <w:rPr>
                <w:rFonts w:hint="eastAsia"/>
                <w:lang w:val="en-US" w:eastAsia="zh-CN"/>
              </w:rPr>
              <w:t>CO</w:t>
            </w:r>
            <w:r>
              <w:rPr>
                <w:rFonts w:hint="eastAsia"/>
                <w:vertAlign w:val="subscript"/>
                <w:lang w:val="en-US" w:eastAsia="zh-CN"/>
              </w:rPr>
              <w:t>2</w:t>
            </w:r>
            <w:r>
              <w:rPr>
                <w:rFonts w:hint="eastAsia"/>
                <w:vertAlign w:val="baseline"/>
                <w:lang w:val="en-US" w:eastAsia="zh-CN"/>
              </w:rPr>
              <w:t>等44%</w:t>
            </w:r>
          </w:p>
        </w:tc>
      </w:tr>
      <w:tr w14:paraId="3AD2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tcMar>
              <w:top w:w="0" w:type="dxa"/>
              <w:left w:w="0" w:type="dxa"/>
              <w:bottom w:w="0" w:type="dxa"/>
              <w:right w:w="0" w:type="dxa"/>
            </w:tcMar>
            <w:vAlign w:val="center"/>
          </w:tcPr>
          <w:p w14:paraId="3625C991">
            <w:pPr>
              <w:pStyle w:val="19"/>
              <w:bidi w:val="0"/>
              <w:jc w:val="center"/>
              <w:rPr>
                <w:rFonts w:hint="default"/>
                <w:lang w:val="en-US" w:eastAsia="zh-CN"/>
              </w:rPr>
            </w:pPr>
            <w:r>
              <w:rPr>
                <w:rFonts w:hint="eastAsia"/>
                <w:lang w:val="en-US" w:eastAsia="zh-CN"/>
              </w:rPr>
              <w:t>1</w:t>
            </w:r>
          </w:p>
        </w:tc>
        <w:tc>
          <w:tcPr>
            <w:tcW w:w="2367" w:type="pct"/>
            <w:gridSpan w:val="2"/>
            <w:tcMar>
              <w:top w:w="0" w:type="dxa"/>
              <w:left w:w="0" w:type="dxa"/>
              <w:bottom w:w="0" w:type="dxa"/>
              <w:right w:w="0" w:type="dxa"/>
            </w:tcMar>
            <w:vAlign w:val="center"/>
          </w:tcPr>
          <w:p w14:paraId="736B1C10">
            <w:pPr>
              <w:pStyle w:val="19"/>
              <w:bidi w:val="0"/>
              <w:jc w:val="center"/>
              <w:rPr>
                <w:rFonts w:hint="default"/>
                <w:vertAlign w:val="baseline"/>
                <w:lang w:val="en-US" w:eastAsia="zh-CN"/>
              </w:rPr>
            </w:pPr>
            <w:r>
              <w:rPr>
                <w:rFonts w:hint="eastAsia"/>
                <w:lang w:val="en-US" w:eastAsia="zh-CN"/>
              </w:rPr>
              <w:t>密度（kg/m</w:t>
            </w:r>
            <w:r>
              <w:rPr>
                <w:rFonts w:hint="eastAsia"/>
                <w:vertAlign w:val="superscript"/>
                <w:lang w:val="en-US" w:eastAsia="zh-CN"/>
              </w:rPr>
              <w:t>3</w:t>
            </w:r>
            <w:r>
              <w:rPr>
                <w:rFonts w:hint="eastAsia"/>
                <w:vertAlign w:val="baseline"/>
                <w:lang w:val="en-US" w:eastAsia="zh-CN"/>
              </w:rPr>
              <w:t>）</w:t>
            </w:r>
          </w:p>
        </w:tc>
        <w:tc>
          <w:tcPr>
            <w:tcW w:w="1853" w:type="pct"/>
            <w:tcMar>
              <w:top w:w="0" w:type="dxa"/>
              <w:left w:w="0" w:type="dxa"/>
              <w:bottom w:w="0" w:type="dxa"/>
              <w:right w:w="0" w:type="dxa"/>
            </w:tcMar>
            <w:vAlign w:val="center"/>
          </w:tcPr>
          <w:p w14:paraId="267775A7">
            <w:pPr>
              <w:pStyle w:val="19"/>
              <w:bidi w:val="0"/>
              <w:jc w:val="center"/>
              <w:rPr>
                <w:rFonts w:hint="default"/>
                <w:lang w:val="en-US" w:eastAsia="zh-CN"/>
              </w:rPr>
            </w:pPr>
            <w:r>
              <w:rPr>
                <w:rFonts w:hint="eastAsia"/>
                <w:lang w:val="en-US" w:eastAsia="zh-CN"/>
              </w:rPr>
              <w:t>1.221</w:t>
            </w:r>
          </w:p>
        </w:tc>
      </w:tr>
      <w:tr w14:paraId="1D7D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tcMar>
              <w:top w:w="0" w:type="dxa"/>
              <w:left w:w="0" w:type="dxa"/>
              <w:bottom w:w="0" w:type="dxa"/>
              <w:right w:w="0" w:type="dxa"/>
            </w:tcMar>
            <w:vAlign w:val="center"/>
          </w:tcPr>
          <w:p w14:paraId="13E811A0">
            <w:pPr>
              <w:pStyle w:val="19"/>
              <w:bidi w:val="0"/>
              <w:jc w:val="center"/>
              <w:rPr>
                <w:rFonts w:hint="default"/>
                <w:lang w:val="en-US" w:eastAsia="zh-CN"/>
              </w:rPr>
            </w:pPr>
            <w:r>
              <w:rPr>
                <w:rFonts w:hint="eastAsia"/>
                <w:lang w:val="en-US" w:eastAsia="zh-CN"/>
              </w:rPr>
              <w:t>2</w:t>
            </w:r>
          </w:p>
        </w:tc>
        <w:tc>
          <w:tcPr>
            <w:tcW w:w="2367" w:type="pct"/>
            <w:gridSpan w:val="2"/>
            <w:tcMar>
              <w:top w:w="0" w:type="dxa"/>
              <w:left w:w="0" w:type="dxa"/>
              <w:bottom w:w="0" w:type="dxa"/>
              <w:right w:w="0" w:type="dxa"/>
            </w:tcMar>
            <w:vAlign w:val="center"/>
          </w:tcPr>
          <w:p w14:paraId="152AB4F2">
            <w:pPr>
              <w:pStyle w:val="19"/>
              <w:bidi w:val="0"/>
              <w:jc w:val="center"/>
              <w:rPr>
                <w:rFonts w:hint="default"/>
                <w:lang w:val="en-US" w:eastAsia="zh-CN"/>
              </w:rPr>
            </w:pPr>
            <w:r>
              <w:rPr>
                <w:rFonts w:hint="eastAsia"/>
                <w:lang w:val="en-US" w:eastAsia="zh-CN"/>
              </w:rPr>
              <w:t>比重</w:t>
            </w:r>
          </w:p>
        </w:tc>
        <w:tc>
          <w:tcPr>
            <w:tcW w:w="1853" w:type="pct"/>
            <w:tcMar>
              <w:top w:w="0" w:type="dxa"/>
              <w:left w:w="0" w:type="dxa"/>
              <w:bottom w:w="0" w:type="dxa"/>
              <w:right w:w="0" w:type="dxa"/>
            </w:tcMar>
            <w:vAlign w:val="center"/>
          </w:tcPr>
          <w:p w14:paraId="3E58D81A">
            <w:pPr>
              <w:pStyle w:val="19"/>
              <w:bidi w:val="0"/>
              <w:jc w:val="center"/>
              <w:rPr>
                <w:rFonts w:hint="default"/>
                <w:lang w:val="en-US" w:eastAsia="zh-CN"/>
              </w:rPr>
            </w:pPr>
            <w:r>
              <w:rPr>
                <w:rFonts w:hint="eastAsia"/>
                <w:lang w:val="en-US" w:eastAsia="zh-CN"/>
              </w:rPr>
              <w:t>0.944</w:t>
            </w:r>
          </w:p>
        </w:tc>
      </w:tr>
      <w:tr w14:paraId="14D3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tcMar>
              <w:top w:w="0" w:type="dxa"/>
              <w:left w:w="0" w:type="dxa"/>
              <w:bottom w:w="0" w:type="dxa"/>
              <w:right w:w="0" w:type="dxa"/>
            </w:tcMar>
            <w:vAlign w:val="center"/>
          </w:tcPr>
          <w:p w14:paraId="794ECFF9">
            <w:pPr>
              <w:pStyle w:val="19"/>
              <w:bidi w:val="0"/>
              <w:jc w:val="center"/>
              <w:rPr>
                <w:rFonts w:hint="default"/>
                <w:lang w:val="en-US" w:eastAsia="zh-CN"/>
              </w:rPr>
            </w:pPr>
            <w:r>
              <w:rPr>
                <w:rFonts w:hint="eastAsia"/>
                <w:lang w:val="en-US" w:eastAsia="zh-CN"/>
              </w:rPr>
              <w:t>3</w:t>
            </w:r>
          </w:p>
        </w:tc>
        <w:tc>
          <w:tcPr>
            <w:tcW w:w="2367" w:type="pct"/>
            <w:gridSpan w:val="2"/>
            <w:tcMar>
              <w:top w:w="0" w:type="dxa"/>
              <w:left w:w="0" w:type="dxa"/>
              <w:bottom w:w="0" w:type="dxa"/>
              <w:right w:w="0" w:type="dxa"/>
            </w:tcMar>
            <w:vAlign w:val="center"/>
          </w:tcPr>
          <w:p w14:paraId="39374E16">
            <w:pPr>
              <w:pStyle w:val="19"/>
              <w:bidi w:val="0"/>
              <w:jc w:val="center"/>
              <w:rPr>
                <w:rFonts w:hint="default"/>
                <w:vertAlign w:val="baseline"/>
                <w:lang w:val="en-US" w:eastAsia="zh-CN"/>
              </w:rPr>
            </w:pPr>
            <w:r>
              <w:rPr>
                <w:rFonts w:hint="eastAsia"/>
                <w:lang w:val="en-US" w:eastAsia="zh-CN"/>
              </w:rPr>
              <w:t>热值（kJ/m</w:t>
            </w:r>
            <w:r>
              <w:rPr>
                <w:rFonts w:hint="eastAsia"/>
                <w:vertAlign w:val="superscript"/>
                <w:lang w:val="en-US" w:eastAsia="zh-CN"/>
              </w:rPr>
              <w:t>3</w:t>
            </w:r>
            <w:r>
              <w:rPr>
                <w:rFonts w:hint="eastAsia"/>
                <w:vertAlign w:val="baseline"/>
                <w:lang w:val="en-US" w:eastAsia="zh-CN"/>
              </w:rPr>
              <w:t>）</w:t>
            </w:r>
          </w:p>
        </w:tc>
        <w:tc>
          <w:tcPr>
            <w:tcW w:w="1853" w:type="pct"/>
            <w:tcMar>
              <w:top w:w="0" w:type="dxa"/>
              <w:left w:w="0" w:type="dxa"/>
              <w:bottom w:w="0" w:type="dxa"/>
              <w:right w:w="0" w:type="dxa"/>
            </w:tcMar>
            <w:vAlign w:val="center"/>
          </w:tcPr>
          <w:p w14:paraId="53C5C3F8">
            <w:pPr>
              <w:pStyle w:val="19"/>
              <w:bidi w:val="0"/>
              <w:jc w:val="center"/>
              <w:rPr>
                <w:rFonts w:hint="default"/>
                <w:lang w:val="en-US" w:eastAsia="zh-CN"/>
              </w:rPr>
            </w:pPr>
            <w:r>
              <w:rPr>
                <w:rFonts w:hint="eastAsia"/>
                <w:lang w:val="en-US" w:eastAsia="zh-CN"/>
              </w:rPr>
              <w:t>21524</w:t>
            </w:r>
          </w:p>
        </w:tc>
      </w:tr>
      <w:tr w14:paraId="646D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tcMar>
              <w:top w:w="0" w:type="dxa"/>
              <w:left w:w="0" w:type="dxa"/>
              <w:bottom w:w="0" w:type="dxa"/>
              <w:right w:w="0" w:type="dxa"/>
            </w:tcMar>
            <w:vAlign w:val="center"/>
          </w:tcPr>
          <w:p w14:paraId="7F9A962A">
            <w:pPr>
              <w:pStyle w:val="19"/>
              <w:bidi w:val="0"/>
              <w:jc w:val="center"/>
              <w:rPr>
                <w:rFonts w:hint="default"/>
                <w:lang w:val="en-US" w:eastAsia="zh-CN"/>
              </w:rPr>
            </w:pPr>
            <w:r>
              <w:rPr>
                <w:rFonts w:hint="eastAsia"/>
                <w:lang w:val="en-US" w:eastAsia="zh-CN"/>
              </w:rPr>
              <w:t>4</w:t>
            </w:r>
          </w:p>
        </w:tc>
        <w:tc>
          <w:tcPr>
            <w:tcW w:w="2367" w:type="pct"/>
            <w:gridSpan w:val="2"/>
            <w:tcMar>
              <w:top w:w="0" w:type="dxa"/>
              <w:left w:w="0" w:type="dxa"/>
              <w:bottom w:w="0" w:type="dxa"/>
              <w:right w:w="0" w:type="dxa"/>
            </w:tcMar>
            <w:vAlign w:val="center"/>
          </w:tcPr>
          <w:p w14:paraId="0E363124">
            <w:pPr>
              <w:pStyle w:val="19"/>
              <w:bidi w:val="0"/>
              <w:jc w:val="center"/>
              <w:rPr>
                <w:rFonts w:hint="default"/>
                <w:vertAlign w:val="baseline"/>
                <w:lang w:val="en-US" w:eastAsia="zh-CN"/>
              </w:rPr>
            </w:pPr>
            <w:r>
              <w:rPr>
                <w:rFonts w:hint="eastAsia"/>
                <w:lang w:val="en-US" w:eastAsia="zh-CN"/>
              </w:rPr>
              <w:t>理论空气量（m</w:t>
            </w:r>
            <w:r>
              <w:rPr>
                <w:rFonts w:hint="eastAsia"/>
                <w:vertAlign w:val="superscript"/>
                <w:lang w:val="en-US" w:eastAsia="zh-CN"/>
              </w:rPr>
              <w:t>3</w:t>
            </w:r>
            <w:r>
              <w:rPr>
                <w:rFonts w:hint="eastAsia"/>
                <w:lang w:val="en-US" w:eastAsia="zh-CN"/>
              </w:rPr>
              <w:t>/m</w:t>
            </w:r>
            <w:r>
              <w:rPr>
                <w:rFonts w:hint="eastAsia"/>
                <w:vertAlign w:val="superscript"/>
                <w:lang w:val="en-US" w:eastAsia="zh-CN"/>
              </w:rPr>
              <w:t>3</w:t>
            </w:r>
            <w:r>
              <w:rPr>
                <w:rFonts w:hint="eastAsia"/>
                <w:vertAlign w:val="baseline"/>
                <w:lang w:val="en-US" w:eastAsia="zh-CN"/>
              </w:rPr>
              <w:t>）</w:t>
            </w:r>
          </w:p>
        </w:tc>
        <w:tc>
          <w:tcPr>
            <w:tcW w:w="1853" w:type="pct"/>
            <w:tcMar>
              <w:top w:w="0" w:type="dxa"/>
              <w:left w:w="0" w:type="dxa"/>
              <w:bottom w:w="0" w:type="dxa"/>
              <w:right w:w="0" w:type="dxa"/>
            </w:tcMar>
            <w:vAlign w:val="center"/>
          </w:tcPr>
          <w:p w14:paraId="33AEC5C3">
            <w:pPr>
              <w:pStyle w:val="19"/>
              <w:bidi w:val="0"/>
              <w:jc w:val="center"/>
              <w:rPr>
                <w:rFonts w:hint="default"/>
                <w:lang w:val="en-US" w:eastAsia="zh-CN"/>
              </w:rPr>
            </w:pPr>
            <w:r>
              <w:rPr>
                <w:rFonts w:hint="eastAsia"/>
                <w:lang w:val="en-US" w:eastAsia="zh-CN"/>
              </w:rPr>
              <w:t>5.71</w:t>
            </w:r>
          </w:p>
        </w:tc>
      </w:tr>
      <w:tr w14:paraId="025D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Merge w:val="restart"/>
            <w:tcMar>
              <w:top w:w="0" w:type="dxa"/>
              <w:left w:w="0" w:type="dxa"/>
              <w:bottom w:w="0" w:type="dxa"/>
              <w:right w:w="0" w:type="dxa"/>
            </w:tcMar>
            <w:vAlign w:val="center"/>
          </w:tcPr>
          <w:p w14:paraId="5DF49406">
            <w:pPr>
              <w:pStyle w:val="19"/>
              <w:bidi w:val="0"/>
              <w:jc w:val="center"/>
              <w:rPr>
                <w:rFonts w:hint="default"/>
                <w:lang w:val="en-US" w:eastAsia="zh-CN"/>
              </w:rPr>
            </w:pPr>
            <w:r>
              <w:rPr>
                <w:rFonts w:hint="eastAsia"/>
                <w:lang w:val="en-US" w:eastAsia="zh-CN"/>
              </w:rPr>
              <w:t>5</w:t>
            </w:r>
          </w:p>
        </w:tc>
        <w:tc>
          <w:tcPr>
            <w:tcW w:w="677" w:type="pct"/>
            <w:vMerge w:val="restart"/>
            <w:tcMar>
              <w:top w:w="0" w:type="dxa"/>
              <w:left w:w="0" w:type="dxa"/>
              <w:bottom w:w="0" w:type="dxa"/>
              <w:right w:w="0" w:type="dxa"/>
            </w:tcMar>
            <w:vAlign w:val="center"/>
          </w:tcPr>
          <w:p w14:paraId="50D853CB">
            <w:pPr>
              <w:pStyle w:val="19"/>
              <w:bidi w:val="0"/>
              <w:jc w:val="center"/>
              <w:rPr>
                <w:rFonts w:hint="default"/>
                <w:lang w:val="en-US" w:eastAsia="zh-CN"/>
              </w:rPr>
            </w:pPr>
            <w:r>
              <w:rPr>
                <w:rFonts w:hint="eastAsia"/>
                <w:lang w:val="en-US" w:eastAsia="zh-CN"/>
              </w:rPr>
              <w:t>爆炸极限</w:t>
            </w:r>
          </w:p>
        </w:tc>
        <w:tc>
          <w:tcPr>
            <w:tcW w:w="1690" w:type="pct"/>
            <w:tcMar>
              <w:top w:w="0" w:type="dxa"/>
              <w:left w:w="0" w:type="dxa"/>
              <w:bottom w:w="0" w:type="dxa"/>
              <w:right w:w="0" w:type="dxa"/>
            </w:tcMar>
            <w:vAlign w:val="center"/>
          </w:tcPr>
          <w:p w14:paraId="43777A17">
            <w:pPr>
              <w:pStyle w:val="19"/>
              <w:bidi w:val="0"/>
              <w:jc w:val="center"/>
              <w:rPr>
                <w:rFonts w:hint="default"/>
                <w:lang w:val="en-US" w:eastAsia="zh-CN"/>
              </w:rPr>
            </w:pPr>
            <w:r>
              <w:rPr>
                <w:rFonts w:hint="eastAsia"/>
                <w:lang w:val="en-US" w:eastAsia="zh-CN"/>
              </w:rPr>
              <w:t>上限</w:t>
            </w:r>
          </w:p>
        </w:tc>
        <w:tc>
          <w:tcPr>
            <w:tcW w:w="1853" w:type="pct"/>
            <w:tcMar>
              <w:top w:w="0" w:type="dxa"/>
              <w:left w:w="0" w:type="dxa"/>
              <w:bottom w:w="0" w:type="dxa"/>
              <w:right w:w="0" w:type="dxa"/>
            </w:tcMar>
            <w:vAlign w:val="center"/>
          </w:tcPr>
          <w:p w14:paraId="1766A46C">
            <w:pPr>
              <w:pStyle w:val="19"/>
              <w:bidi w:val="0"/>
              <w:jc w:val="center"/>
              <w:rPr>
                <w:rFonts w:hint="default"/>
                <w:lang w:val="en-US" w:eastAsia="zh-CN"/>
              </w:rPr>
            </w:pPr>
            <w:r>
              <w:rPr>
                <w:rFonts w:hint="eastAsia"/>
                <w:lang w:val="en-US" w:eastAsia="zh-CN"/>
              </w:rPr>
              <w:t>24.44</w:t>
            </w:r>
          </w:p>
        </w:tc>
      </w:tr>
      <w:tr w14:paraId="2C56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Merge w:val="continue"/>
            <w:tcMar>
              <w:top w:w="0" w:type="dxa"/>
              <w:left w:w="0" w:type="dxa"/>
              <w:bottom w:w="0" w:type="dxa"/>
              <w:right w:w="0" w:type="dxa"/>
            </w:tcMar>
            <w:vAlign w:val="center"/>
          </w:tcPr>
          <w:p w14:paraId="5A8A5D9F">
            <w:pPr>
              <w:pStyle w:val="19"/>
              <w:bidi w:val="0"/>
              <w:jc w:val="center"/>
              <w:rPr>
                <w:rFonts w:hint="default"/>
                <w:lang w:val="en-US" w:eastAsia="zh-CN"/>
              </w:rPr>
            </w:pPr>
          </w:p>
        </w:tc>
        <w:tc>
          <w:tcPr>
            <w:tcW w:w="677" w:type="pct"/>
            <w:vMerge w:val="continue"/>
            <w:tcMar>
              <w:top w:w="0" w:type="dxa"/>
              <w:left w:w="0" w:type="dxa"/>
              <w:bottom w:w="0" w:type="dxa"/>
              <w:right w:w="0" w:type="dxa"/>
            </w:tcMar>
            <w:vAlign w:val="center"/>
          </w:tcPr>
          <w:p w14:paraId="35AAC731">
            <w:pPr>
              <w:pStyle w:val="19"/>
              <w:bidi w:val="0"/>
              <w:jc w:val="center"/>
              <w:rPr>
                <w:rFonts w:hint="default"/>
                <w:lang w:val="en-US" w:eastAsia="zh-CN"/>
              </w:rPr>
            </w:pPr>
          </w:p>
        </w:tc>
        <w:tc>
          <w:tcPr>
            <w:tcW w:w="1690" w:type="pct"/>
            <w:tcMar>
              <w:top w:w="0" w:type="dxa"/>
              <w:left w:w="0" w:type="dxa"/>
              <w:bottom w:w="0" w:type="dxa"/>
              <w:right w:w="0" w:type="dxa"/>
            </w:tcMar>
            <w:vAlign w:val="center"/>
          </w:tcPr>
          <w:p w14:paraId="6E7C24BF">
            <w:pPr>
              <w:pStyle w:val="19"/>
              <w:bidi w:val="0"/>
              <w:jc w:val="center"/>
              <w:rPr>
                <w:rFonts w:hint="default"/>
                <w:lang w:val="en-US" w:eastAsia="zh-CN"/>
              </w:rPr>
            </w:pPr>
            <w:r>
              <w:rPr>
                <w:rFonts w:hint="eastAsia"/>
                <w:lang w:val="en-US" w:eastAsia="zh-CN"/>
              </w:rPr>
              <w:t>下限</w:t>
            </w:r>
          </w:p>
        </w:tc>
        <w:tc>
          <w:tcPr>
            <w:tcW w:w="1853" w:type="pct"/>
            <w:tcMar>
              <w:top w:w="0" w:type="dxa"/>
              <w:left w:w="0" w:type="dxa"/>
              <w:bottom w:w="0" w:type="dxa"/>
              <w:right w:w="0" w:type="dxa"/>
            </w:tcMar>
            <w:vAlign w:val="center"/>
          </w:tcPr>
          <w:p w14:paraId="1580AFB5">
            <w:pPr>
              <w:pStyle w:val="19"/>
              <w:bidi w:val="0"/>
              <w:jc w:val="center"/>
              <w:rPr>
                <w:rFonts w:hint="default"/>
                <w:lang w:val="en-US" w:eastAsia="zh-CN"/>
              </w:rPr>
            </w:pPr>
            <w:r>
              <w:rPr>
                <w:rFonts w:hint="eastAsia"/>
                <w:lang w:val="en-US" w:eastAsia="zh-CN"/>
              </w:rPr>
              <w:t>8.8</w:t>
            </w:r>
          </w:p>
        </w:tc>
      </w:tr>
      <w:tr w14:paraId="2376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tcMar>
              <w:top w:w="0" w:type="dxa"/>
              <w:left w:w="0" w:type="dxa"/>
              <w:bottom w:w="0" w:type="dxa"/>
              <w:right w:w="0" w:type="dxa"/>
            </w:tcMar>
            <w:vAlign w:val="center"/>
          </w:tcPr>
          <w:p w14:paraId="7B583835">
            <w:pPr>
              <w:pStyle w:val="19"/>
              <w:bidi w:val="0"/>
              <w:jc w:val="center"/>
              <w:rPr>
                <w:rFonts w:hint="default"/>
                <w:lang w:val="en-US" w:eastAsia="zh-CN"/>
              </w:rPr>
            </w:pPr>
            <w:r>
              <w:rPr>
                <w:rFonts w:hint="eastAsia"/>
                <w:lang w:val="en-US" w:eastAsia="zh-CN"/>
              </w:rPr>
              <w:t>6</w:t>
            </w:r>
          </w:p>
        </w:tc>
        <w:tc>
          <w:tcPr>
            <w:tcW w:w="2367" w:type="pct"/>
            <w:gridSpan w:val="2"/>
            <w:tcMar>
              <w:top w:w="0" w:type="dxa"/>
              <w:left w:w="0" w:type="dxa"/>
              <w:bottom w:w="0" w:type="dxa"/>
              <w:right w:w="0" w:type="dxa"/>
            </w:tcMar>
            <w:vAlign w:val="center"/>
          </w:tcPr>
          <w:p w14:paraId="51D730A8">
            <w:pPr>
              <w:pStyle w:val="19"/>
              <w:bidi w:val="0"/>
              <w:jc w:val="center"/>
              <w:rPr>
                <w:rFonts w:hint="default"/>
                <w:lang w:val="en-US" w:eastAsia="zh-CN"/>
              </w:rPr>
            </w:pPr>
            <w:r>
              <w:rPr>
                <w:rFonts w:hint="default"/>
                <w:lang w:val="en-US" w:eastAsia="zh-CN"/>
              </w:rPr>
              <w:t>理论烟气量</w:t>
            </w:r>
            <w:r>
              <w:rPr>
                <w:rFonts w:hint="eastAsia"/>
                <w:lang w:val="en-US" w:eastAsia="zh-CN"/>
              </w:rPr>
              <w:t>（m</w:t>
            </w:r>
            <w:r>
              <w:rPr>
                <w:rFonts w:hint="eastAsia"/>
                <w:vertAlign w:val="superscript"/>
                <w:lang w:val="en-US" w:eastAsia="zh-CN"/>
              </w:rPr>
              <w:t>3</w:t>
            </w:r>
            <w:r>
              <w:rPr>
                <w:rFonts w:hint="eastAsia"/>
                <w:lang w:val="en-US" w:eastAsia="zh-CN"/>
              </w:rPr>
              <w:t>/m</w:t>
            </w:r>
            <w:r>
              <w:rPr>
                <w:rFonts w:hint="eastAsia"/>
                <w:vertAlign w:val="superscript"/>
                <w:lang w:val="en-US" w:eastAsia="zh-CN"/>
              </w:rPr>
              <w:t>3</w:t>
            </w:r>
            <w:r>
              <w:rPr>
                <w:rFonts w:hint="eastAsia"/>
                <w:vertAlign w:val="baseline"/>
                <w:lang w:val="en-US" w:eastAsia="zh-CN"/>
              </w:rPr>
              <w:t>）</w:t>
            </w:r>
          </w:p>
        </w:tc>
        <w:tc>
          <w:tcPr>
            <w:tcW w:w="1853" w:type="pct"/>
            <w:tcMar>
              <w:top w:w="0" w:type="dxa"/>
              <w:left w:w="0" w:type="dxa"/>
              <w:bottom w:w="0" w:type="dxa"/>
              <w:right w:w="0" w:type="dxa"/>
            </w:tcMar>
            <w:vAlign w:val="center"/>
          </w:tcPr>
          <w:p w14:paraId="07425DAF">
            <w:pPr>
              <w:pStyle w:val="19"/>
              <w:bidi w:val="0"/>
              <w:jc w:val="center"/>
              <w:rPr>
                <w:rFonts w:hint="default"/>
                <w:lang w:val="en-US" w:eastAsia="zh-CN"/>
              </w:rPr>
            </w:pPr>
            <w:r>
              <w:rPr>
                <w:rFonts w:hint="eastAsia"/>
                <w:lang w:val="en-US" w:eastAsia="zh-CN"/>
              </w:rPr>
              <w:t>8.914</w:t>
            </w:r>
          </w:p>
        </w:tc>
      </w:tr>
      <w:tr w14:paraId="3F1C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tcMar>
              <w:top w:w="0" w:type="dxa"/>
              <w:left w:w="0" w:type="dxa"/>
              <w:bottom w:w="0" w:type="dxa"/>
              <w:right w:w="0" w:type="dxa"/>
            </w:tcMar>
            <w:vAlign w:val="center"/>
          </w:tcPr>
          <w:p w14:paraId="7E6FA92F">
            <w:pPr>
              <w:pStyle w:val="19"/>
              <w:bidi w:val="0"/>
              <w:jc w:val="center"/>
              <w:rPr>
                <w:rFonts w:hint="default"/>
                <w:lang w:val="en-US" w:eastAsia="zh-CN"/>
              </w:rPr>
            </w:pPr>
            <w:r>
              <w:rPr>
                <w:rFonts w:hint="eastAsia"/>
                <w:lang w:val="en-US" w:eastAsia="zh-CN"/>
              </w:rPr>
              <w:t>7</w:t>
            </w:r>
          </w:p>
        </w:tc>
        <w:tc>
          <w:tcPr>
            <w:tcW w:w="2367" w:type="pct"/>
            <w:gridSpan w:val="2"/>
            <w:tcMar>
              <w:top w:w="0" w:type="dxa"/>
              <w:left w:w="0" w:type="dxa"/>
              <w:bottom w:w="0" w:type="dxa"/>
              <w:right w:w="0" w:type="dxa"/>
            </w:tcMar>
            <w:vAlign w:val="center"/>
          </w:tcPr>
          <w:p w14:paraId="3C94928E">
            <w:pPr>
              <w:pStyle w:val="19"/>
              <w:bidi w:val="0"/>
              <w:jc w:val="center"/>
              <w:rPr>
                <w:rFonts w:hint="default"/>
                <w:lang w:val="en-US" w:eastAsia="zh-CN"/>
              </w:rPr>
            </w:pPr>
            <w:r>
              <w:rPr>
                <w:rFonts w:hint="default"/>
                <w:lang w:val="en-US" w:eastAsia="zh-CN"/>
              </w:rPr>
              <w:t>火焰传播速度（m/s）</w:t>
            </w:r>
          </w:p>
        </w:tc>
        <w:tc>
          <w:tcPr>
            <w:tcW w:w="1853" w:type="pct"/>
            <w:tcMar>
              <w:top w:w="0" w:type="dxa"/>
              <w:left w:w="0" w:type="dxa"/>
              <w:bottom w:w="0" w:type="dxa"/>
              <w:right w:w="0" w:type="dxa"/>
            </w:tcMar>
            <w:vAlign w:val="center"/>
          </w:tcPr>
          <w:p w14:paraId="0E56B608">
            <w:pPr>
              <w:pStyle w:val="19"/>
              <w:bidi w:val="0"/>
              <w:jc w:val="center"/>
              <w:rPr>
                <w:rFonts w:hint="default"/>
                <w:lang w:val="en-US" w:eastAsia="zh-CN"/>
              </w:rPr>
            </w:pPr>
            <w:r>
              <w:rPr>
                <w:rFonts w:hint="eastAsia"/>
                <w:lang w:val="en-US" w:eastAsia="zh-CN"/>
              </w:rPr>
              <w:t>0.198</w:t>
            </w:r>
          </w:p>
        </w:tc>
      </w:tr>
    </w:tbl>
    <w:p w14:paraId="1F6FF196">
      <w:pPr>
        <w:bidi w:val="0"/>
        <w:rPr>
          <w:rFonts w:hint="default"/>
          <w:lang w:val="en-US" w:eastAsia="zh-CN"/>
        </w:rPr>
      </w:pPr>
      <w:r>
        <w:rPr>
          <w:rFonts w:hint="default"/>
          <w:lang w:val="en-US" w:eastAsia="zh-CN"/>
        </w:rPr>
        <w:t>根据《规模化畜禽养殖场沼气工程设计规范》中的数据，厌氧反应器每去除1kgCOD，可产生沼气0.3</w:t>
      </w:r>
      <w:r>
        <w:rPr>
          <w:rFonts w:hint="eastAsia"/>
          <w:lang w:val="en-US" w:eastAsia="zh-CN"/>
        </w:rPr>
        <w:t>5</w:t>
      </w:r>
      <w:r>
        <w:rPr>
          <w:rFonts w:hint="default"/>
          <w:lang w:val="en-US" w:eastAsia="zh-CN"/>
        </w:rPr>
        <w:t>m</w:t>
      </w:r>
      <w:r>
        <w:rPr>
          <w:rFonts w:hint="default"/>
          <w:vertAlign w:val="superscript"/>
          <w:lang w:val="en-US" w:eastAsia="zh-CN"/>
        </w:rPr>
        <w:t>3</w:t>
      </w:r>
      <w:r>
        <w:rPr>
          <w:rFonts w:hint="default"/>
          <w:lang w:val="en-US" w:eastAsia="zh-CN"/>
        </w:rPr>
        <w:t>，项目每天有</w:t>
      </w:r>
      <w:r>
        <w:rPr>
          <w:rFonts w:hint="eastAsia"/>
          <w:lang w:val="en-US" w:eastAsia="zh-CN"/>
        </w:rPr>
        <w:t>260.58</w:t>
      </w:r>
      <w:r>
        <w:rPr>
          <w:rFonts w:hint="default"/>
          <w:lang w:val="en-US" w:eastAsia="zh-CN"/>
        </w:rPr>
        <w:t>m</w:t>
      </w:r>
      <w:r>
        <w:rPr>
          <w:rFonts w:hint="default"/>
          <w:vertAlign w:val="superscript"/>
          <w:lang w:val="en-US" w:eastAsia="zh-CN"/>
        </w:rPr>
        <w:t>3</w:t>
      </w:r>
      <w:r>
        <w:rPr>
          <w:rFonts w:hint="default"/>
          <w:lang w:val="en-US" w:eastAsia="zh-CN"/>
        </w:rPr>
        <w:t>的废液进入厌氧反应器，</w:t>
      </w:r>
      <w:r>
        <w:rPr>
          <w:rFonts w:hint="eastAsia"/>
          <w:lang w:val="en-US" w:eastAsia="zh-CN"/>
        </w:rPr>
        <w:t>COD产生量为162.48t/a，污水处理系统各工序COD去除分别为：水解酸化40%、UASB85%、SBR80%，则</w:t>
      </w:r>
      <w:r>
        <w:rPr>
          <w:rFonts w:hint="default"/>
          <w:lang w:val="en-US" w:eastAsia="zh-CN"/>
        </w:rPr>
        <w:t>COD的去除量为</w:t>
      </w:r>
      <w:r>
        <w:rPr>
          <w:rFonts w:hint="eastAsia"/>
          <w:highlight w:val="none"/>
          <w:lang w:val="en-US" w:eastAsia="zh-CN"/>
        </w:rPr>
        <w:t>159.56t/a</w:t>
      </w:r>
      <w:r>
        <w:rPr>
          <w:rFonts w:hint="default"/>
          <w:lang w:val="en-US" w:eastAsia="zh-CN"/>
        </w:rPr>
        <w:t>，沼气产生量为</w:t>
      </w:r>
      <w:r>
        <w:rPr>
          <w:rFonts w:hint="eastAsia"/>
          <w:highlight w:val="none"/>
          <w:lang w:val="en-US" w:eastAsia="zh-CN"/>
        </w:rPr>
        <w:t>55846</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a（153</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d）</w:t>
      </w:r>
      <w:r>
        <w:rPr>
          <w:rFonts w:hint="default"/>
          <w:lang w:val="en-US" w:eastAsia="zh-CN"/>
        </w:rPr>
        <w:t>。</w:t>
      </w:r>
    </w:p>
    <w:p w14:paraId="1253989E">
      <w:pPr>
        <w:bidi w:val="0"/>
        <w:rPr>
          <w:rFonts w:hint="default"/>
          <w:lang w:val="en-US" w:eastAsia="zh-CN"/>
        </w:rPr>
      </w:pPr>
      <w:r>
        <w:rPr>
          <w:rFonts w:hint="default"/>
          <w:lang w:val="en-US" w:eastAsia="zh-CN"/>
        </w:rPr>
        <w:t>经净化后的沼气属于清洁能源，</w:t>
      </w:r>
      <w:r>
        <w:rPr>
          <w:rFonts w:hint="eastAsia"/>
          <w:lang w:val="en-US" w:eastAsia="zh-CN"/>
        </w:rPr>
        <w:t>用于生物质锅炉燃烧，</w:t>
      </w:r>
      <w:r>
        <w:rPr>
          <w:rFonts w:hint="default"/>
          <w:lang w:val="en-US" w:eastAsia="zh-CN"/>
        </w:rPr>
        <w:t>燃烧后的产物为二氧化碳和水，对周边环境影响很小</w:t>
      </w:r>
      <w:r>
        <w:rPr>
          <w:rFonts w:hint="eastAsia"/>
          <w:lang w:val="en-US" w:eastAsia="zh-CN"/>
        </w:rPr>
        <w:t>，非供暖季节</w:t>
      </w:r>
      <w:r>
        <w:rPr>
          <w:rFonts w:hint="default"/>
          <w:lang w:val="en-US" w:eastAsia="zh-CN"/>
        </w:rPr>
        <w:t>使用不完的沼气点火燃烧处理。</w:t>
      </w:r>
    </w:p>
    <w:p w14:paraId="5B3B8A01">
      <w:pPr>
        <w:bidi w:val="0"/>
        <w:rPr>
          <w:rFonts w:hint="default"/>
          <w:highlight w:val="none"/>
          <w:lang w:val="en-US" w:eastAsia="zh-CN"/>
        </w:rPr>
      </w:pPr>
      <w:r>
        <w:rPr>
          <w:rFonts w:hint="eastAsia"/>
          <w:highlight w:val="none"/>
          <w:lang w:val="en-US" w:eastAsia="zh-CN"/>
        </w:rPr>
        <w:t>（5）干湿分离恶臭气体G4</w:t>
      </w:r>
    </w:p>
    <w:p w14:paraId="78DE503F">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项目猪粪和污水处理产生的沼渣</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污泥等，</w:t>
      </w:r>
      <w:r>
        <w:rPr>
          <w:rFonts w:hint="eastAsia"/>
          <w:color w:val="000000" w:themeColor="text1"/>
          <w:highlight w:val="none"/>
          <w14:textFill>
            <w14:solidFill>
              <w14:schemeClr w14:val="tx1"/>
            </w14:solidFill>
          </w14:textFill>
        </w:rPr>
        <w:t>经干湿分离后清运至堆肥</w:t>
      </w:r>
      <w:r>
        <w:rPr>
          <w:rFonts w:hint="eastAsia"/>
          <w:color w:val="000000" w:themeColor="text1"/>
          <w:highlight w:val="none"/>
          <w:lang w:val="en-US" w:eastAsia="zh-CN"/>
          <w14:textFill>
            <w14:solidFill>
              <w14:schemeClr w14:val="tx1"/>
            </w14:solidFill>
          </w14:textFill>
        </w:rPr>
        <w:t>场</w:t>
      </w:r>
      <w:r>
        <w:rPr>
          <w:rFonts w:hint="eastAsia"/>
          <w:color w:val="000000" w:themeColor="text1"/>
          <w:highlight w:val="none"/>
          <w14:textFill>
            <w14:solidFill>
              <w14:schemeClr w14:val="tx1"/>
            </w14:solidFill>
          </w14:textFill>
        </w:rPr>
        <w:t>堆肥处理</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经过</w:t>
      </w:r>
      <w:r>
        <w:rPr>
          <w:rFonts w:hint="eastAsia"/>
          <w:color w:val="000000" w:themeColor="text1"/>
          <w:highlight w:val="none"/>
          <w14:textFill>
            <w14:solidFill>
              <w14:schemeClr w14:val="tx1"/>
            </w14:solidFill>
          </w14:textFill>
        </w:rPr>
        <w:t>查阅</w:t>
      </w:r>
      <w:r>
        <w:rPr>
          <w:color w:val="000000" w:themeColor="text1"/>
          <w:highlight w:val="none"/>
          <w14:textFill>
            <w14:solidFill>
              <w14:schemeClr w14:val="tx1"/>
            </w14:solidFill>
          </w14:textFill>
        </w:rPr>
        <w:t>相关</w:t>
      </w:r>
      <w:r>
        <w:rPr>
          <w:rFonts w:hint="eastAsia"/>
          <w:color w:val="000000" w:themeColor="text1"/>
          <w:highlight w:val="none"/>
          <w:lang w:val="en-US" w:eastAsia="zh-CN"/>
          <w14:textFill>
            <w14:solidFill>
              <w14:schemeClr w14:val="tx1"/>
            </w14:solidFill>
          </w14:textFill>
        </w:rPr>
        <w:t>资料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根据《恶臭的评价与分析》（化学工业出版社）、《养猪场恶臭影响量化分析及控制对策研究》等技术资料和书籍，</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项目堆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场发酵、原料混合</w:t>
      </w:r>
      <w:r>
        <w:rPr>
          <w:rFonts w:hint="eastAsia"/>
          <w:color w:val="000000" w:themeColor="text1"/>
          <w:highlight w:val="none"/>
          <w:lang w:val="en-US" w:eastAsia="zh-CN"/>
          <w14:textFill>
            <w14:solidFill>
              <w14:schemeClr w14:val="tx1"/>
            </w14:solidFill>
          </w14:textFill>
        </w:rPr>
        <w:t>等过程</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S产生量的计算方法</w:t>
      </w:r>
      <w:r>
        <w:rPr>
          <w:rFonts w:hint="eastAsia"/>
          <w:color w:val="000000" w:themeColor="text1"/>
          <w:highlight w:val="none"/>
          <w14:textFill>
            <w14:solidFill>
              <w14:schemeClr w14:val="tx1"/>
            </w14:solidFill>
          </w14:textFill>
        </w:rPr>
        <w:t>按NH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产生系数0.55g/m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·d、</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S产生系数</w:t>
      </w:r>
      <w:r>
        <w:rPr>
          <w:rFonts w:hint="eastAsia"/>
          <w:color w:val="000000" w:themeColor="text1"/>
          <w:highlight w:val="none"/>
          <w14:textFill>
            <w14:solidFill>
              <w14:schemeClr w14:val="tx1"/>
            </w14:solidFill>
          </w14:textFill>
        </w:rPr>
        <w:t>0.03</w:t>
      </w:r>
      <w:r>
        <w:rPr>
          <w:color w:val="000000" w:themeColor="text1"/>
          <w:highlight w:val="none"/>
          <w14:textFill>
            <w14:solidFill>
              <w14:schemeClr w14:val="tx1"/>
            </w14:solidFill>
          </w14:textFill>
        </w:rPr>
        <w:t>g/m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计算</w:t>
      </w:r>
      <w:r>
        <w:rPr>
          <w:color w:val="000000" w:themeColor="text1"/>
          <w:highlight w:val="none"/>
          <w14:textFill>
            <w14:solidFill>
              <w14:schemeClr w14:val="tx1"/>
            </w14:solidFill>
          </w14:textFill>
        </w:rPr>
        <w:t>。根据以上参数及</w:t>
      </w:r>
      <w:r>
        <w:rPr>
          <w:rFonts w:hint="eastAsia"/>
          <w:color w:val="000000" w:themeColor="text1"/>
          <w:highlight w:val="none"/>
          <w14:textFill>
            <w14:solidFill>
              <w14:schemeClr w14:val="tx1"/>
            </w14:solidFill>
          </w14:textFill>
        </w:rPr>
        <w:t>干湿分离</w:t>
      </w:r>
      <w:r>
        <w:rPr>
          <w:rFonts w:hint="eastAsia"/>
          <w:color w:val="000000" w:themeColor="text1"/>
          <w:highlight w:val="none"/>
          <w:lang w:val="en-US" w:eastAsia="zh-CN"/>
          <w14:textFill>
            <w14:solidFill>
              <w14:schemeClr w14:val="tx1"/>
            </w14:solidFill>
          </w14:textFill>
        </w:rPr>
        <w:t>房</w:t>
      </w:r>
      <w:r>
        <w:rPr>
          <w:color w:val="000000" w:themeColor="text1"/>
          <w:highlight w:val="none"/>
          <w14:textFill>
            <w14:solidFill>
              <w14:schemeClr w14:val="tx1"/>
            </w14:solidFill>
          </w14:textFill>
        </w:rPr>
        <w:t>面积</w:t>
      </w:r>
      <w:r>
        <w:rPr>
          <w:rFonts w:hint="eastAsia"/>
          <w:color w:val="000000" w:themeColor="text1"/>
          <w:highlight w:val="none"/>
          <w:lang w:val="en-US" w:eastAsia="zh-CN"/>
          <w14:textFill>
            <w14:solidFill>
              <w14:schemeClr w14:val="tx1"/>
            </w14:solidFill>
          </w14:textFill>
        </w:rPr>
        <w:t>300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计算NH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产生量分别为</w:t>
      </w:r>
      <w:r>
        <w:rPr>
          <w:rFonts w:hint="eastAsia"/>
          <w:color w:val="000000" w:themeColor="text1"/>
          <w:highlight w:val="none"/>
          <w:lang w:val="en-US" w:eastAsia="zh-CN"/>
          <w14:textFill>
            <w14:solidFill>
              <w14:schemeClr w14:val="tx1"/>
            </w14:solidFill>
          </w14:textFill>
        </w:rPr>
        <w:t>0.06</w:t>
      </w:r>
      <w:r>
        <w:rPr>
          <w:rFonts w:hint="eastAsia"/>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0.135kg/d）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0.003</w:t>
      </w:r>
      <w:r>
        <w:rPr>
          <w:rFonts w:hint="eastAsia"/>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0.009kg/d）</w:t>
      </w:r>
      <w:r>
        <w:rPr>
          <w:rFonts w:hint="eastAsia"/>
          <w:color w:val="000000" w:themeColor="text1"/>
          <w:highlight w:val="none"/>
          <w14:textFill>
            <w14:solidFill>
              <w14:schemeClr w14:val="tx1"/>
            </w14:solidFill>
          </w14:textFill>
        </w:rPr>
        <w:t>。</w:t>
      </w:r>
    </w:p>
    <w:p w14:paraId="6F8767CF">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项目采用干湿分离</w:t>
      </w:r>
      <w:r>
        <w:rPr>
          <w:rFonts w:hint="eastAsia"/>
          <w:color w:val="000000" w:themeColor="text1"/>
          <w:highlight w:val="none"/>
          <w:lang w:val="en-US" w:eastAsia="zh-CN"/>
          <w14:textFill>
            <w14:solidFill>
              <w14:schemeClr w14:val="tx1"/>
            </w14:solidFill>
          </w14:textFill>
        </w:rPr>
        <w:t>房</w:t>
      </w:r>
      <w:r>
        <w:rPr>
          <w:rFonts w:hint="eastAsia"/>
          <w:color w:val="000000" w:themeColor="text1"/>
          <w:highlight w:val="none"/>
          <w14:textFill>
            <w14:solidFill>
              <w14:schemeClr w14:val="tx1"/>
            </w14:solidFill>
          </w14:textFill>
        </w:rPr>
        <w:t>封闭、喷洒除臭剂等</w:t>
      </w:r>
      <w:r>
        <w:rPr>
          <w:rFonts w:hint="eastAsia"/>
          <w:color w:val="000000" w:themeColor="text1"/>
          <w:highlight w:val="none"/>
          <w:lang w:val="en-US" w:eastAsia="zh-CN"/>
          <w14:textFill>
            <w14:solidFill>
              <w14:schemeClr w14:val="tx1"/>
            </w14:solidFill>
          </w14:textFill>
        </w:rPr>
        <w:t>措施</w:t>
      </w:r>
      <w:r>
        <w:rPr>
          <w:rFonts w:hint="eastAsia"/>
          <w:color w:val="000000" w:themeColor="text1"/>
          <w:highlight w:val="none"/>
          <w14:textFill>
            <w14:solidFill>
              <w14:schemeClr w14:val="tx1"/>
            </w14:solidFill>
          </w14:textFill>
        </w:rPr>
        <w:t>减少恶臭排放，</w:t>
      </w:r>
      <w:r>
        <w:rPr>
          <w:rFonts w:hint="eastAsia"/>
          <w:color w:val="000000" w:themeColor="text1"/>
          <w:highlight w:val="none"/>
          <w:lang w:val="en-US" w:eastAsia="zh-CN"/>
          <w14:textFill>
            <w14:solidFill>
              <w14:schemeClr w14:val="tx1"/>
            </w14:solidFill>
          </w14:textFill>
        </w:rPr>
        <w:t>恶臭气体的</w:t>
      </w:r>
      <w:r>
        <w:rPr>
          <w:rFonts w:hint="eastAsia"/>
          <w:color w:val="000000" w:themeColor="text1"/>
          <w:highlight w:val="none"/>
          <w14:textFill>
            <w14:solidFill>
              <w14:schemeClr w14:val="tx1"/>
            </w14:solidFill>
          </w14:textFill>
        </w:rPr>
        <w:t>去除率</w:t>
      </w:r>
      <w:r>
        <w:rPr>
          <w:rFonts w:hint="eastAsia"/>
          <w:color w:val="000000" w:themeColor="text1"/>
          <w:highlight w:val="none"/>
          <w:lang w:val="en-US" w:eastAsia="zh-CN"/>
          <w14:textFill>
            <w14:solidFill>
              <w14:schemeClr w14:val="tx1"/>
            </w14:solidFill>
          </w14:textFill>
        </w:rPr>
        <w:t>为</w:t>
      </w:r>
      <w:r>
        <w:rPr>
          <w:rFonts w:hint="eastAsia"/>
          <w:color w:val="000000" w:themeColor="text1"/>
          <w:highlight w:val="none"/>
          <w14:textFill>
            <w14:solidFill>
              <w14:schemeClr w14:val="tx1"/>
            </w14:solidFill>
          </w14:textFill>
        </w:rPr>
        <w:t>70%。实施上述措施后干粪堆粪场及无害化处理间恶臭污染物产生及排放情况见表3.</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w:t>
      </w:r>
    </w:p>
    <w:p w14:paraId="3B6010D0">
      <w:pPr>
        <w:pStyle w:val="30"/>
        <w:bidi w:val="0"/>
      </w:pPr>
      <w:r>
        <w:rPr>
          <w:rFonts w:hint="eastAsia"/>
        </w:rPr>
        <w:t>表3.</w:t>
      </w:r>
      <w:r>
        <w:rPr>
          <w:rFonts w:hint="eastAsia"/>
          <w:lang w:val="en-US" w:eastAsia="zh-CN"/>
        </w:rPr>
        <w:t>4</w:t>
      </w:r>
      <w:r>
        <w:rPr>
          <w:rFonts w:hint="eastAsia"/>
        </w:rPr>
        <w:t>-</w:t>
      </w:r>
      <w:r>
        <w:rPr>
          <w:rFonts w:hint="eastAsia"/>
          <w:lang w:val="en-US" w:eastAsia="zh-CN"/>
        </w:rPr>
        <w:t>7</w:t>
      </w:r>
      <w:r>
        <w:rPr>
          <w:rFonts w:hint="eastAsia"/>
        </w:rPr>
        <w:t xml:space="preserve">   干湿分离</w:t>
      </w:r>
      <w:r>
        <w:rPr>
          <w:rFonts w:hint="eastAsia"/>
          <w:lang w:val="en-US" w:eastAsia="zh-CN"/>
        </w:rPr>
        <w:t>房</w:t>
      </w:r>
      <w:r>
        <w:rPr>
          <w:rFonts w:hint="eastAsia"/>
        </w:rPr>
        <w:t>恶臭产生及排放一览表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1354"/>
        <w:gridCol w:w="1752"/>
        <w:gridCol w:w="1802"/>
        <w:gridCol w:w="909"/>
        <w:gridCol w:w="686"/>
        <w:gridCol w:w="905"/>
      </w:tblGrid>
      <w:tr w14:paraId="17D6A7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44" w:type="pct"/>
            <w:tcMar>
              <w:top w:w="0" w:type="dxa"/>
              <w:left w:w="0" w:type="dxa"/>
              <w:bottom w:w="0" w:type="dxa"/>
              <w:right w:w="0" w:type="dxa"/>
            </w:tcMar>
            <w:vAlign w:val="center"/>
          </w:tcPr>
          <w:p w14:paraId="69425150">
            <w:pPr>
              <w:pStyle w:val="19"/>
              <w:bidi w:val="0"/>
            </w:pPr>
            <w:r>
              <w:t>恶臭气体</w:t>
            </w:r>
          </w:p>
        </w:tc>
        <w:tc>
          <w:tcPr>
            <w:tcW w:w="814" w:type="pct"/>
            <w:tcMar>
              <w:top w:w="0" w:type="dxa"/>
              <w:left w:w="0" w:type="dxa"/>
              <w:bottom w:w="0" w:type="dxa"/>
              <w:right w:w="0" w:type="dxa"/>
            </w:tcMar>
            <w:vAlign w:val="center"/>
          </w:tcPr>
          <w:p w14:paraId="7861FE3A">
            <w:pPr>
              <w:pStyle w:val="19"/>
              <w:bidi w:val="0"/>
            </w:pPr>
            <w:r>
              <w:t>产生量（t/a）</w:t>
            </w:r>
          </w:p>
        </w:tc>
        <w:tc>
          <w:tcPr>
            <w:tcW w:w="1053" w:type="pct"/>
            <w:tcMar>
              <w:top w:w="0" w:type="dxa"/>
              <w:left w:w="0" w:type="dxa"/>
              <w:bottom w:w="0" w:type="dxa"/>
              <w:right w:w="0" w:type="dxa"/>
            </w:tcMar>
            <w:vAlign w:val="center"/>
          </w:tcPr>
          <w:p w14:paraId="01D11694">
            <w:pPr>
              <w:pStyle w:val="19"/>
              <w:bidi w:val="0"/>
            </w:pPr>
            <w:r>
              <w:t>产生速率（kg/h）</w:t>
            </w:r>
          </w:p>
        </w:tc>
        <w:tc>
          <w:tcPr>
            <w:tcW w:w="1083" w:type="pct"/>
            <w:tcMar>
              <w:top w:w="0" w:type="dxa"/>
              <w:left w:w="0" w:type="dxa"/>
              <w:bottom w:w="0" w:type="dxa"/>
              <w:right w:w="0" w:type="dxa"/>
            </w:tcMar>
            <w:vAlign w:val="center"/>
          </w:tcPr>
          <w:p w14:paraId="51F45DF5">
            <w:pPr>
              <w:pStyle w:val="19"/>
              <w:bidi w:val="0"/>
            </w:pPr>
            <w:r>
              <w:rPr>
                <w:rFonts w:hint="eastAsia"/>
              </w:rPr>
              <w:t>拟处理措施</w:t>
            </w:r>
          </w:p>
        </w:tc>
        <w:tc>
          <w:tcPr>
            <w:tcW w:w="546" w:type="pct"/>
            <w:tcMar>
              <w:top w:w="0" w:type="dxa"/>
              <w:left w:w="0" w:type="dxa"/>
              <w:bottom w:w="0" w:type="dxa"/>
              <w:right w:w="0" w:type="dxa"/>
            </w:tcMar>
            <w:vAlign w:val="center"/>
          </w:tcPr>
          <w:p w14:paraId="68E00369">
            <w:pPr>
              <w:pStyle w:val="19"/>
              <w:bidi w:val="0"/>
            </w:pPr>
            <w:r>
              <w:rPr>
                <w:rFonts w:hint="eastAsia"/>
              </w:rPr>
              <w:t>处理效率</w:t>
            </w:r>
          </w:p>
          <w:p w14:paraId="32CAC9CB">
            <w:pPr>
              <w:pStyle w:val="19"/>
              <w:bidi w:val="0"/>
            </w:pPr>
            <w:r>
              <w:rPr>
                <w:rFonts w:hint="eastAsia"/>
              </w:rPr>
              <w:t>（%）</w:t>
            </w:r>
          </w:p>
        </w:tc>
        <w:tc>
          <w:tcPr>
            <w:tcW w:w="412" w:type="pct"/>
            <w:tcMar>
              <w:top w:w="0" w:type="dxa"/>
              <w:left w:w="0" w:type="dxa"/>
              <w:bottom w:w="0" w:type="dxa"/>
              <w:right w:w="0" w:type="dxa"/>
            </w:tcMar>
            <w:vAlign w:val="center"/>
          </w:tcPr>
          <w:p w14:paraId="6613B784">
            <w:pPr>
              <w:pStyle w:val="19"/>
              <w:bidi w:val="0"/>
            </w:pPr>
            <w:r>
              <w:rPr>
                <w:rFonts w:hint="eastAsia"/>
              </w:rPr>
              <w:t>排放量</w:t>
            </w:r>
          </w:p>
          <w:p w14:paraId="206048DA">
            <w:pPr>
              <w:pStyle w:val="19"/>
              <w:bidi w:val="0"/>
            </w:pPr>
            <w:r>
              <w:rPr>
                <w:rFonts w:hint="eastAsia"/>
              </w:rPr>
              <w:t>（t/a）</w:t>
            </w:r>
          </w:p>
        </w:tc>
        <w:tc>
          <w:tcPr>
            <w:tcW w:w="544" w:type="pct"/>
            <w:tcMar>
              <w:top w:w="0" w:type="dxa"/>
              <w:left w:w="0" w:type="dxa"/>
              <w:bottom w:w="0" w:type="dxa"/>
              <w:right w:w="0" w:type="dxa"/>
            </w:tcMar>
            <w:vAlign w:val="center"/>
          </w:tcPr>
          <w:p w14:paraId="48F091FA">
            <w:pPr>
              <w:pStyle w:val="19"/>
              <w:bidi w:val="0"/>
            </w:pPr>
            <w:r>
              <w:t>排放速率</w:t>
            </w:r>
          </w:p>
          <w:p w14:paraId="44F98D7C">
            <w:pPr>
              <w:pStyle w:val="19"/>
              <w:bidi w:val="0"/>
            </w:pPr>
            <w:r>
              <w:t>（kg/h）</w:t>
            </w:r>
          </w:p>
        </w:tc>
      </w:tr>
      <w:tr w14:paraId="5145A2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44" w:type="pct"/>
            <w:tcMar>
              <w:top w:w="0" w:type="dxa"/>
              <w:left w:w="0" w:type="dxa"/>
              <w:bottom w:w="0" w:type="dxa"/>
              <w:right w:w="0" w:type="dxa"/>
            </w:tcMar>
            <w:vAlign w:val="center"/>
          </w:tcPr>
          <w:p w14:paraId="0F6440F9">
            <w:pPr>
              <w:pStyle w:val="19"/>
              <w:bidi w:val="0"/>
            </w:pPr>
            <w:r>
              <w:t>NH</w:t>
            </w:r>
            <w:r>
              <w:rPr>
                <w:vertAlign w:val="subscript"/>
              </w:rPr>
              <w:t>3</w:t>
            </w:r>
          </w:p>
        </w:tc>
        <w:tc>
          <w:tcPr>
            <w:tcW w:w="814" w:type="pct"/>
            <w:tcMar>
              <w:top w:w="0" w:type="dxa"/>
              <w:left w:w="0" w:type="dxa"/>
              <w:bottom w:w="0" w:type="dxa"/>
              <w:right w:w="0" w:type="dxa"/>
            </w:tcMar>
            <w:vAlign w:val="center"/>
          </w:tcPr>
          <w:p w14:paraId="5889E125">
            <w:pPr>
              <w:pStyle w:val="19"/>
              <w:bidi w:val="0"/>
              <w:rPr>
                <w:rFonts w:hint="default" w:eastAsia="宋体"/>
                <w:lang w:val="en-US" w:eastAsia="zh-CN"/>
              </w:rPr>
            </w:pPr>
            <w:r>
              <w:rPr>
                <w:rFonts w:hint="eastAsia"/>
                <w:lang w:val="en-US" w:eastAsia="zh-CN"/>
              </w:rPr>
              <w:t>0.06</w:t>
            </w:r>
          </w:p>
        </w:tc>
        <w:tc>
          <w:tcPr>
            <w:tcW w:w="1053" w:type="pct"/>
            <w:tcMar>
              <w:top w:w="0" w:type="dxa"/>
              <w:left w:w="0" w:type="dxa"/>
              <w:bottom w:w="0" w:type="dxa"/>
              <w:right w:w="0" w:type="dxa"/>
            </w:tcMar>
            <w:vAlign w:val="center"/>
          </w:tcPr>
          <w:p w14:paraId="42EA40B2">
            <w:pPr>
              <w:pStyle w:val="19"/>
              <w:bidi w:val="0"/>
              <w:rPr>
                <w:rFonts w:hint="default"/>
                <w:lang w:val="en-US" w:eastAsia="zh-CN"/>
              </w:rPr>
            </w:pPr>
            <w:r>
              <w:rPr>
                <w:rFonts w:hint="eastAsia"/>
                <w:lang w:val="en-US" w:eastAsia="zh-CN"/>
              </w:rPr>
              <w:t>0.006</w:t>
            </w:r>
          </w:p>
        </w:tc>
        <w:tc>
          <w:tcPr>
            <w:tcW w:w="1083" w:type="pct"/>
            <w:vMerge w:val="restart"/>
            <w:tcMar>
              <w:top w:w="0" w:type="dxa"/>
              <w:left w:w="0" w:type="dxa"/>
              <w:bottom w:w="0" w:type="dxa"/>
              <w:right w:w="0" w:type="dxa"/>
            </w:tcMar>
            <w:vAlign w:val="center"/>
          </w:tcPr>
          <w:p w14:paraId="1959B58F">
            <w:pPr>
              <w:pStyle w:val="19"/>
              <w:bidi w:val="0"/>
            </w:pPr>
            <w:r>
              <w:rPr>
                <w:rFonts w:hint="eastAsia"/>
              </w:rPr>
              <w:t>密闭、喷洒除臭剂</w:t>
            </w:r>
          </w:p>
        </w:tc>
        <w:tc>
          <w:tcPr>
            <w:tcW w:w="546" w:type="pct"/>
            <w:vMerge w:val="restart"/>
            <w:tcMar>
              <w:top w:w="0" w:type="dxa"/>
              <w:left w:w="0" w:type="dxa"/>
              <w:bottom w:w="0" w:type="dxa"/>
              <w:right w:w="0" w:type="dxa"/>
            </w:tcMar>
            <w:vAlign w:val="center"/>
          </w:tcPr>
          <w:p w14:paraId="1B2A33CB">
            <w:pPr>
              <w:pStyle w:val="19"/>
              <w:bidi w:val="0"/>
            </w:pPr>
            <w:r>
              <w:rPr>
                <w:rFonts w:hint="eastAsia"/>
              </w:rPr>
              <w:t>70</w:t>
            </w:r>
          </w:p>
        </w:tc>
        <w:tc>
          <w:tcPr>
            <w:tcW w:w="412" w:type="pct"/>
            <w:tcMar>
              <w:top w:w="0" w:type="dxa"/>
              <w:left w:w="0" w:type="dxa"/>
              <w:bottom w:w="0" w:type="dxa"/>
              <w:right w:w="0" w:type="dxa"/>
            </w:tcMar>
            <w:vAlign w:val="center"/>
          </w:tcPr>
          <w:p w14:paraId="7287203A">
            <w:pPr>
              <w:pStyle w:val="19"/>
              <w:bidi w:val="0"/>
              <w:rPr>
                <w:rFonts w:hint="default" w:eastAsia="宋体"/>
                <w:lang w:val="en-US" w:eastAsia="zh-CN"/>
              </w:rPr>
            </w:pPr>
            <w:r>
              <w:rPr>
                <w:rFonts w:hint="eastAsia"/>
                <w:lang w:val="en-US" w:eastAsia="zh-CN"/>
              </w:rPr>
              <w:t>0.018</w:t>
            </w:r>
          </w:p>
        </w:tc>
        <w:tc>
          <w:tcPr>
            <w:tcW w:w="544" w:type="pct"/>
            <w:tcMar>
              <w:top w:w="0" w:type="dxa"/>
              <w:left w:w="0" w:type="dxa"/>
              <w:bottom w:w="0" w:type="dxa"/>
              <w:right w:w="0" w:type="dxa"/>
            </w:tcMar>
            <w:vAlign w:val="center"/>
          </w:tcPr>
          <w:p w14:paraId="19290A08">
            <w:pPr>
              <w:pStyle w:val="19"/>
              <w:bidi w:val="0"/>
              <w:rPr>
                <w:rFonts w:hint="default" w:eastAsia="宋体"/>
                <w:lang w:val="en-US" w:eastAsia="zh-CN"/>
              </w:rPr>
            </w:pPr>
            <w:r>
              <w:rPr>
                <w:rFonts w:hint="eastAsia"/>
                <w:lang w:val="en-US" w:eastAsia="zh-CN"/>
              </w:rPr>
              <w:t>0.0018</w:t>
            </w:r>
          </w:p>
        </w:tc>
      </w:tr>
      <w:tr w14:paraId="35D34D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44" w:type="pct"/>
            <w:tcMar>
              <w:top w:w="0" w:type="dxa"/>
              <w:left w:w="0" w:type="dxa"/>
              <w:bottom w:w="0" w:type="dxa"/>
              <w:right w:w="0" w:type="dxa"/>
            </w:tcMar>
            <w:vAlign w:val="center"/>
          </w:tcPr>
          <w:p w14:paraId="38C483F7">
            <w:pPr>
              <w:pStyle w:val="19"/>
              <w:bidi w:val="0"/>
            </w:pPr>
            <w:r>
              <w:t>H</w:t>
            </w:r>
            <w:r>
              <w:rPr>
                <w:vertAlign w:val="subscript"/>
              </w:rPr>
              <w:t>2</w:t>
            </w:r>
            <w:r>
              <w:t>S</w:t>
            </w:r>
          </w:p>
        </w:tc>
        <w:tc>
          <w:tcPr>
            <w:tcW w:w="814" w:type="pct"/>
            <w:tcMar>
              <w:top w:w="0" w:type="dxa"/>
              <w:left w:w="0" w:type="dxa"/>
              <w:bottom w:w="0" w:type="dxa"/>
              <w:right w:w="0" w:type="dxa"/>
            </w:tcMar>
            <w:vAlign w:val="center"/>
          </w:tcPr>
          <w:p w14:paraId="5E592C09">
            <w:pPr>
              <w:pStyle w:val="19"/>
              <w:bidi w:val="0"/>
              <w:rPr>
                <w:rFonts w:hint="default" w:eastAsia="宋体"/>
                <w:lang w:val="en-US" w:eastAsia="zh-CN"/>
              </w:rPr>
            </w:pPr>
            <w:r>
              <w:rPr>
                <w:rFonts w:hint="eastAsia"/>
                <w:lang w:val="en-US" w:eastAsia="zh-CN"/>
              </w:rPr>
              <w:t>0.003</w:t>
            </w:r>
          </w:p>
        </w:tc>
        <w:tc>
          <w:tcPr>
            <w:tcW w:w="1053" w:type="pct"/>
            <w:tcMar>
              <w:top w:w="0" w:type="dxa"/>
              <w:left w:w="0" w:type="dxa"/>
              <w:bottom w:w="0" w:type="dxa"/>
              <w:right w:w="0" w:type="dxa"/>
            </w:tcMar>
            <w:vAlign w:val="center"/>
          </w:tcPr>
          <w:p w14:paraId="6A4D7082">
            <w:pPr>
              <w:pStyle w:val="19"/>
              <w:bidi w:val="0"/>
              <w:rPr>
                <w:rFonts w:hint="default"/>
                <w:lang w:val="en-US" w:eastAsia="zh-CN"/>
              </w:rPr>
            </w:pPr>
            <w:r>
              <w:rPr>
                <w:rFonts w:hint="eastAsia"/>
                <w:lang w:val="en-US" w:eastAsia="zh-CN"/>
              </w:rPr>
              <w:t>0.0004</w:t>
            </w:r>
          </w:p>
        </w:tc>
        <w:tc>
          <w:tcPr>
            <w:tcW w:w="1083" w:type="pct"/>
            <w:vMerge w:val="continue"/>
            <w:tcMar>
              <w:top w:w="0" w:type="dxa"/>
              <w:left w:w="0" w:type="dxa"/>
              <w:bottom w:w="0" w:type="dxa"/>
              <w:right w:w="0" w:type="dxa"/>
            </w:tcMar>
            <w:vAlign w:val="center"/>
          </w:tcPr>
          <w:p w14:paraId="567C9FA8">
            <w:pPr>
              <w:pStyle w:val="19"/>
              <w:bidi w:val="0"/>
            </w:pPr>
          </w:p>
        </w:tc>
        <w:tc>
          <w:tcPr>
            <w:tcW w:w="546" w:type="pct"/>
            <w:vMerge w:val="continue"/>
            <w:tcMar>
              <w:top w:w="0" w:type="dxa"/>
              <w:left w:w="0" w:type="dxa"/>
              <w:bottom w:w="0" w:type="dxa"/>
              <w:right w:w="0" w:type="dxa"/>
            </w:tcMar>
            <w:vAlign w:val="center"/>
          </w:tcPr>
          <w:p w14:paraId="49233C53">
            <w:pPr>
              <w:pStyle w:val="19"/>
              <w:bidi w:val="0"/>
            </w:pPr>
          </w:p>
        </w:tc>
        <w:tc>
          <w:tcPr>
            <w:tcW w:w="412" w:type="pct"/>
            <w:tcMar>
              <w:top w:w="0" w:type="dxa"/>
              <w:left w:w="0" w:type="dxa"/>
              <w:bottom w:w="0" w:type="dxa"/>
              <w:right w:w="0" w:type="dxa"/>
            </w:tcMar>
            <w:vAlign w:val="center"/>
          </w:tcPr>
          <w:p w14:paraId="1CB378EA">
            <w:pPr>
              <w:pStyle w:val="19"/>
              <w:bidi w:val="0"/>
              <w:rPr>
                <w:rFonts w:hint="default" w:eastAsia="宋体"/>
                <w:lang w:val="en-US" w:eastAsia="zh-CN"/>
              </w:rPr>
            </w:pPr>
            <w:r>
              <w:rPr>
                <w:rFonts w:hint="eastAsia"/>
                <w:lang w:val="en-US" w:eastAsia="zh-CN"/>
              </w:rPr>
              <w:t>0.0009</w:t>
            </w:r>
          </w:p>
        </w:tc>
        <w:tc>
          <w:tcPr>
            <w:tcW w:w="544" w:type="pct"/>
            <w:tcMar>
              <w:top w:w="0" w:type="dxa"/>
              <w:left w:w="0" w:type="dxa"/>
              <w:bottom w:w="0" w:type="dxa"/>
              <w:right w:w="0" w:type="dxa"/>
            </w:tcMar>
            <w:vAlign w:val="center"/>
          </w:tcPr>
          <w:p w14:paraId="55318B63">
            <w:pPr>
              <w:pStyle w:val="19"/>
              <w:bidi w:val="0"/>
              <w:rPr>
                <w:rFonts w:hint="default" w:eastAsia="宋体"/>
                <w:lang w:val="en-US" w:eastAsia="zh-CN"/>
              </w:rPr>
            </w:pPr>
            <w:r>
              <w:rPr>
                <w:rFonts w:hint="eastAsia"/>
                <w:lang w:val="en-US" w:eastAsia="zh-CN"/>
              </w:rPr>
              <w:t>0.00012</w:t>
            </w:r>
          </w:p>
        </w:tc>
      </w:tr>
    </w:tbl>
    <w:p w14:paraId="13B42375">
      <w:pPr>
        <w:bidi w:val="0"/>
        <w:rPr>
          <w:rFonts w:hint="default"/>
          <w:lang w:val="en-US" w:eastAsia="zh-CN"/>
        </w:rPr>
      </w:pPr>
      <w:r>
        <w:rPr>
          <w:rFonts w:hint="eastAsia"/>
          <w:lang w:val="en-US" w:eastAsia="zh-CN"/>
        </w:rPr>
        <w:t>（6）食堂油烟G5</w:t>
      </w:r>
    </w:p>
    <w:p w14:paraId="51E236A5">
      <w:pPr>
        <w:bidi w:val="0"/>
        <w:rPr>
          <w:rFonts w:hint="eastAsia"/>
          <w:lang w:val="en-US" w:eastAsia="zh-CN"/>
        </w:rPr>
      </w:pPr>
      <w:r>
        <w:rPr>
          <w:rFonts w:hint="eastAsia"/>
          <w:lang w:val="en-US" w:eastAsia="zh-CN"/>
        </w:rPr>
        <w:t>本项目员工在场区内食宿，项目劳动定员30人，每人每日消耗动植物油以30g/d计，则本项目消耗食用油0.33t/a。本项目主要为工作人员提供员工餐，食用油耗量和炒、炸、煎等烹调工序均较少，一般油烟挥发量占总耗油量的2%-4%，本次评价以3%计，则本项目餐饮油烟产生量约为0.01t/a，食堂油烟采用静电式油烟净化器处理后由专用排烟风道于屋顶排放，风机量为2000m</w:t>
      </w:r>
      <w:r>
        <w:rPr>
          <w:rFonts w:hint="eastAsia"/>
          <w:vertAlign w:val="superscript"/>
          <w:lang w:val="en-US" w:eastAsia="zh-CN"/>
        </w:rPr>
        <w:t>3</w:t>
      </w:r>
      <w:r>
        <w:rPr>
          <w:rFonts w:hint="eastAsia"/>
          <w:lang w:val="en-US" w:eastAsia="zh-CN"/>
        </w:rPr>
        <w:t>/h，油烟净化效率为65%，食堂每日烹饪时间按照4h计算，则油烟排放量0.004t/a，排放浓度为1.37mg/m</w:t>
      </w:r>
      <w:r>
        <w:rPr>
          <w:rFonts w:hint="eastAsia"/>
          <w:vertAlign w:val="superscript"/>
          <w:lang w:val="en-US" w:eastAsia="zh-CN"/>
        </w:rPr>
        <w:t>3</w:t>
      </w:r>
      <w:r>
        <w:rPr>
          <w:rFonts w:hint="eastAsia"/>
          <w:lang w:val="en-US" w:eastAsia="zh-CN"/>
        </w:rPr>
        <w:t>，能够满足《饮食业油烟排放标准（试行）》（GB18483-2001），油烟最高允许排放浓度≤2mg/m</w:t>
      </w:r>
      <w:r>
        <w:rPr>
          <w:rFonts w:hint="eastAsia"/>
          <w:vertAlign w:val="superscript"/>
          <w:lang w:val="en-US" w:eastAsia="zh-CN"/>
        </w:rPr>
        <w:t>3</w:t>
      </w:r>
      <w:r>
        <w:rPr>
          <w:rFonts w:hint="eastAsia"/>
          <w:lang w:val="en-US" w:eastAsia="zh-CN"/>
        </w:rPr>
        <w:t>标准。</w:t>
      </w:r>
    </w:p>
    <w:p w14:paraId="20474E44">
      <w:pPr>
        <w:bidi w:val="0"/>
        <w:rPr>
          <w:rFonts w:hint="default"/>
          <w:lang w:val="en-US" w:eastAsia="zh-CN"/>
        </w:rPr>
      </w:pPr>
      <w:r>
        <w:rPr>
          <w:rFonts w:hint="eastAsia"/>
          <w:lang w:val="en-US" w:eastAsia="zh-CN"/>
        </w:rPr>
        <w:t>（7）生物质锅炉烟气G6</w:t>
      </w:r>
    </w:p>
    <w:p w14:paraId="2BFC15BD">
      <w:pPr>
        <w:bidi w:val="0"/>
        <w:rPr>
          <w:rFonts w:hint="eastAsia"/>
          <w:lang w:val="en-US" w:eastAsia="zh-CN"/>
        </w:rPr>
      </w:pPr>
      <w:r>
        <w:rPr>
          <w:rFonts w:hint="eastAsia"/>
          <w:lang w:val="en-US" w:eastAsia="zh-CN"/>
        </w:rPr>
        <w:t>本项目新建3座锅炉房，每座锅炉房中设置1台3t/h的生物质锅炉，用于养殖场冬季供热。锅炉冬季运行181d，每天运行24h，年耗生物质燃料量为1900*3t/a。每座生物质锅炉均配套安装袋式除尘器，采用低氮燃烧技术，除尘效率≥99%，脱氮效率≥30%，处理后经各自单独设置的15m高的排气筒排放，即3座锅炉房分别设置15m排气筒1根。</w:t>
      </w:r>
    </w:p>
    <w:p w14:paraId="04F6DEB6">
      <w:pPr>
        <w:bidi w:val="0"/>
        <w:rPr>
          <w:rFonts w:hint="eastAsia"/>
          <w:lang w:val="en-US" w:eastAsia="zh-CN"/>
        </w:rPr>
      </w:pPr>
      <w:r>
        <w:rPr>
          <w:rFonts w:hint="eastAsia"/>
          <w:lang w:val="en-US" w:eastAsia="zh-CN"/>
        </w:rPr>
        <w:t>参照《排放源统计调查产排污核算方法和系数手册》中“4430 工业锅炉（热力生产和供应行业）产污系数表-生物质工业锅炉”见表3.4-8。</w:t>
      </w:r>
    </w:p>
    <w:p w14:paraId="08CAF9EE">
      <w:pPr>
        <w:pStyle w:val="30"/>
        <w:bidi w:val="0"/>
        <w:rPr>
          <w:rFonts w:hint="default"/>
          <w:lang w:val="en-US" w:eastAsia="zh-CN"/>
        </w:rPr>
      </w:pPr>
      <w:r>
        <w:rPr>
          <w:rFonts w:hint="eastAsia"/>
          <w:lang w:val="en-US" w:eastAsia="zh-CN"/>
        </w:rPr>
        <w:t>表3.4-8   生物质锅炉产排污系数</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9"/>
        <w:gridCol w:w="1684"/>
        <w:gridCol w:w="1884"/>
        <w:gridCol w:w="1194"/>
        <w:gridCol w:w="1885"/>
        <w:gridCol w:w="1194"/>
      </w:tblGrid>
      <w:tr w14:paraId="5D5D1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295" w:type="pct"/>
            <w:gridSpan w:val="2"/>
            <w:noWrap w:val="0"/>
            <w:vAlign w:val="top"/>
          </w:tcPr>
          <w:p w14:paraId="7BB22A12">
            <w:pPr>
              <w:pStyle w:val="19"/>
              <w:bidi w:val="0"/>
            </w:pPr>
            <w:r>
              <w:t>污染物指数指标</w:t>
            </w:r>
          </w:p>
        </w:tc>
        <w:tc>
          <w:tcPr>
            <w:tcW w:w="1133" w:type="pct"/>
            <w:noWrap w:val="0"/>
            <w:vAlign w:val="top"/>
          </w:tcPr>
          <w:p w14:paraId="4EA7AB51">
            <w:pPr>
              <w:pStyle w:val="19"/>
              <w:bidi w:val="0"/>
            </w:pPr>
            <w:r>
              <w:t>单位</w:t>
            </w:r>
          </w:p>
        </w:tc>
        <w:tc>
          <w:tcPr>
            <w:tcW w:w="718" w:type="pct"/>
            <w:noWrap w:val="0"/>
            <w:vAlign w:val="top"/>
          </w:tcPr>
          <w:p w14:paraId="3372865B">
            <w:pPr>
              <w:pStyle w:val="19"/>
              <w:bidi w:val="0"/>
            </w:pPr>
            <w:r>
              <w:t>产污系数</w:t>
            </w:r>
          </w:p>
        </w:tc>
        <w:tc>
          <w:tcPr>
            <w:tcW w:w="1134" w:type="pct"/>
            <w:noWrap w:val="0"/>
            <w:vAlign w:val="top"/>
          </w:tcPr>
          <w:p w14:paraId="0ED05DA4">
            <w:pPr>
              <w:pStyle w:val="19"/>
              <w:bidi w:val="0"/>
            </w:pPr>
            <w:r>
              <w:t>末端治理技术名称</w:t>
            </w:r>
          </w:p>
        </w:tc>
        <w:tc>
          <w:tcPr>
            <w:tcW w:w="718" w:type="pct"/>
            <w:noWrap w:val="0"/>
            <w:vAlign w:val="top"/>
          </w:tcPr>
          <w:p w14:paraId="487893B5">
            <w:pPr>
              <w:pStyle w:val="19"/>
              <w:bidi w:val="0"/>
            </w:pPr>
            <w:r>
              <w:t>排污系数</w:t>
            </w:r>
          </w:p>
        </w:tc>
      </w:tr>
      <w:tr w14:paraId="11DD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82" w:type="pct"/>
            <w:vMerge w:val="restart"/>
            <w:tcBorders>
              <w:bottom w:val="nil"/>
            </w:tcBorders>
            <w:noWrap w:val="0"/>
            <w:vAlign w:val="top"/>
          </w:tcPr>
          <w:p w14:paraId="21F0B47B">
            <w:pPr>
              <w:pStyle w:val="19"/>
              <w:bidi w:val="0"/>
            </w:pPr>
            <w:r>
              <w:t>生物</w:t>
            </w:r>
          </w:p>
          <w:p w14:paraId="38869062">
            <w:pPr>
              <w:pStyle w:val="19"/>
              <w:bidi w:val="0"/>
            </w:pPr>
            <w:r>
              <w:t>质锅</w:t>
            </w:r>
          </w:p>
          <w:p w14:paraId="0B074004">
            <w:pPr>
              <w:pStyle w:val="19"/>
              <w:bidi w:val="0"/>
            </w:pPr>
            <w:r>
              <w:t>炉</w:t>
            </w:r>
          </w:p>
        </w:tc>
        <w:tc>
          <w:tcPr>
            <w:tcW w:w="1013" w:type="pct"/>
            <w:noWrap w:val="0"/>
            <w:vAlign w:val="top"/>
          </w:tcPr>
          <w:p w14:paraId="042C8E13">
            <w:pPr>
              <w:pStyle w:val="19"/>
              <w:bidi w:val="0"/>
            </w:pPr>
            <w:r>
              <w:t>工业废气量</w:t>
            </w:r>
          </w:p>
        </w:tc>
        <w:tc>
          <w:tcPr>
            <w:tcW w:w="1133" w:type="pct"/>
            <w:noWrap w:val="0"/>
            <w:vAlign w:val="top"/>
          </w:tcPr>
          <w:p w14:paraId="099EEEE3">
            <w:pPr>
              <w:pStyle w:val="19"/>
              <w:bidi w:val="0"/>
            </w:pPr>
            <w:r>
              <w:t>标立方米/吨-原料</w:t>
            </w:r>
          </w:p>
        </w:tc>
        <w:tc>
          <w:tcPr>
            <w:tcW w:w="718" w:type="pct"/>
            <w:noWrap w:val="0"/>
            <w:vAlign w:val="top"/>
          </w:tcPr>
          <w:p w14:paraId="484CDDB1">
            <w:pPr>
              <w:pStyle w:val="19"/>
              <w:bidi w:val="0"/>
            </w:pPr>
            <w:r>
              <w:t>6240</w:t>
            </w:r>
          </w:p>
        </w:tc>
        <w:tc>
          <w:tcPr>
            <w:tcW w:w="1134" w:type="pct"/>
            <w:noWrap w:val="0"/>
            <w:vAlign w:val="top"/>
          </w:tcPr>
          <w:p w14:paraId="53070FCB">
            <w:pPr>
              <w:pStyle w:val="19"/>
              <w:bidi w:val="0"/>
            </w:pPr>
            <w:r>
              <w:t>有末端治理</w:t>
            </w:r>
          </w:p>
        </w:tc>
        <w:tc>
          <w:tcPr>
            <w:tcW w:w="718" w:type="pct"/>
            <w:noWrap w:val="0"/>
            <w:vAlign w:val="top"/>
          </w:tcPr>
          <w:p w14:paraId="54FE966B">
            <w:pPr>
              <w:pStyle w:val="19"/>
              <w:bidi w:val="0"/>
            </w:pPr>
            <w:r>
              <w:t>6240</w:t>
            </w:r>
          </w:p>
        </w:tc>
      </w:tr>
      <w:tr w14:paraId="55144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282" w:type="pct"/>
            <w:vMerge w:val="continue"/>
            <w:tcBorders>
              <w:top w:val="nil"/>
              <w:bottom w:val="nil"/>
            </w:tcBorders>
            <w:noWrap w:val="0"/>
            <w:vAlign w:val="top"/>
          </w:tcPr>
          <w:p w14:paraId="1D3B5F6D">
            <w:pPr>
              <w:pStyle w:val="19"/>
              <w:bidi w:val="0"/>
            </w:pPr>
          </w:p>
        </w:tc>
        <w:tc>
          <w:tcPr>
            <w:tcW w:w="1013" w:type="pct"/>
            <w:noWrap w:val="0"/>
            <w:vAlign w:val="top"/>
          </w:tcPr>
          <w:p w14:paraId="5970B2D2">
            <w:pPr>
              <w:pStyle w:val="19"/>
              <w:bidi w:val="0"/>
            </w:pPr>
            <w:r>
              <w:t>颗粒物</w:t>
            </w:r>
          </w:p>
        </w:tc>
        <w:tc>
          <w:tcPr>
            <w:tcW w:w="1133" w:type="pct"/>
            <w:noWrap w:val="0"/>
            <w:vAlign w:val="top"/>
          </w:tcPr>
          <w:p w14:paraId="66026801">
            <w:pPr>
              <w:pStyle w:val="19"/>
              <w:bidi w:val="0"/>
            </w:pPr>
            <w:r>
              <w:t>千克/吨-原料</w:t>
            </w:r>
          </w:p>
        </w:tc>
        <w:tc>
          <w:tcPr>
            <w:tcW w:w="718" w:type="pct"/>
            <w:noWrap w:val="0"/>
            <w:vAlign w:val="top"/>
          </w:tcPr>
          <w:p w14:paraId="5DBCCCDB">
            <w:pPr>
              <w:pStyle w:val="19"/>
              <w:bidi w:val="0"/>
            </w:pPr>
            <w:r>
              <w:t>0.5</w:t>
            </w:r>
          </w:p>
        </w:tc>
        <w:tc>
          <w:tcPr>
            <w:tcW w:w="1134" w:type="pct"/>
            <w:noWrap w:val="0"/>
            <w:vAlign w:val="top"/>
          </w:tcPr>
          <w:p w14:paraId="3E279D71">
            <w:pPr>
              <w:pStyle w:val="19"/>
              <w:bidi w:val="0"/>
            </w:pPr>
            <w:r>
              <w:t>袋式除尘</w:t>
            </w:r>
          </w:p>
        </w:tc>
        <w:tc>
          <w:tcPr>
            <w:tcW w:w="718" w:type="pct"/>
            <w:noWrap w:val="0"/>
            <w:vAlign w:val="top"/>
          </w:tcPr>
          <w:p w14:paraId="3FFE60C9">
            <w:pPr>
              <w:pStyle w:val="19"/>
              <w:bidi w:val="0"/>
            </w:pPr>
            <w:r>
              <w:t>0.002</w:t>
            </w:r>
          </w:p>
        </w:tc>
      </w:tr>
      <w:tr w14:paraId="71A60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82" w:type="pct"/>
            <w:vMerge w:val="continue"/>
            <w:tcBorders>
              <w:top w:val="nil"/>
              <w:bottom w:val="nil"/>
            </w:tcBorders>
            <w:noWrap w:val="0"/>
            <w:vAlign w:val="top"/>
          </w:tcPr>
          <w:p w14:paraId="1A9984A9">
            <w:pPr>
              <w:pStyle w:val="19"/>
              <w:bidi w:val="0"/>
            </w:pPr>
          </w:p>
        </w:tc>
        <w:tc>
          <w:tcPr>
            <w:tcW w:w="1013" w:type="pct"/>
            <w:noWrap w:val="0"/>
            <w:vAlign w:val="top"/>
          </w:tcPr>
          <w:p w14:paraId="47EB3E45">
            <w:pPr>
              <w:pStyle w:val="19"/>
              <w:bidi w:val="0"/>
            </w:pPr>
            <w:r>
              <w:t>SO</w:t>
            </w:r>
            <w:r>
              <w:rPr>
                <w:vertAlign w:val="subscript"/>
              </w:rPr>
              <w:t>2</w:t>
            </w:r>
          </w:p>
        </w:tc>
        <w:tc>
          <w:tcPr>
            <w:tcW w:w="1133" w:type="pct"/>
            <w:noWrap w:val="0"/>
            <w:vAlign w:val="top"/>
          </w:tcPr>
          <w:p w14:paraId="3B2BBF0F">
            <w:pPr>
              <w:pStyle w:val="19"/>
              <w:bidi w:val="0"/>
            </w:pPr>
            <w:r>
              <w:t>千克/吨-原料</w:t>
            </w:r>
          </w:p>
        </w:tc>
        <w:tc>
          <w:tcPr>
            <w:tcW w:w="718" w:type="pct"/>
            <w:noWrap w:val="0"/>
            <w:vAlign w:val="top"/>
          </w:tcPr>
          <w:p w14:paraId="52D712E0">
            <w:pPr>
              <w:pStyle w:val="19"/>
              <w:bidi w:val="0"/>
            </w:pPr>
            <w:r>
              <w:t>17S</w:t>
            </w:r>
            <w:r>
              <w:rPr>
                <w:vertAlign w:val="superscript"/>
              </w:rPr>
              <w:t>①</w:t>
            </w:r>
          </w:p>
        </w:tc>
        <w:tc>
          <w:tcPr>
            <w:tcW w:w="1134" w:type="pct"/>
            <w:noWrap w:val="0"/>
            <w:vAlign w:val="top"/>
          </w:tcPr>
          <w:p w14:paraId="07E53F39">
            <w:pPr>
              <w:pStyle w:val="19"/>
              <w:bidi w:val="0"/>
            </w:pPr>
            <w:r>
              <w:t>直排</w:t>
            </w:r>
          </w:p>
        </w:tc>
        <w:tc>
          <w:tcPr>
            <w:tcW w:w="718" w:type="pct"/>
            <w:noWrap w:val="0"/>
            <w:vAlign w:val="top"/>
          </w:tcPr>
          <w:p w14:paraId="14B89568">
            <w:pPr>
              <w:pStyle w:val="19"/>
              <w:bidi w:val="0"/>
            </w:pPr>
            <w:r>
              <w:t>17S</w:t>
            </w:r>
          </w:p>
        </w:tc>
      </w:tr>
      <w:tr w14:paraId="651D5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2" w:type="pct"/>
            <w:vMerge w:val="continue"/>
            <w:tcBorders>
              <w:top w:val="nil"/>
            </w:tcBorders>
            <w:noWrap w:val="0"/>
            <w:vAlign w:val="top"/>
          </w:tcPr>
          <w:p w14:paraId="2B33C244">
            <w:pPr>
              <w:pStyle w:val="19"/>
              <w:bidi w:val="0"/>
            </w:pPr>
          </w:p>
        </w:tc>
        <w:tc>
          <w:tcPr>
            <w:tcW w:w="1013" w:type="pct"/>
            <w:noWrap w:val="0"/>
            <w:vAlign w:val="top"/>
          </w:tcPr>
          <w:p w14:paraId="72ED61AC">
            <w:pPr>
              <w:pStyle w:val="19"/>
              <w:bidi w:val="0"/>
            </w:pPr>
            <w:r>
              <w:t>NO</w:t>
            </w:r>
            <w:r>
              <w:rPr>
                <w:vertAlign w:val="subscript"/>
              </w:rPr>
              <w:t>x</w:t>
            </w:r>
          </w:p>
        </w:tc>
        <w:tc>
          <w:tcPr>
            <w:tcW w:w="1133" w:type="pct"/>
            <w:noWrap w:val="0"/>
            <w:vAlign w:val="top"/>
          </w:tcPr>
          <w:p w14:paraId="6384CF1E">
            <w:pPr>
              <w:pStyle w:val="19"/>
              <w:bidi w:val="0"/>
            </w:pPr>
            <w:r>
              <w:t>千克/吨-原料</w:t>
            </w:r>
          </w:p>
        </w:tc>
        <w:tc>
          <w:tcPr>
            <w:tcW w:w="718" w:type="pct"/>
            <w:noWrap w:val="0"/>
            <w:vAlign w:val="top"/>
          </w:tcPr>
          <w:p w14:paraId="5DBD2156">
            <w:pPr>
              <w:pStyle w:val="19"/>
              <w:bidi w:val="0"/>
            </w:pPr>
            <w:r>
              <w:t>1.02</w:t>
            </w:r>
          </w:p>
        </w:tc>
        <w:tc>
          <w:tcPr>
            <w:tcW w:w="1134" w:type="pct"/>
            <w:noWrap w:val="0"/>
            <w:vAlign w:val="top"/>
          </w:tcPr>
          <w:p w14:paraId="6A2F9AAF">
            <w:pPr>
              <w:pStyle w:val="19"/>
              <w:bidi w:val="0"/>
            </w:pPr>
            <w:r>
              <w:t>低氮燃烧</w:t>
            </w:r>
          </w:p>
        </w:tc>
        <w:tc>
          <w:tcPr>
            <w:tcW w:w="718" w:type="pct"/>
            <w:noWrap w:val="0"/>
            <w:vAlign w:val="top"/>
          </w:tcPr>
          <w:p w14:paraId="2E02B3A2">
            <w:pPr>
              <w:pStyle w:val="19"/>
              <w:bidi w:val="0"/>
            </w:pPr>
            <w:r>
              <w:t>0.71</w:t>
            </w:r>
          </w:p>
        </w:tc>
      </w:tr>
    </w:tbl>
    <w:p w14:paraId="73EF2D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ascii="黑体" w:hAnsi="黑体" w:eastAsia="黑体" w:cs="黑体"/>
          <w:sz w:val="18"/>
          <w:szCs w:val="18"/>
          <w:lang w:val="en-US" w:eastAsia="zh-CN"/>
        </w:rPr>
        <w:t>①二氧化硫的产排污系数是以含硫量（S%）的形式表示的，其中含硫量（S%）是指生物质收到基硫分含量，以质量百分数的形式表示。本项目生物质中含硫量（S%）为0.1%，S=0.1。</w:t>
      </w:r>
    </w:p>
    <w:p w14:paraId="05E67778">
      <w:pPr>
        <w:bidi w:val="0"/>
        <w:rPr>
          <w:rFonts w:hint="eastAsia"/>
          <w:lang w:val="en-US" w:eastAsia="zh-CN"/>
        </w:rPr>
      </w:pPr>
      <w:r>
        <w:rPr>
          <w:rFonts w:hint="eastAsia"/>
          <w:lang w:val="en-US" w:eastAsia="zh-CN"/>
        </w:rPr>
        <w:t>本项目单个生物质锅炉烟气污染物排放情况，详见表3.4-9。</w:t>
      </w:r>
    </w:p>
    <w:p w14:paraId="7F77BBE0">
      <w:pPr>
        <w:pStyle w:val="30"/>
        <w:bidi w:val="0"/>
        <w:rPr>
          <w:rFonts w:hint="default"/>
          <w:lang w:val="en-US" w:eastAsia="zh-CN"/>
        </w:rPr>
      </w:pPr>
      <w:r>
        <w:rPr>
          <w:rFonts w:hint="eastAsia"/>
          <w:lang w:val="en-US" w:eastAsia="zh-CN"/>
        </w:rPr>
        <w:t>表3.4-9   生物质锅炉烟气污染物排放统计表（单个生物质锅炉）</w:t>
      </w:r>
    </w:p>
    <w:tbl>
      <w:tblPr>
        <w:tblStyle w:val="29"/>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7"/>
        <w:gridCol w:w="699"/>
        <w:gridCol w:w="1049"/>
        <w:gridCol w:w="876"/>
        <w:gridCol w:w="748"/>
        <w:gridCol w:w="526"/>
        <w:gridCol w:w="1304"/>
        <w:gridCol w:w="826"/>
        <w:gridCol w:w="751"/>
        <w:gridCol w:w="887"/>
      </w:tblGrid>
      <w:tr w14:paraId="117E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395" w:type="pct"/>
            <w:vMerge w:val="restart"/>
            <w:noWrap w:val="0"/>
            <w:vAlign w:val="center"/>
          </w:tcPr>
          <w:p w14:paraId="47E50CE1">
            <w:pPr>
              <w:pStyle w:val="19"/>
              <w:bidi w:val="0"/>
              <w:jc w:val="center"/>
            </w:pPr>
            <w:r>
              <w:t>燃料种类及用量</w:t>
            </w:r>
          </w:p>
        </w:tc>
        <w:tc>
          <w:tcPr>
            <w:tcW w:w="420" w:type="pct"/>
            <w:vMerge w:val="restart"/>
            <w:noWrap w:val="0"/>
            <w:vAlign w:val="center"/>
          </w:tcPr>
          <w:p w14:paraId="1174D033">
            <w:pPr>
              <w:pStyle w:val="19"/>
              <w:bidi w:val="0"/>
              <w:jc w:val="center"/>
            </w:pPr>
            <w:r>
              <w:t>污染物</w:t>
            </w:r>
          </w:p>
        </w:tc>
        <w:tc>
          <w:tcPr>
            <w:tcW w:w="4184" w:type="pct"/>
            <w:gridSpan w:val="8"/>
            <w:noWrap w:val="0"/>
            <w:vAlign w:val="center"/>
          </w:tcPr>
          <w:p w14:paraId="2433ACF0">
            <w:pPr>
              <w:pStyle w:val="19"/>
              <w:bidi w:val="0"/>
              <w:jc w:val="center"/>
            </w:pPr>
            <w:r>
              <w:t>污染物产生、排放情况</w:t>
            </w:r>
          </w:p>
        </w:tc>
      </w:tr>
      <w:tr w14:paraId="4E1E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trPr>
        <w:tc>
          <w:tcPr>
            <w:tcW w:w="395" w:type="pct"/>
            <w:vMerge w:val="continue"/>
            <w:noWrap w:val="0"/>
            <w:vAlign w:val="center"/>
          </w:tcPr>
          <w:p w14:paraId="2680DD98">
            <w:pPr>
              <w:pStyle w:val="19"/>
              <w:bidi w:val="0"/>
              <w:jc w:val="center"/>
            </w:pPr>
          </w:p>
        </w:tc>
        <w:tc>
          <w:tcPr>
            <w:tcW w:w="420" w:type="pct"/>
            <w:vMerge w:val="continue"/>
            <w:noWrap w:val="0"/>
            <w:vAlign w:val="center"/>
          </w:tcPr>
          <w:p w14:paraId="4052E586">
            <w:pPr>
              <w:pStyle w:val="19"/>
              <w:bidi w:val="0"/>
              <w:jc w:val="center"/>
            </w:pPr>
          </w:p>
        </w:tc>
        <w:tc>
          <w:tcPr>
            <w:tcW w:w="630" w:type="pct"/>
            <w:noWrap w:val="0"/>
            <w:vAlign w:val="center"/>
          </w:tcPr>
          <w:p w14:paraId="7FF013A3">
            <w:pPr>
              <w:pStyle w:val="19"/>
              <w:bidi w:val="0"/>
              <w:jc w:val="center"/>
            </w:pPr>
            <w:r>
              <w:t>产生量t/a</w:t>
            </w:r>
          </w:p>
        </w:tc>
        <w:tc>
          <w:tcPr>
            <w:tcW w:w="526" w:type="pct"/>
            <w:noWrap w:val="0"/>
            <w:vAlign w:val="center"/>
          </w:tcPr>
          <w:p w14:paraId="6025CE82">
            <w:pPr>
              <w:pStyle w:val="19"/>
              <w:bidi w:val="0"/>
              <w:jc w:val="center"/>
            </w:pPr>
            <w:r>
              <w:t>产生速率 kg/h</w:t>
            </w:r>
          </w:p>
        </w:tc>
        <w:tc>
          <w:tcPr>
            <w:tcW w:w="449" w:type="pct"/>
            <w:noWrap w:val="0"/>
            <w:vAlign w:val="center"/>
          </w:tcPr>
          <w:p w14:paraId="07966FD3">
            <w:pPr>
              <w:pStyle w:val="19"/>
              <w:bidi w:val="0"/>
              <w:jc w:val="center"/>
            </w:pPr>
            <w:r>
              <w:t>产生浓 度mg/m</w:t>
            </w:r>
            <w:r>
              <w:rPr>
                <w:vertAlign w:val="superscript"/>
              </w:rPr>
              <w:t>3</w:t>
            </w:r>
          </w:p>
        </w:tc>
        <w:tc>
          <w:tcPr>
            <w:tcW w:w="316" w:type="pct"/>
            <w:noWrap w:val="0"/>
            <w:vAlign w:val="center"/>
          </w:tcPr>
          <w:p w14:paraId="6ACACB88">
            <w:pPr>
              <w:pStyle w:val="19"/>
              <w:bidi w:val="0"/>
              <w:jc w:val="center"/>
            </w:pPr>
            <w:r>
              <w:t>处理 效率%</w:t>
            </w:r>
          </w:p>
        </w:tc>
        <w:tc>
          <w:tcPr>
            <w:tcW w:w="783" w:type="pct"/>
            <w:noWrap w:val="0"/>
            <w:vAlign w:val="center"/>
          </w:tcPr>
          <w:p w14:paraId="62CDA828">
            <w:pPr>
              <w:pStyle w:val="19"/>
              <w:bidi w:val="0"/>
              <w:jc w:val="center"/>
            </w:pPr>
            <w:r>
              <w:t>排放量t/a</w:t>
            </w:r>
          </w:p>
        </w:tc>
        <w:tc>
          <w:tcPr>
            <w:tcW w:w="496" w:type="pct"/>
            <w:noWrap w:val="0"/>
            <w:vAlign w:val="center"/>
          </w:tcPr>
          <w:p w14:paraId="52A71428">
            <w:pPr>
              <w:pStyle w:val="19"/>
              <w:bidi w:val="0"/>
              <w:jc w:val="center"/>
            </w:pPr>
            <w:r>
              <w:t>排放速率kg/h</w:t>
            </w:r>
          </w:p>
        </w:tc>
        <w:tc>
          <w:tcPr>
            <w:tcW w:w="451" w:type="pct"/>
            <w:noWrap w:val="0"/>
            <w:vAlign w:val="center"/>
          </w:tcPr>
          <w:p w14:paraId="37D1E474">
            <w:pPr>
              <w:pStyle w:val="19"/>
              <w:bidi w:val="0"/>
              <w:jc w:val="center"/>
            </w:pPr>
            <w:r>
              <w:t>排放浓 度mg/m</w:t>
            </w:r>
            <w:r>
              <w:rPr>
                <w:vertAlign w:val="superscript"/>
              </w:rPr>
              <w:t>3</w:t>
            </w:r>
          </w:p>
        </w:tc>
        <w:tc>
          <w:tcPr>
            <w:tcW w:w="530" w:type="pct"/>
            <w:noWrap w:val="0"/>
            <w:vAlign w:val="center"/>
          </w:tcPr>
          <w:p w14:paraId="4D689436">
            <w:pPr>
              <w:pStyle w:val="19"/>
              <w:bidi w:val="0"/>
              <w:jc w:val="center"/>
            </w:pPr>
            <w:r>
              <w:t>排放浓度限值mg/m</w:t>
            </w:r>
            <w:r>
              <w:rPr>
                <w:vertAlign w:val="superscript"/>
              </w:rPr>
              <w:t>3</w:t>
            </w:r>
          </w:p>
        </w:tc>
      </w:tr>
      <w:tr w14:paraId="36C7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395" w:type="pct"/>
            <w:vMerge w:val="restart"/>
            <w:noWrap w:val="0"/>
            <w:vAlign w:val="center"/>
          </w:tcPr>
          <w:p w14:paraId="007B7705">
            <w:pPr>
              <w:pStyle w:val="19"/>
              <w:bidi w:val="0"/>
              <w:jc w:val="center"/>
            </w:pPr>
            <w:r>
              <w:t>生物质燃料</w:t>
            </w:r>
            <w:r>
              <w:rPr>
                <w:rFonts w:hint="eastAsia"/>
                <w:lang w:val="en-US" w:eastAsia="zh-CN"/>
              </w:rPr>
              <w:t>1900</w:t>
            </w:r>
            <w:r>
              <w:t>t/a</w:t>
            </w:r>
          </w:p>
        </w:tc>
        <w:tc>
          <w:tcPr>
            <w:tcW w:w="420" w:type="pct"/>
            <w:noWrap w:val="0"/>
            <w:vAlign w:val="center"/>
          </w:tcPr>
          <w:p w14:paraId="2971251E">
            <w:pPr>
              <w:pStyle w:val="19"/>
              <w:bidi w:val="0"/>
              <w:jc w:val="center"/>
            </w:pPr>
            <w:r>
              <w:t>废气量</w:t>
            </w:r>
          </w:p>
        </w:tc>
        <w:tc>
          <w:tcPr>
            <w:tcW w:w="630" w:type="pct"/>
            <w:noWrap w:val="0"/>
            <w:vAlign w:val="center"/>
          </w:tcPr>
          <w:p w14:paraId="309D4431">
            <w:pPr>
              <w:pStyle w:val="19"/>
              <w:bidi w:val="0"/>
              <w:jc w:val="center"/>
              <w:rPr>
                <w:rFonts w:hint="default" w:eastAsia="宋体"/>
                <w:lang w:val="en-US" w:eastAsia="zh-CN"/>
              </w:rPr>
            </w:pPr>
            <w:r>
              <w:rPr>
                <w:rFonts w:hint="eastAsia"/>
                <w:lang w:val="en-US" w:eastAsia="zh-CN"/>
              </w:rPr>
              <w:t>1185.6万</w:t>
            </w:r>
          </w:p>
          <w:p w14:paraId="28713FF0">
            <w:pPr>
              <w:pStyle w:val="19"/>
              <w:bidi w:val="0"/>
              <w:jc w:val="center"/>
            </w:pPr>
            <w:r>
              <w:t>m</w:t>
            </w:r>
            <w:r>
              <w:rPr>
                <w:vertAlign w:val="superscript"/>
              </w:rPr>
              <w:t>3</w:t>
            </w:r>
            <w:r>
              <w:t>/a</w:t>
            </w:r>
          </w:p>
        </w:tc>
        <w:tc>
          <w:tcPr>
            <w:tcW w:w="526" w:type="pct"/>
            <w:noWrap w:val="0"/>
            <w:vAlign w:val="center"/>
          </w:tcPr>
          <w:p w14:paraId="2966F83B">
            <w:pPr>
              <w:pStyle w:val="19"/>
              <w:bidi w:val="0"/>
              <w:jc w:val="center"/>
              <w:rPr>
                <w:rFonts w:hint="eastAsia" w:eastAsia="宋体"/>
                <w:lang w:val="en-US" w:eastAsia="zh-CN"/>
              </w:rPr>
            </w:pPr>
            <w:r>
              <w:rPr>
                <w:rFonts w:hint="eastAsia"/>
                <w:lang w:val="en-US" w:eastAsia="zh-CN"/>
              </w:rPr>
              <w:t>2729</w:t>
            </w:r>
            <w:r>
              <w:t>m</w:t>
            </w:r>
            <w:r>
              <w:rPr>
                <w:vertAlign w:val="superscript"/>
              </w:rPr>
              <w:t>3</w:t>
            </w:r>
            <w:r>
              <w:t>/</w:t>
            </w:r>
            <w:r>
              <w:rPr>
                <w:rFonts w:hint="eastAsia"/>
                <w:lang w:val="en-US" w:eastAsia="zh-CN"/>
              </w:rPr>
              <w:t>h</w:t>
            </w:r>
          </w:p>
        </w:tc>
        <w:tc>
          <w:tcPr>
            <w:tcW w:w="449" w:type="pct"/>
            <w:noWrap w:val="0"/>
            <w:vAlign w:val="center"/>
          </w:tcPr>
          <w:p w14:paraId="326FEF32">
            <w:pPr>
              <w:pStyle w:val="19"/>
              <w:bidi w:val="0"/>
              <w:jc w:val="center"/>
            </w:pPr>
            <w:r>
              <w:t>-</w:t>
            </w:r>
          </w:p>
        </w:tc>
        <w:tc>
          <w:tcPr>
            <w:tcW w:w="316" w:type="pct"/>
            <w:noWrap w:val="0"/>
            <w:vAlign w:val="center"/>
          </w:tcPr>
          <w:p w14:paraId="3F788CE6">
            <w:pPr>
              <w:pStyle w:val="19"/>
              <w:bidi w:val="0"/>
              <w:jc w:val="center"/>
            </w:pPr>
            <w:r>
              <w:t>-</w:t>
            </w:r>
          </w:p>
        </w:tc>
        <w:tc>
          <w:tcPr>
            <w:tcW w:w="783" w:type="pct"/>
            <w:noWrap w:val="0"/>
            <w:vAlign w:val="center"/>
          </w:tcPr>
          <w:p w14:paraId="1AF821FC">
            <w:pPr>
              <w:pStyle w:val="19"/>
              <w:bidi w:val="0"/>
              <w:jc w:val="center"/>
              <w:rPr>
                <w:rFonts w:hint="default" w:eastAsia="宋体"/>
                <w:lang w:val="en-US" w:eastAsia="zh-CN"/>
              </w:rPr>
            </w:pPr>
            <w:r>
              <w:rPr>
                <w:rFonts w:hint="eastAsia"/>
                <w:lang w:val="en-US" w:eastAsia="zh-CN"/>
              </w:rPr>
              <w:t>1185.6万</w:t>
            </w:r>
          </w:p>
          <w:p w14:paraId="4E26075E">
            <w:pPr>
              <w:pStyle w:val="19"/>
              <w:bidi w:val="0"/>
              <w:jc w:val="center"/>
            </w:pPr>
            <w:r>
              <w:t>m</w:t>
            </w:r>
            <w:r>
              <w:rPr>
                <w:vertAlign w:val="superscript"/>
              </w:rPr>
              <w:t>3</w:t>
            </w:r>
            <w:r>
              <w:t>/a</w:t>
            </w:r>
          </w:p>
        </w:tc>
        <w:tc>
          <w:tcPr>
            <w:tcW w:w="496" w:type="pct"/>
            <w:noWrap w:val="0"/>
            <w:vAlign w:val="center"/>
          </w:tcPr>
          <w:p w14:paraId="0E0E2F26">
            <w:pPr>
              <w:pStyle w:val="19"/>
              <w:bidi w:val="0"/>
              <w:jc w:val="center"/>
            </w:pPr>
            <w:r>
              <w:rPr>
                <w:rFonts w:hint="eastAsia"/>
                <w:lang w:val="en-US" w:eastAsia="zh-CN"/>
              </w:rPr>
              <w:t>2729</w:t>
            </w:r>
            <w:r>
              <w:t>m</w:t>
            </w:r>
            <w:r>
              <w:rPr>
                <w:vertAlign w:val="superscript"/>
              </w:rPr>
              <w:t>3</w:t>
            </w:r>
            <w:r>
              <w:t>/</w:t>
            </w:r>
            <w:r>
              <w:rPr>
                <w:rFonts w:hint="eastAsia"/>
                <w:lang w:val="en-US" w:eastAsia="zh-CN"/>
              </w:rPr>
              <w:t>h</w:t>
            </w:r>
          </w:p>
        </w:tc>
        <w:tc>
          <w:tcPr>
            <w:tcW w:w="451" w:type="pct"/>
            <w:noWrap w:val="0"/>
            <w:vAlign w:val="center"/>
          </w:tcPr>
          <w:p w14:paraId="03801FBB">
            <w:pPr>
              <w:pStyle w:val="19"/>
              <w:bidi w:val="0"/>
              <w:jc w:val="center"/>
            </w:pPr>
            <w:r>
              <w:t>-</w:t>
            </w:r>
          </w:p>
        </w:tc>
        <w:tc>
          <w:tcPr>
            <w:tcW w:w="530" w:type="pct"/>
            <w:noWrap w:val="0"/>
            <w:vAlign w:val="center"/>
          </w:tcPr>
          <w:p w14:paraId="6D1F769E">
            <w:pPr>
              <w:pStyle w:val="19"/>
              <w:bidi w:val="0"/>
              <w:jc w:val="center"/>
            </w:pPr>
            <w:r>
              <w:t>-</w:t>
            </w:r>
          </w:p>
        </w:tc>
      </w:tr>
      <w:tr w14:paraId="301D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395" w:type="pct"/>
            <w:vMerge w:val="continue"/>
            <w:noWrap w:val="0"/>
            <w:vAlign w:val="center"/>
          </w:tcPr>
          <w:p w14:paraId="3C4CD669">
            <w:pPr>
              <w:pStyle w:val="19"/>
              <w:bidi w:val="0"/>
              <w:jc w:val="center"/>
            </w:pPr>
          </w:p>
        </w:tc>
        <w:tc>
          <w:tcPr>
            <w:tcW w:w="420" w:type="pct"/>
            <w:noWrap w:val="0"/>
            <w:vAlign w:val="center"/>
          </w:tcPr>
          <w:p w14:paraId="6D56BDA1">
            <w:pPr>
              <w:pStyle w:val="19"/>
              <w:bidi w:val="0"/>
              <w:jc w:val="center"/>
            </w:pPr>
            <w:r>
              <w:t>颗粒物</w:t>
            </w:r>
          </w:p>
        </w:tc>
        <w:tc>
          <w:tcPr>
            <w:tcW w:w="630" w:type="pct"/>
            <w:noWrap w:val="0"/>
            <w:vAlign w:val="center"/>
          </w:tcPr>
          <w:p w14:paraId="37CB3AF5">
            <w:pPr>
              <w:pStyle w:val="19"/>
              <w:bidi w:val="0"/>
              <w:jc w:val="center"/>
              <w:rPr>
                <w:rFonts w:hint="default" w:eastAsia="宋体"/>
                <w:lang w:val="en-US" w:eastAsia="zh-CN"/>
              </w:rPr>
            </w:pPr>
            <w:r>
              <w:rPr>
                <w:rFonts w:hint="eastAsia"/>
                <w:lang w:val="en-US" w:eastAsia="zh-CN"/>
              </w:rPr>
              <w:t>0.95</w:t>
            </w:r>
          </w:p>
        </w:tc>
        <w:tc>
          <w:tcPr>
            <w:tcW w:w="526" w:type="pct"/>
            <w:noWrap w:val="0"/>
            <w:vAlign w:val="center"/>
          </w:tcPr>
          <w:p w14:paraId="6D197978">
            <w:pPr>
              <w:pStyle w:val="19"/>
              <w:bidi w:val="0"/>
              <w:jc w:val="center"/>
              <w:rPr>
                <w:rFonts w:hint="default" w:eastAsia="宋体"/>
                <w:lang w:val="en-US" w:eastAsia="zh-CN"/>
              </w:rPr>
            </w:pPr>
            <w:r>
              <w:rPr>
                <w:rFonts w:hint="eastAsia"/>
                <w:lang w:val="en-US" w:eastAsia="zh-CN"/>
              </w:rPr>
              <w:t>0.219</w:t>
            </w:r>
          </w:p>
        </w:tc>
        <w:tc>
          <w:tcPr>
            <w:tcW w:w="449" w:type="pct"/>
            <w:noWrap w:val="0"/>
            <w:vAlign w:val="center"/>
          </w:tcPr>
          <w:p w14:paraId="38B4FC77">
            <w:pPr>
              <w:pStyle w:val="19"/>
              <w:bidi w:val="0"/>
              <w:jc w:val="center"/>
              <w:rPr>
                <w:rFonts w:hint="default" w:eastAsia="宋体"/>
                <w:lang w:val="en-US" w:eastAsia="zh-CN"/>
              </w:rPr>
            </w:pPr>
            <w:r>
              <w:rPr>
                <w:rFonts w:hint="eastAsia"/>
                <w:lang w:val="en-US" w:eastAsia="zh-CN"/>
              </w:rPr>
              <w:t>80.25</w:t>
            </w:r>
          </w:p>
        </w:tc>
        <w:tc>
          <w:tcPr>
            <w:tcW w:w="316" w:type="pct"/>
            <w:noWrap w:val="0"/>
            <w:vAlign w:val="center"/>
          </w:tcPr>
          <w:p w14:paraId="49AC3D44">
            <w:pPr>
              <w:pStyle w:val="19"/>
              <w:bidi w:val="0"/>
              <w:jc w:val="center"/>
            </w:pPr>
            <w:r>
              <w:t>99</w:t>
            </w:r>
          </w:p>
        </w:tc>
        <w:tc>
          <w:tcPr>
            <w:tcW w:w="783" w:type="pct"/>
            <w:noWrap w:val="0"/>
            <w:vAlign w:val="center"/>
          </w:tcPr>
          <w:p w14:paraId="3BB7DFBB">
            <w:pPr>
              <w:pStyle w:val="19"/>
              <w:bidi w:val="0"/>
              <w:jc w:val="center"/>
              <w:rPr>
                <w:rFonts w:hint="default" w:eastAsia="宋体"/>
                <w:lang w:val="en-US" w:eastAsia="zh-CN"/>
              </w:rPr>
            </w:pPr>
            <w:r>
              <w:rPr>
                <w:rFonts w:hint="eastAsia"/>
                <w:lang w:val="en-US" w:eastAsia="zh-CN"/>
              </w:rPr>
              <w:t>0.0095</w:t>
            </w:r>
          </w:p>
        </w:tc>
        <w:tc>
          <w:tcPr>
            <w:tcW w:w="496" w:type="pct"/>
            <w:noWrap w:val="0"/>
            <w:vAlign w:val="center"/>
          </w:tcPr>
          <w:p w14:paraId="66F9D44A">
            <w:pPr>
              <w:pStyle w:val="19"/>
              <w:bidi w:val="0"/>
              <w:jc w:val="center"/>
              <w:rPr>
                <w:rFonts w:hint="default" w:eastAsia="宋体"/>
                <w:lang w:val="en-US" w:eastAsia="zh-CN"/>
              </w:rPr>
            </w:pPr>
            <w:r>
              <w:rPr>
                <w:rFonts w:hint="eastAsia"/>
                <w:lang w:val="en-US" w:eastAsia="zh-CN"/>
              </w:rPr>
              <w:t>0.00219</w:t>
            </w:r>
          </w:p>
        </w:tc>
        <w:tc>
          <w:tcPr>
            <w:tcW w:w="451" w:type="pct"/>
            <w:noWrap w:val="0"/>
            <w:vAlign w:val="center"/>
          </w:tcPr>
          <w:p w14:paraId="051E814F">
            <w:pPr>
              <w:pStyle w:val="19"/>
              <w:bidi w:val="0"/>
              <w:jc w:val="center"/>
              <w:rPr>
                <w:rFonts w:hint="default" w:eastAsia="宋体"/>
                <w:lang w:val="en-US" w:eastAsia="zh-CN"/>
              </w:rPr>
            </w:pPr>
            <w:r>
              <w:rPr>
                <w:rFonts w:hint="eastAsia"/>
                <w:lang w:val="en-US" w:eastAsia="zh-CN"/>
              </w:rPr>
              <w:t>0.81</w:t>
            </w:r>
          </w:p>
        </w:tc>
        <w:tc>
          <w:tcPr>
            <w:tcW w:w="530" w:type="pct"/>
            <w:noWrap w:val="0"/>
            <w:vAlign w:val="center"/>
          </w:tcPr>
          <w:p w14:paraId="0C7330E1">
            <w:pPr>
              <w:pStyle w:val="19"/>
              <w:bidi w:val="0"/>
              <w:jc w:val="center"/>
              <w:rPr>
                <w:rFonts w:hint="default" w:eastAsia="宋体"/>
                <w:lang w:val="en-US" w:eastAsia="zh-CN"/>
              </w:rPr>
            </w:pPr>
            <w:r>
              <w:rPr>
                <w:rFonts w:hint="eastAsia"/>
                <w:lang w:val="en-US" w:eastAsia="zh-CN"/>
              </w:rPr>
              <w:t>50</w:t>
            </w:r>
          </w:p>
        </w:tc>
      </w:tr>
      <w:tr w14:paraId="0864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395" w:type="pct"/>
            <w:vMerge w:val="continue"/>
            <w:noWrap w:val="0"/>
            <w:vAlign w:val="center"/>
          </w:tcPr>
          <w:p w14:paraId="4D46C3A9">
            <w:pPr>
              <w:pStyle w:val="19"/>
              <w:bidi w:val="0"/>
              <w:jc w:val="center"/>
            </w:pPr>
          </w:p>
        </w:tc>
        <w:tc>
          <w:tcPr>
            <w:tcW w:w="420" w:type="pct"/>
            <w:noWrap w:val="0"/>
            <w:vAlign w:val="center"/>
          </w:tcPr>
          <w:p w14:paraId="63F24035">
            <w:pPr>
              <w:pStyle w:val="19"/>
              <w:bidi w:val="0"/>
              <w:jc w:val="center"/>
            </w:pPr>
            <w:r>
              <w:t>SO</w:t>
            </w:r>
            <w:r>
              <w:rPr>
                <w:vertAlign w:val="subscript"/>
              </w:rPr>
              <w:t>2</w:t>
            </w:r>
          </w:p>
        </w:tc>
        <w:tc>
          <w:tcPr>
            <w:tcW w:w="630" w:type="pct"/>
            <w:noWrap w:val="0"/>
            <w:vAlign w:val="center"/>
          </w:tcPr>
          <w:p w14:paraId="5E9E759D">
            <w:pPr>
              <w:pStyle w:val="19"/>
              <w:bidi w:val="0"/>
              <w:jc w:val="center"/>
              <w:rPr>
                <w:rFonts w:hint="default" w:eastAsia="宋体"/>
                <w:lang w:val="en-US" w:eastAsia="zh-CN"/>
              </w:rPr>
            </w:pPr>
            <w:r>
              <w:rPr>
                <w:rFonts w:hint="eastAsia"/>
                <w:lang w:val="en-US" w:eastAsia="zh-CN"/>
              </w:rPr>
              <w:t>3.23</w:t>
            </w:r>
          </w:p>
        </w:tc>
        <w:tc>
          <w:tcPr>
            <w:tcW w:w="526" w:type="pct"/>
            <w:noWrap w:val="0"/>
            <w:vAlign w:val="center"/>
          </w:tcPr>
          <w:p w14:paraId="3FDDE6A7">
            <w:pPr>
              <w:pStyle w:val="19"/>
              <w:bidi w:val="0"/>
              <w:jc w:val="center"/>
            </w:pPr>
            <w:r>
              <w:rPr>
                <w:rFonts w:hint="eastAsia"/>
                <w:lang w:val="en-US" w:eastAsia="zh-CN"/>
              </w:rPr>
              <w:t>0.745</w:t>
            </w:r>
          </w:p>
        </w:tc>
        <w:tc>
          <w:tcPr>
            <w:tcW w:w="449" w:type="pct"/>
            <w:noWrap w:val="0"/>
            <w:vAlign w:val="center"/>
          </w:tcPr>
          <w:p w14:paraId="0FA8314A">
            <w:pPr>
              <w:pStyle w:val="19"/>
              <w:bidi w:val="0"/>
              <w:jc w:val="center"/>
              <w:rPr>
                <w:rFonts w:hint="default" w:eastAsia="宋体"/>
                <w:lang w:val="en-US" w:eastAsia="zh-CN"/>
              </w:rPr>
            </w:pPr>
            <w:r>
              <w:rPr>
                <w:rFonts w:hint="eastAsia"/>
                <w:lang w:val="en-US" w:eastAsia="zh-CN"/>
              </w:rPr>
              <w:t>273</w:t>
            </w:r>
          </w:p>
        </w:tc>
        <w:tc>
          <w:tcPr>
            <w:tcW w:w="316" w:type="pct"/>
            <w:noWrap w:val="0"/>
            <w:vAlign w:val="center"/>
          </w:tcPr>
          <w:p w14:paraId="07BB7BB7">
            <w:pPr>
              <w:pStyle w:val="19"/>
              <w:bidi w:val="0"/>
              <w:jc w:val="center"/>
              <w:rPr>
                <w:rFonts w:hint="default" w:eastAsia="宋体"/>
                <w:lang w:val="en-US" w:eastAsia="zh-CN"/>
              </w:rPr>
            </w:pPr>
            <w:r>
              <w:rPr>
                <w:rFonts w:hint="eastAsia"/>
                <w:lang w:val="en-US" w:eastAsia="zh-CN"/>
              </w:rPr>
              <w:t>-</w:t>
            </w:r>
          </w:p>
        </w:tc>
        <w:tc>
          <w:tcPr>
            <w:tcW w:w="783" w:type="pct"/>
            <w:noWrap w:val="0"/>
            <w:vAlign w:val="center"/>
          </w:tcPr>
          <w:p w14:paraId="0AA1D3A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3.23</w:t>
            </w:r>
          </w:p>
        </w:tc>
        <w:tc>
          <w:tcPr>
            <w:tcW w:w="496" w:type="pct"/>
            <w:noWrap w:val="0"/>
            <w:vAlign w:val="center"/>
          </w:tcPr>
          <w:p w14:paraId="1706684D">
            <w:pPr>
              <w:pStyle w:val="19"/>
              <w:bidi w:val="0"/>
              <w:ind w:firstLine="0" w:firstLineChars="0"/>
              <w:jc w:val="center"/>
              <w:rPr>
                <w:rFonts w:ascii="Times New Roman" w:hAnsi="Times New Roman" w:eastAsia="宋体" w:cs="Times New Roman"/>
                <w:kern w:val="2"/>
                <w:sz w:val="21"/>
                <w:szCs w:val="22"/>
                <w:lang w:val="en-US" w:eastAsia="zh-CN" w:bidi="ar-SA"/>
              </w:rPr>
            </w:pPr>
            <w:r>
              <w:rPr>
                <w:rFonts w:hint="eastAsia"/>
                <w:lang w:val="en-US" w:eastAsia="zh-CN"/>
              </w:rPr>
              <w:t>0.745</w:t>
            </w:r>
          </w:p>
        </w:tc>
        <w:tc>
          <w:tcPr>
            <w:tcW w:w="451" w:type="pct"/>
            <w:noWrap w:val="0"/>
            <w:vAlign w:val="center"/>
          </w:tcPr>
          <w:p w14:paraId="7B287E43">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273</w:t>
            </w:r>
          </w:p>
        </w:tc>
        <w:tc>
          <w:tcPr>
            <w:tcW w:w="530" w:type="pct"/>
            <w:noWrap w:val="0"/>
            <w:vAlign w:val="center"/>
          </w:tcPr>
          <w:p w14:paraId="729D90EA">
            <w:pPr>
              <w:pStyle w:val="19"/>
              <w:bidi w:val="0"/>
              <w:jc w:val="center"/>
              <w:rPr>
                <w:rFonts w:hint="default" w:eastAsia="宋体"/>
                <w:lang w:val="en-US" w:eastAsia="zh-CN"/>
              </w:rPr>
            </w:pPr>
            <w:r>
              <w:rPr>
                <w:rFonts w:hint="eastAsia"/>
                <w:lang w:val="en-US" w:eastAsia="zh-CN"/>
              </w:rPr>
              <w:t>300</w:t>
            </w:r>
          </w:p>
        </w:tc>
      </w:tr>
      <w:tr w14:paraId="1730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395" w:type="pct"/>
            <w:vMerge w:val="continue"/>
            <w:noWrap w:val="0"/>
            <w:vAlign w:val="center"/>
          </w:tcPr>
          <w:p w14:paraId="73A913EB">
            <w:pPr>
              <w:pStyle w:val="19"/>
              <w:bidi w:val="0"/>
              <w:jc w:val="center"/>
            </w:pPr>
          </w:p>
        </w:tc>
        <w:tc>
          <w:tcPr>
            <w:tcW w:w="420" w:type="pct"/>
            <w:noWrap w:val="0"/>
            <w:vAlign w:val="center"/>
          </w:tcPr>
          <w:p w14:paraId="07D3CC77">
            <w:pPr>
              <w:pStyle w:val="19"/>
              <w:bidi w:val="0"/>
              <w:jc w:val="center"/>
            </w:pPr>
            <w:r>
              <w:t>NO</w:t>
            </w:r>
            <w:r>
              <w:rPr>
                <w:vertAlign w:val="subscript"/>
              </w:rPr>
              <w:t>x</w:t>
            </w:r>
          </w:p>
        </w:tc>
        <w:tc>
          <w:tcPr>
            <w:tcW w:w="630" w:type="pct"/>
            <w:noWrap w:val="0"/>
            <w:vAlign w:val="center"/>
          </w:tcPr>
          <w:p w14:paraId="455003C4">
            <w:pPr>
              <w:pStyle w:val="19"/>
              <w:bidi w:val="0"/>
              <w:jc w:val="center"/>
              <w:rPr>
                <w:rFonts w:hint="default" w:eastAsia="宋体"/>
                <w:lang w:val="en-US" w:eastAsia="zh-CN"/>
              </w:rPr>
            </w:pPr>
            <w:r>
              <w:rPr>
                <w:rFonts w:hint="eastAsia"/>
                <w:lang w:val="en-US" w:eastAsia="zh-CN"/>
              </w:rPr>
              <w:t>1.938</w:t>
            </w:r>
          </w:p>
        </w:tc>
        <w:tc>
          <w:tcPr>
            <w:tcW w:w="526" w:type="pct"/>
            <w:noWrap w:val="0"/>
            <w:vAlign w:val="center"/>
          </w:tcPr>
          <w:p w14:paraId="178BE1AD">
            <w:pPr>
              <w:pStyle w:val="19"/>
              <w:bidi w:val="0"/>
              <w:jc w:val="center"/>
              <w:rPr>
                <w:rFonts w:hint="default" w:eastAsia="宋体"/>
                <w:lang w:val="en-US" w:eastAsia="zh-CN"/>
              </w:rPr>
            </w:pPr>
            <w:r>
              <w:rPr>
                <w:rFonts w:hint="eastAsia"/>
                <w:lang w:val="en-US" w:eastAsia="zh-CN"/>
              </w:rPr>
              <w:t>0.446</w:t>
            </w:r>
          </w:p>
        </w:tc>
        <w:tc>
          <w:tcPr>
            <w:tcW w:w="449" w:type="pct"/>
            <w:noWrap w:val="0"/>
            <w:vAlign w:val="center"/>
          </w:tcPr>
          <w:p w14:paraId="76645F0E">
            <w:pPr>
              <w:pStyle w:val="19"/>
              <w:bidi w:val="0"/>
              <w:jc w:val="center"/>
              <w:rPr>
                <w:rFonts w:hint="default" w:eastAsia="宋体"/>
                <w:lang w:val="en-US" w:eastAsia="zh-CN"/>
              </w:rPr>
            </w:pPr>
            <w:r>
              <w:rPr>
                <w:rFonts w:hint="eastAsia"/>
                <w:lang w:val="en-US" w:eastAsia="zh-CN"/>
              </w:rPr>
              <w:t>163.43</w:t>
            </w:r>
          </w:p>
        </w:tc>
        <w:tc>
          <w:tcPr>
            <w:tcW w:w="316" w:type="pct"/>
            <w:noWrap w:val="0"/>
            <w:vAlign w:val="center"/>
          </w:tcPr>
          <w:p w14:paraId="3A4E1B58">
            <w:pPr>
              <w:pStyle w:val="19"/>
              <w:bidi w:val="0"/>
              <w:jc w:val="center"/>
            </w:pPr>
            <w:r>
              <w:t>30</w:t>
            </w:r>
          </w:p>
        </w:tc>
        <w:tc>
          <w:tcPr>
            <w:tcW w:w="783" w:type="pct"/>
            <w:noWrap w:val="0"/>
            <w:vAlign w:val="center"/>
          </w:tcPr>
          <w:p w14:paraId="270B2C63">
            <w:pPr>
              <w:pStyle w:val="19"/>
              <w:bidi w:val="0"/>
              <w:jc w:val="center"/>
              <w:rPr>
                <w:rFonts w:hint="default" w:eastAsia="宋体"/>
                <w:lang w:val="en-US" w:eastAsia="zh-CN"/>
              </w:rPr>
            </w:pPr>
            <w:r>
              <w:rPr>
                <w:rFonts w:hint="eastAsia"/>
                <w:lang w:val="en-US" w:eastAsia="zh-CN"/>
              </w:rPr>
              <w:t>1.3566</w:t>
            </w:r>
          </w:p>
        </w:tc>
        <w:tc>
          <w:tcPr>
            <w:tcW w:w="496" w:type="pct"/>
            <w:noWrap w:val="0"/>
            <w:vAlign w:val="center"/>
          </w:tcPr>
          <w:p w14:paraId="1B35A2BD">
            <w:pPr>
              <w:pStyle w:val="19"/>
              <w:bidi w:val="0"/>
              <w:jc w:val="center"/>
              <w:rPr>
                <w:rFonts w:hint="default" w:eastAsia="宋体"/>
                <w:lang w:val="en-US" w:eastAsia="zh-CN"/>
              </w:rPr>
            </w:pPr>
            <w:r>
              <w:rPr>
                <w:rFonts w:hint="eastAsia"/>
                <w:lang w:val="en-US" w:eastAsia="zh-CN"/>
              </w:rPr>
              <w:t>0.3122</w:t>
            </w:r>
          </w:p>
        </w:tc>
        <w:tc>
          <w:tcPr>
            <w:tcW w:w="451" w:type="pct"/>
            <w:noWrap w:val="0"/>
            <w:vAlign w:val="center"/>
          </w:tcPr>
          <w:p w14:paraId="1E1037C8">
            <w:pPr>
              <w:pStyle w:val="19"/>
              <w:bidi w:val="0"/>
              <w:jc w:val="center"/>
              <w:rPr>
                <w:rFonts w:hint="default" w:eastAsia="宋体"/>
                <w:lang w:val="en-US" w:eastAsia="zh-CN"/>
              </w:rPr>
            </w:pPr>
            <w:r>
              <w:rPr>
                <w:rFonts w:hint="eastAsia"/>
                <w:lang w:val="en-US" w:eastAsia="zh-CN"/>
              </w:rPr>
              <w:t>114.4</w:t>
            </w:r>
          </w:p>
        </w:tc>
        <w:tc>
          <w:tcPr>
            <w:tcW w:w="530" w:type="pct"/>
            <w:noWrap w:val="0"/>
            <w:vAlign w:val="center"/>
          </w:tcPr>
          <w:p w14:paraId="54714D29">
            <w:pPr>
              <w:pStyle w:val="19"/>
              <w:bidi w:val="0"/>
              <w:jc w:val="center"/>
            </w:pPr>
            <w:r>
              <w:rPr>
                <w:rFonts w:hint="eastAsia"/>
                <w:lang w:val="en-US" w:eastAsia="zh-CN"/>
              </w:rPr>
              <w:t>30</w:t>
            </w:r>
            <w:r>
              <w:t>0</w:t>
            </w:r>
          </w:p>
        </w:tc>
      </w:tr>
    </w:tbl>
    <w:p w14:paraId="3EAF4E8E">
      <w:pPr>
        <w:bidi w:val="0"/>
        <w:rPr>
          <w:rFonts w:hint="eastAsia"/>
          <w:b/>
          <w:bCs/>
          <w:lang w:val="en-US" w:eastAsia="zh-CN"/>
        </w:rPr>
      </w:pPr>
      <w:r>
        <w:rPr>
          <w:rFonts w:hint="eastAsia"/>
          <w:b/>
          <w:bCs/>
          <w:lang w:val="en-US" w:eastAsia="zh-CN"/>
        </w:rPr>
        <w:t>每座锅炉房设置相同规模的生物质锅炉，使用同种生物质燃料，因此，3座生物质锅炉的污染物产排情况相同，均为表3.4-9中所列数据。</w:t>
      </w:r>
    </w:p>
    <w:p w14:paraId="61A9738E">
      <w:pPr>
        <w:bidi w:val="0"/>
        <w:rPr>
          <w:rFonts w:hint="eastAsia"/>
          <w:lang w:val="en-US" w:eastAsia="zh-CN"/>
        </w:rPr>
      </w:pPr>
      <w:r>
        <w:rPr>
          <w:rFonts w:hint="eastAsia"/>
          <w:lang w:val="en-US" w:eastAsia="zh-CN"/>
        </w:rPr>
        <w:t>综上所述，本项目废气排放情况汇总见表3.4-10和表3.4-11。</w:t>
      </w:r>
    </w:p>
    <w:p w14:paraId="24C5BDBB">
      <w:pPr>
        <w:pStyle w:val="30"/>
        <w:bidi w:val="0"/>
        <w:rPr>
          <w:rFonts w:hint="default"/>
          <w:lang w:val="en-US" w:eastAsia="zh-CN"/>
        </w:rPr>
      </w:pPr>
      <w:r>
        <w:rPr>
          <w:rFonts w:hint="eastAsia"/>
          <w:lang w:val="en-US" w:eastAsia="zh-CN"/>
        </w:rPr>
        <w:t>表3.4-10   本项目废气排放情况汇总表（无组织）</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690"/>
        <w:gridCol w:w="840"/>
        <w:gridCol w:w="870"/>
        <w:gridCol w:w="1035"/>
        <w:gridCol w:w="2235"/>
        <w:gridCol w:w="885"/>
        <w:gridCol w:w="1064"/>
      </w:tblGrid>
      <w:tr w14:paraId="0E45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695A1523">
            <w:pPr>
              <w:pStyle w:val="19"/>
              <w:bidi w:val="0"/>
            </w:pPr>
            <w:r>
              <w:rPr>
                <w:rFonts w:hint="default"/>
              </w:rPr>
              <w:t>污染源</w:t>
            </w:r>
          </w:p>
        </w:tc>
        <w:tc>
          <w:tcPr>
            <w:tcW w:w="404" w:type="pct"/>
            <w:vMerge w:val="restart"/>
            <w:vAlign w:val="center"/>
          </w:tcPr>
          <w:p w14:paraId="258597FA">
            <w:pPr>
              <w:pStyle w:val="19"/>
              <w:bidi w:val="0"/>
            </w:pPr>
            <w:r>
              <w:rPr>
                <w:rFonts w:hint="default"/>
              </w:rPr>
              <w:t>排放形式</w:t>
            </w:r>
          </w:p>
        </w:tc>
        <w:tc>
          <w:tcPr>
            <w:tcW w:w="492" w:type="pct"/>
            <w:vMerge w:val="restart"/>
            <w:vAlign w:val="center"/>
          </w:tcPr>
          <w:p w14:paraId="0C4360EB">
            <w:pPr>
              <w:pStyle w:val="19"/>
              <w:bidi w:val="0"/>
            </w:pPr>
            <w:r>
              <w:rPr>
                <w:rFonts w:hint="default"/>
              </w:rPr>
              <w:t>污染物名称</w:t>
            </w:r>
          </w:p>
        </w:tc>
        <w:tc>
          <w:tcPr>
            <w:tcW w:w="1117" w:type="pct"/>
            <w:gridSpan w:val="2"/>
            <w:vAlign w:val="center"/>
          </w:tcPr>
          <w:p w14:paraId="16658172">
            <w:pPr>
              <w:pStyle w:val="19"/>
              <w:bidi w:val="0"/>
            </w:pPr>
            <w:r>
              <w:rPr>
                <w:rFonts w:hint="default"/>
              </w:rPr>
              <w:t>产生情况</w:t>
            </w:r>
          </w:p>
        </w:tc>
        <w:tc>
          <w:tcPr>
            <w:tcW w:w="1311" w:type="pct"/>
            <w:vMerge w:val="restart"/>
            <w:vAlign w:val="center"/>
          </w:tcPr>
          <w:p w14:paraId="53BD5596">
            <w:pPr>
              <w:pStyle w:val="19"/>
              <w:bidi w:val="0"/>
            </w:pPr>
            <w:r>
              <w:rPr>
                <w:rFonts w:hint="default"/>
              </w:rPr>
              <w:t>治理措施</w:t>
            </w:r>
          </w:p>
        </w:tc>
        <w:tc>
          <w:tcPr>
            <w:tcW w:w="1143" w:type="pct"/>
            <w:gridSpan w:val="2"/>
            <w:vAlign w:val="center"/>
          </w:tcPr>
          <w:p w14:paraId="5BE0DC5F">
            <w:pPr>
              <w:pStyle w:val="19"/>
              <w:bidi w:val="0"/>
              <w:rPr>
                <w:rFonts w:hint="default"/>
              </w:rPr>
            </w:pPr>
            <w:r>
              <w:rPr>
                <w:rFonts w:hint="default"/>
              </w:rPr>
              <w:t>排放情况</w:t>
            </w:r>
          </w:p>
        </w:tc>
      </w:tr>
      <w:tr w14:paraId="445A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05B46113">
            <w:pPr>
              <w:pStyle w:val="19"/>
              <w:bidi w:val="0"/>
            </w:pPr>
          </w:p>
        </w:tc>
        <w:tc>
          <w:tcPr>
            <w:tcW w:w="404" w:type="pct"/>
            <w:vMerge w:val="continue"/>
            <w:vAlign w:val="center"/>
          </w:tcPr>
          <w:p w14:paraId="37311ACE">
            <w:pPr>
              <w:pStyle w:val="19"/>
              <w:bidi w:val="0"/>
            </w:pPr>
          </w:p>
        </w:tc>
        <w:tc>
          <w:tcPr>
            <w:tcW w:w="492" w:type="pct"/>
            <w:vMerge w:val="continue"/>
            <w:vAlign w:val="center"/>
          </w:tcPr>
          <w:p w14:paraId="142701D5">
            <w:pPr>
              <w:pStyle w:val="19"/>
              <w:bidi w:val="0"/>
            </w:pPr>
          </w:p>
        </w:tc>
        <w:tc>
          <w:tcPr>
            <w:tcW w:w="510" w:type="pct"/>
            <w:vAlign w:val="center"/>
          </w:tcPr>
          <w:p w14:paraId="6FB37967">
            <w:pPr>
              <w:pStyle w:val="19"/>
              <w:bidi w:val="0"/>
            </w:pPr>
            <w:r>
              <w:rPr>
                <w:rFonts w:hint="default"/>
              </w:rPr>
              <w:t>产生量（t/a）</w:t>
            </w:r>
          </w:p>
        </w:tc>
        <w:tc>
          <w:tcPr>
            <w:tcW w:w="607" w:type="pct"/>
            <w:vAlign w:val="center"/>
          </w:tcPr>
          <w:p w14:paraId="5F37195F">
            <w:pPr>
              <w:pStyle w:val="19"/>
              <w:bidi w:val="0"/>
            </w:pPr>
            <w:r>
              <w:rPr>
                <w:rFonts w:hint="default"/>
              </w:rPr>
              <w:t>产生速率（kg/h）</w:t>
            </w:r>
          </w:p>
        </w:tc>
        <w:tc>
          <w:tcPr>
            <w:tcW w:w="1311" w:type="pct"/>
            <w:vMerge w:val="continue"/>
            <w:vAlign w:val="center"/>
          </w:tcPr>
          <w:p w14:paraId="48D5FCF1">
            <w:pPr>
              <w:pStyle w:val="19"/>
              <w:bidi w:val="0"/>
              <w:rPr>
                <w:lang w:eastAsia="zh-TW"/>
              </w:rPr>
            </w:pPr>
          </w:p>
        </w:tc>
        <w:tc>
          <w:tcPr>
            <w:tcW w:w="519" w:type="pct"/>
            <w:vAlign w:val="center"/>
          </w:tcPr>
          <w:p w14:paraId="6F5300C2">
            <w:pPr>
              <w:pStyle w:val="19"/>
              <w:bidi w:val="0"/>
              <w:rPr>
                <w:lang w:eastAsia="zh-TW"/>
              </w:rPr>
            </w:pPr>
            <w:r>
              <w:rPr>
                <w:rFonts w:hint="default"/>
              </w:rPr>
              <w:t>排放量（t/a）</w:t>
            </w:r>
          </w:p>
        </w:tc>
        <w:tc>
          <w:tcPr>
            <w:tcW w:w="624" w:type="pct"/>
            <w:vAlign w:val="center"/>
          </w:tcPr>
          <w:p w14:paraId="5A435C10">
            <w:pPr>
              <w:pStyle w:val="19"/>
              <w:bidi w:val="0"/>
              <w:rPr>
                <w:rFonts w:hint="default"/>
              </w:rPr>
            </w:pPr>
            <w:r>
              <w:rPr>
                <w:rFonts w:hint="default"/>
              </w:rPr>
              <w:t>排放速率（kg/h）</w:t>
            </w:r>
          </w:p>
        </w:tc>
      </w:tr>
      <w:tr w14:paraId="06CF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6AC04B5C">
            <w:pPr>
              <w:pStyle w:val="19"/>
              <w:bidi w:val="0"/>
              <w:rPr>
                <w:rFonts w:hint="default" w:eastAsia="宋体"/>
                <w:lang w:val="en-US" w:eastAsia="zh-CN"/>
              </w:rPr>
            </w:pPr>
            <w:r>
              <w:rPr>
                <w:rFonts w:hint="eastAsia"/>
                <w:lang w:val="en-US" w:eastAsia="zh-CN"/>
              </w:rPr>
              <w:t>育肥</w:t>
            </w:r>
            <w:r>
              <w:rPr>
                <w:rFonts w:hint="default"/>
              </w:rPr>
              <w:t>舍</w:t>
            </w:r>
            <w:r>
              <w:rPr>
                <w:rFonts w:hint="eastAsia"/>
                <w:lang w:val="en-US" w:eastAsia="zh-CN"/>
              </w:rPr>
              <w:t>恶臭废气G1</w:t>
            </w:r>
          </w:p>
        </w:tc>
        <w:tc>
          <w:tcPr>
            <w:tcW w:w="404" w:type="pct"/>
            <w:vMerge w:val="restart"/>
            <w:vAlign w:val="center"/>
          </w:tcPr>
          <w:p w14:paraId="0CA5EDA2">
            <w:pPr>
              <w:pStyle w:val="19"/>
              <w:bidi w:val="0"/>
            </w:pPr>
            <w:r>
              <w:rPr>
                <w:rFonts w:hint="default"/>
              </w:rPr>
              <w:t>无组织</w:t>
            </w:r>
          </w:p>
        </w:tc>
        <w:tc>
          <w:tcPr>
            <w:tcW w:w="492" w:type="pct"/>
            <w:vAlign w:val="center"/>
          </w:tcPr>
          <w:p w14:paraId="4C536801">
            <w:pPr>
              <w:pStyle w:val="19"/>
              <w:bidi w:val="0"/>
            </w:pPr>
            <w:r>
              <w:rPr>
                <w:rFonts w:hint="default"/>
              </w:rPr>
              <w:t>NH</w:t>
            </w:r>
            <w:r>
              <w:rPr>
                <w:rFonts w:hint="default"/>
                <w:vertAlign w:val="subscript"/>
              </w:rPr>
              <w:t>3</w:t>
            </w:r>
          </w:p>
        </w:tc>
        <w:tc>
          <w:tcPr>
            <w:tcW w:w="510" w:type="pct"/>
            <w:vAlign w:val="center"/>
          </w:tcPr>
          <w:p w14:paraId="164CDD3C">
            <w:pPr>
              <w:pStyle w:val="19"/>
              <w:bidi w:val="0"/>
              <w:rPr>
                <w:rFonts w:hint="default"/>
                <w:lang w:val="en-US"/>
              </w:rPr>
            </w:pPr>
            <w:r>
              <w:rPr>
                <w:rFonts w:hint="default"/>
                <w:lang w:val="en-US" w:eastAsia="zh-CN"/>
              </w:rPr>
              <w:t>27.475</w:t>
            </w:r>
          </w:p>
        </w:tc>
        <w:tc>
          <w:tcPr>
            <w:tcW w:w="607" w:type="pct"/>
            <w:vAlign w:val="center"/>
          </w:tcPr>
          <w:p w14:paraId="238B6686">
            <w:pPr>
              <w:pStyle w:val="19"/>
              <w:bidi w:val="0"/>
              <w:rPr>
                <w:rFonts w:hint="default"/>
                <w:lang w:val="en-US"/>
              </w:rPr>
            </w:pPr>
            <w:r>
              <w:rPr>
                <w:rFonts w:hint="default"/>
                <w:lang w:val="en-US" w:eastAsia="zh-CN"/>
              </w:rPr>
              <w:t>3.816</w:t>
            </w:r>
          </w:p>
        </w:tc>
        <w:tc>
          <w:tcPr>
            <w:tcW w:w="1311" w:type="pct"/>
            <w:vMerge w:val="restart"/>
            <w:vAlign w:val="center"/>
          </w:tcPr>
          <w:p w14:paraId="52F29639">
            <w:pPr>
              <w:pStyle w:val="19"/>
              <w:bidi w:val="0"/>
              <w:rPr>
                <w:rFonts w:hint="eastAsia" w:eastAsia="宋体"/>
                <w:lang w:eastAsia="zh-CN"/>
              </w:rPr>
            </w:pPr>
            <w:r>
              <w:rPr>
                <w:rFonts w:hint="default"/>
              </w:rPr>
              <w:t>加强通风、合理搭配饲料、投放吸附剂和喷洒除臭剂、全漏缝地板、及时清除粪便，定期冲洗和杀菌消毒</w:t>
            </w:r>
            <w:r>
              <w:rPr>
                <w:rFonts w:hint="eastAsia"/>
                <w:lang w:eastAsia="zh-CN"/>
              </w:rPr>
              <w:t>。</w:t>
            </w:r>
          </w:p>
        </w:tc>
        <w:tc>
          <w:tcPr>
            <w:tcW w:w="519" w:type="pct"/>
            <w:vAlign w:val="center"/>
          </w:tcPr>
          <w:p w14:paraId="530FE240">
            <w:pPr>
              <w:pStyle w:val="19"/>
              <w:bidi w:val="0"/>
              <w:rPr>
                <w:rFonts w:hint="default"/>
                <w:lang w:val="en-US"/>
              </w:rPr>
            </w:pPr>
            <w:r>
              <w:rPr>
                <w:rFonts w:hint="default"/>
                <w:lang w:val="en-US" w:eastAsia="zh-CN"/>
              </w:rPr>
              <w:t>2.745</w:t>
            </w:r>
          </w:p>
        </w:tc>
        <w:tc>
          <w:tcPr>
            <w:tcW w:w="624" w:type="pct"/>
            <w:vAlign w:val="center"/>
          </w:tcPr>
          <w:p w14:paraId="2ABA1BEE">
            <w:pPr>
              <w:pStyle w:val="19"/>
              <w:bidi w:val="0"/>
              <w:rPr>
                <w:rFonts w:hint="default"/>
                <w:lang w:val="en-US" w:eastAsia="zh-CN"/>
              </w:rPr>
            </w:pPr>
            <w:r>
              <w:rPr>
                <w:rFonts w:hint="default"/>
                <w:lang w:val="en-US" w:eastAsia="zh-CN"/>
              </w:rPr>
              <w:t>0.3816</w:t>
            </w:r>
          </w:p>
        </w:tc>
      </w:tr>
      <w:tr w14:paraId="4957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5AB10A2C">
            <w:pPr>
              <w:pStyle w:val="19"/>
              <w:bidi w:val="0"/>
            </w:pPr>
          </w:p>
        </w:tc>
        <w:tc>
          <w:tcPr>
            <w:tcW w:w="404" w:type="pct"/>
            <w:vMerge w:val="continue"/>
            <w:vAlign w:val="center"/>
          </w:tcPr>
          <w:p w14:paraId="119F1247">
            <w:pPr>
              <w:pStyle w:val="19"/>
              <w:bidi w:val="0"/>
            </w:pPr>
          </w:p>
        </w:tc>
        <w:tc>
          <w:tcPr>
            <w:tcW w:w="492" w:type="pct"/>
            <w:vAlign w:val="center"/>
          </w:tcPr>
          <w:p w14:paraId="29AABBE1">
            <w:pPr>
              <w:pStyle w:val="19"/>
              <w:bidi w:val="0"/>
            </w:pPr>
            <w:r>
              <w:rPr>
                <w:rFonts w:hint="default"/>
              </w:rPr>
              <w:t>H</w:t>
            </w:r>
            <w:r>
              <w:rPr>
                <w:rFonts w:hint="default"/>
                <w:vertAlign w:val="subscript"/>
              </w:rPr>
              <w:t>2</w:t>
            </w:r>
            <w:r>
              <w:rPr>
                <w:rFonts w:hint="default"/>
              </w:rPr>
              <w:t>S</w:t>
            </w:r>
          </w:p>
        </w:tc>
        <w:tc>
          <w:tcPr>
            <w:tcW w:w="510" w:type="pct"/>
            <w:vAlign w:val="center"/>
          </w:tcPr>
          <w:p w14:paraId="254AAF91">
            <w:pPr>
              <w:pStyle w:val="19"/>
              <w:bidi w:val="0"/>
              <w:rPr>
                <w:rFonts w:hint="default"/>
                <w:lang w:val="en-US"/>
              </w:rPr>
            </w:pPr>
            <w:r>
              <w:rPr>
                <w:rFonts w:hint="default"/>
                <w:lang w:val="en-US" w:eastAsia="zh-CN"/>
              </w:rPr>
              <w:t>2.905</w:t>
            </w:r>
          </w:p>
        </w:tc>
        <w:tc>
          <w:tcPr>
            <w:tcW w:w="607" w:type="pct"/>
            <w:vAlign w:val="center"/>
          </w:tcPr>
          <w:p w14:paraId="2D047C88">
            <w:pPr>
              <w:pStyle w:val="19"/>
              <w:bidi w:val="0"/>
              <w:rPr>
                <w:rFonts w:hint="default"/>
                <w:lang w:val="en-US"/>
              </w:rPr>
            </w:pPr>
            <w:r>
              <w:rPr>
                <w:rFonts w:hint="default"/>
                <w:lang w:val="en-US" w:eastAsia="zh-CN"/>
              </w:rPr>
              <w:t>0.403</w:t>
            </w:r>
          </w:p>
        </w:tc>
        <w:tc>
          <w:tcPr>
            <w:tcW w:w="1311" w:type="pct"/>
            <w:vMerge w:val="continue"/>
            <w:vAlign w:val="center"/>
          </w:tcPr>
          <w:p w14:paraId="3941A2E8">
            <w:pPr>
              <w:pStyle w:val="19"/>
              <w:bidi w:val="0"/>
              <w:rPr>
                <w:lang w:eastAsia="zh-TW"/>
              </w:rPr>
            </w:pPr>
          </w:p>
        </w:tc>
        <w:tc>
          <w:tcPr>
            <w:tcW w:w="519" w:type="pct"/>
            <w:vAlign w:val="center"/>
          </w:tcPr>
          <w:p w14:paraId="30B6D3ED">
            <w:pPr>
              <w:pStyle w:val="19"/>
              <w:bidi w:val="0"/>
              <w:rPr>
                <w:rFonts w:hint="default"/>
                <w:lang w:val="en-US"/>
              </w:rPr>
            </w:pPr>
            <w:r>
              <w:rPr>
                <w:rFonts w:hint="default"/>
                <w:lang w:val="en-US" w:eastAsia="zh-CN"/>
              </w:rPr>
              <w:t>0.2905</w:t>
            </w:r>
          </w:p>
        </w:tc>
        <w:tc>
          <w:tcPr>
            <w:tcW w:w="624" w:type="pct"/>
            <w:vAlign w:val="center"/>
          </w:tcPr>
          <w:p w14:paraId="46BD3D0F">
            <w:pPr>
              <w:pStyle w:val="19"/>
              <w:bidi w:val="0"/>
              <w:rPr>
                <w:rFonts w:hint="default"/>
                <w:lang w:val="en-US" w:eastAsia="zh-CN"/>
              </w:rPr>
            </w:pPr>
            <w:r>
              <w:rPr>
                <w:rFonts w:hint="default"/>
                <w:lang w:val="en-US" w:eastAsia="zh-CN"/>
              </w:rPr>
              <w:t>0.0403</w:t>
            </w:r>
          </w:p>
        </w:tc>
      </w:tr>
      <w:tr w14:paraId="7D30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564B0CAE">
            <w:pPr>
              <w:pStyle w:val="19"/>
              <w:bidi w:val="0"/>
              <w:rPr>
                <w:rFonts w:hint="default"/>
                <w:highlight w:val="none"/>
                <w:lang w:val="en-US"/>
              </w:rPr>
            </w:pPr>
            <w:r>
              <w:rPr>
                <w:rFonts w:hint="default"/>
                <w:highlight w:val="none"/>
              </w:rPr>
              <w:t>堆</w:t>
            </w:r>
            <w:r>
              <w:rPr>
                <w:rFonts w:hint="eastAsia"/>
                <w:highlight w:val="none"/>
                <w:lang w:val="en-US" w:eastAsia="zh-CN"/>
              </w:rPr>
              <w:t>肥</w:t>
            </w:r>
            <w:r>
              <w:rPr>
                <w:rFonts w:hint="default"/>
                <w:highlight w:val="none"/>
              </w:rPr>
              <w:t>场</w:t>
            </w:r>
            <w:r>
              <w:rPr>
                <w:rFonts w:hint="eastAsia"/>
                <w:highlight w:val="none"/>
                <w:lang w:val="en-US" w:eastAsia="zh-CN"/>
              </w:rPr>
              <w:t>恶臭废气G2</w:t>
            </w:r>
          </w:p>
        </w:tc>
        <w:tc>
          <w:tcPr>
            <w:tcW w:w="404" w:type="pct"/>
            <w:vMerge w:val="restart"/>
            <w:vAlign w:val="center"/>
          </w:tcPr>
          <w:p w14:paraId="2391B2D4">
            <w:pPr>
              <w:pStyle w:val="19"/>
              <w:bidi w:val="0"/>
              <w:rPr>
                <w:rFonts w:hint="eastAsia"/>
                <w:highlight w:val="none"/>
                <w:lang w:eastAsia="zh-CN"/>
              </w:rPr>
            </w:pPr>
            <w:r>
              <w:rPr>
                <w:rFonts w:hint="default"/>
                <w:highlight w:val="none"/>
                <w:lang w:val="en-US" w:eastAsia="zh-CN"/>
              </w:rPr>
              <w:t>无组织</w:t>
            </w:r>
          </w:p>
        </w:tc>
        <w:tc>
          <w:tcPr>
            <w:tcW w:w="492" w:type="pct"/>
            <w:vAlign w:val="center"/>
          </w:tcPr>
          <w:p w14:paraId="1C00C7DD">
            <w:pPr>
              <w:pStyle w:val="19"/>
              <w:bidi w:val="0"/>
              <w:ind w:firstLine="0" w:firstLineChars="0"/>
              <w:rPr>
                <w:highlight w:val="none"/>
              </w:rPr>
            </w:pPr>
            <w:r>
              <w:rPr>
                <w:rFonts w:hint="default"/>
                <w:highlight w:val="none"/>
              </w:rPr>
              <w:t>NH</w:t>
            </w:r>
            <w:r>
              <w:rPr>
                <w:rFonts w:hint="default"/>
                <w:highlight w:val="none"/>
                <w:vertAlign w:val="subscript"/>
              </w:rPr>
              <w:t>3</w:t>
            </w:r>
          </w:p>
        </w:tc>
        <w:tc>
          <w:tcPr>
            <w:tcW w:w="510" w:type="pct"/>
            <w:vAlign w:val="center"/>
          </w:tcPr>
          <w:p w14:paraId="1663C861">
            <w:pPr>
              <w:pStyle w:val="19"/>
              <w:bidi w:val="0"/>
              <w:ind w:firstLine="0" w:firstLineChars="0"/>
              <w:rPr>
                <w:rFonts w:hint="default" w:eastAsia="宋体"/>
                <w:highlight w:val="none"/>
                <w:lang w:val="en-US" w:eastAsia="zh-CN"/>
              </w:rPr>
            </w:pPr>
            <w:r>
              <w:rPr>
                <w:rFonts w:hint="eastAsia"/>
                <w:lang w:val="en-US" w:eastAsia="zh-CN"/>
              </w:rPr>
              <w:t>0.053</w:t>
            </w:r>
          </w:p>
        </w:tc>
        <w:tc>
          <w:tcPr>
            <w:tcW w:w="607" w:type="pct"/>
            <w:vAlign w:val="center"/>
          </w:tcPr>
          <w:p w14:paraId="7FD3F58F">
            <w:pPr>
              <w:pStyle w:val="19"/>
              <w:bidi w:val="0"/>
              <w:ind w:firstLine="0" w:firstLineChars="0"/>
              <w:rPr>
                <w:rFonts w:hint="default"/>
                <w:highlight w:val="none"/>
                <w:lang w:val="en-US" w:eastAsia="zh-CN"/>
              </w:rPr>
            </w:pPr>
            <w:r>
              <w:rPr>
                <w:rFonts w:hint="eastAsia"/>
                <w:lang w:val="en-US" w:eastAsia="zh-CN"/>
              </w:rPr>
              <w:t>0.006</w:t>
            </w:r>
          </w:p>
        </w:tc>
        <w:tc>
          <w:tcPr>
            <w:tcW w:w="1311" w:type="pct"/>
            <w:vMerge w:val="restart"/>
            <w:vAlign w:val="center"/>
          </w:tcPr>
          <w:p w14:paraId="170F4757">
            <w:pPr>
              <w:pStyle w:val="19"/>
              <w:bidi w:val="0"/>
              <w:rPr>
                <w:rFonts w:hint="default"/>
                <w:highlight w:val="none"/>
                <w:lang w:val="en-US" w:eastAsia="zh-CN"/>
              </w:rPr>
            </w:pPr>
            <w:r>
              <w:rPr>
                <w:rFonts w:hint="default"/>
                <w:highlight w:val="none"/>
              </w:rPr>
              <w:t>添加物理吸附剂、喷洒除臭剂</w:t>
            </w:r>
          </w:p>
        </w:tc>
        <w:tc>
          <w:tcPr>
            <w:tcW w:w="519" w:type="pct"/>
            <w:vAlign w:val="center"/>
          </w:tcPr>
          <w:p w14:paraId="7E10D440">
            <w:pPr>
              <w:pStyle w:val="19"/>
              <w:bidi w:val="0"/>
              <w:ind w:firstLine="0" w:firstLineChars="0"/>
              <w:rPr>
                <w:rFonts w:hint="default"/>
                <w:highlight w:val="none"/>
                <w:lang w:val="en-US"/>
              </w:rPr>
            </w:pPr>
            <w:r>
              <w:rPr>
                <w:rFonts w:hint="eastAsia"/>
                <w:lang w:val="en-US" w:eastAsia="zh-CN"/>
              </w:rPr>
              <w:t>0.053</w:t>
            </w:r>
          </w:p>
        </w:tc>
        <w:tc>
          <w:tcPr>
            <w:tcW w:w="624" w:type="pct"/>
            <w:vAlign w:val="center"/>
          </w:tcPr>
          <w:p w14:paraId="15D73789">
            <w:pPr>
              <w:pStyle w:val="19"/>
              <w:bidi w:val="0"/>
              <w:ind w:firstLine="0" w:firstLineChars="0"/>
              <w:rPr>
                <w:rFonts w:hint="default"/>
                <w:highlight w:val="none"/>
              </w:rPr>
            </w:pPr>
            <w:r>
              <w:rPr>
                <w:rFonts w:hint="eastAsia"/>
                <w:lang w:val="en-US" w:eastAsia="zh-CN"/>
              </w:rPr>
              <w:t>0.006</w:t>
            </w:r>
          </w:p>
        </w:tc>
      </w:tr>
      <w:tr w14:paraId="2D00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00B0B260">
            <w:pPr>
              <w:pStyle w:val="19"/>
              <w:bidi w:val="0"/>
              <w:rPr>
                <w:highlight w:val="none"/>
              </w:rPr>
            </w:pPr>
          </w:p>
        </w:tc>
        <w:tc>
          <w:tcPr>
            <w:tcW w:w="404" w:type="pct"/>
            <w:vMerge w:val="continue"/>
            <w:vAlign w:val="center"/>
          </w:tcPr>
          <w:p w14:paraId="059D2EFD">
            <w:pPr>
              <w:pStyle w:val="19"/>
              <w:bidi w:val="0"/>
              <w:rPr>
                <w:highlight w:val="none"/>
              </w:rPr>
            </w:pPr>
          </w:p>
        </w:tc>
        <w:tc>
          <w:tcPr>
            <w:tcW w:w="492" w:type="pct"/>
            <w:vAlign w:val="center"/>
          </w:tcPr>
          <w:p w14:paraId="561F15C3">
            <w:pPr>
              <w:pStyle w:val="19"/>
              <w:bidi w:val="0"/>
              <w:ind w:firstLine="0" w:firstLineChars="0"/>
              <w:rPr>
                <w:highlight w:val="none"/>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202BC9B8">
            <w:pPr>
              <w:pStyle w:val="19"/>
              <w:bidi w:val="0"/>
              <w:ind w:firstLine="0" w:firstLineChars="0"/>
              <w:rPr>
                <w:rFonts w:hint="default" w:eastAsia="宋体"/>
                <w:highlight w:val="none"/>
                <w:lang w:val="en-US" w:eastAsia="zh-CN"/>
              </w:rPr>
            </w:pPr>
            <w:r>
              <w:rPr>
                <w:rFonts w:hint="eastAsia"/>
                <w:lang w:val="en-US" w:eastAsia="zh-CN"/>
              </w:rPr>
              <w:t>0.005</w:t>
            </w:r>
          </w:p>
        </w:tc>
        <w:tc>
          <w:tcPr>
            <w:tcW w:w="607" w:type="pct"/>
            <w:vAlign w:val="center"/>
          </w:tcPr>
          <w:p w14:paraId="31790E05">
            <w:pPr>
              <w:pStyle w:val="19"/>
              <w:bidi w:val="0"/>
              <w:ind w:firstLine="0" w:firstLineChars="0"/>
              <w:rPr>
                <w:rFonts w:hint="default"/>
                <w:highlight w:val="none"/>
                <w:lang w:val="en-US" w:eastAsia="zh-CN"/>
              </w:rPr>
            </w:pPr>
            <w:r>
              <w:rPr>
                <w:rFonts w:hint="eastAsia"/>
                <w:lang w:val="en-US" w:eastAsia="zh-CN"/>
              </w:rPr>
              <w:t>0.0006</w:t>
            </w:r>
          </w:p>
        </w:tc>
        <w:tc>
          <w:tcPr>
            <w:tcW w:w="1311" w:type="pct"/>
            <w:vMerge w:val="continue"/>
            <w:vAlign w:val="center"/>
          </w:tcPr>
          <w:p w14:paraId="057BA6B7">
            <w:pPr>
              <w:pStyle w:val="19"/>
              <w:bidi w:val="0"/>
              <w:rPr>
                <w:highlight w:val="none"/>
                <w:lang w:eastAsia="zh-TW"/>
              </w:rPr>
            </w:pPr>
          </w:p>
        </w:tc>
        <w:tc>
          <w:tcPr>
            <w:tcW w:w="519" w:type="pct"/>
            <w:vAlign w:val="center"/>
          </w:tcPr>
          <w:p w14:paraId="06BE2FDA">
            <w:pPr>
              <w:pStyle w:val="19"/>
              <w:bidi w:val="0"/>
              <w:ind w:firstLine="0" w:firstLineChars="0"/>
              <w:rPr>
                <w:rFonts w:hint="default"/>
                <w:highlight w:val="none"/>
                <w:lang w:val="en-US" w:eastAsia="zh-CN"/>
              </w:rPr>
            </w:pPr>
            <w:r>
              <w:rPr>
                <w:rFonts w:hint="eastAsia"/>
                <w:lang w:val="en-US" w:eastAsia="zh-CN"/>
              </w:rPr>
              <w:t>0.005</w:t>
            </w:r>
          </w:p>
        </w:tc>
        <w:tc>
          <w:tcPr>
            <w:tcW w:w="624" w:type="pct"/>
            <w:vAlign w:val="center"/>
          </w:tcPr>
          <w:p w14:paraId="44D15573">
            <w:pPr>
              <w:pStyle w:val="19"/>
              <w:bidi w:val="0"/>
              <w:ind w:firstLine="0" w:firstLineChars="0"/>
              <w:rPr>
                <w:rFonts w:hint="default"/>
                <w:highlight w:val="none"/>
              </w:rPr>
            </w:pPr>
            <w:r>
              <w:rPr>
                <w:rFonts w:hint="eastAsia"/>
                <w:lang w:val="en-US" w:eastAsia="zh-CN"/>
              </w:rPr>
              <w:t>0.0006</w:t>
            </w:r>
          </w:p>
        </w:tc>
      </w:tr>
      <w:tr w14:paraId="3E06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368FF51A">
            <w:pPr>
              <w:pStyle w:val="19"/>
              <w:bidi w:val="0"/>
              <w:rPr>
                <w:rFonts w:hint="default"/>
                <w:highlight w:val="yellow"/>
                <w:lang w:val="en-US" w:eastAsia="zh-CN"/>
              </w:rPr>
            </w:pPr>
            <w:r>
              <w:rPr>
                <w:rFonts w:hint="eastAsia"/>
                <w:highlight w:val="none"/>
                <w:lang w:val="en-US" w:eastAsia="zh-CN"/>
              </w:rPr>
              <w:t>污水处理系统</w:t>
            </w:r>
            <w:r>
              <w:rPr>
                <w:rFonts w:hint="default"/>
                <w:highlight w:val="none"/>
                <w:lang w:val="en-US" w:eastAsia="zh-CN"/>
              </w:rPr>
              <w:t>恶臭</w:t>
            </w:r>
            <w:r>
              <w:rPr>
                <w:rFonts w:hint="eastAsia"/>
                <w:highlight w:val="none"/>
                <w:lang w:val="en-US" w:eastAsia="zh-CN"/>
              </w:rPr>
              <w:t>废气G3</w:t>
            </w:r>
          </w:p>
        </w:tc>
        <w:tc>
          <w:tcPr>
            <w:tcW w:w="404" w:type="pct"/>
            <w:vMerge w:val="restart"/>
            <w:vAlign w:val="center"/>
          </w:tcPr>
          <w:p w14:paraId="18BDE4B8">
            <w:pPr>
              <w:pStyle w:val="19"/>
              <w:bidi w:val="0"/>
              <w:rPr>
                <w:highlight w:val="none"/>
              </w:rPr>
            </w:pPr>
            <w:r>
              <w:rPr>
                <w:rFonts w:hint="default"/>
                <w:highlight w:val="none"/>
              </w:rPr>
              <w:t>无组织</w:t>
            </w:r>
          </w:p>
        </w:tc>
        <w:tc>
          <w:tcPr>
            <w:tcW w:w="492" w:type="pct"/>
            <w:vAlign w:val="center"/>
          </w:tcPr>
          <w:p w14:paraId="68D22B92">
            <w:pPr>
              <w:pStyle w:val="19"/>
              <w:bidi w:val="0"/>
              <w:ind w:firstLine="0" w:firstLineChars="0"/>
              <w:rPr>
                <w:highlight w:val="none"/>
              </w:rPr>
            </w:pPr>
            <w:r>
              <w:rPr>
                <w:rFonts w:hint="default"/>
                <w:highlight w:val="none"/>
              </w:rPr>
              <w:t>NH</w:t>
            </w:r>
            <w:r>
              <w:rPr>
                <w:rFonts w:hint="default"/>
                <w:highlight w:val="none"/>
                <w:vertAlign w:val="subscript"/>
              </w:rPr>
              <w:t>3</w:t>
            </w:r>
          </w:p>
        </w:tc>
        <w:tc>
          <w:tcPr>
            <w:tcW w:w="510" w:type="pct"/>
            <w:vAlign w:val="center"/>
          </w:tcPr>
          <w:p w14:paraId="56EDA422">
            <w:pPr>
              <w:pStyle w:val="19"/>
              <w:bidi w:val="0"/>
              <w:ind w:firstLine="0" w:firstLineChars="0"/>
              <w:rPr>
                <w:rFonts w:hint="default" w:eastAsia="宋体"/>
                <w:highlight w:val="none"/>
                <w:lang w:val="en-US" w:eastAsia="zh-CN"/>
              </w:rPr>
            </w:pPr>
            <w:r>
              <w:rPr>
                <w:rFonts w:hint="eastAsia"/>
                <w:lang w:val="en-US" w:eastAsia="zh-CN"/>
              </w:rPr>
              <w:t>0.147</w:t>
            </w:r>
          </w:p>
        </w:tc>
        <w:tc>
          <w:tcPr>
            <w:tcW w:w="607" w:type="pct"/>
            <w:vAlign w:val="center"/>
          </w:tcPr>
          <w:p w14:paraId="45027BD6">
            <w:pPr>
              <w:pStyle w:val="19"/>
              <w:bidi w:val="0"/>
              <w:ind w:firstLine="0" w:firstLineChars="0"/>
              <w:rPr>
                <w:rFonts w:hint="default"/>
                <w:highlight w:val="none"/>
                <w:lang w:val="en-US"/>
              </w:rPr>
            </w:pPr>
            <w:r>
              <w:rPr>
                <w:rFonts w:hint="eastAsia"/>
                <w:lang w:val="en-US" w:eastAsia="zh-CN"/>
              </w:rPr>
              <w:t>0.017</w:t>
            </w:r>
          </w:p>
        </w:tc>
        <w:tc>
          <w:tcPr>
            <w:tcW w:w="1311" w:type="pct"/>
            <w:vMerge w:val="restart"/>
            <w:vAlign w:val="center"/>
          </w:tcPr>
          <w:p w14:paraId="7C9547A6">
            <w:pPr>
              <w:pStyle w:val="19"/>
              <w:bidi w:val="0"/>
              <w:rPr>
                <w:highlight w:val="none"/>
              </w:rPr>
            </w:pPr>
            <w:r>
              <w:rPr>
                <w:rFonts w:hint="eastAsia"/>
                <w:highlight w:val="none"/>
                <w:lang w:val="en-US" w:eastAsia="zh-CN"/>
              </w:rPr>
              <w:t>收集池</w:t>
            </w:r>
            <w:r>
              <w:rPr>
                <w:rFonts w:hint="eastAsia"/>
                <w:highlight w:val="none"/>
              </w:rPr>
              <w:t>加盖密闭、</w:t>
            </w:r>
            <w:r>
              <w:rPr>
                <w:rFonts w:hint="eastAsia"/>
                <w:highlight w:val="none"/>
                <w:lang w:val="en-US" w:eastAsia="zh-CN"/>
              </w:rPr>
              <w:t>1号粪污处理池</w:t>
            </w:r>
            <w:r>
              <w:rPr>
                <w:rFonts w:hint="eastAsia"/>
                <w:highlight w:val="none"/>
              </w:rPr>
              <w:t>外围定期喷洒除臭剂、厂区绿化</w:t>
            </w:r>
          </w:p>
        </w:tc>
        <w:tc>
          <w:tcPr>
            <w:tcW w:w="519" w:type="pct"/>
            <w:vAlign w:val="center"/>
          </w:tcPr>
          <w:p w14:paraId="388E96EB">
            <w:pPr>
              <w:pStyle w:val="19"/>
              <w:bidi w:val="0"/>
              <w:ind w:firstLine="0" w:firstLineChars="0"/>
              <w:rPr>
                <w:rFonts w:hint="default"/>
                <w:highlight w:val="none"/>
                <w:lang w:val="en-US"/>
              </w:rPr>
            </w:pPr>
            <w:r>
              <w:rPr>
                <w:rFonts w:hint="eastAsia"/>
                <w:lang w:val="en-US" w:eastAsia="zh-CN"/>
              </w:rPr>
              <w:t>0.022</w:t>
            </w:r>
          </w:p>
        </w:tc>
        <w:tc>
          <w:tcPr>
            <w:tcW w:w="624" w:type="pct"/>
            <w:vAlign w:val="center"/>
          </w:tcPr>
          <w:p w14:paraId="03A26FAE">
            <w:pPr>
              <w:pStyle w:val="19"/>
              <w:bidi w:val="0"/>
              <w:ind w:firstLine="0" w:firstLineChars="0"/>
              <w:rPr>
                <w:rFonts w:hint="eastAsia"/>
                <w:highlight w:val="none"/>
                <w:lang w:val="en-US" w:eastAsia="zh-CN"/>
              </w:rPr>
            </w:pPr>
            <w:r>
              <w:rPr>
                <w:rFonts w:hint="eastAsia"/>
                <w:lang w:val="en-US" w:eastAsia="zh-CN"/>
              </w:rPr>
              <w:t>0.003</w:t>
            </w:r>
          </w:p>
        </w:tc>
      </w:tr>
      <w:tr w14:paraId="39A6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517480B2">
            <w:pPr>
              <w:pStyle w:val="19"/>
              <w:bidi w:val="0"/>
              <w:rPr>
                <w:highlight w:val="yellow"/>
              </w:rPr>
            </w:pPr>
          </w:p>
        </w:tc>
        <w:tc>
          <w:tcPr>
            <w:tcW w:w="404" w:type="pct"/>
            <w:vMerge w:val="continue"/>
            <w:vAlign w:val="center"/>
          </w:tcPr>
          <w:p w14:paraId="4459AA4B">
            <w:pPr>
              <w:pStyle w:val="19"/>
              <w:bidi w:val="0"/>
              <w:rPr>
                <w:highlight w:val="none"/>
              </w:rPr>
            </w:pPr>
          </w:p>
        </w:tc>
        <w:tc>
          <w:tcPr>
            <w:tcW w:w="492" w:type="pct"/>
            <w:vAlign w:val="center"/>
          </w:tcPr>
          <w:p w14:paraId="09C09078">
            <w:pPr>
              <w:pStyle w:val="19"/>
              <w:bidi w:val="0"/>
              <w:ind w:firstLine="0" w:firstLineChars="0"/>
              <w:rPr>
                <w:highlight w:val="none"/>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6D4A70AD">
            <w:pPr>
              <w:pStyle w:val="19"/>
              <w:bidi w:val="0"/>
              <w:ind w:firstLine="0" w:firstLineChars="0"/>
              <w:rPr>
                <w:rFonts w:hint="default" w:eastAsia="宋体"/>
                <w:highlight w:val="none"/>
                <w:lang w:val="en-US" w:eastAsia="zh-CN"/>
              </w:rPr>
            </w:pPr>
            <w:r>
              <w:rPr>
                <w:rFonts w:hint="eastAsia"/>
                <w:lang w:val="en-US" w:eastAsia="zh-CN"/>
              </w:rPr>
              <w:t>0.006</w:t>
            </w:r>
          </w:p>
        </w:tc>
        <w:tc>
          <w:tcPr>
            <w:tcW w:w="607" w:type="pct"/>
            <w:vAlign w:val="center"/>
          </w:tcPr>
          <w:p w14:paraId="4D2E6203">
            <w:pPr>
              <w:pStyle w:val="19"/>
              <w:bidi w:val="0"/>
              <w:ind w:firstLine="0" w:firstLineChars="0"/>
              <w:rPr>
                <w:highlight w:val="none"/>
              </w:rPr>
            </w:pPr>
            <w:r>
              <w:rPr>
                <w:rFonts w:hint="eastAsia"/>
                <w:vertAlign w:val="baseline"/>
                <w:lang w:val="en-US" w:eastAsia="zh-CN"/>
              </w:rPr>
              <w:t>0.007</w:t>
            </w:r>
          </w:p>
        </w:tc>
        <w:tc>
          <w:tcPr>
            <w:tcW w:w="1311" w:type="pct"/>
            <w:vMerge w:val="continue"/>
            <w:vAlign w:val="center"/>
          </w:tcPr>
          <w:p w14:paraId="6648FE44">
            <w:pPr>
              <w:pStyle w:val="19"/>
              <w:bidi w:val="0"/>
              <w:rPr>
                <w:highlight w:val="none"/>
                <w:lang w:eastAsia="zh-TW"/>
              </w:rPr>
            </w:pPr>
          </w:p>
        </w:tc>
        <w:tc>
          <w:tcPr>
            <w:tcW w:w="519" w:type="pct"/>
            <w:vAlign w:val="center"/>
          </w:tcPr>
          <w:p w14:paraId="7A06CC39">
            <w:pPr>
              <w:pStyle w:val="19"/>
              <w:bidi w:val="0"/>
              <w:ind w:firstLine="0" w:firstLineChars="0"/>
              <w:rPr>
                <w:rFonts w:hint="default"/>
                <w:highlight w:val="none"/>
                <w:lang w:val="en-US"/>
              </w:rPr>
            </w:pPr>
            <w:r>
              <w:rPr>
                <w:rFonts w:hint="eastAsia"/>
                <w:lang w:val="en-US" w:eastAsia="zh-CN"/>
              </w:rPr>
              <w:t>0.001</w:t>
            </w:r>
          </w:p>
        </w:tc>
        <w:tc>
          <w:tcPr>
            <w:tcW w:w="624" w:type="pct"/>
            <w:vAlign w:val="center"/>
          </w:tcPr>
          <w:p w14:paraId="55B5B26A">
            <w:pPr>
              <w:pStyle w:val="19"/>
              <w:bidi w:val="0"/>
              <w:ind w:firstLine="0" w:firstLineChars="0"/>
              <w:rPr>
                <w:rFonts w:hint="eastAsia"/>
                <w:highlight w:val="none"/>
                <w:lang w:val="en-US" w:eastAsia="zh-CN"/>
              </w:rPr>
            </w:pPr>
            <w:r>
              <w:rPr>
                <w:rFonts w:hint="eastAsia"/>
                <w:lang w:val="en-US" w:eastAsia="zh-CN"/>
              </w:rPr>
              <w:t>0.001</w:t>
            </w:r>
          </w:p>
        </w:tc>
      </w:tr>
      <w:tr w14:paraId="7831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9" w:type="pct"/>
            <w:vMerge w:val="restart"/>
            <w:vAlign w:val="center"/>
          </w:tcPr>
          <w:p w14:paraId="632C8752">
            <w:pPr>
              <w:pStyle w:val="19"/>
              <w:bidi w:val="0"/>
              <w:rPr>
                <w:rFonts w:hint="default"/>
                <w:highlight w:val="none"/>
                <w:lang w:val="en-US" w:eastAsia="zh-CN"/>
              </w:rPr>
            </w:pPr>
            <w:r>
              <w:rPr>
                <w:rFonts w:hint="default"/>
                <w:highlight w:val="none"/>
                <w:lang w:val="en-US" w:eastAsia="zh-CN"/>
              </w:rPr>
              <w:t>干湿分离</w:t>
            </w:r>
            <w:r>
              <w:rPr>
                <w:rFonts w:hint="eastAsia"/>
                <w:highlight w:val="none"/>
                <w:lang w:val="en-US" w:eastAsia="zh-CN"/>
              </w:rPr>
              <w:t>房</w:t>
            </w:r>
            <w:r>
              <w:rPr>
                <w:rFonts w:hint="default"/>
                <w:highlight w:val="none"/>
                <w:lang w:val="en-US" w:eastAsia="zh-CN"/>
              </w:rPr>
              <w:t>恶臭</w:t>
            </w:r>
            <w:r>
              <w:rPr>
                <w:rFonts w:hint="eastAsia"/>
                <w:highlight w:val="none"/>
                <w:lang w:val="en-US" w:eastAsia="zh-CN"/>
              </w:rPr>
              <w:t>G4</w:t>
            </w:r>
          </w:p>
        </w:tc>
        <w:tc>
          <w:tcPr>
            <w:tcW w:w="404" w:type="pct"/>
            <w:vMerge w:val="restart"/>
            <w:vAlign w:val="center"/>
          </w:tcPr>
          <w:p w14:paraId="33A10330">
            <w:pPr>
              <w:pStyle w:val="19"/>
              <w:bidi w:val="0"/>
              <w:rPr>
                <w:highlight w:val="none"/>
              </w:rPr>
            </w:pPr>
            <w:r>
              <w:rPr>
                <w:rFonts w:hint="default"/>
                <w:highlight w:val="none"/>
                <w:lang w:val="en-US" w:eastAsia="zh-CN"/>
              </w:rPr>
              <w:t>无</w:t>
            </w:r>
            <w:r>
              <w:rPr>
                <w:rFonts w:hint="default"/>
                <w:highlight w:val="none"/>
              </w:rPr>
              <w:t>组织</w:t>
            </w:r>
          </w:p>
        </w:tc>
        <w:tc>
          <w:tcPr>
            <w:tcW w:w="492" w:type="pct"/>
            <w:vAlign w:val="center"/>
          </w:tcPr>
          <w:p w14:paraId="27C1A6B0">
            <w:pPr>
              <w:pStyle w:val="19"/>
              <w:bidi w:val="0"/>
              <w:ind w:firstLine="0" w:firstLineChars="0"/>
              <w:rPr>
                <w:highlight w:val="none"/>
              </w:rPr>
            </w:pPr>
            <w:r>
              <w:rPr>
                <w:rFonts w:hint="default"/>
                <w:highlight w:val="none"/>
              </w:rPr>
              <w:t>NH</w:t>
            </w:r>
            <w:r>
              <w:rPr>
                <w:rFonts w:hint="default"/>
                <w:highlight w:val="none"/>
                <w:vertAlign w:val="subscript"/>
              </w:rPr>
              <w:t>3</w:t>
            </w:r>
          </w:p>
        </w:tc>
        <w:tc>
          <w:tcPr>
            <w:tcW w:w="510" w:type="pct"/>
            <w:vAlign w:val="center"/>
          </w:tcPr>
          <w:p w14:paraId="0728CD37">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0.06</w:t>
            </w:r>
          </w:p>
        </w:tc>
        <w:tc>
          <w:tcPr>
            <w:tcW w:w="607" w:type="pct"/>
            <w:vAlign w:val="center"/>
          </w:tcPr>
          <w:p w14:paraId="360E034F">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0.006</w:t>
            </w:r>
          </w:p>
        </w:tc>
        <w:tc>
          <w:tcPr>
            <w:tcW w:w="1311" w:type="pct"/>
            <w:vMerge w:val="restart"/>
            <w:vAlign w:val="center"/>
          </w:tcPr>
          <w:p w14:paraId="77F7F5A8">
            <w:pPr>
              <w:pStyle w:val="19"/>
              <w:bidi w:val="0"/>
              <w:rPr>
                <w:highlight w:val="none"/>
              </w:rPr>
            </w:pPr>
            <w:r>
              <w:rPr>
                <w:rFonts w:hint="default"/>
                <w:highlight w:val="none"/>
                <w:lang w:val="en-US" w:eastAsia="zh-CN"/>
              </w:rPr>
              <w:t>密闭、喷洒除臭剂</w:t>
            </w:r>
          </w:p>
        </w:tc>
        <w:tc>
          <w:tcPr>
            <w:tcW w:w="519" w:type="pct"/>
            <w:vAlign w:val="center"/>
          </w:tcPr>
          <w:p w14:paraId="2E5357AC">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0.018</w:t>
            </w:r>
          </w:p>
        </w:tc>
        <w:tc>
          <w:tcPr>
            <w:tcW w:w="624" w:type="pct"/>
            <w:vAlign w:val="center"/>
          </w:tcPr>
          <w:p w14:paraId="17177A5F">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0.0018</w:t>
            </w:r>
          </w:p>
        </w:tc>
      </w:tr>
      <w:tr w14:paraId="46CD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62F22820">
            <w:pPr>
              <w:pStyle w:val="19"/>
              <w:bidi w:val="0"/>
              <w:rPr>
                <w:highlight w:val="none"/>
              </w:rPr>
            </w:pPr>
          </w:p>
        </w:tc>
        <w:tc>
          <w:tcPr>
            <w:tcW w:w="404" w:type="pct"/>
            <w:vMerge w:val="continue"/>
            <w:vAlign w:val="center"/>
          </w:tcPr>
          <w:p w14:paraId="331FC4ED">
            <w:pPr>
              <w:pStyle w:val="19"/>
              <w:bidi w:val="0"/>
              <w:rPr>
                <w:highlight w:val="none"/>
              </w:rPr>
            </w:pPr>
          </w:p>
        </w:tc>
        <w:tc>
          <w:tcPr>
            <w:tcW w:w="492" w:type="pct"/>
            <w:vAlign w:val="center"/>
          </w:tcPr>
          <w:p w14:paraId="47C8A378">
            <w:pPr>
              <w:pStyle w:val="19"/>
              <w:bidi w:val="0"/>
              <w:ind w:firstLine="0" w:firstLineChars="0"/>
              <w:rPr>
                <w:highlight w:val="none"/>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6038F433">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0.003</w:t>
            </w:r>
          </w:p>
        </w:tc>
        <w:tc>
          <w:tcPr>
            <w:tcW w:w="607" w:type="pct"/>
            <w:vAlign w:val="center"/>
          </w:tcPr>
          <w:p w14:paraId="1AE4767D">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0.0004</w:t>
            </w:r>
          </w:p>
        </w:tc>
        <w:tc>
          <w:tcPr>
            <w:tcW w:w="1311" w:type="pct"/>
            <w:vMerge w:val="continue"/>
            <w:vAlign w:val="center"/>
          </w:tcPr>
          <w:p w14:paraId="1E697B89">
            <w:pPr>
              <w:pStyle w:val="19"/>
              <w:bidi w:val="0"/>
              <w:rPr>
                <w:highlight w:val="none"/>
                <w:lang w:eastAsia="zh-TW"/>
              </w:rPr>
            </w:pPr>
          </w:p>
        </w:tc>
        <w:tc>
          <w:tcPr>
            <w:tcW w:w="519" w:type="pct"/>
            <w:vAlign w:val="center"/>
          </w:tcPr>
          <w:p w14:paraId="11EF32E5">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0.0009</w:t>
            </w:r>
          </w:p>
        </w:tc>
        <w:tc>
          <w:tcPr>
            <w:tcW w:w="624" w:type="pct"/>
            <w:vAlign w:val="center"/>
          </w:tcPr>
          <w:p w14:paraId="265E442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0.00012</w:t>
            </w:r>
          </w:p>
        </w:tc>
      </w:tr>
      <w:tr w14:paraId="4971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34" w:type="pct"/>
            <w:gridSpan w:val="2"/>
            <w:vMerge w:val="restart"/>
            <w:vAlign w:val="center"/>
          </w:tcPr>
          <w:p w14:paraId="7F42E95A">
            <w:pPr>
              <w:pStyle w:val="19"/>
              <w:bidi w:val="0"/>
              <w:rPr>
                <w:highlight w:val="none"/>
              </w:rPr>
            </w:pPr>
            <w:r>
              <w:rPr>
                <w:rFonts w:hint="eastAsia"/>
                <w:highlight w:val="none"/>
                <w:lang w:val="en-US" w:eastAsia="zh-CN"/>
              </w:rPr>
              <w:t>合计</w:t>
            </w:r>
          </w:p>
        </w:tc>
        <w:tc>
          <w:tcPr>
            <w:tcW w:w="492" w:type="pct"/>
            <w:vAlign w:val="center"/>
          </w:tcPr>
          <w:p w14:paraId="33C1027E">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default"/>
                <w:highlight w:val="none"/>
              </w:rPr>
              <w:t>NH</w:t>
            </w:r>
            <w:r>
              <w:rPr>
                <w:rFonts w:hint="default"/>
                <w:highlight w:val="none"/>
                <w:vertAlign w:val="subscript"/>
              </w:rPr>
              <w:t>3</w:t>
            </w:r>
          </w:p>
        </w:tc>
        <w:tc>
          <w:tcPr>
            <w:tcW w:w="510" w:type="pct"/>
            <w:vAlign w:val="center"/>
          </w:tcPr>
          <w:p w14:paraId="08BFC7B6">
            <w:pPr>
              <w:pStyle w:val="19"/>
              <w:bidi w:val="0"/>
              <w:rPr>
                <w:rFonts w:hint="default"/>
                <w:highlight w:val="none"/>
                <w:lang w:val="en-US" w:eastAsia="zh-CN"/>
              </w:rPr>
            </w:pPr>
            <w:r>
              <w:rPr>
                <w:rFonts w:hint="eastAsia"/>
                <w:highlight w:val="none"/>
                <w:lang w:val="en-US" w:eastAsia="zh-CN"/>
              </w:rPr>
              <w:t>27.735</w:t>
            </w:r>
          </w:p>
        </w:tc>
        <w:tc>
          <w:tcPr>
            <w:tcW w:w="607" w:type="pct"/>
            <w:vAlign w:val="center"/>
          </w:tcPr>
          <w:p w14:paraId="6A635B6C">
            <w:pPr>
              <w:pStyle w:val="19"/>
              <w:bidi w:val="0"/>
              <w:rPr>
                <w:rFonts w:hint="default"/>
                <w:highlight w:val="none"/>
                <w:lang w:val="en-US" w:eastAsia="zh-CN"/>
              </w:rPr>
            </w:pPr>
            <w:r>
              <w:rPr>
                <w:rFonts w:hint="eastAsia"/>
                <w:highlight w:val="none"/>
                <w:lang w:val="en-US" w:eastAsia="zh-CN"/>
              </w:rPr>
              <w:t>0.405</w:t>
            </w:r>
          </w:p>
        </w:tc>
        <w:tc>
          <w:tcPr>
            <w:tcW w:w="1311" w:type="pct"/>
            <w:vMerge w:val="restart"/>
            <w:vAlign w:val="center"/>
          </w:tcPr>
          <w:p w14:paraId="36804FFB">
            <w:pPr>
              <w:pStyle w:val="19"/>
              <w:bidi w:val="0"/>
              <w:rPr>
                <w:rFonts w:hint="default" w:eastAsia="宋体"/>
                <w:highlight w:val="none"/>
                <w:lang w:val="en-US" w:eastAsia="zh-CN"/>
              </w:rPr>
            </w:pPr>
            <w:r>
              <w:rPr>
                <w:rFonts w:hint="eastAsia"/>
                <w:highlight w:val="none"/>
                <w:lang w:val="en-US" w:eastAsia="zh-CN"/>
              </w:rPr>
              <w:t>喷洒除臭剂等</w:t>
            </w:r>
          </w:p>
        </w:tc>
        <w:tc>
          <w:tcPr>
            <w:tcW w:w="519" w:type="pct"/>
            <w:vAlign w:val="center"/>
          </w:tcPr>
          <w:p w14:paraId="39CD3113">
            <w:pPr>
              <w:pStyle w:val="19"/>
              <w:bidi w:val="0"/>
              <w:rPr>
                <w:rFonts w:hint="default"/>
                <w:highlight w:val="none"/>
                <w:lang w:val="en-US" w:eastAsia="zh-CN"/>
              </w:rPr>
            </w:pPr>
            <w:r>
              <w:rPr>
                <w:rFonts w:hint="eastAsia"/>
                <w:highlight w:val="none"/>
                <w:lang w:val="en-US" w:eastAsia="zh-CN"/>
              </w:rPr>
              <w:t>2.838</w:t>
            </w:r>
          </w:p>
        </w:tc>
        <w:tc>
          <w:tcPr>
            <w:tcW w:w="624" w:type="pct"/>
            <w:vAlign w:val="center"/>
          </w:tcPr>
          <w:p w14:paraId="19481BE0">
            <w:pPr>
              <w:pStyle w:val="19"/>
              <w:bidi w:val="0"/>
              <w:rPr>
                <w:rFonts w:hint="default"/>
                <w:highlight w:val="none"/>
                <w:lang w:val="en-US" w:eastAsia="zh-CN"/>
              </w:rPr>
            </w:pPr>
            <w:r>
              <w:rPr>
                <w:rFonts w:hint="eastAsia"/>
                <w:highlight w:val="none"/>
                <w:lang w:val="en-US" w:eastAsia="zh-CN"/>
              </w:rPr>
              <w:t>0.392</w:t>
            </w:r>
          </w:p>
        </w:tc>
      </w:tr>
      <w:tr w14:paraId="3164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34" w:type="pct"/>
            <w:gridSpan w:val="2"/>
            <w:vMerge w:val="continue"/>
            <w:vAlign w:val="center"/>
          </w:tcPr>
          <w:p w14:paraId="4C8C5EFA">
            <w:pPr>
              <w:pStyle w:val="19"/>
              <w:bidi w:val="0"/>
              <w:rPr>
                <w:highlight w:val="none"/>
              </w:rPr>
            </w:pPr>
          </w:p>
        </w:tc>
        <w:tc>
          <w:tcPr>
            <w:tcW w:w="492" w:type="pct"/>
            <w:vAlign w:val="center"/>
          </w:tcPr>
          <w:p w14:paraId="053E0185">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5DDA5295">
            <w:pPr>
              <w:pStyle w:val="19"/>
              <w:bidi w:val="0"/>
              <w:rPr>
                <w:rFonts w:hint="default"/>
                <w:highlight w:val="none"/>
                <w:lang w:val="en-US" w:eastAsia="zh-CN"/>
              </w:rPr>
            </w:pPr>
            <w:r>
              <w:rPr>
                <w:rFonts w:hint="eastAsia"/>
                <w:highlight w:val="none"/>
                <w:lang w:val="en-US" w:eastAsia="zh-CN"/>
              </w:rPr>
              <w:t>2.919</w:t>
            </w:r>
          </w:p>
        </w:tc>
        <w:tc>
          <w:tcPr>
            <w:tcW w:w="607" w:type="pct"/>
            <w:vAlign w:val="center"/>
          </w:tcPr>
          <w:p w14:paraId="12184B01">
            <w:pPr>
              <w:pStyle w:val="19"/>
              <w:bidi w:val="0"/>
              <w:rPr>
                <w:rFonts w:hint="default"/>
                <w:highlight w:val="none"/>
                <w:lang w:val="en-US" w:eastAsia="zh-CN"/>
              </w:rPr>
            </w:pPr>
            <w:r>
              <w:rPr>
                <w:rFonts w:hint="eastAsia"/>
                <w:highlight w:val="none"/>
                <w:lang w:val="en-US" w:eastAsia="zh-CN"/>
              </w:rPr>
              <w:t>3.845</w:t>
            </w:r>
          </w:p>
        </w:tc>
        <w:tc>
          <w:tcPr>
            <w:tcW w:w="1311" w:type="pct"/>
            <w:vMerge w:val="continue"/>
            <w:vAlign w:val="center"/>
          </w:tcPr>
          <w:p w14:paraId="2F8F5FE2">
            <w:pPr>
              <w:pStyle w:val="19"/>
              <w:bidi w:val="0"/>
              <w:rPr>
                <w:highlight w:val="none"/>
                <w:lang w:eastAsia="zh-TW"/>
              </w:rPr>
            </w:pPr>
          </w:p>
        </w:tc>
        <w:tc>
          <w:tcPr>
            <w:tcW w:w="519" w:type="pct"/>
            <w:vAlign w:val="center"/>
          </w:tcPr>
          <w:p w14:paraId="552ED638">
            <w:pPr>
              <w:pStyle w:val="19"/>
              <w:bidi w:val="0"/>
              <w:rPr>
                <w:rFonts w:hint="default"/>
                <w:highlight w:val="none"/>
                <w:lang w:val="en-US" w:eastAsia="zh-CN"/>
              </w:rPr>
            </w:pPr>
            <w:r>
              <w:rPr>
                <w:rFonts w:hint="eastAsia"/>
                <w:highlight w:val="none"/>
                <w:lang w:val="en-US" w:eastAsia="zh-CN"/>
              </w:rPr>
              <w:t>0.297</w:t>
            </w:r>
          </w:p>
        </w:tc>
        <w:tc>
          <w:tcPr>
            <w:tcW w:w="624" w:type="pct"/>
            <w:vAlign w:val="center"/>
          </w:tcPr>
          <w:p w14:paraId="4BA45EA4">
            <w:pPr>
              <w:pStyle w:val="19"/>
              <w:bidi w:val="0"/>
              <w:rPr>
                <w:rFonts w:hint="default"/>
                <w:highlight w:val="none"/>
                <w:lang w:val="en-US" w:eastAsia="zh-CN"/>
              </w:rPr>
            </w:pPr>
            <w:r>
              <w:rPr>
                <w:rFonts w:hint="eastAsia"/>
                <w:highlight w:val="none"/>
                <w:lang w:val="en-US" w:eastAsia="zh-CN"/>
              </w:rPr>
              <w:t>0.042</w:t>
            </w:r>
          </w:p>
        </w:tc>
      </w:tr>
    </w:tbl>
    <w:p w14:paraId="3BA8E39F">
      <w:pPr>
        <w:pStyle w:val="30"/>
        <w:bidi w:val="0"/>
        <w:rPr>
          <w:rFonts w:hint="eastAsia"/>
          <w:lang w:val="en-US" w:eastAsia="zh-CN"/>
        </w:rPr>
      </w:pPr>
    </w:p>
    <w:p w14:paraId="027ACB99">
      <w:pPr>
        <w:pStyle w:val="30"/>
        <w:bidi w:val="0"/>
        <w:rPr>
          <w:rFonts w:hint="default"/>
          <w:lang w:val="en-US" w:eastAsia="zh-CN"/>
        </w:rPr>
      </w:pPr>
      <w:r>
        <w:rPr>
          <w:rFonts w:hint="eastAsia"/>
          <w:lang w:val="en-US" w:eastAsia="zh-CN"/>
        </w:rPr>
        <w:t>表3.4-11   本项目废气排放情况汇总表（有组织）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684"/>
        <w:gridCol w:w="943"/>
        <w:gridCol w:w="1162"/>
        <w:gridCol w:w="1341"/>
        <w:gridCol w:w="943"/>
        <w:gridCol w:w="1181"/>
        <w:gridCol w:w="1388"/>
      </w:tblGrid>
      <w:tr w14:paraId="4B28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0" w:type="pct"/>
            <w:vMerge w:val="restart"/>
            <w:tcMar>
              <w:top w:w="0" w:type="dxa"/>
              <w:left w:w="57" w:type="dxa"/>
              <w:bottom w:w="0" w:type="dxa"/>
              <w:right w:w="57" w:type="dxa"/>
            </w:tcMar>
            <w:vAlign w:val="center"/>
          </w:tcPr>
          <w:p w14:paraId="67B6D051">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污染源</w:t>
            </w:r>
          </w:p>
        </w:tc>
        <w:tc>
          <w:tcPr>
            <w:tcW w:w="406" w:type="pct"/>
            <w:vMerge w:val="restart"/>
            <w:tcMar>
              <w:top w:w="0" w:type="dxa"/>
              <w:left w:w="57" w:type="dxa"/>
              <w:bottom w:w="0" w:type="dxa"/>
              <w:right w:w="57" w:type="dxa"/>
            </w:tcMar>
            <w:vAlign w:val="center"/>
          </w:tcPr>
          <w:p w14:paraId="31C5B31D">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污染物名称</w:t>
            </w:r>
          </w:p>
        </w:tc>
        <w:tc>
          <w:tcPr>
            <w:tcW w:w="1250" w:type="pct"/>
            <w:gridSpan w:val="2"/>
            <w:tcMar>
              <w:top w:w="0" w:type="dxa"/>
              <w:left w:w="57" w:type="dxa"/>
              <w:bottom w:w="0" w:type="dxa"/>
              <w:right w:w="57" w:type="dxa"/>
            </w:tcMar>
            <w:vAlign w:val="center"/>
          </w:tcPr>
          <w:p w14:paraId="6BF30FA7">
            <w:pPr>
              <w:pStyle w:val="19"/>
              <w:bidi w:val="0"/>
              <w:rPr>
                <w:rFonts w:hint="eastAsia"/>
                <w:lang w:val="en-US" w:eastAsia="zh-CN"/>
              </w:rPr>
            </w:pPr>
            <w:r>
              <w:rPr>
                <w:rFonts w:hint="default"/>
              </w:rPr>
              <w:t>产生情况</w:t>
            </w:r>
          </w:p>
        </w:tc>
        <w:tc>
          <w:tcPr>
            <w:tcW w:w="796" w:type="pct"/>
            <w:vMerge w:val="restart"/>
            <w:tcMar>
              <w:top w:w="0" w:type="dxa"/>
              <w:left w:w="57" w:type="dxa"/>
              <w:bottom w:w="0" w:type="dxa"/>
              <w:right w:w="57" w:type="dxa"/>
            </w:tcMar>
            <w:vAlign w:val="center"/>
          </w:tcPr>
          <w:p w14:paraId="70677FC5">
            <w:pPr>
              <w:pStyle w:val="19"/>
              <w:bidi w:val="0"/>
              <w:rPr>
                <w:rFonts w:hint="eastAsia"/>
                <w:lang w:val="en-US" w:eastAsia="zh-CN"/>
              </w:rPr>
            </w:pPr>
            <w:r>
              <w:rPr>
                <w:rFonts w:hint="default"/>
              </w:rPr>
              <w:t>治理措施</w:t>
            </w:r>
          </w:p>
        </w:tc>
        <w:tc>
          <w:tcPr>
            <w:tcW w:w="2085" w:type="pct"/>
            <w:gridSpan w:val="3"/>
            <w:tcMar>
              <w:top w:w="0" w:type="dxa"/>
              <w:left w:w="57" w:type="dxa"/>
              <w:bottom w:w="0" w:type="dxa"/>
              <w:right w:w="57" w:type="dxa"/>
            </w:tcMar>
            <w:vAlign w:val="center"/>
          </w:tcPr>
          <w:p w14:paraId="54420D5C">
            <w:pPr>
              <w:pStyle w:val="19"/>
              <w:bidi w:val="0"/>
              <w:rPr>
                <w:rFonts w:hint="default"/>
              </w:rPr>
            </w:pPr>
            <w:r>
              <w:rPr>
                <w:rFonts w:hint="default"/>
              </w:rPr>
              <w:t>排放情况</w:t>
            </w:r>
          </w:p>
        </w:tc>
      </w:tr>
      <w:tr w14:paraId="2A66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0" w:type="pct"/>
            <w:vMerge w:val="continue"/>
            <w:tcMar>
              <w:top w:w="0" w:type="dxa"/>
              <w:left w:w="57" w:type="dxa"/>
              <w:bottom w:w="0" w:type="dxa"/>
              <w:right w:w="57" w:type="dxa"/>
            </w:tcMar>
            <w:vAlign w:val="center"/>
          </w:tcPr>
          <w:p w14:paraId="15EDD27E">
            <w:pPr>
              <w:pStyle w:val="19"/>
              <w:bidi w:val="0"/>
            </w:pPr>
          </w:p>
        </w:tc>
        <w:tc>
          <w:tcPr>
            <w:tcW w:w="406" w:type="pct"/>
            <w:vMerge w:val="continue"/>
            <w:tcMar>
              <w:top w:w="0" w:type="dxa"/>
              <w:left w:w="57" w:type="dxa"/>
              <w:bottom w:w="0" w:type="dxa"/>
              <w:right w:w="57" w:type="dxa"/>
            </w:tcMar>
            <w:vAlign w:val="center"/>
          </w:tcPr>
          <w:p w14:paraId="35D322DF">
            <w:pPr>
              <w:pStyle w:val="19"/>
              <w:bidi w:val="0"/>
            </w:pPr>
          </w:p>
        </w:tc>
        <w:tc>
          <w:tcPr>
            <w:tcW w:w="560" w:type="pct"/>
            <w:tcMar>
              <w:top w:w="0" w:type="dxa"/>
              <w:left w:w="57" w:type="dxa"/>
              <w:bottom w:w="0" w:type="dxa"/>
              <w:right w:w="57" w:type="dxa"/>
            </w:tcMar>
            <w:vAlign w:val="center"/>
          </w:tcPr>
          <w:p w14:paraId="4EEEE539">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产生量（t/a）</w:t>
            </w:r>
          </w:p>
        </w:tc>
        <w:tc>
          <w:tcPr>
            <w:tcW w:w="690" w:type="pct"/>
            <w:tcMar>
              <w:top w:w="0" w:type="dxa"/>
              <w:left w:w="57" w:type="dxa"/>
              <w:bottom w:w="0" w:type="dxa"/>
              <w:right w:w="57" w:type="dxa"/>
            </w:tcMar>
            <w:vAlign w:val="center"/>
          </w:tcPr>
          <w:p w14:paraId="7DF069B9">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产生速率（kg/h）</w:t>
            </w:r>
          </w:p>
        </w:tc>
        <w:tc>
          <w:tcPr>
            <w:tcW w:w="796" w:type="pct"/>
            <w:vMerge w:val="continue"/>
            <w:tcMar>
              <w:top w:w="0" w:type="dxa"/>
              <w:left w:w="57" w:type="dxa"/>
              <w:bottom w:w="0" w:type="dxa"/>
              <w:right w:w="57" w:type="dxa"/>
            </w:tcMar>
            <w:vAlign w:val="center"/>
          </w:tcPr>
          <w:p w14:paraId="2D822D93">
            <w:pPr>
              <w:pStyle w:val="19"/>
              <w:bidi w:val="0"/>
              <w:rPr>
                <w:rFonts w:hint="eastAsia"/>
                <w:lang w:val="en-US" w:eastAsia="zh-CN"/>
              </w:rPr>
            </w:pPr>
          </w:p>
        </w:tc>
        <w:tc>
          <w:tcPr>
            <w:tcW w:w="560" w:type="pct"/>
            <w:tcMar>
              <w:top w:w="0" w:type="dxa"/>
              <w:left w:w="57" w:type="dxa"/>
              <w:bottom w:w="0" w:type="dxa"/>
              <w:right w:w="57" w:type="dxa"/>
            </w:tcMar>
            <w:vAlign w:val="center"/>
          </w:tcPr>
          <w:p w14:paraId="0E17ED8A">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排放量（t/a）</w:t>
            </w:r>
          </w:p>
        </w:tc>
        <w:tc>
          <w:tcPr>
            <w:tcW w:w="701" w:type="pct"/>
            <w:tcMar>
              <w:top w:w="0" w:type="dxa"/>
              <w:left w:w="57" w:type="dxa"/>
              <w:bottom w:w="0" w:type="dxa"/>
              <w:right w:w="57" w:type="dxa"/>
            </w:tcMar>
            <w:vAlign w:val="center"/>
          </w:tcPr>
          <w:p w14:paraId="4CE2858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排放速率（kg/h）</w:t>
            </w:r>
          </w:p>
        </w:tc>
        <w:tc>
          <w:tcPr>
            <w:tcW w:w="823" w:type="pct"/>
            <w:tcMar>
              <w:top w:w="0" w:type="dxa"/>
              <w:left w:w="57" w:type="dxa"/>
              <w:bottom w:w="0" w:type="dxa"/>
              <w:right w:w="57" w:type="dxa"/>
            </w:tcMar>
            <w:vAlign w:val="center"/>
          </w:tcPr>
          <w:p w14:paraId="7C34E26F">
            <w:pPr>
              <w:pStyle w:val="19"/>
              <w:bidi w:val="0"/>
              <w:ind w:firstLine="0" w:firstLineChars="0"/>
              <w:rPr>
                <w:rFonts w:hint="default" w:eastAsia="宋体"/>
                <w:lang w:val="en-US" w:eastAsia="zh-CN"/>
              </w:rPr>
            </w:pPr>
            <w:r>
              <w:rPr>
                <w:rFonts w:hint="eastAsia"/>
                <w:lang w:val="en-US" w:eastAsia="zh-CN"/>
              </w:rPr>
              <w:t>排放浓度（mg/m</w:t>
            </w:r>
            <w:r>
              <w:rPr>
                <w:rFonts w:hint="eastAsia"/>
                <w:vertAlign w:val="superscript"/>
                <w:lang w:val="en-US" w:eastAsia="zh-CN"/>
              </w:rPr>
              <w:t>3</w:t>
            </w:r>
            <w:r>
              <w:rPr>
                <w:rFonts w:hint="eastAsia"/>
                <w:lang w:val="en-US" w:eastAsia="zh-CN"/>
              </w:rPr>
              <w:t>）</w:t>
            </w:r>
          </w:p>
        </w:tc>
      </w:tr>
      <w:tr w14:paraId="784C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0" w:type="pct"/>
            <w:tcMar>
              <w:top w:w="0" w:type="dxa"/>
              <w:left w:w="57" w:type="dxa"/>
              <w:bottom w:w="0" w:type="dxa"/>
              <w:right w:w="57" w:type="dxa"/>
            </w:tcMar>
            <w:vAlign w:val="center"/>
          </w:tcPr>
          <w:p w14:paraId="7C568EDD">
            <w:pPr>
              <w:pStyle w:val="19"/>
              <w:bidi w:val="0"/>
              <w:ind w:firstLine="0" w:firstLineChars="0"/>
              <w:rPr>
                <w:rFonts w:hint="eastAsia"/>
                <w:lang w:val="en-US" w:eastAsia="zh-CN"/>
              </w:rPr>
            </w:pPr>
            <w:r>
              <w:rPr>
                <w:rFonts w:hint="eastAsia"/>
                <w:lang w:val="en-US" w:eastAsia="zh-CN"/>
              </w:rPr>
              <w:t>食堂油烟</w:t>
            </w:r>
          </w:p>
        </w:tc>
        <w:tc>
          <w:tcPr>
            <w:tcW w:w="406" w:type="pct"/>
            <w:tcMar>
              <w:top w:w="0" w:type="dxa"/>
              <w:left w:w="57" w:type="dxa"/>
              <w:bottom w:w="0" w:type="dxa"/>
              <w:right w:w="57" w:type="dxa"/>
            </w:tcMar>
            <w:vAlign w:val="center"/>
          </w:tcPr>
          <w:p w14:paraId="1B9CE884">
            <w:pPr>
              <w:pStyle w:val="19"/>
              <w:bidi w:val="0"/>
              <w:rPr>
                <w:rFonts w:hint="default"/>
                <w:lang w:val="en-US" w:eastAsia="zh-CN"/>
              </w:rPr>
            </w:pPr>
            <w:r>
              <w:rPr>
                <w:rFonts w:hint="eastAsia"/>
                <w:lang w:val="en-US" w:eastAsia="zh-CN"/>
              </w:rPr>
              <w:t>饮食油烟</w:t>
            </w:r>
          </w:p>
        </w:tc>
        <w:tc>
          <w:tcPr>
            <w:tcW w:w="560" w:type="pct"/>
            <w:tcMar>
              <w:top w:w="0" w:type="dxa"/>
              <w:left w:w="57" w:type="dxa"/>
              <w:bottom w:w="0" w:type="dxa"/>
              <w:right w:w="57" w:type="dxa"/>
            </w:tcMar>
            <w:vAlign w:val="center"/>
          </w:tcPr>
          <w:p w14:paraId="202DB2DB">
            <w:pPr>
              <w:pStyle w:val="19"/>
              <w:bidi w:val="0"/>
              <w:rPr>
                <w:rFonts w:hint="default"/>
                <w:lang w:val="en-US" w:eastAsia="zh-CN"/>
              </w:rPr>
            </w:pPr>
            <w:r>
              <w:rPr>
                <w:rFonts w:hint="eastAsia"/>
                <w:lang w:val="en-US" w:eastAsia="zh-CN"/>
              </w:rPr>
              <w:t>0.01</w:t>
            </w:r>
          </w:p>
        </w:tc>
        <w:tc>
          <w:tcPr>
            <w:tcW w:w="690" w:type="pct"/>
            <w:tcMar>
              <w:top w:w="0" w:type="dxa"/>
              <w:left w:w="57" w:type="dxa"/>
              <w:bottom w:w="0" w:type="dxa"/>
              <w:right w:w="57" w:type="dxa"/>
            </w:tcMar>
            <w:vAlign w:val="center"/>
          </w:tcPr>
          <w:p w14:paraId="07983A1E">
            <w:pPr>
              <w:pStyle w:val="19"/>
              <w:bidi w:val="0"/>
              <w:rPr>
                <w:rFonts w:hint="default"/>
                <w:vertAlign w:val="superscript"/>
                <w:lang w:val="en-US" w:eastAsia="zh-CN"/>
              </w:rPr>
            </w:pPr>
            <w:r>
              <w:rPr>
                <w:rFonts w:hint="eastAsia"/>
                <w:lang w:val="en-US" w:eastAsia="zh-CN"/>
              </w:rPr>
              <w:t>1.25×10</w:t>
            </w:r>
            <w:r>
              <w:rPr>
                <w:rFonts w:hint="eastAsia"/>
                <w:vertAlign w:val="superscript"/>
                <w:lang w:val="en-US" w:eastAsia="zh-CN"/>
              </w:rPr>
              <w:t>-3</w:t>
            </w:r>
          </w:p>
        </w:tc>
        <w:tc>
          <w:tcPr>
            <w:tcW w:w="796" w:type="pct"/>
            <w:tcMar>
              <w:top w:w="0" w:type="dxa"/>
              <w:left w:w="57" w:type="dxa"/>
              <w:bottom w:w="0" w:type="dxa"/>
              <w:right w:w="57" w:type="dxa"/>
            </w:tcMar>
            <w:vAlign w:val="center"/>
          </w:tcPr>
          <w:p w14:paraId="7D635CE6">
            <w:pPr>
              <w:pStyle w:val="19"/>
              <w:bidi w:val="0"/>
              <w:rPr>
                <w:rFonts w:hint="default"/>
                <w:lang w:val="en-US" w:eastAsia="zh-CN"/>
              </w:rPr>
            </w:pPr>
            <w:r>
              <w:rPr>
                <w:rFonts w:hint="eastAsia"/>
                <w:lang w:val="en-US" w:eastAsia="zh-CN"/>
              </w:rPr>
              <w:t>油烟净化器+专用排烟风道于屋顶排放</w:t>
            </w:r>
          </w:p>
        </w:tc>
        <w:tc>
          <w:tcPr>
            <w:tcW w:w="560" w:type="pct"/>
            <w:tcMar>
              <w:top w:w="0" w:type="dxa"/>
              <w:left w:w="57" w:type="dxa"/>
              <w:bottom w:w="0" w:type="dxa"/>
              <w:right w:w="57" w:type="dxa"/>
            </w:tcMar>
            <w:vAlign w:val="center"/>
          </w:tcPr>
          <w:p w14:paraId="656D8067">
            <w:pPr>
              <w:pStyle w:val="19"/>
              <w:bidi w:val="0"/>
              <w:rPr>
                <w:rFonts w:hint="default"/>
                <w:lang w:val="en-US" w:eastAsia="zh-CN"/>
              </w:rPr>
            </w:pPr>
            <w:r>
              <w:rPr>
                <w:rFonts w:hint="eastAsia"/>
                <w:lang w:val="en-US" w:eastAsia="zh-CN"/>
              </w:rPr>
              <w:t>0.004</w:t>
            </w:r>
          </w:p>
        </w:tc>
        <w:tc>
          <w:tcPr>
            <w:tcW w:w="701" w:type="pct"/>
            <w:tcMar>
              <w:top w:w="0" w:type="dxa"/>
              <w:left w:w="57" w:type="dxa"/>
              <w:bottom w:w="0" w:type="dxa"/>
              <w:right w:w="57" w:type="dxa"/>
            </w:tcMar>
            <w:vAlign w:val="center"/>
          </w:tcPr>
          <w:p w14:paraId="065CC812">
            <w:pPr>
              <w:pStyle w:val="19"/>
              <w:bidi w:val="0"/>
              <w:rPr>
                <w:rFonts w:hint="default"/>
                <w:lang w:val="en-US" w:eastAsia="zh-CN"/>
              </w:rPr>
            </w:pPr>
            <w:r>
              <w:rPr>
                <w:rFonts w:hint="eastAsia"/>
                <w:lang w:val="en-US" w:eastAsia="zh-CN"/>
              </w:rPr>
              <w:t>5×10</w:t>
            </w:r>
            <w:r>
              <w:rPr>
                <w:rFonts w:hint="eastAsia"/>
                <w:vertAlign w:val="superscript"/>
                <w:lang w:val="en-US" w:eastAsia="zh-CN"/>
              </w:rPr>
              <w:t>-4</w:t>
            </w:r>
          </w:p>
        </w:tc>
        <w:tc>
          <w:tcPr>
            <w:tcW w:w="823" w:type="pct"/>
            <w:tcMar>
              <w:top w:w="0" w:type="dxa"/>
              <w:left w:w="57" w:type="dxa"/>
              <w:bottom w:w="0" w:type="dxa"/>
              <w:right w:w="57" w:type="dxa"/>
            </w:tcMar>
            <w:vAlign w:val="center"/>
          </w:tcPr>
          <w:p w14:paraId="078666A0">
            <w:pPr>
              <w:pStyle w:val="19"/>
              <w:bidi w:val="0"/>
              <w:rPr>
                <w:rFonts w:hint="default"/>
                <w:lang w:val="en-US" w:eastAsia="zh-CN"/>
              </w:rPr>
            </w:pPr>
            <w:r>
              <w:rPr>
                <w:rFonts w:hint="eastAsia"/>
                <w:lang w:val="en-US" w:eastAsia="zh-CN"/>
              </w:rPr>
              <w:t>1.37</w:t>
            </w:r>
          </w:p>
        </w:tc>
      </w:tr>
      <w:tr w14:paraId="20CE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Mar>
              <w:top w:w="0" w:type="dxa"/>
              <w:left w:w="57" w:type="dxa"/>
              <w:bottom w:w="0" w:type="dxa"/>
              <w:right w:w="57" w:type="dxa"/>
            </w:tcMar>
            <w:vAlign w:val="center"/>
          </w:tcPr>
          <w:p w14:paraId="5F772999">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1#生物质锅炉</w:t>
            </w:r>
          </w:p>
        </w:tc>
        <w:tc>
          <w:tcPr>
            <w:tcW w:w="406" w:type="pct"/>
            <w:tcMar>
              <w:top w:w="0" w:type="dxa"/>
              <w:left w:w="57" w:type="dxa"/>
              <w:bottom w:w="0" w:type="dxa"/>
              <w:right w:w="57" w:type="dxa"/>
            </w:tcMar>
            <w:vAlign w:val="center"/>
          </w:tcPr>
          <w:p w14:paraId="3EFBEBE3">
            <w:pPr>
              <w:pStyle w:val="19"/>
              <w:bidi w:val="0"/>
              <w:ind w:firstLine="0" w:firstLineChars="0"/>
              <w:jc w:val="center"/>
              <w:rPr>
                <w:rFonts w:hint="eastAsia" w:eastAsia="宋体"/>
                <w:vertAlign w:val="subscript"/>
                <w:lang w:val="en-US" w:eastAsia="zh-CN"/>
              </w:rPr>
            </w:pPr>
            <w:r>
              <w:rPr>
                <w:rFonts w:hint="eastAsia"/>
                <w:lang w:val="en-US" w:eastAsia="zh-CN"/>
              </w:rPr>
              <w:t>颗粒物</w:t>
            </w:r>
          </w:p>
        </w:tc>
        <w:tc>
          <w:tcPr>
            <w:tcW w:w="560" w:type="pct"/>
            <w:tcMar>
              <w:top w:w="0" w:type="dxa"/>
              <w:left w:w="57" w:type="dxa"/>
              <w:bottom w:w="0" w:type="dxa"/>
              <w:right w:w="57" w:type="dxa"/>
            </w:tcMar>
            <w:vAlign w:val="center"/>
          </w:tcPr>
          <w:p w14:paraId="561B4484">
            <w:pPr>
              <w:pStyle w:val="19"/>
              <w:bidi w:val="0"/>
              <w:ind w:firstLine="0" w:firstLineChars="0"/>
              <w:jc w:val="center"/>
              <w:rPr>
                <w:rFonts w:hint="default"/>
                <w:lang w:val="en-US" w:eastAsia="zh-CN"/>
              </w:rPr>
            </w:pPr>
            <w:r>
              <w:rPr>
                <w:rFonts w:hint="eastAsia"/>
                <w:lang w:val="en-US" w:eastAsia="zh-CN"/>
              </w:rPr>
              <w:t>0.95</w:t>
            </w:r>
          </w:p>
        </w:tc>
        <w:tc>
          <w:tcPr>
            <w:tcW w:w="690" w:type="pct"/>
            <w:tcMar>
              <w:top w:w="0" w:type="dxa"/>
              <w:left w:w="57" w:type="dxa"/>
              <w:bottom w:w="0" w:type="dxa"/>
              <w:right w:w="57" w:type="dxa"/>
            </w:tcMar>
            <w:vAlign w:val="center"/>
          </w:tcPr>
          <w:p w14:paraId="0444ABC6">
            <w:pPr>
              <w:pStyle w:val="19"/>
              <w:bidi w:val="0"/>
              <w:ind w:firstLine="0" w:firstLineChars="0"/>
              <w:jc w:val="center"/>
              <w:rPr>
                <w:rFonts w:hint="default"/>
                <w:lang w:val="en-US" w:eastAsia="zh-CN"/>
              </w:rPr>
            </w:pPr>
            <w:r>
              <w:rPr>
                <w:rFonts w:hint="eastAsia"/>
                <w:lang w:val="en-US" w:eastAsia="zh-CN"/>
              </w:rPr>
              <w:t>0.219</w:t>
            </w:r>
          </w:p>
        </w:tc>
        <w:tc>
          <w:tcPr>
            <w:tcW w:w="796" w:type="pct"/>
            <w:vMerge w:val="restart"/>
            <w:tcMar>
              <w:top w:w="0" w:type="dxa"/>
              <w:left w:w="57" w:type="dxa"/>
              <w:bottom w:w="0" w:type="dxa"/>
              <w:right w:w="57" w:type="dxa"/>
            </w:tcMar>
            <w:vAlign w:val="center"/>
          </w:tcPr>
          <w:p w14:paraId="6C5C9AFC">
            <w:pPr>
              <w:pStyle w:val="19"/>
              <w:bidi w:val="0"/>
              <w:rPr>
                <w:rFonts w:hint="default"/>
                <w:lang w:val="en-US" w:eastAsia="zh-CN"/>
              </w:rPr>
            </w:pPr>
            <w:r>
              <w:rPr>
                <w:rFonts w:hint="eastAsia"/>
                <w:lang w:val="en-US" w:eastAsia="zh-CN"/>
              </w:rPr>
              <w:t>低氮燃烧+布袋除尘+15m排气筒DA001</w:t>
            </w:r>
          </w:p>
        </w:tc>
        <w:tc>
          <w:tcPr>
            <w:tcW w:w="560" w:type="pct"/>
            <w:tcMar>
              <w:top w:w="0" w:type="dxa"/>
              <w:left w:w="57" w:type="dxa"/>
              <w:bottom w:w="0" w:type="dxa"/>
              <w:right w:w="57" w:type="dxa"/>
            </w:tcMar>
            <w:vAlign w:val="center"/>
          </w:tcPr>
          <w:p w14:paraId="68419790">
            <w:pPr>
              <w:pStyle w:val="19"/>
              <w:bidi w:val="0"/>
              <w:ind w:firstLine="0" w:firstLineChars="0"/>
              <w:jc w:val="center"/>
              <w:rPr>
                <w:rFonts w:hint="default"/>
                <w:lang w:val="en-US" w:eastAsia="zh-CN"/>
              </w:rPr>
            </w:pPr>
            <w:r>
              <w:rPr>
                <w:rFonts w:hint="eastAsia"/>
                <w:lang w:val="en-US" w:eastAsia="zh-CN"/>
              </w:rPr>
              <w:t>0.0095</w:t>
            </w:r>
          </w:p>
        </w:tc>
        <w:tc>
          <w:tcPr>
            <w:tcW w:w="701" w:type="pct"/>
            <w:tcMar>
              <w:top w:w="0" w:type="dxa"/>
              <w:left w:w="57" w:type="dxa"/>
              <w:bottom w:w="0" w:type="dxa"/>
              <w:right w:w="57" w:type="dxa"/>
            </w:tcMar>
            <w:vAlign w:val="center"/>
          </w:tcPr>
          <w:p w14:paraId="04CE263C">
            <w:pPr>
              <w:pStyle w:val="19"/>
              <w:bidi w:val="0"/>
              <w:ind w:firstLine="0" w:firstLineChars="0"/>
              <w:jc w:val="center"/>
              <w:rPr>
                <w:rFonts w:hint="default"/>
                <w:lang w:val="en-US" w:eastAsia="zh-CN"/>
              </w:rPr>
            </w:pPr>
            <w:r>
              <w:rPr>
                <w:rFonts w:hint="eastAsia"/>
                <w:lang w:val="en-US" w:eastAsia="zh-CN"/>
              </w:rPr>
              <w:t>0.00219</w:t>
            </w:r>
          </w:p>
        </w:tc>
        <w:tc>
          <w:tcPr>
            <w:tcW w:w="823" w:type="pct"/>
            <w:tcMar>
              <w:top w:w="0" w:type="dxa"/>
              <w:left w:w="57" w:type="dxa"/>
              <w:bottom w:w="0" w:type="dxa"/>
              <w:right w:w="57" w:type="dxa"/>
            </w:tcMar>
            <w:vAlign w:val="center"/>
          </w:tcPr>
          <w:p w14:paraId="3C6875F1">
            <w:pPr>
              <w:pStyle w:val="19"/>
              <w:bidi w:val="0"/>
              <w:ind w:firstLine="0" w:firstLineChars="0"/>
              <w:jc w:val="center"/>
              <w:rPr>
                <w:rFonts w:hint="default"/>
                <w:lang w:val="en-US" w:eastAsia="zh-CN"/>
              </w:rPr>
            </w:pPr>
            <w:r>
              <w:rPr>
                <w:rFonts w:hint="eastAsia"/>
                <w:lang w:val="en-US" w:eastAsia="zh-CN"/>
              </w:rPr>
              <w:t>0.81</w:t>
            </w:r>
          </w:p>
        </w:tc>
      </w:tr>
      <w:tr w14:paraId="2580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1B4FAE88">
            <w:pPr>
              <w:pStyle w:val="19"/>
              <w:bidi w:val="0"/>
              <w:ind w:firstLine="0" w:firstLineChars="0"/>
              <w:rPr>
                <w:rFonts w:hint="default" w:ascii="Times New Roman" w:hAnsi="Times New Roman" w:eastAsia="宋体" w:cs="Times New Roman"/>
                <w:kern w:val="2"/>
                <w:sz w:val="21"/>
                <w:szCs w:val="22"/>
                <w:lang w:val="en-US" w:eastAsia="zh-CN" w:bidi="ar-SA"/>
              </w:rPr>
            </w:pPr>
          </w:p>
        </w:tc>
        <w:tc>
          <w:tcPr>
            <w:tcW w:w="406" w:type="pct"/>
            <w:tcMar>
              <w:top w:w="0" w:type="dxa"/>
              <w:left w:w="57" w:type="dxa"/>
              <w:bottom w:w="0" w:type="dxa"/>
              <w:right w:w="57" w:type="dxa"/>
            </w:tcMar>
            <w:vAlign w:val="center"/>
          </w:tcPr>
          <w:p w14:paraId="5D9470D4">
            <w:pPr>
              <w:pStyle w:val="19"/>
              <w:bidi w:val="0"/>
              <w:ind w:firstLine="0" w:firstLineChars="0"/>
              <w:jc w:val="center"/>
              <w:rPr>
                <w:rFonts w:hint="default" w:ascii="Times New Roman" w:hAnsi="Times New Roman" w:eastAsia="宋体" w:cs="Times New Roman"/>
                <w:kern w:val="2"/>
                <w:sz w:val="21"/>
                <w:szCs w:val="22"/>
                <w:vertAlign w:val="subscript"/>
                <w:lang w:val="en-US" w:eastAsia="zh-CN" w:bidi="ar-SA"/>
              </w:rPr>
            </w:pPr>
            <w:r>
              <w:t>SO</w:t>
            </w:r>
            <w:r>
              <w:rPr>
                <w:vertAlign w:val="subscript"/>
              </w:rPr>
              <w:t>2</w:t>
            </w:r>
          </w:p>
        </w:tc>
        <w:tc>
          <w:tcPr>
            <w:tcW w:w="560" w:type="pct"/>
            <w:tcMar>
              <w:top w:w="0" w:type="dxa"/>
              <w:left w:w="57" w:type="dxa"/>
              <w:bottom w:w="0" w:type="dxa"/>
              <w:right w:w="57" w:type="dxa"/>
            </w:tcMar>
            <w:vAlign w:val="center"/>
          </w:tcPr>
          <w:p w14:paraId="24C3AB1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3.23</w:t>
            </w:r>
          </w:p>
        </w:tc>
        <w:tc>
          <w:tcPr>
            <w:tcW w:w="690" w:type="pct"/>
            <w:tcMar>
              <w:top w:w="0" w:type="dxa"/>
              <w:left w:w="57" w:type="dxa"/>
              <w:bottom w:w="0" w:type="dxa"/>
              <w:right w:w="57" w:type="dxa"/>
            </w:tcMar>
            <w:vAlign w:val="center"/>
          </w:tcPr>
          <w:p w14:paraId="267DCCE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796" w:type="pct"/>
            <w:vMerge w:val="continue"/>
            <w:tcMar>
              <w:top w:w="0" w:type="dxa"/>
              <w:left w:w="57" w:type="dxa"/>
              <w:bottom w:w="0" w:type="dxa"/>
              <w:right w:w="57" w:type="dxa"/>
            </w:tcMar>
            <w:vAlign w:val="center"/>
          </w:tcPr>
          <w:p w14:paraId="6A9A15E8">
            <w:pPr>
              <w:pStyle w:val="19"/>
              <w:bidi w:val="0"/>
              <w:ind w:firstLine="0" w:firstLineChars="0"/>
              <w:rPr>
                <w:rFonts w:hint="default" w:ascii="Times New Roman" w:hAnsi="Times New Roman" w:eastAsia="宋体" w:cs="Times New Roman"/>
                <w:kern w:val="2"/>
                <w:sz w:val="21"/>
                <w:szCs w:val="22"/>
                <w:lang w:val="en-US" w:eastAsia="zh-CN" w:bidi="ar-SA"/>
              </w:rPr>
            </w:pPr>
          </w:p>
        </w:tc>
        <w:tc>
          <w:tcPr>
            <w:tcW w:w="560" w:type="pct"/>
            <w:tcMar>
              <w:top w:w="0" w:type="dxa"/>
              <w:left w:w="57" w:type="dxa"/>
              <w:bottom w:w="0" w:type="dxa"/>
              <w:right w:w="57" w:type="dxa"/>
            </w:tcMar>
            <w:vAlign w:val="center"/>
          </w:tcPr>
          <w:p w14:paraId="63FCA0AF">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3.23</w:t>
            </w:r>
          </w:p>
        </w:tc>
        <w:tc>
          <w:tcPr>
            <w:tcW w:w="701" w:type="pct"/>
            <w:tcMar>
              <w:top w:w="0" w:type="dxa"/>
              <w:left w:w="57" w:type="dxa"/>
              <w:bottom w:w="0" w:type="dxa"/>
              <w:right w:w="57" w:type="dxa"/>
            </w:tcMar>
            <w:vAlign w:val="center"/>
          </w:tcPr>
          <w:p w14:paraId="64FD0BC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823" w:type="pct"/>
            <w:tcMar>
              <w:top w:w="0" w:type="dxa"/>
              <w:left w:w="57" w:type="dxa"/>
              <w:bottom w:w="0" w:type="dxa"/>
              <w:right w:w="57" w:type="dxa"/>
            </w:tcMar>
            <w:vAlign w:val="center"/>
          </w:tcPr>
          <w:p w14:paraId="2F09601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273</w:t>
            </w:r>
          </w:p>
        </w:tc>
      </w:tr>
      <w:tr w14:paraId="0DF9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68BB8804">
            <w:pPr>
              <w:pStyle w:val="19"/>
              <w:bidi w:val="0"/>
              <w:rPr>
                <w:rFonts w:hint="default"/>
                <w:lang w:val="en-US" w:eastAsia="zh-CN"/>
              </w:rPr>
            </w:pPr>
          </w:p>
        </w:tc>
        <w:tc>
          <w:tcPr>
            <w:tcW w:w="406" w:type="pct"/>
            <w:tcMar>
              <w:top w:w="0" w:type="dxa"/>
              <w:left w:w="57" w:type="dxa"/>
              <w:bottom w:w="0" w:type="dxa"/>
              <w:right w:w="57" w:type="dxa"/>
            </w:tcMar>
            <w:vAlign w:val="center"/>
          </w:tcPr>
          <w:p w14:paraId="59C2C8A0">
            <w:pPr>
              <w:pStyle w:val="19"/>
              <w:bidi w:val="0"/>
              <w:ind w:firstLine="0" w:firstLineChars="0"/>
              <w:jc w:val="center"/>
              <w:rPr>
                <w:rFonts w:hint="default"/>
                <w:lang w:val="en-US" w:eastAsia="zh-CN"/>
              </w:rPr>
            </w:pPr>
            <w:r>
              <w:t>NO</w:t>
            </w:r>
            <w:r>
              <w:rPr>
                <w:vertAlign w:val="subscript"/>
              </w:rPr>
              <w:t>x</w:t>
            </w:r>
          </w:p>
        </w:tc>
        <w:tc>
          <w:tcPr>
            <w:tcW w:w="560" w:type="pct"/>
            <w:tcMar>
              <w:top w:w="0" w:type="dxa"/>
              <w:left w:w="57" w:type="dxa"/>
              <w:bottom w:w="0" w:type="dxa"/>
              <w:right w:w="57" w:type="dxa"/>
            </w:tcMar>
            <w:vAlign w:val="center"/>
          </w:tcPr>
          <w:p w14:paraId="39AE871C">
            <w:pPr>
              <w:pStyle w:val="19"/>
              <w:bidi w:val="0"/>
              <w:ind w:firstLine="0" w:firstLineChars="0"/>
              <w:jc w:val="center"/>
              <w:rPr>
                <w:rFonts w:hint="eastAsia"/>
                <w:lang w:val="en-US" w:eastAsia="zh-CN"/>
              </w:rPr>
            </w:pPr>
            <w:r>
              <w:rPr>
                <w:rFonts w:hint="eastAsia"/>
                <w:lang w:val="en-US" w:eastAsia="zh-CN"/>
              </w:rPr>
              <w:t>1.938</w:t>
            </w:r>
          </w:p>
        </w:tc>
        <w:tc>
          <w:tcPr>
            <w:tcW w:w="690" w:type="pct"/>
            <w:tcMar>
              <w:top w:w="0" w:type="dxa"/>
              <w:left w:w="57" w:type="dxa"/>
              <w:bottom w:w="0" w:type="dxa"/>
              <w:right w:w="57" w:type="dxa"/>
            </w:tcMar>
            <w:vAlign w:val="center"/>
          </w:tcPr>
          <w:p w14:paraId="79B67C14">
            <w:pPr>
              <w:pStyle w:val="19"/>
              <w:bidi w:val="0"/>
              <w:ind w:firstLine="0" w:firstLineChars="0"/>
              <w:jc w:val="center"/>
              <w:rPr>
                <w:rFonts w:hint="eastAsia"/>
                <w:lang w:val="en-US" w:eastAsia="zh-CN"/>
              </w:rPr>
            </w:pPr>
            <w:r>
              <w:rPr>
                <w:rFonts w:hint="eastAsia"/>
                <w:lang w:val="en-US" w:eastAsia="zh-CN"/>
              </w:rPr>
              <w:t>0.446</w:t>
            </w:r>
          </w:p>
        </w:tc>
        <w:tc>
          <w:tcPr>
            <w:tcW w:w="796" w:type="pct"/>
            <w:vMerge w:val="continue"/>
            <w:tcMar>
              <w:top w:w="0" w:type="dxa"/>
              <w:left w:w="57" w:type="dxa"/>
              <w:bottom w:w="0" w:type="dxa"/>
              <w:right w:w="57" w:type="dxa"/>
            </w:tcMar>
            <w:vAlign w:val="center"/>
          </w:tcPr>
          <w:p w14:paraId="3F9E5106">
            <w:pPr>
              <w:pStyle w:val="19"/>
              <w:bidi w:val="0"/>
              <w:rPr>
                <w:rFonts w:hint="default"/>
                <w:lang w:val="en-US" w:eastAsia="zh-CN"/>
              </w:rPr>
            </w:pPr>
          </w:p>
        </w:tc>
        <w:tc>
          <w:tcPr>
            <w:tcW w:w="560" w:type="pct"/>
            <w:tcMar>
              <w:top w:w="0" w:type="dxa"/>
              <w:left w:w="57" w:type="dxa"/>
              <w:bottom w:w="0" w:type="dxa"/>
              <w:right w:w="57" w:type="dxa"/>
            </w:tcMar>
            <w:vAlign w:val="center"/>
          </w:tcPr>
          <w:p w14:paraId="6265C23A">
            <w:pPr>
              <w:pStyle w:val="19"/>
              <w:bidi w:val="0"/>
              <w:ind w:firstLine="0" w:firstLineChars="0"/>
              <w:jc w:val="center"/>
              <w:rPr>
                <w:rFonts w:hint="eastAsia"/>
                <w:lang w:val="en-US" w:eastAsia="zh-CN"/>
              </w:rPr>
            </w:pPr>
            <w:r>
              <w:rPr>
                <w:rFonts w:hint="eastAsia"/>
                <w:lang w:val="en-US" w:eastAsia="zh-CN"/>
              </w:rPr>
              <w:t>1.3566</w:t>
            </w:r>
          </w:p>
        </w:tc>
        <w:tc>
          <w:tcPr>
            <w:tcW w:w="701" w:type="pct"/>
            <w:tcMar>
              <w:top w:w="0" w:type="dxa"/>
              <w:left w:w="57" w:type="dxa"/>
              <w:bottom w:w="0" w:type="dxa"/>
              <w:right w:w="57" w:type="dxa"/>
            </w:tcMar>
            <w:vAlign w:val="center"/>
          </w:tcPr>
          <w:p w14:paraId="3FF3A4B1">
            <w:pPr>
              <w:pStyle w:val="19"/>
              <w:bidi w:val="0"/>
              <w:ind w:firstLine="0" w:firstLineChars="0"/>
              <w:jc w:val="center"/>
              <w:rPr>
                <w:rFonts w:hint="eastAsia"/>
                <w:lang w:val="en-US" w:eastAsia="zh-CN"/>
              </w:rPr>
            </w:pPr>
            <w:r>
              <w:rPr>
                <w:rFonts w:hint="eastAsia"/>
                <w:lang w:val="en-US" w:eastAsia="zh-CN"/>
              </w:rPr>
              <w:t>0.3122</w:t>
            </w:r>
          </w:p>
        </w:tc>
        <w:tc>
          <w:tcPr>
            <w:tcW w:w="823" w:type="pct"/>
            <w:tcMar>
              <w:top w:w="0" w:type="dxa"/>
              <w:left w:w="57" w:type="dxa"/>
              <w:bottom w:w="0" w:type="dxa"/>
              <w:right w:w="57" w:type="dxa"/>
            </w:tcMar>
            <w:vAlign w:val="center"/>
          </w:tcPr>
          <w:p w14:paraId="706D0F8E">
            <w:pPr>
              <w:pStyle w:val="19"/>
              <w:bidi w:val="0"/>
              <w:ind w:firstLine="0" w:firstLineChars="0"/>
              <w:jc w:val="center"/>
              <w:rPr>
                <w:rFonts w:hint="eastAsia"/>
                <w:lang w:val="en-US" w:eastAsia="zh-CN"/>
              </w:rPr>
            </w:pPr>
            <w:r>
              <w:rPr>
                <w:rFonts w:hint="eastAsia"/>
                <w:lang w:val="en-US" w:eastAsia="zh-CN"/>
              </w:rPr>
              <w:t>114.4</w:t>
            </w:r>
          </w:p>
        </w:tc>
      </w:tr>
      <w:tr w14:paraId="3C2C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Mar>
              <w:top w:w="0" w:type="dxa"/>
              <w:left w:w="57" w:type="dxa"/>
              <w:bottom w:w="0" w:type="dxa"/>
              <w:right w:w="57" w:type="dxa"/>
            </w:tcMar>
            <w:vAlign w:val="center"/>
          </w:tcPr>
          <w:p w14:paraId="2AEAAA56">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2#生物质锅炉DA002</w:t>
            </w:r>
          </w:p>
        </w:tc>
        <w:tc>
          <w:tcPr>
            <w:tcW w:w="406" w:type="pct"/>
            <w:tcMar>
              <w:top w:w="0" w:type="dxa"/>
              <w:left w:w="57" w:type="dxa"/>
              <w:bottom w:w="0" w:type="dxa"/>
              <w:right w:w="57" w:type="dxa"/>
            </w:tcMar>
            <w:vAlign w:val="center"/>
          </w:tcPr>
          <w:p w14:paraId="2350A0DA">
            <w:pPr>
              <w:pStyle w:val="19"/>
              <w:bidi w:val="0"/>
              <w:ind w:firstLine="0" w:firstLineChars="0"/>
              <w:jc w:val="center"/>
              <w:rPr>
                <w:rFonts w:hint="eastAsia" w:ascii="Times New Roman" w:hAnsi="Times New Roman" w:eastAsia="宋体" w:cs="Times New Roman"/>
                <w:kern w:val="2"/>
                <w:sz w:val="21"/>
                <w:szCs w:val="22"/>
                <w:vertAlign w:val="subscript"/>
                <w:lang w:val="en-US" w:eastAsia="zh-CN" w:bidi="ar-SA"/>
              </w:rPr>
            </w:pPr>
            <w:r>
              <w:rPr>
                <w:rFonts w:hint="eastAsia"/>
                <w:lang w:val="en-US" w:eastAsia="zh-CN"/>
              </w:rPr>
              <w:t>颗粒物</w:t>
            </w:r>
          </w:p>
        </w:tc>
        <w:tc>
          <w:tcPr>
            <w:tcW w:w="560" w:type="pct"/>
            <w:tcMar>
              <w:top w:w="0" w:type="dxa"/>
              <w:left w:w="57" w:type="dxa"/>
              <w:bottom w:w="0" w:type="dxa"/>
              <w:right w:w="57" w:type="dxa"/>
            </w:tcMar>
            <w:vAlign w:val="center"/>
          </w:tcPr>
          <w:p w14:paraId="5DEB8ABB">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0.95</w:t>
            </w:r>
          </w:p>
        </w:tc>
        <w:tc>
          <w:tcPr>
            <w:tcW w:w="690" w:type="pct"/>
            <w:tcMar>
              <w:top w:w="0" w:type="dxa"/>
              <w:left w:w="57" w:type="dxa"/>
              <w:bottom w:w="0" w:type="dxa"/>
              <w:right w:w="57" w:type="dxa"/>
            </w:tcMar>
            <w:vAlign w:val="center"/>
          </w:tcPr>
          <w:p w14:paraId="31BE8373">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0.219</w:t>
            </w:r>
          </w:p>
        </w:tc>
        <w:tc>
          <w:tcPr>
            <w:tcW w:w="796" w:type="pct"/>
            <w:vMerge w:val="restart"/>
            <w:tcMar>
              <w:top w:w="0" w:type="dxa"/>
              <w:left w:w="57" w:type="dxa"/>
              <w:bottom w:w="0" w:type="dxa"/>
              <w:right w:w="57" w:type="dxa"/>
            </w:tcMar>
            <w:vAlign w:val="center"/>
          </w:tcPr>
          <w:p w14:paraId="5C851CD4">
            <w:pPr>
              <w:pStyle w:val="19"/>
              <w:bidi w:val="0"/>
              <w:rPr>
                <w:rFonts w:hint="default"/>
                <w:lang w:val="en-US" w:eastAsia="zh-CN"/>
              </w:rPr>
            </w:pPr>
            <w:r>
              <w:rPr>
                <w:rFonts w:hint="eastAsia"/>
                <w:lang w:val="en-US" w:eastAsia="zh-CN"/>
              </w:rPr>
              <w:t>低氮燃烧+布袋除尘+15m排气筒DA002</w:t>
            </w:r>
          </w:p>
        </w:tc>
        <w:tc>
          <w:tcPr>
            <w:tcW w:w="560" w:type="pct"/>
            <w:tcMar>
              <w:top w:w="0" w:type="dxa"/>
              <w:left w:w="57" w:type="dxa"/>
              <w:bottom w:w="0" w:type="dxa"/>
              <w:right w:w="57" w:type="dxa"/>
            </w:tcMar>
            <w:vAlign w:val="center"/>
          </w:tcPr>
          <w:p w14:paraId="4E7CAAE6">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0.0095</w:t>
            </w:r>
          </w:p>
        </w:tc>
        <w:tc>
          <w:tcPr>
            <w:tcW w:w="701" w:type="pct"/>
            <w:tcMar>
              <w:top w:w="0" w:type="dxa"/>
              <w:left w:w="57" w:type="dxa"/>
              <w:bottom w:w="0" w:type="dxa"/>
              <w:right w:w="57" w:type="dxa"/>
            </w:tcMar>
            <w:vAlign w:val="center"/>
          </w:tcPr>
          <w:p w14:paraId="48D80A61">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c>
          <w:tcPr>
            <w:tcW w:w="823" w:type="pct"/>
            <w:tcMar>
              <w:top w:w="0" w:type="dxa"/>
              <w:left w:w="57" w:type="dxa"/>
              <w:bottom w:w="0" w:type="dxa"/>
              <w:right w:w="57" w:type="dxa"/>
            </w:tcMar>
            <w:vAlign w:val="center"/>
          </w:tcPr>
          <w:p w14:paraId="4DDE420E">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0.81</w:t>
            </w:r>
          </w:p>
        </w:tc>
      </w:tr>
      <w:tr w14:paraId="5126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3D463A2D">
            <w:pPr>
              <w:pStyle w:val="19"/>
              <w:bidi w:val="0"/>
              <w:rPr>
                <w:rFonts w:hint="default"/>
                <w:lang w:val="en-US" w:eastAsia="zh-CN"/>
              </w:rPr>
            </w:pPr>
          </w:p>
        </w:tc>
        <w:tc>
          <w:tcPr>
            <w:tcW w:w="406" w:type="pct"/>
            <w:tcMar>
              <w:top w:w="0" w:type="dxa"/>
              <w:left w:w="57" w:type="dxa"/>
              <w:bottom w:w="0" w:type="dxa"/>
              <w:right w:w="57" w:type="dxa"/>
            </w:tcMar>
            <w:vAlign w:val="center"/>
          </w:tcPr>
          <w:p w14:paraId="6022F623">
            <w:pPr>
              <w:pStyle w:val="19"/>
              <w:bidi w:val="0"/>
              <w:ind w:firstLine="0" w:firstLineChars="0"/>
              <w:jc w:val="center"/>
              <w:rPr>
                <w:rFonts w:hint="default" w:ascii="Times New Roman" w:hAnsi="Times New Roman" w:eastAsia="宋体" w:cs="Times New Roman"/>
                <w:kern w:val="2"/>
                <w:sz w:val="21"/>
                <w:szCs w:val="22"/>
                <w:vertAlign w:val="subscript"/>
                <w:lang w:val="en-US" w:eastAsia="zh-CN" w:bidi="ar-SA"/>
              </w:rPr>
            </w:pPr>
            <w:r>
              <w:t>SO</w:t>
            </w:r>
            <w:r>
              <w:rPr>
                <w:vertAlign w:val="subscript"/>
              </w:rPr>
              <w:t>2</w:t>
            </w:r>
          </w:p>
        </w:tc>
        <w:tc>
          <w:tcPr>
            <w:tcW w:w="560" w:type="pct"/>
            <w:tcMar>
              <w:top w:w="0" w:type="dxa"/>
              <w:left w:w="57" w:type="dxa"/>
              <w:bottom w:w="0" w:type="dxa"/>
              <w:right w:w="57" w:type="dxa"/>
            </w:tcMar>
            <w:vAlign w:val="center"/>
          </w:tcPr>
          <w:p w14:paraId="7F85447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3.23</w:t>
            </w:r>
          </w:p>
        </w:tc>
        <w:tc>
          <w:tcPr>
            <w:tcW w:w="690" w:type="pct"/>
            <w:tcMar>
              <w:top w:w="0" w:type="dxa"/>
              <w:left w:w="57" w:type="dxa"/>
              <w:bottom w:w="0" w:type="dxa"/>
              <w:right w:w="57" w:type="dxa"/>
            </w:tcMar>
            <w:vAlign w:val="center"/>
          </w:tcPr>
          <w:p w14:paraId="0BFA304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796" w:type="pct"/>
            <w:vMerge w:val="continue"/>
            <w:tcMar>
              <w:top w:w="0" w:type="dxa"/>
              <w:left w:w="57" w:type="dxa"/>
              <w:bottom w:w="0" w:type="dxa"/>
              <w:right w:w="57" w:type="dxa"/>
            </w:tcMar>
            <w:vAlign w:val="center"/>
          </w:tcPr>
          <w:p w14:paraId="7FCAA771">
            <w:pPr>
              <w:pStyle w:val="19"/>
              <w:bidi w:val="0"/>
              <w:rPr>
                <w:rFonts w:hint="default"/>
                <w:lang w:val="en-US" w:eastAsia="zh-CN"/>
              </w:rPr>
            </w:pPr>
          </w:p>
        </w:tc>
        <w:tc>
          <w:tcPr>
            <w:tcW w:w="560" w:type="pct"/>
            <w:tcMar>
              <w:top w:w="0" w:type="dxa"/>
              <w:left w:w="57" w:type="dxa"/>
              <w:bottom w:w="0" w:type="dxa"/>
              <w:right w:w="57" w:type="dxa"/>
            </w:tcMar>
            <w:vAlign w:val="center"/>
          </w:tcPr>
          <w:p w14:paraId="7067F3F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3.23</w:t>
            </w:r>
          </w:p>
        </w:tc>
        <w:tc>
          <w:tcPr>
            <w:tcW w:w="701" w:type="pct"/>
            <w:tcMar>
              <w:top w:w="0" w:type="dxa"/>
              <w:left w:w="57" w:type="dxa"/>
              <w:bottom w:w="0" w:type="dxa"/>
              <w:right w:w="57" w:type="dxa"/>
            </w:tcMar>
            <w:vAlign w:val="center"/>
          </w:tcPr>
          <w:p w14:paraId="27D9358A">
            <w:pPr>
              <w:pStyle w:val="19"/>
              <w:bidi w:val="0"/>
              <w:ind w:firstLine="0" w:firstLineChars="0"/>
              <w:jc w:val="center"/>
              <w:rPr>
                <w:rFonts w:ascii="Times New Roman" w:hAnsi="Times New Roman" w:eastAsia="宋体" w:cs="Times New Roman"/>
                <w:kern w:val="2"/>
                <w:sz w:val="21"/>
                <w:szCs w:val="22"/>
                <w:lang w:val="en-US" w:eastAsia="zh-CN" w:bidi="ar-SA"/>
              </w:rPr>
            </w:pPr>
            <w:r>
              <w:rPr>
                <w:rFonts w:hint="eastAsia"/>
                <w:lang w:val="en-US" w:eastAsia="zh-CN"/>
              </w:rPr>
              <w:t>0.745</w:t>
            </w:r>
          </w:p>
        </w:tc>
        <w:tc>
          <w:tcPr>
            <w:tcW w:w="823" w:type="pct"/>
            <w:tcMar>
              <w:top w:w="0" w:type="dxa"/>
              <w:left w:w="57" w:type="dxa"/>
              <w:bottom w:w="0" w:type="dxa"/>
              <w:right w:w="57" w:type="dxa"/>
            </w:tcMar>
            <w:vAlign w:val="center"/>
          </w:tcPr>
          <w:p w14:paraId="06BB6D53">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273</w:t>
            </w:r>
          </w:p>
        </w:tc>
      </w:tr>
      <w:tr w14:paraId="2265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37A4A81D">
            <w:pPr>
              <w:pStyle w:val="19"/>
              <w:bidi w:val="0"/>
              <w:rPr>
                <w:rFonts w:hint="default"/>
                <w:lang w:val="en-US" w:eastAsia="zh-CN"/>
              </w:rPr>
            </w:pPr>
          </w:p>
        </w:tc>
        <w:tc>
          <w:tcPr>
            <w:tcW w:w="406" w:type="pct"/>
            <w:tcMar>
              <w:top w:w="0" w:type="dxa"/>
              <w:left w:w="57" w:type="dxa"/>
              <w:bottom w:w="0" w:type="dxa"/>
              <w:right w:w="57" w:type="dxa"/>
            </w:tcMar>
            <w:vAlign w:val="center"/>
          </w:tcPr>
          <w:p w14:paraId="394C2041">
            <w:pPr>
              <w:pStyle w:val="19"/>
              <w:bidi w:val="0"/>
              <w:ind w:firstLine="0" w:firstLineChars="0"/>
              <w:jc w:val="center"/>
              <w:rPr>
                <w:rFonts w:hint="default" w:ascii="Times New Roman" w:hAnsi="Times New Roman" w:eastAsia="宋体" w:cs="Times New Roman"/>
                <w:kern w:val="2"/>
                <w:sz w:val="21"/>
                <w:szCs w:val="22"/>
                <w:lang w:val="en-US" w:eastAsia="zh-CN" w:bidi="ar-SA"/>
              </w:rPr>
            </w:pPr>
            <w:r>
              <w:t>NO</w:t>
            </w:r>
            <w:r>
              <w:rPr>
                <w:vertAlign w:val="subscript"/>
              </w:rPr>
              <w:t>x</w:t>
            </w:r>
          </w:p>
        </w:tc>
        <w:tc>
          <w:tcPr>
            <w:tcW w:w="560" w:type="pct"/>
            <w:tcMar>
              <w:top w:w="0" w:type="dxa"/>
              <w:left w:w="57" w:type="dxa"/>
              <w:bottom w:w="0" w:type="dxa"/>
              <w:right w:w="57" w:type="dxa"/>
            </w:tcMar>
            <w:vAlign w:val="center"/>
          </w:tcPr>
          <w:p w14:paraId="5A60C69F">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1.938</w:t>
            </w:r>
          </w:p>
        </w:tc>
        <w:tc>
          <w:tcPr>
            <w:tcW w:w="690" w:type="pct"/>
            <w:tcMar>
              <w:top w:w="0" w:type="dxa"/>
              <w:left w:w="57" w:type="dxa"/>
              <w:bottom w:w="0" w:type="dxa"/>
              <w:right w:w="57" w:type="dxa"/>
            </w:tcMar>
            <w:vAlign w:val="center"/>
          </w:tcPr>
          <w:p w14:paraId="50295FC9">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0.446</w:t>
            </w:r>
          </w:p>
        </w:tc>
        <w:tc>
          <w:tcPr>
            <w:tcW w:w="796" w:type="pct"/>
            <w:vMerge w:val="continue"/>
            <w:tcMar>
              <w:top w:w="0" w:type="dxa"/>
              <w:left w:w="57" w:type="dxa"/>
              <w:bottom w:w="0" w:type="dxa"/>
              <w:right w:w="57" w:type="dxa"/>
            </w:tcMar>
            <w:vAlign w:val="center"/>
          </w:tcPr>
          <w:p w14:paraId="6149B6C7">
            <w:pPr>
              <w:pStyle w:val="19"/>
              <w:bidi w:val="0"/>
              <w:rPr>
                <w:rFonts w:hint="default"/>
                <w:lang w:val="en-US" w:eastAsia="zh-CN"/>
              </w:rPr>
            </w:pPr>
          </w:p>
        </w:tc>
        <w:tc>
          <w:tcPr>
            <w:tcW w:w="560" w:type="pct"/>
            <w:tcMar>
              <w:top w:w="0" w:type="dxa"/>
              <w:left w:w="57" w:type="dxa"/>
              <w:bottom w:w="0" w:type="dxa"/>
              <w:right w:w="57" w:type="dxa"/>
            </w:tcMar>
            <w:vAlign w:val="center"/>
          </w:tcPr>
          <w:p w14:paraId="3640F31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1.3566</w:t>
            </w:r>
          </w:p>
        </w:tc>
        <w:tc>
          <w:tcPr>
            <w:tcW w:w="701" w:type="pct"/>
            <w:tcMar>
              <w:top w:w="0" w:type="dxa"/>
              <w:left w:w="57" w:type="dxa"/>
              <w:bottom w:w="0" w:type="dxa"/>
              <w:right w:w="57" w:type="dxa"/>
            </w:tcMar>
            <w:vAlign w:val="center"/>
          </w:tcPr>
          <w:p w14:paraId="56BCE4C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0.3122</w:t>
            </w:r>
          </w:p>
        </w:tc>
        <w:tc>
          <w:tcPr>
            <w:tcW w:w="823" w:type="pct"/>
            <w:tcMar>
              <w:top w:w="0" w:type="dxa"/>
              <w:left w:w="57" w:type="dxa"/>
              <w:bottom w:w="0" w:type="dxa"/>
              <w:right w:w="57" w:type="dxa"/>
            </w:tcMar>
            <w:vAlign w:val="center"/>
          </w:tcPr>
          <w:p w14:paraId="322B702E">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114.4</w:t>
            </w:r>
          </w:p>
        </w:tc>
      </w:tr>
      <w:tr w14:paraId="3767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Mar>
              <w:top w:w="0" w:type="dxa"/>
              <w:left w:w="57" w:type="dxa"/>
              <w:bottom w:w="0" w:type="dxa"/>
              <w:right w:w="57" w:type="dxa"/>
            </w:tcMar>
            <w:vAlign w:val="center"/>
          </w:tcPr>
          <w:p w14:paraId="06C084F7">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3#生物质锅炉DA003</w:t>
            </w:r>
          </w:p>
        </w:tc>
        <w:tc>
          <w:tcPr>
            <w:tcW w:w="406" w:type="pct"/>
            <w:tcMar>
              <w:top w:w="0" w:type="dxa"/>
              <w:left w:w="57" w:type="dxa"/>
              <w:bottom w:w="0" w:type="dxa"/>
              <w:right w:w="57" w:type="dxa"/>
            </w:tcMar>
            <w:vAlign w:val="center"/>
          </w:tcPr>
          <w:p w14:paraId="4211858A">
            <w:pPr>
              <w:pStyle w:val="19"/>
              <w:bidi w:val="0"/>
              <w:ind w:firstLine="0" w:firstLineChars="0"/>
              <w:jc w:val="center"/>
              <w:rPr>
                <w:rFonts w:hint="eastAsia" w:ascii="Times New Roman" w:hAnsi="Times New Roman" w:eastAsia="宋体" w:cs="Times New Roman"/>
                <w:kern w:val="2"/>
                <w:sz w:val="21"/>
                <w:szCs w:val="22"/>
                <w:vertAlign w:val="subscript"/>
                <w:lang w:val="en-US" w:eastAsia="zh-CN" w:bidi="ar-SA"/>
              </w:rPr>
            </w:pPr>
            <w:r>
              <w:rPr>
                <w:rFonts w:hint="eastAsia"/>
                <w:lang w:val="en-US" w:eastAsia="zh-CN"/>
              </w:rPr>
              <w:t>颗粒物</w:t>
            </w:r>
          </w:p>
        </w:tc>
        <w:tc>
          <w:tcPr>
            <w:tcW w:w="560" w:type="pct"/>
            <w:tcMar>
              <w:top w:w="0" w:type="dxa"/>
              <w:left w:w="57" w:type="dxa"/>
              <w:bottom w:w="0" w:type="dxa"/>
              <w:right w:w="57" w:type="dxa"/>
            </w:tcMar>
            <w:vAlign w:val="center"/>
          </w:tcPr>
          <w:p w14:paraId="34E6FF03">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0.95</w:t>
            </w:r>
          </w:p>
        </w:tc>
        <w:tc>
          <w:tcPr>
            <w:tcW w:w="690" w:type="pct"/>
            <w:tcMar>
              <w:top w:w="0" w:type="dxa"/>
              <w:left w:w="57" w:type="dxa"/>
              <w:bottom w:w="0" w:type="dxa"/>
              <w:right w:w="57" w:type="dxa"/>
            </w:tcMar>
            <w:vAlign w:val="center"/>
          </w:tcPr>
          <w:p w14:paraId="724D4C2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0.219</w:t>
            </w:r>
          </w:p>
        </w:tc>
        <w:tc>
          <w:tcPr>
            <w:tcW w:w="796" w:type="pct"/>
            <w:vMerge w:val="restart"/>
            <w:tcMar>
              <w:top w:w="0" w:type="dxa"/>
              <w:left w:w="57" w:type="dxa"/>
              <w:bottom w:w="0" w:type="dxa"/>
              <w:right w:w="57" w:type="dxa"/>
            </w:tcMar>
            <w:vAlign w:val="center"/>
          </w:tcPr>
          <w:p w14:paraId="4E572DDD">
            <w:pPr>
              <w:pStyle w:val="19"/>
              <w:bidi w:val="0"/>
              <w:rPr>
                <w:rFonts w:hint="default"/>
                <w:lang w:val="en-US" w:eastAsia="zh-CN"/>
              </w:rPr>
            </w:pPr>
            <w:r>
              <w:rPr>
                <w:rFonts w:hint="eastAsia"/>
                <w:lang w:val="en-US" w:eastAsia="zh-CN"/>
              </w:rPr>
              <w:t>低氮燃烧+布袋除尘+15m排气筒DA003</w:t>
            </w:r>
          </w:p>
        </w:tc>
        <w:tc>
          <w:tcPr>
            <w:tcW w:w="560" w:type="pct"/>
            <w:tcMar>
              <w:top w:w="0" w:type="dxa"/>
              <w:left w:w="57" w:type="dxa"/>
              <w:bottom w:w="0" w:type="dxa"/>
              <w:right w:w="57" w:type="dxa"/>
            </w:tcMar>
            <w:vAlign w:val="center"/>
          </w:tcPr>
          <w:p w14:paraId="6F61EC26">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0.0095</w:t>
            </w:r>
          </w:p>
        </w:tc>
        <w:tc>
          <w:tcPr>
            <w:tcW w:w="701" w:type="pct"/>
            <w:tcMar>
              <w:top w:w="0" w:type="dxa"/>
              <w:left w:w="57" w:type="dxa"/>
              <w:bottom w:w="0" w:type="dxa"/>
              <w:right w:w="57" w:type="dxa"/>
            </w:tcMar>
            <w:vAlign w:val="center"/>
          </w:tcPr>
          <w:p w14:paraId="55CD37F1">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c>
          <w:tcPr>
            <w:tcW w:w="823" w:type="pct"/>
            <w:tcMar>
              <w:top w:w="0" w:type="dxa"/>
              <w:left w:w="57" w:type="dxa"/>
              <w:bottom w:w="0" w:type="dxa"/>
              <w:right w:w="57" w:type="dxa"/>
            </w:tcMar>
            <w:vAlign w:val="center"/>
          </w:tcPr>
          <w:p w14:paraId="1D2D443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0.81</w:t>
            </w:r>
          </w:p>
        </w:tc>
      </w:tr>
      <w:tr w14:paraId="5B22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3F118624">
            <w:pPr>
              <w:pStyle w:val="19"/>
              <w:bidi w:val="0"/>
              <w:rPr>
                <w:rFonts w:hint="default"/>
                <w:lang w:val="en-US" w:eastAsia="zh-CN"/>
              </w:rPr>
            </w:pPr>
          </w:p>
        </w:tc>
        <w:tc>
          <w:tcPr>
            <w:tcW w:w="406" w:type="pct"/>
            <w:tcMar>
              <w:top w:w="0" w:type="dxa"/>
              <w:left w:w="57" w:type="dxa"/>
              <w:bottom w:w="0" w:type="dxa"/>
              <w:right w:w="57" w:type="dxa"/>
            </w:tcMar>
            <w:vAlign w:val="center"/>
          </w:tcPr>
          <w:p w14:paraId="1BD68F6B">
            <w:pPr>
              <w:pStyle w:val="19"/>
              <w:bidi w:val="0"/>
              <w:ind w:firstLine="0" w:firstLineChars="0"/>
              <w:jc w:val="center"/>
              <w:rPr>
                <w:rFonts w:hint="default" w:ascii="Times New Roman" w:hAnsi="Times New Roman" w:eastAsia="宋体" w:cs="Times New Roman"/>
                <w:kern w:val="2"/>
                <w:sz w:val="21"/>
                <w:szCs w:val="22"/>
                <w:vertAlign w:val="subscript"/>
                <w:lang w:val="en-US" w:eastAsia="zh-CN" w:bidi="ar-SA"/>
              </w:rPr>
            </w:pPr>
            <w:r>
              <w:t>SO</w:t>
            </w:r>
            <w:r>
              <w:rPr>
                <w:vertAlign w:val="subscript"/>
              </w:rPr>
              <w:t>2</w:t>
            </w:r>
          </w:p>
        </w:tc>
        <w:tc>
          <w:tcPr>
            <w:tcW w:w="560" w:type="pct"/>
            <w:tcMar>
              <w:top w:w="0" w:type="dxa"/>
              <w:left w:w="57" w:type="dxa"/>
              <w:bottom w:w="0" w:type="dxa"/>
              <w:right w:w="57" w:type="dxa"/>
            </w:tcMar>
            <w:vAlign w:val="center"/>
          </w:tcPr>
          <w:p w14:paraId="077F23C5">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3.23</w:t>
            </w:r>
          </w:p>
        </w:tc>
        <w:tc>
          <w:tcPr>
            <w:tcW w:w="690" w:type="pct"/>
            <w:tcMar>
              <w:top w:w="0" w:type="dxa"/>
              <w:left w:w="57" w:type="dxa"/>
              <w:bottom w:w="0" w:type="dxa"/>
              <w:right w:w="57" w:type="dxa"/>
            </w:tcMar>
            <w:vAlign w:val="center"/>
          </w:tcPr>
          <w:p w14:paraId="2D20B256">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796" w:type="pct"/>
            <w:vMerge w:val="continue"/>
            <w:tcMar>
              <w:top w:w="0" w:type="dxa"/>
              <w:left w:w="57" w:type="dxa"/>
              <w:bottom w:w="0" w:type="dxa"/>
              <w:right w:w="57" w:type="dxa"/>
            </w:tcMar>
            <w:vAlign w:val="center"/>
          </w:tcPr>
          <w:p w14:paraId="587AB1DD">
            <w:pPr>
              <w:pStyle w:val="19"/>
              <w:bidi w:val="0"/>
              <w:rPr>
                <w:rFonts w:hint="default"/>
                <w:lang w:val="en-US" w:eastAsia="zh-CN"/>
              </w:rPr>
            </w:pPr>
          </w:p>
        </w:tc>
        <w:tc>
          <w:tcPr>
            <w:tcW w:w="560" w:type="pct"/>
            <w:tcMar>
              <w:top w:w="0" w:type="dxa"/>
              <w:left w:w="57" w:type="dxa"/>
              <w:bottom w:w="0" w:type="dxa"/>
              <w:right w:w="57" w:type="dxa"/>
            </w:tcMar>
            <w:vAlign w:val="center"/>
          </w:tcPr>
          <w:p w14:paraId="31DEA83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3.23</w:t>
            </w:r>
          </w:p>
        </w:tc>
        <w:tc>
          <w:tcPr>
            <w:tcW w:w="701" w:type="pct"/>
            <w:tcMar>
              <w:top w:w="0" w:type="dxa"/>
              <w:left w:w="57" w:type="dxa"/>
              <w:bottom w:w="0" w:type="dxa"/>
              <w:right w:w="57" w:type="dxa"/>
            </w:tcMar>
            <w:vAlign w:val="center"/>
          </w:tcPr>
          <w:p w14:paraId="7DD00212">
            <w:pPr>
              <w:pStyle w:val="19"/>
              <w:bidi w:val="0"/>
              <w:ind w:firstLine="0" w:firstLineChars="0"/>
              <w:jc w:val="center"/>
              <w:rPr>
                <w:rFonts w:ascii="Times New Roman" w:hAnsi="Times New Roman" w:eastAsia="宋体" w:cs="Times New Roman"/>
                <w:kern w:val="2"/>
                <w:sz w:val="21"/>
                <w:szCs w:val="22"/>
                <w:lang w:val="en-US" w:eastAsia="zh-CN" w:bidi="ar-SA"/>
              </w:rPr>
            </w:pPr>
            <w:r>
              <w:rPr>
                <w:rFonts w:hint="eastAsia"/>
                <w:lang w:val="en-US" w:eastAsia="zh-CN"/>
              </w:rPr>
              <w:t>0.745</w:t>
            </w:r>
          </w:p>
        </w:tc>
        <w:tc>
          <w:tcPr>
            <w:tcW w:w="823" w:type="pct"/>
            <w:tcMar>
              <w:top w:w="0" w:type="dxa"/>
              <w:left w:w="57" w:type="dxa"/>
              <w:bottom w:w="0" w:type="dxa"/>
              <w:right w:w="57" w:type="dxa"/>
            </w:tcMar>
            <w:vAlign w:val="center"/>
          </w:tcPr>
          <w:p w14:paraId="20DC6946">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273</w:t>
            </w:r>
          </w:p>
        </w:tc>
      </w:tr>
      <w:tr w14:paraId="4120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5703C058">
            <w:pPr>
              <w:pStyle w:val="19"/>
              <w:bidi w:val="0"/>
              <w:rPr>
                <w:rFonts w:hint="default"/>
                <w:lang w:val="en-US" w:eastAsia="zh-CN"/>
              </w:rPr>
            </w:pPr>
          </w:p>
        </w:tc>
        <w:tc>
          <w:tcPr>
            <w:tcW w:w="406" w:type="pct"/>
            <w:tcMar>
              <w:top w:w="0" w:type="dxa"/>
              <w:left w:w="57" w:type="dxa"/>
              <w:bottom w:w="0" w:type="dxa"/>
              <w:right w:w="57" w:type="dxa"/>
            </w:tcMar>
            <w:vAlign w:val="center"/>
          </w:tcPr>
          <w:p w14:paraId="39DC4725">
            <w:pPr>
              <w:pStyle w:val="19"/>
              <w:bidi w:val="0"/>
              <w:ind w:firstLine="0" w:firstLineChars="0"/>
              <w:jc w:val="center"/>
              <w:rPr>
                <w:rFonts w:hint="default" w:ascii="Times New Roman" w:hAnsi="Times New Roman" w:eastAsia="宋体" w:cs="Times New Roman"/>
                <w:kern w:val="2"/>
                <w:sz w:val="21"/>
                <w:szCs w:val="22"/>
                <w:lang w:val="en-US" w:eastAsia="zh-CN" w:bidi="ar-SA"/>
              </w:rPr>
            </w:pPr>
            <w:r>
              <w:t>NO</w:t>
            </w:r>
            <w:r>
              <w:rPr>
                <w:vertAlign w:val="subscript"/>
              </w:rPr>
              <w:t>x</w:t>
            </w:r>
          </w:p>
        </w:tc>
        <w:tc>
          <w:tcPr>
            <w:tcW w:w="560" w:type="pct"/>
            <w:tcMar>
              <w:top w:w="0" w:type="dxa"/>
              <w:left w:w="57" w:type="dxa"/>
              <w:bottom w:w="0" w:type="dxa"/>
              <w:right w:w="57" w:type="dxa"/>
            </w:tcMar>
            <w:vAlign w:val="center"/>
          </w:tcPr>
          <w:p w14:paraId="406572D2">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1.938</w:t>
            </w:r>
          </w:p>
        </w:tc>
        <w:tc>
          <w:tcPr>
            <w:tcW w:w="690" w:type="pct"/>
            <w:tcMar>
              <w:top w:w="0" w:type="dxa"/>
              <w:left w:w="57" w:type="dxa"/>
              <w:bottom w:w="0" w:type="dxa"/>
              <w:right w:w="57" w:type="dxa"/>
            </w:tcMar>
            <w:vAlign w:val="center"/>
          </w:tcPr>
          <w:p w14:paraId="5BAE26CB">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0.446</w:t>
            </w:r>
          </w:p>
        </w:tc>
        <w:tc>
          <w:tcPr>
            <w:tcW w:w="796" w:type="pct"/>
            <w:vMerge w:val="continue"/>
            <w:tcMar>
              <w:top w:w="0" w:type="dxa"/>
              <w:left w:w="57" w:type="dxa"/>
              <w:bottom w:w="0" w:type="dxa"/>
              <w:right w:w="57" w:type="dxa"/>
            </w:tcMar>
            <w:vAlign w:val="center"/>
          </w:tcPr>
          <w:p w14:paraId="61119A0E">
            <w:pPr>
              <w:pStyle w:val="19"/>
              <w:bidi w:val="0"/>
              <w:rPr>
                <w:rFonts w:hint="default"/>
                <w:lang w:val="en-US" w:eastAsia="zh-CN"/>
              </w:rPr>
            </w:pPr>
          </w:p>
        </w:tc>
        <w:tc>
          <w:tcPr>
            <w:tcW w:w="560" w:type="pct"/>
            <w:tcMar>
              <w:top w:w="0" w:type="dxa"/>
              <w:left w:w="57" w:type="dxa"/>
              <w:bottom w:w="0" w:type="dxa"/>
              <w:right w:w="57" w:type="dxa"/>
            </w:tcMar>
            <w:vAlign w:val="center"/>
          </w:tcPr>
          <w:p w14:paraId="265DD41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1.3566</w:t>
            </w:r>
          </w:p>
        </w:tc>
        <w:tc>
          <w:tcPr>
            <w:tcW w:w="701" w:type="pct"/>
            <w:tcMar>
              <w:top w:w="0" w:type="dxa"/>
              <w:left w:w="57" w:type="dxa"/>
              <w:bottom w:w="0" w:type="dxa"/>
              <w:right w:w="57" w:type="dxa"/>
            </w:tcMar>
            <w:vAlign w:val="center"/>
          </w:tcPr>
          <w:p w14:paraId="63BBD5B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0.3122</w:t>
            </w:r>
          </w:p>
        </w:tc>
        <w:tc>
          <w:tcPr>
            <w:tcW w:w="823" w:type="pct"/>
            <w:tcMar>
              <w:top w:w="0" w:type="dxa"/>
              <w:left w:w="57" w:type="dxa"/>
              <w:bottom w:w="0" w:type="dxa"/>
              <w:right w:w="57" w:type="dxa"/>
            </w:tcMar>
            <w:vAlign w:val="center"/>
          </w:tcPr>
          <w:p w14:paraId="4228C6D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114.4</w:t>
            </w:r>
          </w:p>
        </w:tc>
      </w:tr>
      <w:tr w14:paraId="0216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Mar>
              <w:top w:w="0" w:type="dxa"/>
              <w:left w:w="57" w:type="dxa"/>
              <w:bottom w:w="0" w:type="dxa"/>
              <w:right w:w="57" w:type="dxa"/>
            </w:tcMar>
            <w:vAlign w:val="center"/>
          </w:tcPr>
          <w:p w14:paraId="09308176">
            <w:pPr>
              <w:pStyle w:val="19"/>
              <w:bidi w:val="0"/>
              <w:rPr>
                <w:rFonts w:hint="default"/>
                <w:lang w:val="en-US" w:eastAsia="zh-CN"/>
              </w:rPr>
            </w:pPr>
            <w:r>
              <w:rPr>
                <w:rFonts w:hint="eastAsia"/>
                <w:lang w:val="en-US" w:eastAsia="zh-CN"/>
              </w:rPr>
              <w:t>生物除臭</w:t>
            </w:r>
          </w:p>
        </w:tc>
        <w:tc>
          <w:tcPr>
            <w:tcW w:w="406" w:type="pct"/>
            <w:tcMar>
              <w:top w:w="0" w:type="dxa"/>
              <w:left w:w="57" w:type="dxa"/>
              <w:bottom w:w="0" w:type="dxa"/>
              <w:right w:w="57" w:type="dxa"/>
            </w:tcMar>
            <w:vAlign w:val="center"/>
          </w:tcPr>
          <w:p w14:paraId="203409E0">
            <w:pPr>
              <w:pStyle w:val="19"/>
              <w:bidi w:val="0"/>
              <w:ind w:firstLine="0" w:firstLineChars="0"/>
            </w:pPr>
            <w:r>
              <w:t>NH</w:t>
            </w:r>
            <w:r>
              <w:rPr>
                <w:vertAlign w:val="subscript"/>
              </w:rPr>
              <w:t>3</w:t>
            </w:r>
          </w:p>
        </w:tc>
        <w:tc>
          <w:tcPr>
            <w:tcW w:w="560" w:type="pct"/>
            <w:tcMar>
              <w:top w:w="0" w:type="dxa"/>
              <w:left w:w="57" w:type="dxa"/>
              <w:bottom w:w="0" w:type="dxa"/>
              <w:right w:w="57" w:type="dxa"/>
            </w:tcMar>
            <w:vAlign w:val="center"/>
          </w:tcPr>
          <w:p w14:paraId="404DEE38">
            <w:pPr>
              <w:pStyle w:val="19"/>
              <w:bidi w:val="0"/>
              <w:ind w:firstLine="0" w:firstLineChars="0"/>
              <w:rPr>
                <w:rFonts w:hint="eastAsia"/>
                <w:lang w:val="en-US" w:eastAsia="zh-CN"/>
              </w:rPr>
            </w:pPr>
            <w:r>
              <w:rPr>
                <w:rFonts w:hint="eastAsia"/>
                <w:lang w:val="en-US" w:eastAsia="zh-CN"/>
              </w:rPr>
              <w:t>2.657</w:t>
            </w:r>
          </w:p>
        </w:tc>
        <w:tc>
          <w:tcPr>
            <w:tcW w:w="690" w:type="pct"/>
            <w:tcMar>
              <w:top w:w="0" w:type="dxa"/>
              <w:left w:w="57" w:type="dxa"/>
              <w:bottom w:w="0" w:type="dxa"/>
              <w:right w:w="57" w:type="dxa"/>
            </w:tcMar>
            <w:vAlign w:val="center"/>
          </w:tcPr>
          <w:p w14:paraId="6F153199">
            <w:pPr>
              <w:pStyle w:val="19"/>
              <w:bidi w:val="0"/>
              <w:ind w:firstLine="0" w:firstLineChars="0"/>
              <w:rPr>
                <w:rFonts w:hint="eastAsia"/>
                <w:lang w:val="en-US" w:eastAsia="zh-CN"/>
              </w:rPr>
            </w:pPr>
            <w:r>
              <w:rPr>
                <w:rFonts w:hint="eastAsia"/>
                <w:lang w:val="en-US" w:eastAsia="zh-CN"/>
              </w:rPr>
              <w:t>0.303</w:t>
            </w:r>
          </w:p>
        </w:tc>
        <w:tc>
          <w:tcPr>
            <w:tcW w:w="796" w:type="pct"/>
            <w:vMerge w:val="restart"/>
            <w:tcMar>
              <w:top w:w="0" w:type="dxa"/>
              <w:left w:w="57" w:type="dxa"/>
              <w:bottom w:w="0" w:type="dxa"/>
              <w:right w:w="57" w:type="dxa"/>
            </w:tcMar>
            <w:vAlign w:val="center"/>
          </w:tcPr>
          <w:p w14:paraId="0CA77F05">
            <w:pPr>
              <w:pStyle w:val="19"/>
              <w:bidi w:val="0"/>
              <w:rPr>
                <w:rFonts w:hint="default"/>
                <w:lang w:val="en-US" w:eastAsia="zh-CN"/>
              </w:rPr>
            </w:pPr>
            <w:r>
              <w:rPr>
                <w:rFonts w:hint="eastAsia"/>
                <w:lang w:val="en-US" w:eastAsia="zh-CN"/>
              </w:rPr>
              <w:t>生物除臭装置+15m排气筒DA004</w:t>
            </w:r>
          </w:p>
        </w:tc>
        <w:tc>
          <w:tcPr>
            <w:tcW w:w="560" w:type="pct"/>
            <w:tcMar>
              <w:top w:w="0" w:type="dxa"/>
              <w:left w:w="57" w:type="dxa"/>
              <w:bottom w:w="0" w:type="dxa"/>
              <w:right w:w="57" w:type="dxa"/>
            </w:tcMar>
            <w:vAlign w:val="center"/>
          </w:tcPr>
          <w:p w14:paraId="3247E046">
            <w:pPr>
              <w:pStyle w:val="19"/>
              <w:bidi w:val="0"/>
              <w:ind w:firstLine="0" w:firstLineChars="0"/>
              <w:rPr>
                <w:rFonts w:hint="eastAsia"/>
                <w:lang w:val="en-US" w:eastAsia="zh-CN"/>
              </w:rPr>
            </w:pPr>
            <w:r>
              <w:rPr>
                <w:rFonts w:hint="eastAsia" w:eastAsia="宋体"/>
                <w:lang w:val="en-US" w:eastAsia="zh-CN"/>
              </w:rPr>
              <w:t>0.26</w:t>
            </w:r>
          </w:p>
        </w:tc>
        <w:tc>
          <w:tcPr>
            <w:tcW w:w="701" w:type="pct"/>
            <w:tcMar>
              <w:top w:w="0" w:type="dxa"/>
              <w:left w:w="57" w:type="dxa"/>
              <w:bottom w:w="0" w:type="dxa"/>
              <w:right w:w="57" w:type="dxa"/>
            </w:tcMar>
            <w:vAlign w:val="center"/>
          </w:tcPr>
          <w:p w14:paraId="7F27B5B0">
            <w:pPr>
              <w:pStyle w:val="19"/>
              <w:bidi w:val="0"/>
              <w:ind w:firstLine="0" w:firstLineChars="0"/>
              <w:rPr>
                <w:rFonts w:hint="eastAsia"/>
                <w:lang w:val="en-US" w:eastAsia="zh-CN"/>
              </w:rPr>
            </w:pPr>
            <w:r>
              <w:rPr>
                <w:rFonts w:hint="eastAsia" w:eastAsia="宋体"/>
                <w:lang w:val="en-US" w:eastAsia="zh-CN"/>
              </w:rPr>
              <w:t>0.03</w:t>
            </w:r>
          </w:p>
        </w:tc>
        <w:tc>
          <w:tcPr>
            <w:tcW w:w="823" w:type="pct"/>
            <w:tcMar>
              <w:top w:w="0" w:type="dxa"/>
              <w:left w:w="57" w:type="dxa"/>
              <w:bottom w:w="0" w:type="dxa"/>
              <w:right w:w="57" w:type="dxa"/>
            </w:tcMar>
            <w:vAlign w:val="center"/>
          </w:tcPr>
          <w:p w14:paraId="1360CD5F">
            <w:pPr>
              <w:pStyle w:val="19"/>
              <w:bidi w:val="0"/>
              <w:ind w:firstLine="0" w:firstLineChars="0"/>
              <w:jc w:val="center"/>
              <w:rPr>
                <w:rFonts w:hint="default"/>
                <w:lang w:val="en-US" w:eastAsia="zh-CN"/>
              </w:rPr>
            </w:pPr>
            <w:r>
              <w:rPr>
                <w:rFonts w:hint="eastAsia"/>
                <w:lang w:val="en-US" w:eastAsia="zh-CN"/>
              </w:rPr>
              <w:t>0.714</w:t>
            </w:r>
          </w:p>
        </w:tc>
      </w:tr>
      <w:tr w14:paraId="178D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Mar>
              <w:top w:w="0" w:type="dxa"/>
              <w:left w:w="57" w:type="dxa"/>
              <w:bottom w:w="0" w:type="dxa"/>
              <w:right w:w="57" w:type="dxa"/>
            </w:tcMar>
            <w:vAlign w:val="center"/>
          </w:tcPr>
          <w:p w14:paraId="66813A14">
            <w:pPr>
              <w:pStyle w:val="19"/>
              <w:bidi w:val="0"/>
              <w:rPr>
                <w:rFonts w:hint="default"/>
                <w:lang w:val="en-US" w:eastAsia="zh-CN"/>
              </w:rPr>
            </w:pPr>
          </w:p>
        </w:tc>
        <w:tc>
          <w:tcPr>
            <w:tcW w:w="406" w:type="pct"/>
            <w:tcMar>
              <w:top w:w="0" w:type="dxa"/>
              <w:left w:w="57" w:type="dxa"/>
              <w:bottom w:w="0" w:type="dxa"/>
              <w:right w:w="57" w:type="dxa"/>
            </w:tcMar>
            <w:vAlign w:val="center"/>
          </w:tcPr>
          <w:p w14:paraId="4F4769CC">
            <w:pPr>
              <w:pStyle w:val="19"/>
              <w:bidi w:val="0"/>
              <w:ind w:firstLine="0" w:firstLineChars="0"/>
            </w:pPr>
            <w:r>
              <w:t>H</w:t>
            </w:r>
            <w:r>
              <w:rPr>
                <w:vertAlign w:val="subscript"/>
              </w:rPr>
              <w:t>2</w:t>
            </w:r>
            <w:r>
              <w:t>S</w:t>
            </w:r>
          </w:p>
        </w:tc>
        <w:tc>
          <w:tcPr>
            <w:tcW w:w="560" w:type="pct"/>
            <w:tcMar>
              <w:top w:w="0" w:type="dxa"/>
              <w:left w:w="57" w:type="dxa"/>
              <w:bottom w:w="0" w:type="dxa"/>
              <w:right w:w="57" w:type="dxa"/>
            </w:tcMar>
            <w:vAlign w:val="center"/>
          </w:tcPr>
          <w:p w14:paraId="4731DE0D">
            <w:pPr>
              <w:pStyle w:val="19"/>
              <w:bidi w:val="0"/>
              <w:ind w:firstLine="0" w:firstLineChars="0"/>
              <w:rPr>
                <w:rFonts w:hint="eastAsia"/>
                <w:lang w:val="en-US" w:eastAsia="zh-CN"/>
              </w:rPr>
            </w:pPr>
            <w:r>
              <w:rPr>
                <w:rFonts w:hint="eastAsia"/>
                <w:lang w:val="en-US" w:eastAsia="zh-CN"/>
              </w:rPr>
              <w:t>0.266</w:t>
            </w:r>
          </w:p>
        </w:tc>
        <w:tc>
          <w:tcPr>
            <w:tcW w:w="690" w:type="pct"/>
            <w:tcMar>
              <w:top w:w="0" w:type="dxa"/>
              <w:left w:w="57" w:type="dxa"/>
              <w:bottom w:w="0" w:type="dxa"/>
              <w:right w:w="57" w:type="dxa"/>
            </w:tcMar>
            <w:vAlign w:val="center"/>
          </w:tcPr>
          <w:p w14:paraId="08C87E31">
            <w:pPr>
              <w:pStyle w:val="19"/>
              <w:bidi w:val="0"/>
              <w:ind w:firstLine="0" w:firstLineChars="0"/>
              <w:rPr>
                <w:rFonts w:hint="eastAsia"/>
                <w:lang w:val="en-US" w:eastAsia="zh-CN"/>
              </w:rPr>
            </w:pPr>
            <w:r>
              <w:rPr>
                <w:rFonts w:hint="eastAsia"/>
                <w:lang w:val="en-US" w:eastAsia="zh-CN"/>
              </w:rPr>
              <w:t>0.030</w:t>
            </w:r>
          </w:p>
        </w:tc>
        <w:tc>
          <w:tcPr>
            <w:tcW w:w="796" w:type="pct"/>
            <w:vMerge w:val="continue"/>
            <w:tcMar>
              <w:top w:w="0" w:type="dxa"/>
              <w:left w:w="57" w:type="dxa"/>
              <w:bottom w:w="0" w:type="dxa"/>
              <w:right w:w="57" w:type="dxa"/>
            </w:tcMar>
            <w:vAlign w:val="center"/>
          </w:tcPr>
          <w:p w14:paraId="5E68AAA5">
            <w:pPr>
              <w:pStyle w:val="19"/>
              <w:bidi w:val="0"/>
              <w:rPr>
                <w:rFonts w:hint="default"/>
                <w:lang w:val="en-US" w:eastAsia="zh-CN"/>
              </w:rPr>
            </w:pPr>
          </w:p>
        </w:tc>
        <w:tc>
          <w:tcPr>
            <w:tcW w:w="560" w:type="pct"/>
            <w:tcMar>
              <w:top w:w="0" w:type="dxa"/>
              <w:left w:w="57" w:type="dxa"/>
              <w:bottom w:w="0" w:type="dxa"/>
              <w:right w:w="57" w:type="dxa"/>
            </w:tcMar>
            <w:vAlign w:val="center"/>
          </w:tcPr>
          <w:p w14:paraId="73EFAC2F">
            <w:pPr>
              <w:pStyle w:val="19"/>
              <w:bidi w:val="0"/>
              <w:ind w:firstLine="0" w:firstLineChars="0"/>
              <w:rPr>
                <w:rFonts w:hint="eastAsia"/>
                <w:lang w:val="en-US" w:eastAsia="zh-CN"/>
              </w:rPr>
            </w:pPr>
            <w:r>
              <w:rPr>
                <w:rFonts w:hint="eastAsia" w:eastAsia="宋体"/>
                <w:lang w:val="en-US" w:eastAsia="zh-CN"/>
              </w:rPr>
              <w:t>0.026</w:t>
            </w:r>
          </w:p>
        </w:tc>
        <w:tc>
          <w:tcPr>
            <w:tcW w:w="701" w:type="pct"/>
            <w:tcMar>
              <w:top w:w="0" w:type="dxa"/>
              <w:left w:w="57" w:type="dxa"/>
              <w:bottom w:w="0" w:type="dxa"/>
              <w:right w:w="57" w:type="dxa"/>
            </w:tcMar>
            <w:vAlign w:val="center"/>
          </w:tcPr>
          <w:p w14:paraId="2588F656">
            <w:pPr>
              <w:pStyle w:val="19"/>
              <w:bidi w:val="0"/>
              <w:ind w:firstLine="0" w:firstLineChars="0"/>
              <w:rPr>
                <w:rFonts w:hint="eastAsia"/>
                <w:lang w:val="en-US" w:eastAsia="zh-CN"/>
              </w:rPr>
            </w:pPr>
            <w:r>
              <w:rPr>
                <w:rFonts w:hint="eastAsia" w:eastAsia="宋体"/>
                <w:lang w:val="en-US" w:eastAsia="zh-CN"/>
              </w:rPr>
              <w:t>0.003</w:t>
            </w:r>
          </w:p>
        </w:tc>
        <w:tc>
          <w:tcPr>
            <w:tcW w:w="823" w:type="pct"/>
            <w:tcMar>
              <w:top w:w="0" w:type="dxa"/>
              <w:left w:w="57" w:type="dxa"/>
              <w:bottom w:w="0" w:type="dxa"/>
              <w:right w:w="57" w:type="dxa"/>
            </w:tcMar>
            <w:vAlign w:val="center"/>
          </w:tcPr>
          <w:p w14:paraId="7574B67A">
            <w:pPr>
              <w:pStyle w:val="19"/>
              <w:bidi w:val="0"/>
              <w:ind w:firstLine="0" w:firstLineChars="0"/>
              <w:jc w:val="center"/>
              <w:rPr>
                <w:rFonts w:hint="default"/>
                <w:lang w:val="en-US" w:eastAsia="zh-CN"/>
              </w:rPr>
            </w:pPr>
            <w:r>
              <w:rPr>
                <w:rFonts w:hint="eastAsia"/>
                <w:lang w:val="en-US" w:eastAsia="zh-CN"/>
              </w:rPr>
              <w:t>0.071</w:t>
            </w:r>
          </w:p>
        </w:tc>
      </w:tr>
    </w:tbl>
    <w:p w14:paraId="3F88CC9B">
      <w:pPr>
        <w:pStyle w:val="28"/>
        <w:bidi w:val="0"/>
        <w:rPr>
          <w:rFonts w:hint="default"/>
          <w:lang w:val="en-US" w:eastAsia="zh-CN"/>
        </w:rPr>
      </w:pPr>
      <w:r>
        <w:rPr>
          <w:rFonts w:hint="eastAsia"/>
          <w:lang w:val="en-US" w:eastAsia="zh-CN"/>
        </w:rPr>
        <w:t>废水</w:t>
      </w:r>
    </w:p>
    <w:p w14:paraId="0CB7572A">
      <w:pPr>
        <w:bidi w:val="0"/>
        <w:rPr>
          <w:rFonts w:hint="default"/>
          <w:lang w:val="en-US" w:eastAsia="zh-CN"/>
        </w:rPr>
      </w:pPr>
      <w:r>
        <w:rPr>
          <w:rFonts w:hint="eastAsia"/>
          <w:lang w:val="en-US" w:eastAsia="zh-CN"/>
        </w:rPr>
        <w:t>本项目运营期的废水主要包括职工生活污水、养殖废水（猪尿、猪粪滤液和育肥舍冲洗废水）和生物质锅炉排污水。</w:t>
      </w:r>
    </w:p>
    <w:p w14:paraId="5847843C">
      <w:pPr>
        <w:bidi w:val="0"/>
        <w:rPr>
          <w:rFonts w:hint="default"/>
          <w:lang w:val="en-US" w:eastAsia="zh-CN"/>
        </w:rPr>
      </w:pPr>
      <w:r>
        <w:rPr>
          <w:rFonts w:hint="eastAsia"/>
          <w:lang w:val="en-US" w:eastAsia="zh-CN"/>
        </w:rPr>
        <w:t>（1）生活污水</w:t>
      </w:r>
    </w:p>
    <w:p w14:paraId="6DF349EF">
      <w:pPr>
        <w:bidi w:val="0"/>
        <w:rPr>
          <w:rFonts w:hint="eastAsia"/>
          <w:lang w:val="en-US" w:eastAsia="zh-CN"/>
        </w:rPr>
      </w:pPr>
      <w:r>
        <w:rPr>
          <w:rFonts w:hint="eastAsia"/>
          <w:lang w:val="en-US" w:eastAsia="zh-CN"/>
        </w:rPr>
        <w:t>本项目劳动定员30人，年工作时间为365天，职工生活污水产生量为1051.2m</w:t>
      </w:r>
      <w:r>
        <w:rPr>
          <w:rFonts w:hint="eastAsia"/>
          <w:vertAlign w:val="superscript"/>
          <w:lang w:val="en-US" w:eastAsia="zh-CN"/>
        </w:rPr>
        <w:t>3</w:t>
      </w:r>
      <w:r>
        <w:rPr>
          <w:rFonts w:hint="eastAsia"/>
          <w:lang w:val="en-US" w:eastAsia="zh-CN"/>
        </w:rPr>
        <w:t>/a，类比同类项目生活污水水质，本项目排放生活污水中主要污染物为CODcr、BOD</w:t>
      </w:r>
      <w:r>
        <w:rPr>
          <w:rFonts w:hint="eastAsia"/>
          <w:vertAlign w:val="subscript"/>
          <w:lang w:val="en-US" w:eastAsia="zh-CN"/>
        </w:rPr>
        <w:t>5</w:t>
      </w:r>
      <w:r>
        <w:rPr>
          <w:rFonts w:hint="eastAsia"/>
          <w:lang w:val="en-US" w:eastAsia="zh-CN"/>
        </w:rPr>
        <w:t>、NH</w:t>
      </w:r>
      <w:r>
        <w:rPr>
          <w:rFonts w:hint="eastAsia"/>
          <w:vertAlign w:val="subscript"/>
          <w:lang w:val="en-US" w:eastAsia="zh-CN"/>
        </w:rPr>
        <w:t>3</w:t>
      </w:r>
      <w:r>
        <w:rPr>
          <w:rFonts w:hint="eastAsia"/>
          <w:lang w:val="en-US" w:eastAsia="zh-CN"/>
        </w:rPr>
        <w:t>-N和SS，各污染物浓度分别为：CODcr：280mg/L、BOD</w:t>
      </w:r>
      <w:r>
        <w:rPr>
          <w:rFonts w:hint="eastAsia"/>
          <w:vertAlign w:val="subscript"/>
          <w:lang w:val="en-US" w:eastAsia="zh-CN"/>
        </w:rPr>
        <w:t>5</w:t>
      </w:r>
      <w:r>
        <w:rPr>
          <w:rFonts w:hint="eastAsia"/>
          <w:lang w:val="en-US" w:eastAsia="zh-CN"/>
        </w:rPr>
        <w:t>：160mg/L、NH</w:t>
      </w:r>
      <w:r>
        <w:rPr>
          <w:rFonts w:hint="eastAsia"/>
          <w:vertAlign w:val="subscript"/>
          <w:lang w:val="en-US" w:eastAsia="zh-CN"/>
        </w:rPr>
        <w:t>3</w:t>
      </w:r>
      <w:r>
        <w:rPr>
          <w:rFonts w:hint="eastAsia"/>
          <w:lang w:val="en-US" w:eastAsia="zh-CN"/>
        </w:rPr>
        <w:t>-N：30mg/L、SS：200mg/L。</w:t>
      </w:r>
    </w:p>
    <w:p w14:paraId="363BB6F9">
      <w:pPr>
        <w:bidi w:val="0"/>
        <w:rPr>
          <w:rFonts w:hint="eastAsia"/>
          <w:lang w:val="en-US" w:eastAsia="zh-CN"/>
        </w:rPr>
      </w:pPr>
      <w:r>
        <w:rPr>
          <w:rFonts w:hint="eastAsia"/>
          <w:lang w:val="en-US" w:eastAsia="zh-CN"/>
        </w:rPr>
        <w:t>本项目产生的生活污水水质及污染物产生量详见表3.4-12。</w:t>
      </w:r>
    </w:p>
    <w:p w14:paraId="4D5D2C04">
      <w:pPr>
        <w:pStyle w:val="30"/>
        <w:bidi w:val="0"/>
        <w:rPr>
          <w:rFonts w:hint="default"/>
          <w:lang w:val="en-US" w:eastAsia="zh-CN"/>
        </w:rPr>
      </w:pPr>
      <w:r>
        <w:rPr>
          <w:rFonts w:hint="eastAsia"/>
          <w:lang w:val="en-US" w:eastAsia="zh-CN"/>
        </w:rPr>
        <w:t>表3.4-12   本项目生活污水水质及污染物产生量一览表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731"/>
        <w:gridCol w:w="965"/>
        <w:gridCol w:w="887"/>
        <w:gridCol w:w="995"/>
        <w:gridCol w:w="646"/>
      </w:tblGrid>
      <w:tr w14:paraId="3340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02" w:type="pct"/>
            <w:tcMar>
              <w:top w:w="0" w:type="dxa"/>
              <w:left w:w="57" w:type="dxa"/>
              <w:bottom w:w="0" w:type="dxa"/>
              <w:right w:w="57" w:type="dxa"/>
            </w:tcMar>
            <w:vAlign w:val="center"/>
          </w:tcPr>
          <w:p w14:paraId="48CBC4C1">
            <w:pPr>
              <w:pStyle w:val="19"/>
              <w:bidi w:val="0"/>
            </w:pPr>
            <w:r>
              <w:t>污水产生量m</w:t>
            </w:r>
            <w:r>
              <w:rPr>
                <w:vertAlign w:val="superscript"/>
              </w:rPr>
              <w:t>3</w:t>
            </w:r>
            <w:r>
              <w:t>/a</w:t>
            </w:r>
          </w:p>
        </w:tc>
        <w:tc>
          <w:tcPr>
            <w:tcW w:w="1622" w:type="pct"/>
            <w:tcMar>
              <w:top w:w="0" w:type="dxa"/>
              <w:left w:w="57" w:type="dxa"/>
              <w:bottom w:w="0" w:type="dxa"/>
              <w:right w:w="57" w:type="dxa"/>
            </w:tcMar>
            <w:vAlign w:val="center"/>
          </w:tcPr>
          <w:p w14:paraId="21D34900">
            <w:pPr>
              <w:pStyle w:val="19"/>
              <w:bidi w:val="0"/>
            </w:pPr>
            <w:r>
              <w:rPr>
                <w:rFonts w:hint="eastAsia"/>
              </w:rPr>
              <w:t>项目</w:t>
            </w:r>
          </w:p>
        </w:tc>
        <w:tc>
          <w:tcPr>
            <w:tcW w:w="573" w:type="pct"/>
            <w:tcMar>
              <w:top w:w="0" w:type="dxa"/>
              <w:left w:w="57" w:type="dxa"/>
              <w:bottom w:w="0" w:type="dxa"/>
              <w:right w:w="57" w:type="dxa"/>
            </w:tcMar>
            <w:vAlign w:val="center"/>
          </w:tcPr>
          <w:p w14:paraId="2F568EED">
            <w:pPr>
              <w:pStyle w:val="19"/>
              <w:bidi w:val="0"/>
            </w:pPr>
            <w:r>
              <w:rPr>
                <w:rFonts w:hint="eastAsia"/>
              </w:rPr>
              <w:t>CODcr</w:t>
            </w:r>
          </w:p>
        </w:tc>
        <w:tc>
          <w:tcPr>
            <w:tcW w:w="527" w:type="pct"/>
            <w:tcMar>
              <w:top w:w="0" w:type="dxa"/>
              <w:left w:w="57" w:type="dxa"/>
              <w:bottom w:w="0" w:type="dxa"/>
              <w:right w:w="57" w:type="dxa"/>
            </w:tcMar>
            <w:vAlign w:val="center"/>
          </w:tcPr>
          <w:p w14:paraId="2031804E">
            <w:pPr>
              <w:pStyle w:val="19"/>
              <w:bidi w:val="0"/>
            </w:pPr>
            <w:r>
              <w:rPr>
                <w:rFonts w:hint="eastAsia"/>
              </w:rPr>
              <w:t>BOD</w:t>
            </w:r>
            <w:r>
              <w:rPr>
                <w:rFonts w:hint="eastAsia"/>
                <w:vertAlign w:val="subscript"/>
              </w:rPr>
              <w:t>5</w:t>
            </w:r>
          </w:p>
        </w:tc>
        <w:tc>
          <w:tcPr>
            <w:tcW w:w="591" w:type="pct"/>
            <w:tcMar>
              <w:top w:w="0" w:type="dxa"/>
              <w:left w:w="57" w:type="dxa"/>
              <w:bottom w:w="0" w:type="dxa"/>
              <w:right w:w="57" w:type="dxa"/>
            </w:tcMar>
            <w:vAlign w:val="center"/>
          </w:tcPr>
          <w:p w14:paraId="0BF4EB9F">
            <w:pPr>
              <w:pStyle w:val="19"/>
              <w:bidi w:val="0"/>
            </w:pPr>
            <w:r>
              <w:rPr>
                <w:rFonts w:hint="eastAsia"/>
              </w:rPr>
              <w:t>NH</w:t>
            </w:r>
            <w:r>
              <w:rPr>
                <w:rFonts w:hint="eastAsia"/>
                <w:vertAlign w:val="subscript"/>
              </w:rPr>
              <w:t>3</w:t>
            </w:r>
            <w:r>
              <w:rPr>
                <w:rFonts w:hint="eastAsia"/>
              </w:rPr>
              <w:t>-N</w:t>
            </w:r>
          </w:p>
        </w:tc>
        <w:tc>
          <w:tcPr>
            <w:tcW w:w="383" w:type="pct"/>
            <w:tcMar>
              <w:top w:w="0" w:type="dxa"/>
              <w:left w:w="57" w:type="dxa"/>
              <w:bottom w:w="0" w:type="dxa"/>
              <w:right w:w="57" w:type="dxa"/>
            </w:tcMar>
            <w:vAlign w:val="center"/>
          </w:tcPr>
          <w:p w14:paraId="7FBBB596">
            <w:pPr>
              <w:pStyle w:val="19"/>
              <w:bidi w:val="0"/>
            </w:pPr>
            <w:r>
              <w:rPr>
                <w:rFonts w:hint="eastAsia"/>
              </w:rPr>
              <w:t>SS</w:t>
            </w:r>
          </w:p>
        </w:tc>
      </w:tr>
      <w:tr w14:paraId="36D2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02" w:type="pct"/>
            <w:vMerge w:val="restart"/>
            <w:tcMar>
              <w:top w:w="0" w:type="dxa"/>
              <w:left w:w="57" w:type="dxa"/>
              <w:bottom w:w="0" w:type="dxa"/>
              <w:right w:w="57" w:type="dxa"/>
            </w:tcMar>
            <w:vAlign w:val="center"/>
          </w:tcPr>
          <w:p w14:paraId="1FED9CCC">
            <w:pPr>
              <w:pStyle w:val="19"/>
              <w:bidi w:val="0"/>
              <w:rPr>
                <w:rFonts w:hint="default" w:eastAsia="宋体"/>
                <w:lang w:val="en-US" w:eastAsia="zh-CN"/>
              </w:rPr>
            </w:pPr>
            <w:r>
              <w:rPr>
                <w:rFonts w:hint="eastAsia"/>
                <w:lang w:val="en-US" w:eastAsia="zh-CN"/>
              </w:rPr>
              <w:t>1051.2</w:t>
            </w:r>
          </w:p>
        </w:tc>
        <w:tc>
          <w:tcPr>
            <w:tcW w:w="1622" w:type="pct"/>
            <w:tcMar>
              <w:top w:w="0" w:type="dxa"/>
              <w:left w:w="57" w:type="dxa"/>
              <w:bottom w:w="0" w:type="dxa"/>
              <w:right w:w="57" w:type="dxa"/>
            </w:tcMar>
            <w:vAlign w:val="center"/>
          </w:tcPr>
          <w:p w14:paraId="6A69FD27">
            <w:pPr>
              <w:pStyle w:val="19"/>
              <w:bidi w:val="0"/>
            </w:pPr>
            <w:r>
              <w:rPr>
                <w:rFonts w:hint="eastAsia"/>
              </w:rPr>
              <w:t>污染物浓度（mg/L）</w:t>
            </w:r>
          </w:p>
        </w:tc>
        <w:tc>
          <w:tcPr>
            <w:tcW w:w="573" w:type="pct"/>
            <w:tcMar>
              <w:top w:w="0" w:type="dxa"/>
              <w:left w:w="57" w:type="dxa"/>
              <w:bottom w:w="0" w:type="dxa"/>
              <w:right w:w="57" w:type="dxa"/>
            </w:tcMar>
            <w:vAlign w:val="center"/>
          </w:tcPr>
          <w:p w14:paraId="1597CE8E">
            <w:pPr>
              <w:pStyle w:val="19"/>
              <w:bidi w:val="0"/>
            </w:pPr>
            <w:r>
              <w:rPr>
                <w:rFonts w:hint="eastAsia"/>
              </w:rPr>
              <w:t>280</w:t>
            </w:r>
          </w:p>
        </w:tc>
        <w:tc>
          <w:tcPr>
            <w:tcW w:w="527" w:type="pct"/>
            <w:tcMar>
              <w:top w:w="0" w:type="dxa"/>
              <w:left w:w="57" w:type="dxa"/>
              <w:bottom w:w="0" w:type="dxa"/>
              <w:right w:w="57" w:type="dxa"/>
            </w:tcMar>
            <w:vAlign w:val="center"/>
          </w:tcPr>
          <w:p w14:paraId="03F4DCEF">
            <w:pPr>
              <w:pStyle w:val="19"/>
              <w:bidi w:val="0"/>
            </w:pPr>
            <w:r>
              <w:rPr>
                <w:rFonts w:hint="eastAsia"/>
              </w:rPr>
              <w:t>160</w:t>
            </w:r>
          </w:p>
        </w:tc>
        <w:tc>
          <w:tcPr>
            <w:tcW w:w="591" w:type="pct"/>
            <w:tcMar>
              <w:top w:w="0" w:type="dxa"/>
              <w:left w:w="57" w:type="dxa"/>
              <w:bottom w:w="0" w:type="dxa"/>
              <w:right w:w="57" w:type="dxa"/>
            </w:tcMar>
            <w:vAlign w:val="center"/>
          </w:tcPr>
          <w:p w14:paraId="7BCBC3C1">
            <w:pPr>
              <w:pStyle w:val="19"/>
              <w:bidi w:val="0"/>
            </w:pPr>
            <w:r>
              <w:rPr>
                <w:rFonts w:hint="eastAsia"/>
              </w:rPr>
              <w:t>30</w:t>
            </w:r>
          </w:p>
        </w:tc>
        <w:tc>
          <w:tcPr>
            <w:tcW w:w="383" w:type="pct"/>
            <w:tcMar>
              <w:top w:w="0" w:type="dxa"/>
              <w:left w:w="57" w:type="dxa"/>
              <w:bottom w:w="0" w:type="dxa"/>
              <w:right w:w="57" w:type="dxa"/>
            </w:tcMar>
            <w:vAlign w:val="center"/>
          </w:tcPr>
          <w:p w14:paraId="157B8579">
            <w:pPr>
              <w:pStyle w:val="19"/>
              <w:bidi w:val="0"/>
            </w:pPr>
            <w:r>
              <w:rPr>
                <w:rFonts w:hint="eastAsia"/>
              </w:rPr>
              <w:t>200</w:t>
            </w:r>
          </w:p>
        </w:tc>
      </w:tr>
      <w:tr w14:paraId="625C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02" w:type="pct"/>
            <w:vMerge w:val="continue"/>
            <w:tcMar>
              <w:top w:w="0" w:type="dxa"/>
              <w:left w:w="57" w:type="dxa"/>
              <w:bottom w:w="0" w:type="dxa"/>
              <w:right w:w="57" w:type="dxa"/>
            </w:tcMar>
            <w:vAlign w:val="center"/>
          </w:tcPr>
          <w:p w14:paraId="4016A3E5">
            <w:pPr>
              <w:pStyle w:val="19"/>
              <w:bidi w:val="0"/>
            </w:pPr>
          </w:p>
        </w:tc>
        <w:tc>
          <w:tcPr>
            <w:tcW w:w="1622" w:type="pct"/>
            <w:tcMar>
              <w:top w:w="0" w:type="dxa"/>
              <w:left w:w="57" w:type="dxa"/>
              <w:bottom w:w="0" w:type="dxa"/>
              <w:right w:w="57" w:type="dxa"/>
            </w:tcMar>
            <w:vAlign w:val="center"/>
          </w:tcPr>
          <w:p w14:paraId="67050CC1">
            <w:pPr>
              <w:pStyle w:val="19"/>
              <w:bidi w:val="0"/>
            </w:pPr>
            <w:r>
              <w:rPr>
                <w:rFonts w:hint="eastAsia"/>
              </w:rPr>
              <w:t>产生量t/a</w:t>
            </w:r>
          </w:p>
        </w:tc>
        <w:tc>
          <w:tcPr>
            <w:tcW w:w="965" w:type="dxa"/>
            <w:tcMar>
              <w:top w:w="0" w:type="dxa"/>
              <w:left w:w="57" w:type="dxa"/>
              <w:bottom w:w="0" w:type="dxa"/>
              <w:right w:w="57" w:type="dxa"/>
            </w:tcMar>
            <w:vAlign w:val="bottom"/>
          </w:tcPr>
          <w:p w14:paraId="3EA3481D">
            <w:pPr>
              <w:pStyle w:val="19"/>
              <w:bidi w:val="0"/>
            </w:pPr>
            <w:r>
              <w:rPr>
                <w:rFonts w:hint="eastAsia"/>
                <w:lang w:val="en-US" w:eastAsia="zh-CN"/>
              </w:rPr>
              <w:t>0.29</w:t>
            </w:r>
          </w:p>
        </w:tc>
        <w:tc>
          <w:tcPr>
            <w:tcW w:w="887" w:type="dxa"/>
            <w:tcMar>
              <w:top w:w="0" w:type="dxa"/>
              <w:left w:w="57" w:type="dxa"/>
              <w:bottom w:w="0" w:type="dxa"/>
              <w:right w:w="57" w:type="dxa"/>
            </w:tcMar>
            <w:vAlign w:val="bottom"/>
          </w:tcPr>
          <w:p w14:paraId="3D4E36E1">
            <w:pPr>
              <w:pStyle w:val="19"/>
              <w:bidi w:val="0"/>
            </w:pPr>
            <w:r>
              <w:rPr>
                <w:rFonts w:hint="eastAsia"/>
                <w:lang w:val="en-US" w:eastAsia="zh-CN"/>
              </w:rPr>
              <w:t>0.17</w:t>
            </w:r>
          </w:p>
        </w:tc>
        <w:tc>
          <w:tcPr>
            <w:tcW w:w="995" w:type="dxa"/>
            <w:tcMar>
              <w:top w:w="0" w:type="dxa"/>
              <w:left w:w="57" w:type="dxa"/>
              <w:bottom w:w="0" w:type="dxa"/>
              <w:right w:w="57" w:type="dxa"/>
            </w:tcMar>
            <w:vAlign w:val="bottom"/>
          </w:tcPr>
          <w:p w14:paraId="24E981B0">
            <w:pPr>
              <w:pStyle w:val="19"/>
              <w:bidi w:val="0"/>
            </w:pPr>
            <w:r>
              <w:rPr>
                <w:rFonts w:hint="eastAsia"/>
                <w:lang w:val="en-US" w:eastAsia="zh-CN"/>
              </w:rPr>
              <w:t xml:space="preserve">0.03 </w:t>
            </w:r>
          </w:p>
        </w:tc>
        <w:tc>
          <w:tcPr>
            <w:tcW w:w="646" w:type="dxa"/>
            <w:tcMar>
              <w:top w:w="0" w:type="dxa"/>
              <w:left w:w="57" w:type="dxa"/>
              <w:bottom w:w="0" w:type="dxa"/>
              <w:right w:w="57" w:type="dxa"/>
            </w:tcMar>
            <w:vAlign w:val="bottom"/>
          </w:tcPr>
          <w:p w14:paraId="1582E49A">
            <w:pPr>
              <w:pStyle w:val="19"/>
              <w:bidi w:val="0"/>
            </w:pPr>
            <w:r>
              <w:rPr>
                <w:rFonts w:hint="eastAsia"/>
                <w:lang w:val="en-US" w:eastAsia="zh-CN"/>
              </w:rPr>
              <w:t>0.21</w:t>
            </w:r>
          </w:p>
        </w:tc>
      </w:tr>
    </w:tbl>
    <w:p w14:paraId="127F5927">
      <w:pPr>
        <w:bidi w:val="0"/>
        <w:rPr>
          <w:rFonts w:hint="default"/>
          <w:lang w:val="en-US" w:eastAsia="zh-CN"/>
        </w:rPr>
      </w:pPr>
      <w:r>
        <w:rPr>
          <w:rFonts w:hint="eastAsia"/>
          <w:lang w:val="en-US" w:eastAsia="zh-CN"/>
        </w:rPr>
        <w:t>（2）养殖废水</w:t>
      </w:r>
    </w:p>
    <w:p w14:paraId="1CDBAC38">
      <w:pPr>
        <w:bidi w:val="0"/>
        <w:rPr>
          <w:rFonts w:hint="default"/>
          <w:lang w:val="en-US" w:eastAsia="zh-CN"/>
        </w:rPr>
      </w:pPr>
      <w:r>
        <w:rPr>
          <w:rFonts w:hint="eastAsia"/>
          <w:lang w:val="en-US" w:eastAsia="zh-CN"/>
        </w:rPr>
        <w:t>根据前文分析，本项目在运营过程中的养殖废水主要包括了猪尿、猪粪滤液和育肥舍冲洗废水，废水中的污染物为CODcr、BOD</w:t>
      </w:r>
      <w:r>
        <w:rPr>
          <w:rFonts w:hint="eastAsia"/>
          <w:vertAlign w:val="subscript"/>
          <w:lang w:val="en-US" w:eastAsia="zh-CN"/>
        </w:rPr>
        <w:t>5</w:t>
      </w:r>
      <w:r>
        <w:rPr>
          <w:rFonts w:hint="eastAsia"/>
          <w:lang w:val="en-US" w:eastAsia="zh-CN"/>
        </w:rPr>
        <w:t>、氨氮和磷酸盐等。</w:t>
      </w:r>
    </w:p>
    <w:p w14:paraId="57E02158">
      <w:pPr>
        <w:ind w:firstLine="480" w:firstLineChars="200"/>
        <w:rPr>
          <w:rFonts w:hint="eastAsia"/>
          <w:color w:val="000000" w:themeColor="text1"/>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本项目</w:t>
      </w:r>
      <w:r>
        <w:rPr>
          <w:rFonts w:ascii="Times New Roman" w:hAnsi="Times New Roman" w:eastAsia="宋体" w:cs="宋体"/>
          <w:b w:val="0"/>
          <w:bCs w:val="0"/>
          <w:color w:val="000000" w:themeColor="text1"/>
          <w:kern w:val="0"/>
          <w:szCs w:val="24"/>
          <w:highlight w:val="none"/>
          <w14:textFill>
            <w14:solidFill>
              <w14:schemeClr w14:val="tx1"/>
            </w14:solidFill>
          </w14:textFill>
        </w:rPr>
        <w:t>猪尿液</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产生量为</w:t>
      </w:r>
      <w:r>
        <w:rPr>
          <w:rFonts w:hint="eastAsia" w:cs="宋体"/>
          <w:b w:val="0"/>
          <w:bCs w:val="0"/>
          <w:color w:val="000000" w:themeColor="text1"/>
          <w:kern w:val="0"/>
          <w:szCs w:val="24"/>
          <w:highlight w:val="none"/>
          <w:lang w:val="en-US" w:eastAsia="zh-CN"/>
          <w14:textFill>
            <w14:solidFill>
              <w14:schemeClr w14:val="tx1"/>
            </w14:solidFill>
          </w14:textFill>
        </w:rPr>
        <w:t>53550.84</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/a，猪粪滤液产生量</w:t>
      </w:r>
      <w:r>
        <w:rPr>
          <w:rFonts w:hint="eastAsia" w:cs="宋体"/>
          <w:b w:val="0"/>
          <w:bCs w:val="0"/>
          <w:color w:val="000000" w:themeColor="text1"/>
          <w:kern w:val="0"/>
          <w:szCs w:val="24"/>
          <w:highlight w:val="none"/>
          <w:lang w:val="en-US" w:eastAsia="zh-CN"/>
          <w14:textFill>
            <w14:solidFill>
              <w14:schemeClr w14:val="tx1"/>
            </w14:solidFill>
          </w14:textFill>
        </w:rPr>
        <w:t>6849.12</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/a，猪舍冲洗废水</w:t>
      </w:r>
      <w:r>
        <w:rPr>
          <w:rFonts w:hint="eastAsia" w:cs="宋体"/>
          <w:b w:val="0"/>
          <w:bCs w:val="0"/>
          <w:color w:val="000000" w:themeColor="text1"/>
          <w:kern w:val="0"/>
          <w:szCs w:val="24"/>
          <w:highlight w:val="none"/>
          <w:lang w:val="en-US" w:eastAsia="zh-CN"/>
          <w14:textFill>
            <w14:solidFill>
              <w14:schemeClr w14:val="tx1"/>
            </w14:solidFill>
          </w14:textFill>
        </w:rPr>
        <w:t>972</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则</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养殖废水量为</w:t>
      </w:r>
      <w:r>
        <w:rPr>
          <w:rFonts w:hint="eastAsia" w:cs="宋体"/>
          <w:b w:val="0"/>
          <w:bCs w:val="0"/>
          <w:color w:val="000000" w:themeColor="text1"/>
          <w:kern w:val="0"/>
          <w:szCs w:val="24"/>
          <w:highlight w:val="none"/>
          <w:lang w:val="en-US" w:eastAsia="zh-CN"/>
          <w14:textFill>
            <w14:solidFill>
              <w14:schemeClr w14:val="tx1"/>
            </w14:solidFill>
          </w14:textFill>
        </w:rPr>
        <w:t>61371.96</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color w:val="000000" w:themeColor="text1"/>
          <w:highlight w:val="none"/>
          <w14:textFill>
            <w14:solidFill>
              <w14:schemeClr w14:val="tx1"/>
            </w14:solidFill>
          </w14:textFill>
        </w:rPr>
        <w:t>采用干清粪工艺，则养殖废水水质浓度参考《畜禽养殖业污染治理工程技术规范》（</w:t>
      </w:r>
      <w:r>
        <w:rPr>
          <w:color w:val="000000" w:themeColor="text1"/>
          <w:highlight w:val="none"/>
          <w14:textFill>
            <w14:solidFill>
              <w14:schemeClr w14:val="tx1"/>
            </w14:solidFill>
          </w14:textFill>
        </w:rPr>
        <w:t>HJ497-2009</w:t>
      </w:r>
      <w:r>
        <w:rPr>
          <w:rFonts w:hint="eastAsia"/>
          <w:color w:val="000000" w:themeColor="text1"/>
          <w:highlight w:val="none"/>
          <w14:textFill>
            <w14:solidFill>
              <w14:schemeClr w14:val="tx1"/>
            </w14:solidFill>
          </w14:textFill>
        </w:rPr>
        <w:t>）附录</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中“表</w:t>
      </w:r>
      <w:r>
        <w:rPr>
          <w:color w:val="000000" w:themeColor="text1"/>
          <w:highlight w:val="none"/>
          <w14:textFill>
            <w14:solidFill>
              <w14:schemeClr w14:val="tx1"/>
            </w14:solidFill>
          </w14:textFill>
        </w:rPr>
        <w:t>A.1</w:t>
      </w:r>
      <w:r>
        <w:rPr>
          <w:rFonts w:hint="eastAsia"/>
          <w:color w:val="000000" w:themeColor="text1"/>
          <w:highlight w:val="none"/>
          <w14:textFill>
            <w14:solidFill>
              <w14:schemeClr w14:val="tx1"/>
            </w14:solidFill>
          </w14:textFill>
        </w:rPr>
        <w:t>畜禽养殖场废水中的污染物质量浓度和</w:t>
      </w:r>
      <w:r>
        <w:rPr>
          <w:color w:val="000000" w:themeColor="text1"/>
          <w:highlight w:val="none"/>
          <w14:textFill>
            <w14:solidFill>
              <w14:schemeClr w14:val="tx1"/>
            </w14:solidFill>
          </w14:textFill>
        </w:rPr>
        <w:t>pH</w:t>
      </w:r>
      <w:r>
        <w:rPr>
          <w:rFonts w:hint="eastAsia"/>
          <w:color w:val="000000" w:themeColor="text1"/>
          <w:highlight w:val="none"/>
          <w14:textFill>
            <w14:solidFill>
              <w14:schemeClr w14:val="tx1"/>
            </w14:solidFill>
          </w14:textFill>
        </w:rPr>
        <w:t>值”参考数据，并类比同</w:t>
      </w:r>
      <w:r>
        <w:rPr>
          <w:rFonts w:hint="eastAsia"/>
          <w:color w:val="000000" w:themeColor="text1"/>
          <w:highlight w:val="none"/>
          <w:lang w:val="en-US" w:eastAsia="zh-CN"/>
          <w14:textFill>
            <w14:solidFill>
              <w14:schemeClr w14:val="tx1"/>
            </w14:solidFill>
          </w14:textFill>
        </w:rPr>
        <w:t>类型且</w:t>
      </w:r>
      <w:r>
        <w:rPr>
          <w:rFonts w:hint="eastAsia"/>
          <w:color w:val="000000" w:themeColor="text1"/>
          <w:highlight w:val="none"/>
          <w14:textFill>
            <w14:solidFill>
              <w14:schemeClr w14:val="tx1"/>
            </w14:solidFill>
          </w14:textFill>
        </w:rPr>
        <w:t>已投入运营的养殖场废水水质。</w:t>
      </w:r>
    </w:p>
    <w:p w14:paraId="42F55BF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本项目产生的养殖废水水质及污染物产生量详见表3.</w:t>
      </w:r>
      <w:r>
        <w:rPr>
          <w:rFonts w:hint="eastAsia"/>
          <w:color w:val="000000" w:themeColor="text1"/>
          <w:highlight w:val="none"/>
          <w:lang w:val="en-US" w:eastAsia="zh-CN"/>
          <w14:textFill>
            <w14:solidFill>
              <w14:schemeClr w14:val="tx1"/>
            </w14:solidFill>
          </w14:textFill>
        </w:rPr>
        <w:t>4-13</w:t>
      </w:r>
      <w:r>
        <w:rPr>
          <w:rFonts w:hint="eastAsia"/>
          <w:color w:val="000000" w:themeColor="text1"/>
          <w:highlight w:val="none"/>
          <w14:textFill>
            <w14:solidFill>
              <w14:schemeClr w14:val="tx1"/>
            </w14:solidFill>
          </w14:textFill>
        </w:rPr>
        <w:t>。</w:t>
      </w:r>
    </w:p>
    <w:p w14:paraId="547136EB">
      <w:pPr>
        <w:pStyle w:val="30"/>
        <w:bidi w:val="0"/>
      </w:pPr>
      <w:r>
        <w:t>表</w:t>
      </w:r>
      <w:r>
        <w:rPr>
          <w:rFonts w:hint="eastAsia"/>
        </w:rPr>
        <w:t>3</w:t>
      </w:r>
      <w:r>
        <w:t>.</w:t>
      </w:r>
      <w:r>
        <w:rPr>
          <w:rFonts w:hint="eastAsia"/>
          <w:lang w:val="en-US" w:eastAsia="zh-CN"/>
        </w:rPr>
        <w:t xml:space="preserve">4-13 </w:t>
      </w:r>
      <w:r>
        <w:t xml:space="preserve">  本项目养殖废水水质及污染物产生量一览表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348"/>
        <w:gridCol w:w="892"/>
        <w:gridCol w:w="993"/>
        <w:gridCol w:w="1094"/>
        <w:gridCol w:w="1077"/>
        <w:gridCol w:w="903"/>
        <w:gridCol w:w="955"/>
      </w:tblGrid>
      <w:tr w14:paraId="6FF6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tcMar>
              <w:top w:w="0" w:type="dxa"/>
              <w:left w:w="57" w:type="dxa"/>
              <w:bottom w:w="0" w:type="dxa"/>
              <w:right w:w="57" w:type="dxa"/>
            </w:tcMar>
            <w:vAlign w:val="center"/>
          </w:tcPr>
          <w:p w14:paraId="08C8E04F">
            <w:pPr>
              <w:pStyle w:val="19"/>
              <w:bidi w:val="0"/>
            </w:pPr>
            <w:r>
              <w:t>污水产生量m</w:t>
            </w:r>
            <w:r>
              <w:rPr>
                <w:vertAlign w:val="superscript"/>
              </w:rPr>
              <w:t>3</w:t>
            </w:r>
            <w:r>
              <w:t>/a</w:t>
            </w:r>
          </w:p>
        </w:tc>
        <w:tc>
          <w:tcPr>
            <w:tcW w:w="801" w:type="pct"/>
            <w:tcMar>
              <w:top w:w="0" w:type="dxa"/>
              <w:left w:w="57" w:type="dxa"/>
              <w:bottom w:w="0" w:type="dxa"/>
              <w:right w:w="57" w:type="dxa"/>
            </w:tcMar>
            <w:vAlign w:val="center"/>
          </w:tcPr>
          <w:p w14:paraId="4D550E76">
            <w:pPr>
              <w:pStyle w:val="19"/>
              <w:bidi w:val="0"/>
            </w:pPr>
            <w:r>
              <w:rPr>
                <w:rFonts w:hint="eastAsia"/>
              </w:rPr>
              <w:t>项目</w:t>
            </w:r>
          </w:p>
        </w:tc>
        <w:tc>
          <w:tcPr>
            <w:tcW w:w="530" w:type="pct"/>
            <w:tcMar>
              <w:top w:w="0" w:type="dxa"/>
              <w:left w:w="57" w:type="dxa"/>
              <w:bottom w:w="0" w:type="dxa"/>
              <w:right w:w="57" w:type="dxa"/>
            </w:tcMar>
            <w:vAlign w:val="center"/>
          </w:tcPr>
          <w:p w14:paraId="07C95C24">
            <w:pPr>
              <w:pStyle w:val="19"/>
              <w:bidi w:val="0"/>
            </w:pPr>
            <w:r>
              <w:rPr>
                <w:rFonts w:hint="eastAsia"/>
              </w:rPr>
              <w:t>CODcr</w:t>
            </w:r>
          </w:p>
        </w:tc>
        <w:tc>
          <w:tcPr>
            <w:tcW w:w="590" w:type="pct"/>
            <w:tcMar>
              <w:top w:w="0" w:type="dxa"/>
              <w:left w:w="57" w:type="dxa"/>
              <w:bottom w:w="0" w:type="dxa"/>
              <w:right w:w="57" w:type="dxa"/>
            </w:tcMar>
            <w:vAlign w:val="center"/>
          </w:tcPr>
          <w:p w14:paraId="659019D3">
            <w:pPr>
              <w:pStyle w:val="19"/>
              <w:bidi w:val="0"/>
            </w:pPr>
            <w:r>
              <w:rPr>
                <w:rFonts w:hint="eastAsia"/>
              </w:rPr>
              <w:t>BOD</w:t>
            </w:r>
            <w:r>
              <w:rPr>
                <w:rFonts w:hint="eastAsia"/>
                <w:vertAlign w:val="subscript"/>
              </w:rPr>
              <w:t>5</w:t>
            </w:r>
          </w:p>
        </w:tc>
        <w:tc>
          <w:tcPr>
            <w:tcW w:w="650" w:type="pct"/>
            <w:tcMar>
              <w:top w:w="0" w:type="dxa"/>
              <w:left w:w="57" w:type="dxa"/>
              <w:bottom w:w="0" w:type="dxa"/>
              <w:right w:w="57" w:type="dxa"/>
            </w:tcMar>
            <w:vAlign w:val="center"/>
          </w:tcPr>
          <w:p w14:paraId="14A6CEAB">
            <w:pPr>
              <w:pStyle w:val="19"/>
              <w:bidi w:val="0"/>
            </w:pPr>
            <w:r>
              <w:rPr>
                <w:rFonts w:hint="eastAsia"/>
              </w:rPr>
              <w:t>NH</w:t>
            </w:r>
            <w:r>
              <w:rPr>
                <w:rFonts w:hint="eastAsia"/>
                <w:vertAlign w:val="subscript"/>
              </w:rPr>
              <w:t>3</w:t>
            </w:r>
            <w:r>
              <w:rPr>
                <w:rFonts w:hint="eastAsia"/>
              </w:rPr>
              <w:t>-N</w:t>
            </w:r>
          </w:p>
        </w:tc>
        <w:tc>
          <w:tcPr>
            <w:tcW w:w="640" w:type="pct"/>
            <w:tcMar>
              <w:top w:w="0" w:type="dxa"/>
              <w:left w:w="57" w:type="dxa"/>
              <w:bottom w:w="0" w:type="dxa"/>
              <w:right w:w="57" w:type="dxa"/>
            </w:tcMar>
            <w:vAlign w:val="center"/>
          </w:tcPr>
          <w:p w14:paraId="25329C2B">
            <w:pPr>
              <w:pStyle w:val="19"/>
              <w:bidi w:val="0"/>
            </w:pPr>
            <w:r>
              <w:rPr>
                <w:rFonts w:hint="eastAsia"/>
              </w:rPr>
              <w:t>SS</w:t>
            </w:r>
          </w:p>
        </w:tc>
        <w:tc>
          <w:tcPr>
            <w:tcW w:w="536" w:type="pct"/>
            <w:tcMar>
              <w:top w:w="0" w:type="dxa"/>
              <w:left w:w="57" w:type="dxa"/>
              <w:bottom w:w="0" w:type="dxa"/>
              <w:right w:w="57" w:type="dxa"/>
            </w:tcMar>
            <w:vAlign w:val="center"/>
          </w:tcPr>
          <w:p w14:paraId="5CA31C5D">
            <w:pPr>
              <w:pStyle w:val="19"/>
              <w:bidi w:val="0"/>
            </w:pPr>
            <w:r>
              <w:rPr>
                <w:rFonts w:hint="eastAsia"/>
              </w:rPr>
              <w:t>TP</w:t>
            </w:r>
          </w:p>
        </w:tc>
        <w:tc>
          <w:tcPr>
            <w:tcW w:w="567" w:type="pct"/>
            <w:tcMar>
              <w:top w:w="0" w:type="dxa"/>
              <w:left w:w="57" w:type="dxa"/>
              <w:bottom w:w="0" w:type="dxa"/>
              <w:right w:w="57" w:type="dxa"/>
            </w:tcMar>
            <w:vAlign w:val="center"/>
          </w:tcPr>
          <w:p w14:paraId="154CF3F2">
            <w:pPr>
              <w:pStyle w:val="19"/>
              <w:bidi w:val="0"/>
            </w:pPr>
            <w:r>
              <w:rPr>
                <w:rFonts w:hint="eastAsia"/>
              </w:rPr>
              <w:t>TN</w:t>
            </w:r>
          </w:p>
        </w:tc>
      </w:tr>
      <w:tr w14:paraId="3C38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Merge w:val="restart"/>
            <w:tcMar>
              <w:top w:w="0" w:type="dxa"/>
              <w:left w:w="57" w:type="dxa"/>
              <w:bottom w:w="0" w:type="dxa"/>
              <w:right w:w="57" w:type="dxa"/>
            </w:tcMar>
            <w:vAlign w:val="center"/>
          </w:tcPr>
          <w:p w14:paraId="1AEC50FB">
            <w:pPr>
              <w:pStyle w:val="19"/>
              <w:bidi w:val="0"/>
              <w:rPr>
                <w:rFonts w:hint="default"/>
                <w:lang w:val="en-US" w:eastAsia="zh-CN"/>
              </w:rPr>
            </w:pPr>
            <w:r>
              <w:rPr>
                <w:rFonts w:hint="eastAsia"/>
                <w:lang w:val="en-US" w:eastAsia="zh-CN"/>
              </w:rPr>
              <w:t>61371.96</w:t>
            </w:r>
          </w:p>
        </w:tc>
        <w:tc>
          <w:tcPr>
            <w:tcW w:w="801" w:type="pct"/>
            <w:tcMar>
              <w:top w:w="0" w:type="dxa"/>
              <w:left w:w="57" w:type="dxa"/>
              <w:bottom w:w="0" w:type="dxa"/>
              <w:right w:w="57" w:type="dxa"/>
            </w:tcMar>
            <w:vAlign w:val="center"/>
          </w:tcPr>
          <w:p w14:paraId="103B2F81">
            <w:pPr>
              <w:pStyle w:val="19"/>
              <w:bidi w:val="0"/>
            </w:pPr>
            <w:r>
              <w:rPr>
                <w:rFonts w:hint="eastAsia"/>
              </w:rPr>
              <w:t>污染物浓度（mg/L）</w:t>
            </w:r>
          </w:p>
        </w:tc>
        <w:tc>
          <w:tcPr>
            <w:tcW w:w="530" w:type="pct"/>
            <w:tcMar>
              <w:top w:w="0" w:type="dxa"/>
              <w:left w:w="57" w:type="dxa"/>
              <w:bottom w:w="0" w:type="dxa"/>
              <w:right w:w="57" w:type="dxa"/>
            </w:tcMar>
            <w:vAlign w:val="center"/>
          </w:tcPr>
          <w:p w14:paraId="067B30BA">
            <w:pPr>
              <w:pStyle w:val="19"/>
              <w:bidi w:val="0"/>
            </w:pPr>
            <w:r>
              <w:rPr>
                <w:rFonts w:hint="eastAsia"/>
              </w:rPr>
              <w:t>2640</w:t>
            </w:r>
          </w:p>
        </w:tc>
        <w:tc>
          <w:tcPr>
            <w:tcW w:w="590" w:type="pct"/>
            <w:tcMar>
              <w:top w:w="0" w:type="dxa"/>
              <w:left w:w="57" w:type="dxa"/>
              <w:bottom w:w="0" w:type="dxa"/>
              <w:right w:w="57" w:type="dxa"/>
            </w:tcMar>
            <w:vAlign w:val="center"/>
          </w:tcPr>
          <w:p w14:paraId="284EE3CA">
            <w:pPr>
              <w:pStyle w:val="19"/>
              <w:bidi w:val="0"/>
            </w:pPr>
            <w:r>
              <w:rPr>
                <w:rFonts w:hint="eastAsia"/>
              </w:rPr>
              <w:t>800</w:t>
            </w:r>
          </w:p>
        </w:tc>
        <w:tc>
          <w:tcPr>
            <w:tcW w:w="650" w:type="pct"/>
            <w:tcMar>
              <w:top w:w="0" w:type="dxa"/>
              <w:left w:w="57" w:type="dxa"/>
              <w:bottom w:w="0" w:type="dxa"/>
              <w:right w:w="57" w:type="dxa"/>
            </w:tcMar>
            <w:vAlign w:val="center"/>
          </w:tcPr>
          <w:p w14:paraId="67DCD17C">
            <w:pPr>
              <w:pStyle w:val="19"/>
              <w:bidi w:val="0"/>
            </w:pPr>
            <w:r>
              <w:rPr>
                <w:rFonts w:hint="eastAsia"/>
              </w:rPr>
              <w:t>261</w:t>
            </w:r>
          </w:p>
        </w:tc>
        <w:tc>
          <w:tcPr>
            <w:tcW w:w="640" w:type="pct"/>
            <w:tcMar>
              <w:top w:w="0" w:type="dxa"/>
              <w:left w:w="57" w:type="dxa"/>
              <w:bottom w:w="0" w:type="dxa"/>
              <w:right w:w="57" w:type="dxa"/>
            </w:tcMar>
            <w:vAlign w:val="center"/>
          </w:tcPr>
          <w:p w14:paraId="6AD0BE33">
            <w:pPr>
              <w:pStyle w:val="19"/>
              <w:bidi w:val="0"/>
            </w:pPr>
            <w:r>
              <w:rPr>
                <w:rFonts w:hint="eastAsia"/>
              </w:rPr>
              <w:t>800</w:t>
            </w:r>
          </w:p>
        </w:tc>
        <w:tc>
          <w:tcPr>
            <w:tcW w:w="536" w:type="pct"/>
            <w:tcMar>
              <w:top w:w="0" w:type="dxa"/>
              <w:left w:w="57" w:type="dxa"/>
              <w:bottom w:w="0" w:type="dxa"/>
              <w:right w:w="57" w:type="dxa"/>
            </w:tcMar>
            <w:vAlign w:val="center"/>
          </w:tcPr>
          <w:p w14:paraId="56A7BABF">
            <w:pPr>
              <w:pStyle w:val="19"/>
              <w:bidi w:val="0"/>
            </w:pPr>
            <w:r>
              <w:rPr>
                <w:rFonts w:hint="eastAsia"/>
              </w:rPr>
              <w:t>43.5</w:t>
            </w:r>
          </w:p>
        </w:tc>
        <w:tc>
          <w:tcPr>
            <w:tcW w:w="567" w:type="pct"/>
            <w:tcMar>
              <w:top w:w="0" w:type="dxa"/>
              <w:left w:w="57" w:type="dxa"/>
              <w:bottom w:w="0" w:type="dxa"/>
              <w:right w:w="57" w:type="dxa"/>
            </w:tcMar>
            <w:vAlign w:val="center"/>
          </w:tcPr>
          <w:p w14:paraId="6BB5EC37">
            <w:pPr>
              <w:pStyle w:val="19"/>
              <w:bidi w:val="0"/>
            </w:pPr>
            <w:r>
              <w:rPr>
                <w:rFonts w:hint="eastAsia"/>
              </w:rPr>
              <w:t>370</w:t>
            </w:r>
          </w:p>
        </w:tc>
      </w:tr>
      <w:tr w14:paraId="504A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pct"/>
            <w:vMerge w:val="continue"/>
            <w:tcMar>
              <w:top w:w="0" w:type="dxa"/>
              <w:left w:w="57" w:type="dxa"/>
              <w:bottom w:w="0" w:type="dxa"/>
              <w:right w:w="57" w:type="dxa"/>
            </w:tcMar>
            <w:vAlign w:val="center"/>
          </w:tcPr>
          <w:p w14:paraId="1D407F3D">
            <w:pPr>
              <w:pStyle w:val="19"/>
              <w:bidi w:val="0"/>
            </w:pPr>
          </w:p>
        </w:tc>
        <w:tc>
          <w:tcPr>
            <w:tcW w:w="801" w:type="pct"/>
            <w:tcMar>
              <w:top w:w="0" w:type="dxa"/>
              <w:left w:w="57" w:type="dxa"/>
              <w:bottom w:w="0" w:type="dxa"/>
              <w:right w:w="57" w:type="dxa"/>
            </w:tcMar>
            <w:vAlign w:val="center"/>
          </w:tcPr>
          <w:p w14:paraId="61AEF91C">
            <w:pPr>
              <w:pStyle w:val="19"/>
              <w:bidi w:val="0"/>
            </w:pPr>
            <w:r>
              <w:rPr>
                <w:rFonts w:hint="eastAsia"/>
              </w:rPr>
              <w:t>产生量t/a</w:t>
            </w:r>
          </w:p>
        </w:tc>
        <w:tc>
          <w:tcPr>
            <w:tcW w:w="892" w:type="dxa"/>
            <w:tcMar>
              <w:top w:w="0" w:type="dxa"/>
              <w:left w:w="57" w:type="dxa"/>
              <w:bottom w:w="0" w:type="dxa"/>
              <w:right w:w="57" w:type="dxa"/>
            </w:tcMar>
            <w:vAlign w:val="center"/>
          </w:tcPr>
          <w:p w14:paraId="299A1A48">
            <w:pPr>
              <w:pStyle w:val="19"/>
              <w:bidi w:val="0"/>
              <w:rPr>
                <w:rFonts w:hint="default"/>
                <w:lang w:val="en-US" w:eastAsia="zh-CN"/>
              </w:rPr>
            </w:pPr>
            <w:r>
              <w:rPr>
                <w:rFonts w:hint="eastAsia"/>
                <w:lang w:val="en-US" w:eastAsia="zh-CN"/>
              </w:rPr>
              <w:t>162.02</w:t>
            </w:r>
          </w:p>
        </w:tc>
        <w:tc>
          <w:tcPr>
            <w:tcW w:w="993" w:type="dxa"/>
            <w:tcMar>
              <w:top w:w="0" w:type="dxa"/>
              <w:left w:w="57" w:type="dxa"/>
              <w:bottom w:w="0" w:type="dxa"/>
              <w:right w:w="57" w:type="dxa"/>
            </w:tcMar>
            <w:vAlign w:val="center"/>
          </w:tcPr>
          <w:p w14:paraId="1A9B8737">
            <w:pPr>
              <w:pStyle w:val="19"/>
              <w:bidi w:val="0"/>
              <w:rPr>
                <w:rFonts w:hint="default"/>
                <w:lang w:val="en-US" w:eastAsia="zh-CN"/>
              </w:rPr>
            </w:pPr>
            <w:r>
              <w:rPr>
                <w:rFonts w:hint="eastAsia"/>
                <w:lang w:val="en-US" w:eastAsia="zh-CN"/>
              </w:rPr>
              <w:t>49.10</w:t>
            </w:r>
          </w:p>
        </w:tc>
        <w:tc>
          <w:tcPr>
            <w:tcW w:w="1094" w:type="dxa"/>
            <w:tcMar>
              <w:top w:w="0" w:type="dxa"/>
              <w:left w:w="57" w:type="dxa"/>
              <w:bottom w:w="0" w:type="dxa"/>
              <w:right w:w="57" w:type="dxa"/>
            </w:tcMar>
            <w:vAlign w:val="center"/>
          </w:tcPr>
          <w:p w14:paraId="7675DBC4">
            <w:pPr>
              <w:pStyle w:val="19"/>
              <w:bidi w:val="0"/>
              <w:rPr>
                <w:rFonts w:hint="default"/>
                <w:lang w:val="en-US" w:eastAsia="zh-CN"/>
              </w:rPr>
            </w:pPr>
            <w:r>
              <w:rPr>
                <w:rFonts w:hint="eastAsia"/>
                <w:lang w:val="en-US" w:eastAsia="zh-CN"/>
              </w:rPr>
              <w:t>16.02</w:t>
            </w:r>
          </w:p>
        </w:tc>
        <w:tc>
          <w:tcPr>
            <w:tcW w:w="1077" w:type="dxa"/>
            <w:tcMar>
              <w:top w:w="0" w:type="dxa"/>
              <w:left w:w="57" w:type="dxa"/>
              <w:bottom w:w="0" w:type="dxa"/>
              <w:right w:w="57" w:type="dxa"/>
            </w:tcMar>
            <w:vAlign w:val="center"/>
          </w:tcPr>
          <w:p w14:paraId="0A9F0066">
            <w:pPr>
              <w:pStyle w:val="19"/>
              <w:bidi w:val="0"/>
            </w:pPr>
            <w:r>
              <w:rPr>
                <w:rFonts w:hint="eastAsia"/>
                <w:lang w:val="en-US" w:eastAsia="zh-CN"/>
              </w:rPr>
              <w:t>49.10</w:t>
            </w:r>
          </w:p>
        </w:tc>
        <w:tc>
          <w:tcPr>
            <w:tcW w:w="903" w:type="dxa"/>
            <w:tcMar>
              <w:top w:w="0" w:type="dxa"/>
              <w:left w:w="57" w:type="dxa"/>
              <w:bottom w:w="0" w:type="dxa"/>
              <w:right w:w="57" w:type="dxa"/>
            </w:tcMar>
            <w:vAlign w:val="center"/>
          </w:tcPr>
          <w:p w14:paraId="6B4D749C">
            <w:pPr>
              <w:pStyle w:val="19"/>
              <w:bidi w:val="0"/>
              <w:rPr>
                <w:rFonts w:hint="default"/>
                <w:lang w:val="en-US" w:eastAsia="zh-CN"/>
              </w:rPr>
            </w:pPr>
            <w:r>
              <w:rPr>
                <w:rFonts w:hint="eastAsia"/>
                <w:lang w:val="en-US" w:eastAsia="zh-CN"/>
              </w:rPr>
              <w:t>2.67</w:t>
            </w:r>
          </w:p>
        </w:tc>
        <w:tc>
          <w:tcPr>
            <w:tcW w:w="955" w:type="dxa"/>
            <w:tcMar>
              <w:top w:w="0" w:type="dxa"/>
              <w:left w:w="57" w:type="dxa"/>
              <w:bottom w:w="0" w:type="dxa"/>
              <w:right w:w="57" w:type="dxa"/>
            </w:tcMar>
            <w:vAlign w:val="center"/>
          </w:tcPr>
          <w:p w14:paraId="7A5821B4">
            <w:pPr>
              <w:pStyle w:val="19"/>
              <w:bidi w:val="0"/>
              <w:rPr>
                <w:rFonts w:hint="default"/>
                <w:lang w:val="en-US" w:eastAsia="zh-CN"/>
              </w:rPr>
            </w:pPr>
            <w:r>
              <w:rPr>
                <w:rFonts w:hint="eastAsia"/>
                <w:lang w:val="en-US" w:eastAsia="zh-CN"/>
              </w:rPr>
              <w:t>22.71</w:t>
            </w:r>
          </w:p>
        </w:tc>
      </w:tr>
    </w:tbl>
    <w:p w14:paraId="3AB2A3E5">
      <w:pPr>
        <w:bidi w:val="0"/>
        <w:rPr>
          <w:rFonts w:hint="default"/>
          <w:lang w:val="en-US" w:eastAsia="zh-CN"/>
        </w:rPr>
      </w:pPr>
      <w:r>
        <w:rPr>
          <w:rFonts w:hint="eastAsia"/>
          <w:lang w:val="en-US" w:eastAsia="zh-CN"/>
        </w:rPr>
        <w:t>（3）生物质锅炉排污水</w:t>
      </w:r>
    </w:p>
    <w:p w14:paraId="2E3BDE63">
      <w:pPr>
        <w:bidi w:val="0"/>
        <w:rPr>
          <w:rFonts w:hint="eastAsia"/>
          <w:lang w:val="en-US" w:eastAsia="zh-CN"/>
        </w:rPr>
      </w:pPr>
      <w:r>
        <w:rPr>
          <w:rFonts w:hint="eastAsia"/>
          <w:lang w:val="en-US" w:eastAsia="zh-CN"/>
        </w:rPr>
        <w:t>参照《排放源统计调查产排污核算方法和系数手册》中“4430工业锅炉（热力生产和供应行业）产排污系数表-工业废水量和“化学需氧量”及《排污许可证申请与核发技术规范 锅炉》（HJ953-2018）中“表F.5锅炉的废水产排污系数”中的数据，具体产排污系数见表3.4-14。</w:t>
      </w:r>
    </w:p>
    <w:p w14:paraId="0F62C191">
      <w:pPr>
        <w:pStyle w:val="30"/>
        <w:bidi w:val="0"/>
        <w:rPr>
          <w:rFonts w:hint="default"/>
          <w:lang w:val="en-US" w:eastAsia="zh-CN"/>
        </w:rPr>
      </w:pPr>
      <w:r>
        <w:rPr>
          <w:rFonts w:hint="eastAsia"/>
          <w:lang w:val="en-US" w:eastAsia="zh-CN"/>
        </w:rPr>
        <w:t>表3.4-14   生物质锅炉产排污系数表（废水）</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2105"/>
        <w:gridCol w:w="2105"/>
        <w:gridCol w:w="2105"/>
      </w:tblGrid>
      <w:tr w14:paraId="79BF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tcMar>
              <w:top w:w="0" w:type="dxa"/>
              <w:left w:w="57" w:type="dxa"/>
              <w:bottom w:w="0" w:type="dxa"/>
              <w:right w:w="57" w:type="dxa"/>
            </w:tcMar>
            <w:vAlign w:val="center"/>
          </w:tcPr>
          <w:p w14:paraId="622EEA31">
            <w:pPr>
              <w:pStyle w:val="19"/>
              <w:bidi w:val="0"/>
              <w:jc w:val="center"/>
              <w:rPr>
                <w:rFonts w:hint="default"/>
                <w:lang w:val="en-US" w:eastAsia="zh-CN"/>
              </w:rPr>
            </w:pPr>
            <w:r>
              <w:rPr>
                <w:rFonts w:hint="eastAsia"/>
                <w:lang w:val="en-US" w:eastAsia="zh-CN"/>
              </w:rPr>
              <w:t>原料名称</w:t>
            </w:r>
          </w:p>
        </w:tc>
        <w:tc>
          <w:tcPr>
            <w:tcW w:w="2105" w:type="dxa"/>
            <w:tcMar>
              <w:top w:w="0" w:type="dxa"/>
              <w:left w:w="57" w:type="dxa"/>
              <w:bottom w:w="0" w:type="dxa"/>
              <w:right w:w="57" w:type="dxa"/>
            </w:tcMar>
            <w:vAlign w:val="center"/>
          </w:tcPr>
          <w:p w14:paraId="38797BA3">
            <w:pPr>
              <w:pStyle w:val="19"/>
              <w:bidi w:val="0"/>
              <w:jc w:val="center"/>
              <w:rPr>
                <w:rFonts w:hint="default"/>
                <w:lang w:val="en-US" w:eastAsia="zh-CN"/>
              </w:rPr>
            </w:pPr>
            <w:r>
              <w:rPr>
                <w:rFonts w:hint="eastAsia"/>
                <w:lang w:val="en-US" w:eastAsia="zh-CN"/>
              </w:rPr>
              <w:t>污染物指标</w:t>
            </w:r>
          </w:p>
        </w:tc>
        <w:tc>
          <w:tcPr>
            <w:tcW w:w="2105" w:type="dxa"/>
            <w:tcMar>
              <w:top w:w="0" w:type="dxa"/>
              <w:left w:w="57" w:type="dxa"/>
              <w:bottom w:w="0" w:type="dxa"/>
              <w:right w:w="57" w:type="dxa"/>
            </w:tcMar>
            <w:vAlign w:val="center"/>
          </w:tcPr>
          <w:p w14:paraId="3878F285">
            <w:pPr>
              <w:pStyle w:val="19"/>
              <w:bidi w:val="0"/>
              <w:jc w:val="center"/>
              <w:rPr>
                <w:rFonts w:hint="default"/>
                <w:lang w:val="en-US" w:eastAsia="zh-CN"/>
              </w:rPr>
            </w:pPr>
            <w:r>
              <w:rPr>
                <w:rFonts w:hint="eastAsia"/>
                <w:lang w:val="en-US" w:eastAsia="zh-CN"/>
              </w:rPr>
              <w:t>单位</w:t>
            </w:r>
          </w:p>
        </w:tc>
        <w:tc>
          <w:tcPr>
            <w:tcW w:w="2105" w:type="dxa"/>
            <w:tcMar>
              <w:top w:w="0" w:type="dxa"/>
              <w:left w:w="57" w:type="dxa"/>
              <w:bottom w:w="0" w:type="dxa"/>
              <w:right w:w="57" w:type="dxa"/>
            </w:tcMar>
            <w:vAlign w:val="center"/>
          </w:tcPr>
          <w:p w14:paraId="0C359E3A">
            <w:pPr>
              <w:pStyle w:val="19"/>
              <w:bidi w:val="0"/>
              <w:jc w:val="center"/>
              <w:rPr>
                <w:rFonts w:hint="default"/>
                <w:lang w:val="en-US" w:eastAsia="zh-CN"/>
              </w:rPr>
            </w:pPr>
            <w:r>
              <w:rPr>
                <w:rFonts w:hint="eastAsia"/>
                <w:lang w:val="en-US" w:eastAsia="zh-CN"/>
              </w:rPr>
              <w:t>产排污系数</w:t>
            </w:r>
          </w:p>
        </w:tc>
      </w:tr>
      <w:tr w14:paraId="3152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vMerge w:val="restart"/>
            <w:tcMar>
              <w:top w:w="0" w:type="dxa"/>
              <w:left w:w="57" w:type="dxa"/>
              <w:bottom w:w="0" w:type="dxa"/>
              <w:right w:w="57" w:type="dxa"/>
            </w:tcMar>
            <w:vAlign w:val="center"/>
          </w:tcPr>
          <w:p w14:paraId="4897A11F">
            <w:pPr>
              <w:pStyle w:val="19"/>
              <w:bidi w:val="0"/>
              <w:jc w:val="center"/>
              <w:rPr>
                <w:rFonts w:hint="default"/>
                <w:lang w:val="en-US" w:eastAsia="zh-CN"/>
              </w:rPr>
            </w:pPr>
            <w:r>
              <w:rPr>
                <w:rFonts w:hint="eastAsia"/>
                <w:lang w:val="en-US" w:eastAsia="zh-CN"/>
              </w:rPr>
              <w:t>生物质燃料</w:t>
            </w:r>
          </w:p>
        </w:tc>
        <w:tc>
          <w:tcPr>
            <w:tcW w:w="2105" w:type="dxa"/>
            <w:tcMar>
              <w:top w:w="0" w:type="dxa"/>
              <w:left w:w="57" w:type="dxa"/>
              <w:bottom w:w="0" w:type="dxa"/>
              <w:right w:w="57" w:type="dxa"/>
            </w:tcMar>
            <w:vAlign w:val="center"/>
          </w:tcPr>
          <w:p w14:paraId="0CFAE20D">
            <w:pPr>
              <w:pStyle w:val="19"/>
              <w:bidi w:val="0"/>
              <w:jc w:val="center"/>
              <w:rPr>
                <w:rFonts w:hint="default"/>
                <w:lang w:val="en-US" w:eastAsia="zh-CN"/>
              </w:rPr>
            </w:pPr>
            <w:r>
              <w:rPr>
                <w:rFonts w:hint="eastAsia"/>
                <w:lang w:val="en-US" w:eastAsia="zh-CN"/>
              </w:rPr>
              <w:t>工业废水量</w:t>
            </w:r>
          </w:p>
        </w:tc>
        <w:tc>
          <w:tcPr>
            <w:tcW w:w="2105" w:type="dxa"/>
            <w:tcMar>
              <w:top w:w="0" w:type="dxa"/>
              <w:left w:w="57" w:type="dxa"/>
              <w:bottom w:w="0" w:type="dxa"/>
              <w:right w:w="57" w:type="dxa"/>
            </w:tcMar>
            <w:vAlign w:val="center"/>
          </w:tcPr>
          <w:p w14:paraId="66E5214D">
            <w:pPr>
              <w:pStyle w:val="19"/>
              <w:bidi w:val="0"/>
              <w:jc w:val="center"/>
              <w:rPr>
                <w:rFonts w:hint="default"/>
                <w:lang w:val="en-US" w:eastAsia="zh-CN"/>
              </w:rPr>
            </w:pPr>
            <w:r>
              <w:rPr>
                <w:rFonts w:hint="eastAsia"/>
                <w:lang w:val="en-US" w:eastAsia="zh-CN"/>
              </w:rPr>
              <w:t>吨/吨-原料</w:t>
            </w:r>
          </w:p>
        </w:tc>
        <w:tc>
          <w:tcPr>
            <w:tcW w:w="2105" w:type="dxa"/>
            <w:tcMar>
              <w:top w:w="0" w:type="dxa"/>
              <w:left w:w="57" w:type="dxa"/>
              <w:bottom w:w="0" w:type="dxa"/>
              <w:right w:w="57" w:type="dxa"/>
            </w:tcMar>
            <w:vAlign w:val="center"/>
          </w:tcPr>
          <w:p w14:paraId="047E0110">
            <w:pPr>
              <w:pStyle w:val="19"/>
              <w:bidi w:val="0"/>
              <w:jc w:val="center"/>
              <w:rPr>
                <w:rFonts w:hint="default"/>
                <w:lang w:val="en-US" w:eastAsia="zh-CN"/>
              </w:rPr>
            </w:pPr>
            <w:r>
              <w:rPr>
                <w:rFonts w:hint="eastAsia"/>
                <w:lang w:val="en-US" w:eastAsia="zh-CN"/>
              </w:rPr>
              <w:t>0.356</w:t>
            </w:r>
          </w:p>
        </w:tc>
      </w:tr>
      <w:tr w14:paraId="77F6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vMerge w:val="continue"/>
            <w:tcMar>
              <w:top w:w="0" w:type="dxa"/>
              <w:left w:w="57" w:type="dxa"/>
              <w:bottom w:w="0" w:type="dxa"/>
              <w:right w:w="57" w:type="dxa"/>
            </w:tcMar>
            <w:vAlign w:val="center"/>
          </w:tcPr>
          <w:p w14:paraId="4577BD7E">
            <w:pPr>
              <w:pStyle w:val="19"/>
              <w:bidi w:val="0"/>
              <w:jc w:val="center"/>
              <w:rPr>
                <w:rFonts w:hint="eastAsia"/>
                <w:lang w:val="en-US" w:eastAsia="zh-CN"/>
              </w:rPr>
            </w:pPr>
          </w:p>
        </w:tc>
        <w:tc>
          <w:tcPr>
            <w:tcW w:w="2105" w:type="dxa"/>
            <w:tcMar>
              <w:top w:w="0" w:type="dxa"/>
              <w:left w:w="57" w:type="dxa"/>
              <w:bottom w:w="0" w:type="dxa"/>
              <w:right w:w="57" w:type="dxa"/>
            </w:tcMar>
            <w:vAlign w:val="center"/>
          </w:tcPr>
          <w:p w14:paraId="6B6C9E4C">
            <w:pPr>
              <w:pStyle w:val="19"/>
              <w:bidi w:val="0"/>
              <w:jc w:val="center"/>
              <w:rPr>
                <w:rFonts w:hint="default"/>
                <w:lang w:val="en-US" w:eastAsia="zh-CN"/>
              </w:rPr>
            </w:pPr>
            <w:r>
              <w:rPr>
                <w:rFonts w:hint="eastAsia"/>
                <w:lang w:val="en-US" w:eastAsia="zh-CN"/>
              </w:rPr>
              <w:t>化学需氧量</w:t>
            </w:r>
          </w:p>
        </w:tc>
        <w:tc>
          <w:tcPr>
            <w:tcW w:w="2105" w:type="dxa"/>
            <w:tcMar>
              <w:top w:w="0" w:type="dxa"/>
              <w:left w:w="57" w:type="dxa"/>
              <w:bottom w:w="0" w:type="dxa"/>
              <w:right w:w="57" w:type="dxa"/>
            </w:tcMar>
            <w:vAlign w:val="center"/>
          </w:tcPr>
          <w:p w14:paraId="3DC429A4">
            <w:pPr>
              <w:pStyle w:val="19"/>
              <w:bidi w:val="0"/>
              <w:jc w:val="center"/>
              <w:rPr>
                <w:rFonts w:hint="eastAsia"/>
                <w:lang w:val="en-US" w:eastAsia="zh-CN"/>
              </w:rPr>
            </w:pPr>
            <w:r>
              <w:rPr>
                <w:rFonts w:hint="eastAsia"/>
                <w:lang w:val="en-US" w:eastAsia="zh-CN"/>
              </w:rPr>
              <w:t>克/吨-原料</w:t>
            </w:r>
          </w:p>
        </w:tc>
        <w:tc>
          <w:tcPr>
            <w:tcW w:w="2105" w:type="dxa"/>
            <w:tcMar>
              <w:top w:w="0" w:type="dxa"/>
              <w:left w:w="57" w:type="dxa"/>
              <w:bottom w:w="0" w:type="dxa"/>
              <w:right w:w="57" w:type="dxa"/>
            </w:tcMar>
            <w:vAlign w:val="center"/>
          </w:tcPr>
          <w:p w14:paraId="06BD7560">
            <w:pPr>
              <w:pStyle w:val="19"/>
              <w:bidi w:val="0"/>
              <w:jc w:val="center"/>
              <w:rPr>
                <w:rFonts w:hint="default"/>
                <w:lang w:val="en-US" w:eastAsia="zh-CN"/>
              </w:rPr>
            </w:pPr>
            <w:r>
              <w:rPr>
                <w:rFonts w:hint="eastAsia"/>
                <w:lang w:val="en-US" w:eastAsia="zh-CN"/>
              </w:rPr>
              <w:t>30</w:t>
            </w:r>
          </w:p>
        </w:tc>
      </w:tr>
    </w:tbl>
    <w:p w14:paraId="6BD3D074">
      <w:pPr>
        <w:bidi w:val="0"/>
        <w:rPr>
          <w:rFonts w:hint="default"/>
          <w:lang w:val="en-US" w:eastAsia="zh-CN"/>
        </w:rPr>
      </w:pPr>
      <w:r>
        <w:rPr>
          <w:rFonts w:hint="eastAsia"/>
          <w:lang w:val="en-US" w:eastAsia="zh-CN"/>
        </w:rPr>
        <w:t>本项目生物质燃料年用量为1900*3=5700t/a，锅炉运行时间181天，每天24小时，锅炉排污水+软化处理废水产量为2029.2m</w:t>
      </w:r>
      <w:r>
        <w:rPr>
          <w:rFonts w:hint="eastAsia"/>
          <w:vertAlign w:val="superscript"/>
          <w:lang w:val="en-US" w:eastAsia="zh-CN"/>
        </w:rPr>
        <w:t>3</w:t>
      </w:r>
      <w:r>
        <w:rPr>
          <w:rFonts w:hint="eastAsia"/>
          <w:lang w:val="en-US" w:eastAsia="zh-CN"/>
        </w:rPr>
        <w:t>/a，COD产生量为0.171t/a。</w:t>
      </w:r>
    </w:p>
    <w:p w14:paraId="16287143">
      <w:pPr>
        <w:bidi w:val="0"/>
        <w:rPr>
          <w:rFonts w:hint="default"/>
          <w:lang w:val="en-US" w:eastAsia="zh-CN"/>
        </w:rPr>
      </w:pPr>
      <w:r>
        <w:rPr>
          <w:rFonts w:hint="eastAsia"/>
          <w:lang w:val="en-US" w:eastAsia="zh-CN"/>
        </w:rPr>
        <w:t>综上所述，本项目运营期废水产生情况汇总见表3.4-15。</w:t>
      </w:r>
    </w:p>
    <w:p w14:paraId="626C3F20">
      <w:pPr>
        <w:pStyle w:val="30"/>
        <w:bidi w:val="0"/>
        <w:rPr>
          <w:rFonts w:hint="default"/>
          <w:lang w:val="en-US" w:eastAsia="zh-CN"/>
        </w:rPr>
      </w:pPr>
      <w:r>
        <w:rPr>
          <w:rFonts w:hint="eastAsia"/>
          <w:lang w:val="en-US" w:eastAsia="zh-CN"/>
        </w:rPr>
        <w:t>表3.4-15   本项目营期废水产生情况汇总表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1285"/>
        <w:gridCol w:w="1142"/>
        <w:gridCol w:w="1952"/>
        <w:gridCol w:w="846"/>
        <w:gridCol w:w="846"/>
        <w:gridCol w:w="846"/>
        <w:gridCol w:w="849"/>
      </w:tblGrid>
      <w:tr w14:paraId="67A5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restart"/>
            <w:noWrap w:val="0"/>
            <w:tcMar>
              <w:top w:w="28" w:type="dxa"/>
              <w:left w:w="57" w:type="dxa"/>
              <w:bottom w:w="28" w:type="dxa"/>
              <w:right w:w="57" w:type="dxa"/>
            </w:tcMar>
            <w:vAlign w:val="center"/>
          </w:tcPr>
          <w:p w14:paraId="3E004A65">
            <w:pPr>
              <w:pStyle w:val="19"/>
              <w:bidi w:val="0"/>
              <w:jc w:val="center"/>
              <w:rPr>
                <w:rFonts w:hint="eastAsia" w:eastAsia="宋体"/>
                <w:lang w:eastAsia="zh-CN"/>
              </w:rPr>
            </w:pPr>
            <w:r>
              <w:rPr>
                <w:rFonts w:hint="eastAsia"/>
                <w:lang w:val="en-US" w:eastAsia="zh-CN"/>
              </w:rPr>
              <w:t>序号</w:t>
            </w:r>
          </w:p>
        </w:tc>
        <w:tc>
          <w:tcPr>
            <w:tcW w:w="763" w:type="pct"/>
            <w:vMerge w:val="restart"/>
            <w:noWrap w:val="0"/>
            <w:tcMar>
              <w:top w:w="28" w:type="dxa"/>
              <w:left w:w="57" w:type="dxa"/>
              <w:bottom w:w="28" w:type="dxa"/>
              <w:right w:w="57" w:type="dxa"/>
            </w:tcMar>
            <w:vAlign w:val="center"/>
          </w:tcPr>
          <w:p w14:paraId="29D78E81">
            <w:pPr>
              <w:pStyle w:val="19"/>
              <w:bidi w:val="0"/>
              <w:jc w:val="center"/>
            </w:pPr>
            <w:r>
              <w:t>污染源</w:t>
            </w:r>
          </w:p>
        </w:tc>
        <w:tc>
          <w:tcPr>
            <w:tcW w:w="678" w:type="pct"/>
            <w:vMerge w:val="restart"/>
            <w:noWrap w:val="0"/>
            <w:tcMar>
              <w:top w:w="28" w:type="dxa"/>
              <w:left w:w="57" w:type="dxa"/>
              <w:bottom w:w="28" w:type="dxa"/>
              <w:right w:w="57" w:type="dxa"/>
            </w:tcMar>
            <w:vAlign w:val="center"/>
          </w:tcPr>
          <w:p w14:paraId="09C5F170">
            <w:pPr>
              <w:pStyle w:val="19"/>
              <w:bidi w:val="0"/>
              <w:jc w:val="center"/>
            </w:pPr>
            <w:r>
              <w:t>年排水量（m</w:t>
            </w:r>
            <w:r>
              <w:rPr>
                <w:vertAlign w:val="superscript"/>
              </w:rPr>
              <w:t>3</w:t>
            </w:r>
            <w:r>
              <w:t>/a）</w:t>
            </w:r>
          </w:p>
        </w:tc>
        <w:tc>
          <w:tcPr>
            <w:tcW w:w="1159" w:type="pct"/>
            <w:vMerge w:val="restart"/>
            <w:noWrap w:val="0"/>
            <w:tcMar>
              <w:top w:w="28" w:type="dxa"/>
              <w:left w:w="57" w:type="dxa"/>
              <w:bottom w:w="28" w:type="dxa"/>
              <w:right w:w="57" w:type="dxa"/>
            </w:tcMar>
            <w:vAlign w:val="center"/>
          </w:tcPr>
          <w:p w14:paraId="4E96AAC0">
            <w:pPr>
              <w:pStyle w:val="19"/>
              <w:bidi w:val="0"/>
              <w:jc w:val="center"/>
            </w:pPr>
            <w:r>
              <w:t>浓度（mg/L）</w:t>
            </w:r>
          </w:p>
          <w:p w14:paraId="23D7EE32">
            <w:pPr>
              <w:pStyle w:val="19"/>
              <w:bidi w:val="0"/>
              <w:jc w:val="center"/>
            </w:pPr>
            <w:r>
              <w:t>产生量（t/a）</w:t>
            </w:r>
          </w:p>
        </w:tc>
        <w:tc>
          <w:tcPr>
            <w:tcW w:w="2010" w:type="pct"/>
            <w:gridSpan w:val="4"/>
            <w:noWrap w:val="0"/>
            <w:tcMar>
              <w:top w:w="28" w:type="dxa"/>
              <w:left w:w="57" w:type="dxa"/>
              <w:bottom w:w="28" w:type="dxa"/>
              <w:right w:w="57" w:type="dxa"/>
            </w:tcMar>
            <w:vAlign w:val="center"/>
          </w:tcPr>
          <w:p w14:paraId="788C13B4">
            <w:pPr>
              <w:pStyle w:val="19"/>
              <w:bidi w:val="0"/>
              <w:jc w:val="center"/>
            </w:pPr>
            <w:r>
              <w:t>主要污染物质</w:t>
            </w:r>
          </w:p>
        </w:tc>
      </w:tr>
      <w:tr w14:paraId="10CD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continue"/>
            <w:noWrap w:val="0"/>
            <w:tcMar>
              <w:top w:w="28" w:type="dxa"/>
              <w:left w:w="57" w:type="dxa"/>
              <w:bottom w:w="28" w:type="dxa"/>
              <w:right w:w="57" w:type="dxa"/>
            </w:tcMar>
            <w:vAlign w:val="center"/>
          </w:tcPr>
          <w:p w14:paraId="06AB2E9B">
            <w:pPr>
              <w:pStyle w:val="19"/>
              <w:bidi w:val="0"/>
              <w:jc w:val="center"/>
            </w:pPr>
          </w:p>
        </w:tc>
        <w:tc>
          <w:tcPr>
            <w:tcW w:w="763" w:type="pct"/>
            <w:vMerge w:val="continue"/>
            <w:noWrap w:val="0"/>
            <w:tcMar>
              <w:top w:w="28" w:type="dxa"/>
              <w:left w:w="57" w:type="dxa"/>
              <w:bottom w:w="28" w:type="dxa"/>
              <w:right w:w="57" w:type="dxa"/>
            </w:tcMar>
            <w:vAlign w:val="center"/>
          </w:tcPr>
          <w:p w14:paraId="2C4311AF">
            <w:pPr>
              <w:pStyle w:val="19"/>
              <w:bidi w:val="0"/>
              <w:jc w:val="center"/>
            </w:pPr>
          </w:p>
        </w:tc>
        <w:tc>
          <w:tcPr>
            <w:tcW w:w="678" w:type="pct"/>
            <w:vMerge w:val="continue"/>
            <w:noWrap w:val="0"/>
            <w:tcMar>
              <w:top w:w="28" w:type="dxa"/>
              <w:left w:w="57" w:type="dxa"/>
              <w:bottom w:w="28" w:type="dxa"/>
              <w:right w:w="57" w:type="dxa"/>
            </w:tcMar>
            <w:vAlign w:val="center"/>
          </w:tcPr>
          <w:p w14:paraId="113A1255">
            <w:pPr>
              <w:pStyle w:val="19"/>
              <w:bidi w:val="0"/>
              <w:jc w:val="center"/>
            </w:pPr>
          </w:p>
        </w:tc>
        <w:tc>
          <w:tcPr>
            <w:tcW w:w="1159" w:type="pct"/>
            <w:vMerge w:val="continue"/>
            <w:noWrap w:val="0"/>
            <w:tcMar>
              <w:top w:w="28" w:type="dxa"/>
              <w:left w:w="57" w:type="dxa"/>
              <w:bottom w:w="28" w:type="dxa"/>
              <w:right w:w="57" w:type="dxa"/>
            </w:tcMar>
            <w:vAlign w:val="center"/>
          </w:tcPr>
          <w:p w14:paraId="5E4E5E0D">
            <w:pPr>
              <w:pStyle w:val="19"/>
              <w:bidi w:val="0"/>
              <w:jc w:val="center"/>
            </w:pPr>
          </w:p>
        </w:tc>
        <w:tc>
          <w:tcPr>
            <w:tcW w:w="502" w:type="pct"/>
            <w:noWrap w:val="0"/>
            <w:tcMar>
              <w:top w:w="28" w:type="dxa"/>
              <w:left w:w="57" w:type="dxa"/>
              <w:bottom w:w="28" w:type="dxa"/>
              <w:right w:w="57" w:type="dxa"/>
            </w:tcMar>
            <w:vAlign w:val="center"/>
          </w:tcPr>
          <w:p w14:paraId="314BF8E5">
            <w:pPr>
              <w:pStyle w:val="19"/>
              <w:bidi w:val="0"/>
              <w:jc w:val="center"/>
            </w:pPr>
            <w:r>
              <w:t>COD</w:t>
            </w:r>
          </w:p>
        </w:tc>
        <w:tc>
          <w:tcPr>
            <w:tcW w:w="502" w:type="pct"/>
            <w:noWrap w:val="0"/>
            <w:tcMar>
              <w:top w:w="28" w:type="dxa"/>
              <w:left w:w="57" w:type="dxa"/>
              <w:bottom w:w="28" w:type="dxa"/>
              <w:right w:w="57" w:type="dxa"/>
            </w:tcMar>
            <w:vAlign w:val="center"/>
          </w:tcPr>
          <w:p w14:paraId="4B2411D3">
            <w:pPr>
              <w:pStyle w:val="19"/>
              <w:bidi w:val="0"/>
              <w:jc w:val="center"/>
            </w:pPr>
            <w:r>
              <w:t>BOD</w:t>
            </w:r>
            <w:r>
              <w:rPr>
                <w:vertAlign w:val="subscript"/>
              </w:rPr>
              <w:t>5</w:t>
            </w:r>
          </w:p>
        </w:tc>
        <w:tc>
          <w:tcPr>
            <w:tcW w:w="502" w:type="pct"/>
            <w:noWrap w:val="0"/>
            <w:tcMar>
              <w:top w:w="28" w:type="dxa"/>
              <w:left w:w="57" w:type="dxa"/>
              <w:bottom w:w="28" w:type="dxa"/>
              <w:right w:w="57" w:type="dxa"/>
            </w:tcMar>
            <w:vAlign w:val="center"/>
          </w:tcPr>
          <w:p w14:paraId="1EF7B0F9">
            <w:pPr>
              <w:pStyle w:val="19"/>
              <w:bidi w:val="0"/>
              <w:jc w:val="center"/>
            </w:pPr>
            <w:r>
              <w:t>SS</w:t>
            </w:r>
          </w:p>
        </w:tc>
        <w:tc>
          <w:tcPr>
            <w:tcW w:w="502" w:type="pct"/>
            <w:noWrap w:val="0"/>
            <w:tcMar>
              <w:top w:w="28" w:type="dxa"/>
              <w:left w:w="57" w:type="dxa"/>
              <w:bottom w:w="28" w:type="dxa"/>
              <w:right w:w="57" w:type="dxa"/>
            </w:tcMar>
            <w:vAlign w:val="center"/>
          </w:tcPr>
          <w:p w14:paraId="0D95C03A">
            <w:pPr>
              <w:pStyle w:val="19"/>
              <w:bidi w:val="0"/>
              <w:jc w:val="center"/>
            </w:pPr>
            <w:r>
              <w:t>NH</w:t>
            </w:r>
            <w:r>
              <w:rPr>
                <w:vertAlign w:val="subscript"/>
              </w:rPr>
              <w:t>3</w:t>
            </w:r>
            <w:r>
              <w:t>-N</w:t>
            </w:r>
          </w:p>
        </w:tc>
      </w:tr>
      <w:tr w14:paraId="1710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restart"/>
            <w:noWrap w:val="0"/>
            <w:tcMar>
              <w:top w:w="28" w:type="dxa"/>
              <w:left w:w="57" w:type="dxa"/>
              <w:bottom w:w="28" w:type="dxa"/>
              <w:right w:w="57" w:type="dxa"/>
            </w:tcMar>
            <w:vAlign w:val="center"/>
          </w:tcPr>
          <w:p w14:paraId="3309FF6C">
            <w:pPr>
              <w:pStyle w:val="19"/>
              <w:bidi w:val="0"/>
              <w:jc w:val="center"/>
              <w:rPr>
                <w:rFonts w:hint="eastAsia" w:eastAsia="宋体"/>
                <w:lang w:val="en-US" w:eastAsia="zh-CN"/>
              </w:rPr>
            </w:pPr>
            <w:r>
              <w:rPr>
                <w:rFonts w:hint="eastAsia"/>
                <w:lang w:val="en-US" w:eastAsia="zh-CN"/>
              </w:rPr>
              <w:t>1</w:t>
            </w:r>
          </w:p>
        </w:tc>
        <w:tc>
          <w:tcPr>
            <w:tcW w:w="763" w:type="pct"/>
            <w:vMerge w:val="restart"/>
            <w:noWrap w:val="0"/>
            <w:tcMar>
              <w:top w:w="28" w:type="dxa"/>
              <w:left w:w="57" w:type="dxa"/>
              <w:bottom w:w="28" w:type="dxa"/>
              <w:right w:w="57" w:type="dxa"/>
            </w:tcMar>
            <w:vAlign w:val="center"/>
          </w:tcPr>
          <w:p w14:paraId="098A90E6">
            <w:pPr>
              <w:pStyle w:val="19"/>
              <w:bidi w:val="0"/>
              <w:jc w:val="center"/>
              <w:rPr>
                <w:rFonts w:hint="eastAsia" w:eastAsia="宋体"/>
                <w:lang w:val="en-US" w:eastAsia="zh-CN"/>
              </w:rPr>
            </w:pPr>
            <w:r>
              <w:rPr>
                <w:rFonts w:hint="eastAsia"/>
                <w:lang w:val="en-US" w:eastAsia="zh-CN"/>
              </w:rPr>
              <w:t>生活污水</w:t>
            </w:r>
          </w:p>
        </w:tc>
        <w:tc>
          <w:tcPr>
            <w:tcW w:w="678" w:type="pct"/>
            <w:vMerge w:val="restart"/>
            <w:noWrap w:val="0"/>
            <w:tcMar>
              <w:top w:w="28" w:type="dxa"/>
              <w:left w:w="57" w:type="dxa"/>
              <w:bottom w:w="28" w:type="dxa"/>
              <w:right w:w="57" w:type="dxa"/>
            </w:tcMar>
            <w:vAlign w:val="center"/>
          </w:tcPr>
          <w:p w14:paraId="776D6B63">
            <w:pPr>
              <w:pStyle w:val="19"/>
              <w:bidi w:val="0"/>
              <w:jc w:val="center"/>
              <w:rPr>
                <w:rFonts w:hint="default" w:eastAsia="宋体"/>
                <w:lang w:val="en-US" w:eastAsia="zh-CN"/>
              </w:rPr>
            </w:pPr>
            <w:r>
              <w:rPr>
                <w:rFonts w:hint="eastAsia"/>
                <w:lang w:val="en-US" w:eastAsia="zh-CN"/>
              </w:rPr>
              <w:t>1051.2</w:t>
            </w:r>
          </w:p>
        </w:tc>
        <w:tc>
          <w:tcPr>
            <w:tcW w:w="1159" w:type="pct"/>
            <w:noWrap w:val="0"/>
            <w:tcMar>
              <w:top w:w="28" w:type="dxa"/>
              <w:left w:w="57" w:type="dxa"/>
              <w:bottom w:w="28" w:type="dxa"/>
              <w:right w:w="57" w:type="dxa"/>
            </w:tcMar>
            <w:vAlign w:val="center"/>
          </w:tcPr>
          <w:p w14:paraId="6FC36341">
            <w:pPr>
              <w:pStyle w:val="19"/>
              <w:bidi w:val="0"/>
              <w:jc w:val="center"/>
            </w:pPr>
            <w:r>
              <w:t>污染物浓度</w:t>
            </w:r>
          </w:p>
        </w:tc>
        <w:tc>
          <w:tcPr>
            <w:tcW w:w="502" w:type="pct"/>
            <w:noWrap w:val="0"/>
            <w:tcMar>
              <w:top w:w="28" w:type="dxa"/>
              <w:left w:w="57" w:type="dxa"/>
              <w:bottom w:w="28" w:type="dxa"/>
              <w:right w:w="57" w:type="dxa"/>
            </w:tcMar>
            <w:vAlign w:val="center"/>
          </w:tcPr>
          <w:p w14:paraId="6407B65E">
            <w:pPr>
              <w:pStyle w:val="19"/>
              <w:bidi w:val="0"/>
              <w:jc w:val="center"/>
              <w:rPr>
                <w:rFonts w:hint="default" w:eastAsia="宋体"/>
                <w:lang w:val="en-US" w:eastAsia="zh-CN"/>
              </w:rPr>
            </w:pPr>
            <w:r>
              <w:rPr>
                <w:rFonts w:hint="eastAsia"/>
                <w:lang w:val="en-US" w:eastAsia="zh-CN"/>
              </w:rPr>
              <w:t>280</w:t>
            </w:r>
          </w:p>
        </w:tc>
        <w:tc>
          <w:tcPr>
            <w:tcW w:w="502" w:type="pct"/>
            <w:noWrap w:val="0"/>
            <w:tcMar>
              <w:top w:w="28" w:type="dxa"/>
              <w:left w:w="57" w:type="dxa"/>
              <w:bottom w:w="28" w:type="dxa"/>
              <w:right w:w="57" w:type="dxa"/>
            </w:tcMar>
            <w:vAlign w:val="center"/>
          </w:tcPr>
          <w:p w14:paraId="636AFCE6">
            <w:pPr>
              <w:pStyle w:val="19"/>
              <w:bidi w:val="0"/>
              <w:jc w:val="center"/>
              <w:rPr>
                <w:rFonts w:hint="default" w:eastAsia="宋体"/>
                <w:lang w:val="en-US" w:eastAsia="zh-CN"/>
              </w:rPr>
            </w:pPr>
            <w:r>
              <w:rPr>
                <w:rFonts w:hint="eastAsia"/>
                <w:lang w:val="en-US" w:eastAsia="zh-CN"/>
              </w:rPr>
              <w:t>160</w:t>
            </w:r>
          </w:p>
        </w:tc>
        <w:tc>
          <w:tcPr>
            <w:tcW w:w="502" w:type="pct"/>
            <w:noWrap w:val="0"/>
            <w:tcMar>
              <w:top w:w="28" w:type="dxa"/>
              <w:left w:w="57" w:type="dxa"/>
              <w:bottom w:w="28" w:type="dxa"/>
              <w:right w:w="57" w:type="dxa"/>
            </w:tcMar>
            <w:vAlign w:val="center"/>
          </w:tcPr>
          <w:p w14:paraId="015AAA9F">
            <w:pPr>
              <w:pStyle w:val="19"/>
              <w:bidi w:val="0"/>
              <w:jc w:val="center"/>
              <w:rPr>
                <w:rFonts w:hint="default" w:eastAsia="宋体"/>
                <w:lang w:val="en-US" w:eastAsia="zh-CN"/>
              </w:rPr>
            </w:pPr>
            <w:r>
              <w:rPr>
                <w:rFonts w:hint="eastAsia"/>
                <w:lang w:val="en-US" w:eastAsia="zh-CN"/>
              </w:rPr>
              <w:t>200</w:t>
            </w:r>
          </w:p>
        </w:tc>
        <w:tc>
          <w:tcPr>
            <w:tcW w:w="502" w:type="pct"/>
            <w:noWrap w:val="0"/>
            <w:tcMar>
              <w:top w:w="28" w:type="dxa"/>
              <w:left w:w="57" w:type="dxa"/>
              <w:bottom w:w="28" w:type="dxa"/>
              <w:right w:w="57" w:type="dxa"/>
            </w:tcMar>
            <w:vAlign w:val="center"/>
          </w:tcPr>
          <w:p w14:paraId="66B35B2E">
            <w:pPr>
              <w:pStyle w:val="19"/>
              <w:bidi w:val="0"/>
              <w:jc w:val="center"/>
              <w:rPr>
                <w:rFonts w:hint="default" w:eastAsia="宋体"/>
                <w:lang w:val="en-US" w:eastAsia="zh-CN"/>
              </w:rPr>
            </w:pPr>
            <w:r>
              <w:rPr>
                <w:rFonts w:hint="eastAsia"/>
                <w:lang w:val="en-US" w:eastAsia="zh-CN"/>
              </w:rPr>
              <w:t>30</w:t>
            </w:r>
          </w:p>
        </w:tc>
      </w:tr>
      <w:tr w14:paraId="74AA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continue"/>
            <w:noWrap w:val="0"/>
            <w:tcMar>
              <w:top w:w="28" w:type="dxa"/>
              <w:left w:w="57" w:type="dxa"/>
              <w:bottom w:w="28" w:type="dxa"/>
              <w:right w:w="57" w:type="dxa"/>
            </w:tcMar>
            <w:vAlign w:val="center"/>
          </w:tcPr>
          <w:p w14:paraId="3A0D305D">
            <w:pPr>
              <w:pStyle w:val="19"/>
              <w:bidi w:val="0"/>
              <w:jc w:val="center"/>
            </w:pPr>
          </w:p>
        </w:tc>
        <w:tc>
          <w:tcPr>
            <w:tcW w:w="763" w:type="pct"/>
            <w:vMerge w:val="continue"/>
            <w:noWrap w:val="0"/>
            <w:tcMar>
              <w:top w:w="28" w:type="dxa"/>
              <w:left w:w="57" w:type="dxa"/>
              <w:bottom w:w="28" w:type="dxa"/>
              <w:right w:w="57" w:type="dxa"/>
            </w:tcMar>
            <w:vAlign w:val="center"/>
          </w:tcPr>
          <w:p w14:paraId="17A69886">
            <w:pPr>
              <w:pStyle w:val="19"/>
              <w:bidi w:val="0"/>
              <w:jc w:val="center"/>
            </w:pPr>
          </w:p>
        </w:tc>
        <w:tc>
          <w:tcPr>
            <w:tcW w:w="678" w:type="pct"/>
            <w:vMerge w:val="continue"/>
            <w:noWrap w:val="0"/>
            <w:tcMar>
              <w:top w:w="28" w:type="dxa"/>
              <w:left w:w="57" w:type="dxa"/>
              <w:bottom w:w="28" w:type="dxa"/>
              <w:right w:w="57" w:type="dxa"/>
            </w:tcMar>
            <w:vAlign w:val="center"/>
          </w:tcPr>
          <w:p w14:paraId="366A5F04">
            <w:pPr>
              <w:pStyle w:val="19"/>
              <w:bidi w:val="0"/>
              <w:jc w:val="center"/>
            </w:pPr>
          </w:p>
        </w:tc>
        <w:tc>
          <w:tcPr>
            <w:tcW w:w="1159" w:type="pct"/>
            <w:noWrap w:val="0"/>
            <w:tcMar>
              <w:top w:w="28" w:type="dxa"/>
              <w:left w:w="57" w:type="dxa"/>
              <w:bottom w:w="28" w:type="dxa"/>
              <w:right w:w="57" w:type="dxa"/>
            </w:tcMar>
            <w:vAlign w:val="center"/>
          </w:tcPr>
          <w:p w14:paraId="60E4D153">
            <w:pPr>
              <w:pStyle w:val="19"/>
              <w:bidi w:val="0"/>
              <w:jc w:val="center"/>
            </w:pPr>
            <w:r>
              <w:t>产生量</w:t>
            </w:r>
          </w:p>
        </w:tc>
        <w:tc>
          <w:tcPr>
            <w:tcW w:w="502" w:type="pct"/>
            <w:noWrap w:val="0"/>
            <w:tcMar>
              <w:top w:w="28" w:type="dxa"/>
              <w:left w:w="57" w:type="dxa"/>
              <w:bottom w:w="28" w:type="dxa"/>
              <w:right w:w="57" w:type="dxa"/>
            </w:tcMar>
            <w:vAlign w:val="center"/>
          </w:tcPr>
          <w:p w14:paraId="3993AB65">
            <w:pPr>
              <w:pStyle w:val="19"/>
              <w:bidi w:val="0"/>
              <w:jc w:val="center"/>
              <w:rPr>
                <w:rFonts w:hint="default" w:eastAsia="宋体"/>
                <w:lang w:val="en-US" w:eastAsia="zh-CN"/>
              </w:rPr>
            </w:pPr>
            <w:r>
              <w:rPr>
                <w:rFonts w:hint="eastAsia"/>
                <w:lang w:val="en-US" w:eastAsia="zh-CN"/>
              </w:rPr>
              <w:t>0.29</w:t>
            </w:r>
          </w:p>
        </w:tc>
        <w:tc>
          <w:tcPr>
            <w:tcW w:w="502" w:type="pct"/>
            <w:noWrap w:val="0"/>
            <w:tcMar>
              <w:top w:w="28" w:type="dxa"/>
              <w:left w:w="57" w:type="dxa"/>
              <w:bottom w:w="28" w:type="dxa"/>
              <w:right w:w="57" w:type="dxa"/>
            </w:tcMar>
            <w:vAlign w:val="center"/>
          </w:tcPr>
          <w:p w14:paraId="64FFF9D3">
            <w:pPr>
              <w:pStyle w:val="19"/>
              <w:bidi w:val="0"/>
              <w:jc w:val="center"/>
              <w:rPr>
                <w:rFonts w:hint="default" w:eastAsia="宋体"/>
                <w:lang w:val="en-US" w:eastAsia="zh-CN"/>
              </w:rPr>
            </w:pPr>
            <w:r>
              <w:rPr>
                <w:rFonts w:hint="eastAsia"/>
                <w:lang w:val="en-US" w:eastAsia="zh-CN"/>
              </w:rPr>
              <w:t>0.17</w:t>
            </w:r>
          </w:p>
        </w:tc>
        <w:tc>
          <w:tcPr>
            <w:tcW w:w="502" w:type="pct"/>
            <w:noWrap w:val="0"/>
            <w:tcMar>
              <w:top w:w="28" w:type="dxa"/>
              <w:left w:w="57" w:type="dxa"/>
              <w:bottom w:w="28" w:type="dxa"/>
              <w:right w:w="57" w:type="dxa"/>
            </w:tcMar>
            <w:vAlign w:val="center"/>
          </w:tcPr>
          <w:p w14:paraId="7761D5DF">
            <w:pPr>
              <w:pStyle w:val="19"/>
              <w:bidi w:val="0"/>
              <w:jc w:val="center"/>
              <w:rPr>
                <w:rFonts w:hint="default" w:eastAsia="宋体"/>
                <w:lang w:val="en-US" w:eastAsia="zh-CN"/>
              </w:rPr>
            </w:pPr>
            <w:r>
              <w:rPr>
                <w:rFonts w:hint="eastAsia"/>
                <w:lang w:val="en-US" w:eastAsia="zh-CN"/>
              </w:rPr>
              <w:t>0.21</w:t>
            </w:r>
          </w:p>
        </w:tc>
        <w:tc>
          <w:tcPr>
            <w:tcW w:w="502" w:type="pct"/>
            <w:noWrap w:val="0"/>
            <w:tcMar>
              <w:top w:w="28" w:type="dxa"/>
              <w:left w:w="57" w:type="dxa"/>
              <w:bottom w:w="28" w:type="dxa"/>
              <w:right w:w="57" w:type="dxa"/>
            </w:tcMar>
            <w:vAlign w:val="center"/>
          </w:tcPr>
          <w:p w14:paraId="52C93552">
            <w:pPr>
              <w:pStyle w:val="19"/>
              <w:bidi w:val="0"/>
              <w:jc w:val="center"/>
              <w:rPr>
                <w:rFonts w:hint="default" w:eastAsia="宋体"/>
                <w:lang w:val="en-US" w:eastAsia="zh-CN"/>
              </w:rPr>
            </w:pPr>
            <w:r>
              <w:rPr>
                <w:rFonts w:hint="eastAsia"/>
                <w:lang w:val="en-US" w:eastAsia="zh-CN"/>
              </w:rPr>
              <w:t>0.03</w:t>
            </w:r>
          </w:p>
        </w:tc>
      </w:tr>
      <w:tr w14:paraId="5986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restart"/>
            <w:noWrap w:val="0"/>
            <w:tcMar>
              <w:top w:w="28" w:type="dxa"/>
              <w:left w:w="57" w:type="dxa"/>
              <w:bottom w:w="28" w:type="dxa"/>
              <w:right w:w="57" w:type="dxa"/>
            </w:tcMar>
            <w:vAlign w:val="center"/>
          </w:tcPr>
          <w:p w14:paraId="043B7149">
            <w:pPr>
              <w:pStyle w:val="19"/>
              <w:bidi w:val="0"/>
              <w:jc w:val="center"/>
              <w:rPr>
                <w:rFonts w:hint="eastAsia" w:eastAsia="宋体"/>
                <w:lang w:val="en-US" w:eastAsia="zh-CN"/>
              </w:rPr>
            </w:pPr>
            <w:r>
              <w:rPr>
                <w:rFonts w:hint="eastAsia"/>
                <w:lang w:val="en-US" w:eastAsia="zh-CN"/>
              </w:rPr>
              <w:t>2</w:t>
            </w:r>
          </w:p>
        </w:tc>
        <w:tc>
          <w:tcPr>
            <w:tcW w:w="763" w:type="pct"/>
            <w:vMerge w:val="restart"/>
            <w:noWrap w:val="0"/>
            <w:tcMar>
              <w:top w:w="28" w:type="dxa"/>
              <w:left w:w="57" w:type="dxa"/>
              <w:bottom w:w="28" w:type="dxa"/>
              <w:right w:w="57" w:type="dxa"/>
            </w:tcMar>
            <w:vAlign w:val="center"/>
          </w:tcPr>
          <w:p w14:paraId="104D4972">
            <w:pPr>
              <w:pStyle w:val="19"/>
              <w:bidi w:val="0"/>
              <w:jc w:val="center"/>
              <w:rPr>
                <w:rFonts w:hint="default" w:eastAsia="宋体"/>
                <w:lang w:val="en-US" w:eastAsia="zh-CN"/>
              </w:rPr>
            </w:pPr>
            <w:r>
              <w:rPr>
                <w:rFonts w:hint="eastAsia"/>
                <w:lang w:val="en-US" w:eastAsia="zh-CN"/>
              </w:rPr>
              <w:t>养殖废水</w:t>
            </w:r>
          </w:p>
        </w:tc>
        <w:tc>
          <w:tcPr>
            <w:tcW w:w="678" w:type="pct"/>
            <w:vMerge w:val="restart"/>
            <w:noWrap w:val="0"/>
            <w:tcMar>
              <w:top w:w="28" w:type="dxa"/>
              <w:left w:w="57" w:type="dxa"/>
              <w:bottom w:w="28" w:type="dxa"/>
              <w:right w:w="57" w:type="dxa"/>
            </w:tcMar>
            <w:vAlign w:val="center"/>
          </w:tcPr>
          <w:p w14:paraId="2CFC5E3C">
            <w:pPr>
              <w:pStyle w:val="19"/>
              <w:bidi w:val="0"/>
              <w:jc w:val="center"/>
              <w:rPr>
                <w:rFonts w:hint="default" w:eastAsia="宋体"/>
                <w:lang w:val="en-US" w:eastAsia="zh-CN"/>
              </w:rPr>
            </w:pPr>
            <w:r>
              <w:rPr>
                <w:rFonts w:hint="eastAsia"/>
                <w:lang w:val="en-US" w:eastAsia="zh-CN"/>
              </w:rPr>
              <w:t>61371.96</w:t>
            </w:r>
          </w:p>
        </w:tc>
        <w:tc>
          <w:tcPr>
            <w:tcW w:w="1159" w:type="pct"/>
            <w:noWrap w:val="0"/>
            <w:tcMar>
              <w:top w:w="28" w:type="dxa"/>
              <w:left w:w="57" w:type="dxa"/>
              <w:bottom w:w="28" w:type="dxa"/>
              <w:right w:w="57" w:type="dxa"/>
            </w:tcMar>
            <w:vAlign w:val="center"/>
          </w:tcPr>
          <w:p w14:paraId="4E540FAF">
            <w:pPr>
              <w:pStyle w:val="19"/>
              <w:bidi w:val="0"/>
              <w:jc w:val="center"/>
            </w:pPr>
            <w:r>
              <w:t>污染物浓度</w:t>
            </w:r>
          </w:p>
        </w:tc>
        <w:tc>
          <w:tcPr>
            <w:tcW w:w="502" w:type="pct"/>
            <w:noWrap w:val="0"/>
            <w:tcMar>
              <w:top w:w="28" w:type="dxa"/>
              <w:left w:w="57" w:type="dxa"/>
              <w:bottom w:w="28" w:type="dxa"/>
              <w:right w:w="57" w:type="dxa"/>
            </w:tcMar>
            <w:vAlign w:val="center"/>
          </w:tcPr>
          <w:p w14:paraId="5AD7D822">
            <w:pPr>
              <w:pStyle w:val="19"/>
              <w:bidi w:val="0"/>
              <w:jc w:val="center"/>
              <w:rPr>
                <w:rFonts w:hint="default" w:eastAsia="宋体"/>
                <w:lang w:val="en-US" w:eastAsia="zh-CN"/>
              </w:rPr>
            </w:pPr>
            <w:r>
              <w:rPr>
                <w:rFonts w:hint="eastAsia"/>
                <w:lang w:val="en-US" w:eastAsia="zh-CN"/>
              </w:rPr>
              <w:t>2640</w:t>
            </w:r>
          </w:p>
        </w:tc>
        <w:tc>
          <w:tcPr>
            <w:tcW w:w="502" w:type="pct"/>
            <w:noWrap w:val="0"/>
            <w:tcMar>
              <w:top w:w="28" w:type="dxa"/>
              <w:left w:w="57" w:type="dxa"/>
              <w:bottom w:w="28" w:type="dxa"/>
              <w:right w:w="57" w:type="dxa"/>
            </w:tcMar>
            <w:vAlign w:val="center"/>
          </w:tcPr>
          <w:p w14:paraId="34D5FCA8">
            <w:pPr>
              <w:pStyle w:val="19"/>
              <w:bidi w:val="0"/>
              <w:jc w:val="center"/>
              <w:rPr>
                <w:rFonts w:hint="default" w:eastAsia="宋体"/>
                <w:lang w:val="en-US" w:eastAsia="zh-CN"/>
              </w:rPr>
            </w:pPr>
            <w:r>
              <w:rPr>
                <w:rFonts w:hint="eastAsia"/>
                <w:lang w:val="en-US" w:eastAsia="zh-CN"/>
              </w:rPr>
              <w:t>800</w:t>
            </w:r>
          </w:p>
        </w:tc>
        <w:tc>
          <w:tcPr>
            <w:tcW w:w="502" w:type="pct"/>
            <w:noWrap w:val="0"/>
            <w:tcMar>
              <w:top w:w="28" w:type="dxa"/>
              <w:left w:w="57" w:type="dxa"/>
              <w:bottom w:w="28" w:type="dxa"/>
              <w:right w:w="57" w:type="dxa"/>
            </w:tcMar>
            <w:vAlign w:val="center"/>
          </w:tcPr>
          <w:p w14:paraId="477FDADC">
            <w:pPr>
              <w:pStyle w:val="19"/>
              <w:bidi w:val="0"/>
              <w:jc w:val="center"/>
              <w:rPr>
                <w:rFonts w:hint="default" w:eastAsia="宋体"/>
                <w:lang w:val="en-US" w:eastAsia="zh-CN"/>
              </w:rPr>
            </w:pPr>
            <w:r>
              <w:rPr>
                <w:rFonts w:hint="eastAsia"/>
                <w:lang w:val="en-US" w:eastAsia="zh-CN"/>
              </w:rPr>
              <w:t>800</w:t>
            </w:r>
          </w:p>
        </w:tc>
        <w:tc>
          <w:tcPr>
            <w:tcW w:w="502" w:type="pct"/>
            <w:noWrap w:val="0"/>
            <w:tcMar>
              <w:top w:w="28" w:type="dxa"/>
              <w:left w:w="57" w:type="dxa"/>
              <w:bottom w:w="28" w:type="dxa"/>
              <w:right w:w="57" w:type="dxa"/>
            </w:tcMar>
            <w:vAlign w:val="center"/>
          </w:tcPr>
          <w:p w14:paraId="316CC566">
            <w:pPr>
              <w:pStyle w:val="19"/>
              <w:bidi w:val="0"/>
              <w:jc w:val="center"/>
              <w:rPr>
                <w:rFonts w:hint="default" w:eastAsia="宋体"/>
                <w:lang w:val="en-US" w:eastAsia="zh-CN"/>
              </w:rPr>
            </w:pPr>
            <w:r>
              <w:rPr>
                <w:rFonts w:hint="eastAsia"/>
                <w:lang w:val="en-US" w:eastAsia="zh-CN"/>
              </w:rPr>
              <w:t>261</w:t>
            </w:r>
          </w:p>
        </w:tc>
      </w:tr>
      <w:tr w14:paraId="64A3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continue"/>
            <w:noWrap w:val="0"/>
            <w:tcMar>
              <w:top w:w="28" w:type="dxa"/>
              <w:left w:w="57" w:type="dxa"/>
              <w:bottom w:w="28" w:type="dxa"/>
              <w:right w:w="57" w:type="dxa"/>
            </w:tcMar>
            <w:vAlign w:val="center"/>
          </w:tcPr>
          <w:p w14:paraId="4D65F5A2">
            <w:pPr>
              <w:pStyle w:val="19"/>
              <w:bidi w:val="0"/>
              <w:jc w:val="center"/>
            </w:pPr>
          </w:p>
        </w:tc>
        <w:tc>
          <w:tcPr>
            <w:tcW w:w="763" w:type="pct"/>
            <w:vMerge w:val="continue"/>
            <w:noWrap w:val="0"/>
            <w:tcMar>
              <w:top w:w="28" w:type="dxa"/>
              <w:left w:w="57" w:type="dxa"/>
              <w:bottom w:w="28" w:type="dxa"/>
              <w:right w:w="57" w:type="dxa"/>
            </w:tcMar>
            <w:vAlign w:val="center"/>
          </w:tcPr>
          <w:p w14:paraId="059857FB">
            <w:pPr>
              <w:pStyle w:val="19"/>
              <w:bidi w:val="0"/>
              <w:jc w:val="center"/>
            </w:pPr>
          </w:p>
        </w:tc>
        <w:tc>
          <w:tcPr>
            <w:tcW w:w="678" w:type="pct"/>
            <w:vMerge w:val="continue"/>
            <w:noWrap w:val="0"/>
            <w:tcMar>
              <w:top w:w="28" w:type="dxa"/>
              <w:left w:w="57" w:type="dxa"/>
              <w:bottom w:w="28" w:type="dxa"/>
              <w:right w:w="57" w:type="dxa"/>
            </w:tcMar>
            <w:vAlign w:val="center"/>
          </w:tcPr>
          <w:p w14:paraId="1A5A25DC">
            <w:pPr>
              <w:pStyle w:val="19"/>
              <w:bidi w:val="0"/>
              <w:jc w:val="center"/>
            </w:pPr>
          </w:p>
        </w:tc>
        <w:tc>
          <w:tcPr>
            <w:tcW w:w="1159" w:type="pct"/>
            <w:noWrap w:val="0"/>
            <w:tcMar>
              <w:top w:w="28" w:type="dxa"/>
              <w:left w:w="57" w:type="dxa"/>
              <w:bottom w:w="28" w:type="dxa"/>
              <w:right w:w="57" w:type="dxa"/>
            </w:tcMar>
            <w:vAlign w:val="center"/>
          </w:tcPr>
          <w:p w14:paraId="58C732AD">
            <w:pPr>
              <w:pStyle w:val="19"/>
              <w:bidi w:val="0"/>
              <w:jc w:val="center"/>
            </w:pPr>
            <w:r>
              <w:t>产生量</w:t>
            </w:r>
          </w:p>
        </w:tc>
        <w:tc>
          <w:tcPr>
            <w:tcW w:w="502" w:type="pct"/>
            <w:noWrap w:val="0"/>
            <w:tcMar>
              <w:top w:w="28" w:type="dxa"/>
              <w:left w:w="57" w:type="dxa"/>
              <w:bottom w:w="28" w:type="dxa"/>
              <w:right w:w="57" w:type="dxa"/>
            </w:tcMar>
            <w:vAlign w:val="center"/>
          </w:tcPr>
          <w:p w14:paraId="1604262F">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162.02</w:t>
            </w:r>
          </w:p>
        </w:tc>
        <w:tc>
          <w:tcPr>
            <w:tcW w:w="502" w:type="pct"/>
            <w:noWrap w:val="0"/>
            <w:tcMar>
              <w:top w:w="28" w:type="dxa"/>
              <w:left w:w="57" w:type="dxa"/>
              <w:bottom w:w="28" w:type="dxa"/>
              <w:right w:w="57" w:type="dxa"/>
            </w:tcMar>
            <w:vAlign w:val="center"/>
          </w:tcPr>
          <w:p w14:paraId="014DA210">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49.10</w:t>
            </w:r>
          </w:p>
        </w:tc>
        <w:tc>
          <w:tcPr>
            <w:tcW w:w="502" w:type="pct"/>
            <w:noWrap w:val="0"/>
            <w:tcMar>
              <w:top w:w="28" w:type="dxa"/>
              <w:left w:w="57" w:type="dxa"/>
              <w:bottom w:w="28" w:type="dxa"/>
              <w:right w:w="57" w:type="dxa"/>
            </w:tcMar>
            <w:vAlign w:val="center"/>
          </w:tcPr>
          <w:p w14:paraId="1CC20946">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49.10</w:t>
            </w:r>
          </w:p>
        </w:tc>
        <w:tc>
          <w:tcPr>
            <w:tcW w:w="502" w:type="pct"/>
            <w:noWrap w:val="0"/>
            <w:tcMar>
              <w:top w:w="28" w:type="dxa"/>
              <w:left w:w="57" w:type="dxa"/>
              <w:bottom w:w="28" w:type="dxa"/>
              <w:right w:w="57" w:type="dxa"/>
            </w:tcMar>
            <w:vAlign w:val="center"/>
          </w:tcPr>
          <w:p w14:paraId="7A3D59B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16.02</w:t>
            </w:r>
          </w:p>
        </w:tc>
      </w:tr>
      <w:tr w14:paraId="6BC7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restart"/>
            <w:noWrap w:val="0"/>
            <w:tcMar>
              <w:top w:w="28" w:type="dxa"/>
              <w:left w:w="57" w:type="dxa"/>
              <w:bottom w:w="28" w:type="dxa"/>
              <w:right w:w="57" w:type="dxa"/>
            </w:tcMar>
            <w:vAlign w:val="center"/>
          </w:tcPr>
          <w:p w14:paraId="2C56993E">
            <w:pPr>
              <w:pStyle w:val="19"/>
              <w:bidi w:val="0"/>
              <w:jc w:val="center"/>
              <w:rPr>
                <w:rFonts w:hint="eastAsia" w:eastAsia="宋体"/>
                <w:lang w:val="en-US" w:eastAsia="zh-CN"/>
              </w:rPr>
            </w:pPr>
            <w:r>
              <w:rPr>
                <w:rFonts w:hint="eastAsia"/>
                <w:lang w:val="en-US" w:eastAsia="zh-CN"/>
              </w:rPr>
              <w:t>3</w:t>
            </w:r>
          </w:p>
        </w:tc>
        <w:tc>
          <w:tcPr>
            <w:tcW w:w="763" w:type="pct"/>
            <w:vMerge w:val="restart"/>
            <w:noWrap w:val="0"/>
            <w:tcMar>
              <w:top w:w="28" w:type="dxa"/>
              <w:left w:w="57" w:type="dxa"/>
              <w:bottom w:w="28" w:type="dxa"/>
              <w:right w:w="57" w:type="dxa"/>
            </w:tcMar>
            <w:vAlign w:val="center"/>
          </w:tcPr>
          <w:p w14:paraId="585416F8">
            <w:pPr>
              <w:pStyle w:val="19"/>
              <w:bidi w:val="0"/>
              <w:jc w:val="center"/>
              <w:rPr>
                <w:rFonts w:hint="default" w:eastAsia="宋体"/>
                <w:lang w:val="en-US" w:eastAsia="zh-CN"/>
              </w:rPr>
            </w:pPr>
            <w:r>
              <w:rPr>
                <w:rFonts w:hint="eastAsia"/>
                <w:lang w:val="en-US" w:eastAsia="zh-CN"/>
              </w:rPr>
              <w:t>生物质锅炉排污水</w:t>
            </w:r>
          </w:p>
        </w:tc>
        <w:tc>
          <w:tcPr>
            <w:tcW w:w="678" w:type="pct"/>
            <w:vMerge w:val="restart"/>
            <w:noWrap w:val="0"/>
            <w:tcMar>
              <w:top w:w="28" w:type="dxa"/>
              <w:left w:w="57" w:type="dxa"/>
              <w:bottom w:w="28" w:type="dxa"/>
              <w:right w:w="57" w:type="dxa"/>
            </w:tcMar>
            <w:vAlign w:val="center"/>
          </w:tcPr>
          <w:p w14:paraId="01EE462D">
            <w:pPr>
              <w:pStyle w:val="19"/>
              <w:bidi w:val="0"/>
              <w:jc w:val="center"/>
              <w:rPr>
                <w:rFonts w:hint="default" w:eastAsia="宋体"/>
                <w:lang w:val="en-US" w:eastAsia="zh-CN"/>
              </w:rPr>
            </w:pPr>
            <w:r>
              <w:rPr>
                <w:rFonts w:hint="eastAsia"/>
                <w:lang w:val="en-US" w:eastAsia="zh-CN"/>
              </w:rPr>
              <w:t>2029.2</w:t>
            </w:r>
          </w:p>
        </w:tc>
        <w:tc>
          <w:tcPr>
            <w:tcW w:w="1159" w:type="pct"/>
            <w:noWrap w:val="0"/>
            <w:tcMar>
              <w:top w:w="28" w:type="dxa"/>
              <w:left w:w="57" w:type="dxa"/>
              <w:bottom w:w="28" w:type="dxa"/>
              <w:right w:w="57" w:type="dxa"/>
            </w:tcMar>
            <w:vAlign w:val="center"/>
          </w:tcPr>
          <w:p w14:paraId="10851EE6">
            <w:pPr>
              <w:pStyle w:val="19"/>
              <w:bidi w:val="0"/>
              <w:ind w:firstLine="0" w:firstLineChars="0"/>
              <w:jc w:val="center"/>
              <w:rPr>
                <w:rFonts w:ascii="Times New Roman" w:hAnsi="Times New Roman" w:eastAsia="宋体" w:cs="Times New Roman"/>
                <w:kern w:val="2"/>
                <w:sz w:val="21"/>
                <w:szCs w:val="22"/>
                <w:lang w:val="en-US" w:eastAsia="zh-CN" w:bidi="ar-SA"/>
              </w:rPr>
            </w:pPr>
            <w:r>
              <w:t>污染物浓度</w:t>
            </w:r>
          </w:p>
        </w:tc>
        <w:tc>
          <w:tcPr>
            <w:tcW w:w="502" w:type="pct"/>
            <w:noWrap w:val="0"/>
            <w:tcMar>
              <w:top w:w="28" w:type="dxa"/>
              <w:left w:w="57" w:type="dxa"/>
              <w:bottom w:w="28" w:type="dxa"/>
              <w:right w:w="57" w:type="dxa"/>
            </w:tcMar>
            <w:vAlign w:val="center"/>
          </w:tcPr>
          <w:p w14:paraId="3D16878F">
            <w:pPr>
              <w:pStyle w:val="19"/>
              <w:bidi w:val="0"/>
              <w:jc w:val="center"/>
              <w:rPr>
                <w:rFonts w:hint="default" w:eastAsia="宋体"/>
                <w:lang w:val="en-US" w:eastAsia="zh-CN"/>
              </w:rPr>
            </w:pPr>
            <w:r>
              <w:rPr>
                <w:rFonts w:hint="eastAsia" w:eastAsia="宋体"/>
                <w:lang w:val="en-US" w:eastAsia="zh-CN"/>
              </w:rPr>
              <w:t>84.27</w:t>
            </w:r>
          </w:p>
        </w:tc>
        <w:tc>
          <w:tcPr>
            <w:tcW w:w="502" w:type="pct"/>
            <w:noWrap w:val="0"/>
            <w:tcMar>
              <w:top w:w="28" w:type="dxa"/>
              <w:left w:w="57" w:type="dxa"/>
              <w:bottom w:w="28" w:type="dxa"/>
              <w:right w:w="57" w:type="dxa"/>
            </w:tcMar>
            <w:vAlign w:val="center"/>
          </w:tcPr>
          <w:p w14:paraId="25BEE6F2">
            <w:pPr>
              <w:pStyle w:val="19"/>
              <w:bidi w:val="0"/>
              <w:jc w:val="center"/>
              <w:rPr>
                <w:rFonts w:hint="eastAsia" w:eastAsia="宋体"/>
                <w:lang w:val="en-US" w:eastAsia="zh-CN"/>
              </w:rPr>
            </w:pPr>
            <w:r>
              <w:rPr>
                <w:rFonts w:hint="eastAsia"/>
                <w:lang w:val="en-US" w:eastAsia="zh-CN"/>
              </w:rPr>
              <w:t>/</w:t>
            </w:r>
          </w:p>
        </w:tc>
        <w:tc>
          <w:tcPr>
            <w:tcW w:w="502" w:type="pct"/>
            <w:noWrap w:val="0"/>
            <w:tcMar>
              <w:top w:w="28" w:type="dxa"/>
              <w:left w:w="57" w:type="dxa"/>
              <w:bottom w:w="28" w:type="dxa"/>
              <w:right w:w="57" w:type="dxa"/>
            </w:tcMar>
            <w:vAlign w:val="center"/>
          </w:tcPr>
          <w:p w14:paraId="3E8DAA18">
            <w:pPr>
              <w:pStyle w:val="19"/>
              <w:bidi w:val="0"/>
              <w:jc w:val="center"/>
              <w:rPr>
                <w:rFonts w:hint="eastAsia" w:eastAsia="宋体"/>
                <w:lang w:val="en-US" w:eastAsia="zh-CN"/>
              </w:rPr>
            </w:pPr>
            <w:r>
              <w:rPr>
                <w:rFonts w:hint="eastAsia"/>
                <w:lang w:val="en-US" w:eastAsia="zh-CN"/>
              </w:rPr>
              <w:t>/</w:t>
            </w:r>
          </w:p>
        </w:tc>
        <w:tc>
          <w:tcPr>
            <w:tcW w:w="502" w:type="pct"/>
            <w:noWrap w:val="0"/>
            <w:tcMar>
              <w:top w:w="28" w:type="dxa"/>
              <w:left w:w="57" w:type="dxa"/>
              <w:bottom w:w="28" w:type="dxa"/>
              <w:right w:w="57" w:type="dxa"/>
            </w:tcMar>
            <w:vAlign w:val="center"/>
          </w:tcPr>
          <w:p w14:paraId="7AD83901">
            <w:pPr>
              <w:pStyle w:val="19"/>
              <w:bidi w:val="0"/>
              <w:jc w:val="center"/>
              <w:rPr>
                <w:rFonts w:hint="eastAsia" w:eastAsia="宋体"/>
                <w:lang w:val="en-US" w:eastAsia="zh-CN"/>
              </w:rPr>
            </w:pPr>
            <w:r>
              <w:rPr>
                <w:rFonts w:hint="eastAsia"/>
                <w:lang w:val="en-US" w:eastAsia="zh-CN"/>
              </w:rPr>
              <w:t>/</w:t>
            </w:r>
          </w:p>
        </w:tc>
      </w:tr>
      <w:tr w14:paraId="6512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9" w:type="pct"/>
            <w:vMerge w:val="continue"/>
            <w:noWrap w:val="0"/>
            <w:tcMar>
              <w:top w:w="28" w:type="dxa"/>
              <w:left w:w="57" w:type="dxa"/>
              <w:bottom w:w="28" w:type="dxa"/>
              <w:right w:w="57" w:type="dxa"/>
            </w:tcMar>
            <w:vAlign w:val="center"/>
          </w:tcPr>
          <w:p w14:paraId="2485BD8D">
            <w:pPr>
              <w:pStyle w:val="19"/>
              <w:bidi w:val="0"/>
              <w:jc w:val="center"/>
            </w:pPr>
          </w:p>
        </w:tc>
        <w:tc>
          <w:tcPr>
            <w:tcW w:w="763" w:type="pct"/>
            <w:vMerge w:val="continue"/>
            <w:noWrap w:val="0"/>
            <w:tcMar>
              <w:top w:w="28" w:type="dxa"/>
              <w:left w:w="57" w:type="dxa"/>
              <w:bottom w:w="28" w:type="dxa"/>
              <w:right w:w="57" w:type="dxa"/>
            </w:tcMar>
            <w:vAlign w:val="center"/>
          </w:tcPr>
          <w:p w14:paraId="5E795C74">
            <w:pPr>
              <w:pStyle w:val="19"/>
              <w:bidi w:val="0"/>
              <w:jc w:val="center"/>
            </w:pPr>
          </w:p>
        </w:tc>
        <w:tc>
          <w:tcPr>
            <w:tcW w:w="678" w:type="pct"/>
            <w:vMerge w:val="continue"/>
            <w:noWrap w:val="0"/>
            <w:tcMar>
              <w:top w:w="28" w:type="dxa"/>
              <w:left w:w="57" w:type="dxa"/>
              <w:bottom w:w="28" w:type="dxa"/>
              <w:right w:w="57" w:type="dxa"/>
            </w:tcMar>
            <w:vAlign w:val="center"/>
          </w:tcPr>
          <w:p w14:paraId="1AF72D5C">
            <w:pPr>
              <w:pStyle w:val="19"/>
              <w:bidi w:val="0"/>
              <w:jc w:val="center"/>
            </w:pPr>
          </w:p>
        </w:tc>
        <w:tc>
          <w:tcPr>
            <w:tcW w:w="1159" w:type="pct"/>
            <w:noWrap w:val="0"/>
            <w:tcMar>
              <w:top w:w="28" w:type="dxa"/>
              <w:left w:w="57" w:type="dxa"/>
              <w:bottom w:w="28" w:type="dxa"/>
              <w:right w:w="57" w:type="dxa"/>
            </w:tcMar>
            <w:vAlign w:val="center"/>
          </w:tcPr>
          <w:p w14:paraId="2A5744BD">
            <w:pPr>
              <w:pStyle w:val="19"/>
              <w:bidi w:val="0"/>
              <w:ind w:firstLine="0" w:firstLineChars="0"/>
              <w:jc w:val="center"/>
              <w:rPr>
                <w:rFonts w:ascii="Times New Roman" w:hAnsi="Times New Roman" w:eastAsia="宋体" w:cs="Times New Roman"/>
                <w:kern w:val="2"/>
                <w:sz w:val="21"/>
                <w:szCs w:val="22"/>
                <w:lang w:val="en-US" w:eastAsia="zh-CN" w:bidi="ar-SA"/>
              </w:rPr>
            </w:pPr>
            <w:r>
              <w:t>产生量</w:t>
            </w:r>
          </w:p>
        </w:tc>
        <w:tc>
          <w:tcPr>
            <w:tcW w:w="502" w:type="pct"/>
            <w:noWrap w:val="0"/>
            <w:tcMar>
              <w:top w:w="28" w:type="dxa"/>
              <w:left w:w="57" w:type="dxa"/>
              <w:bottom w:w="28" w:type="dxa"/>
              <w:right w:w="57" w:type="dxa"/>
            </w:tcMar>
            <w:vAlign w:val="center"/>
          </w:tcPr>
          <w:p w14:paraId="70BCC747">
            <w:pPr>
              <w:pStyle w:val="19"/>
              <w:bidi w:val="0"/>
              <w:jc w:val="center"/>
              <w:rPr>
                <w:rFonts w:hint="default" w:eastAsia="宋体"/>
                <w:lang w:val="en-US" w:eastAsia="zh-CN"/>
              </w:rPr>
            </w:pPr>
            <w:r>
              <w:rPr>
                <w:rFonts w:hint="eastAsia"/>
                <w:lang w:val="en-US" w:eastAsia="zh-CN"/>
              </w:rPr>
              <w:t>0.171</w:t>
            </w:r>
          </w:p>
        </w:tc>
        <w:tc>
          <w:tcPr>
            <w:tcW w:w="502" w:type="pct"/>
            <w:noWrap w:val="0"/>
            <w:tcMar>
              <w:top w:w="28" w:type="dxa"/>
              <w:left w:w="57" w:type="dxa"/>
              <w:bottom w:w="28" w:type="dxa"/>
              <w:right w:w="57" w:type="dxa"/>
            </w:tcMar>
            <w:vAlign w:val="center"/>
          </w:tcPr>
          <w:p w14:paraId="763A0132">
            <w:pPr>
              <w:pStyle w:val="19"/>
              <w:bidi w:val="0"/>
              <w:jc w:val="center"/>
              <w:rPr>
                <w:rFonts w:hint="eastAsia" w:eastAsia="宋体"/>
                <w:lang w:val="en-US" w:eastAsia="zh-CN"/>
              </w:rPr>
            </w:pPr>
            <w:r>
              <w:rPr>
                <w:rFonts w:hint="eastAsia"/>
                <w:lang w:val="en-US" w:eastAsia="zh-CN"/>
              </w:rPr>
              <w:t>/</w:t>
            </w:r>
          </w:p>
        </w:tc>
        <w:tc>
          <w:tcPr>
            <w:tcW w:w="502" w:type="pct"/>
            <w:noWrap w:val="0"/>
            <w:tcMar>
              <w:top w:w="28" w:type="dxa"/>
              <w:left w:w="57" w:type="dxa"/>
              <w:bottom w:w="28" w:type="dxa"/>
              <w:right w:w="57" w:type="dxa"/>
            </w:tcMar>
            <w:vAlign w:val="center"/>
          </w:tcPr>
          <w:p w14:paraId="1BB460EC">
            <w:pPr>
              <w:pStyle w:val="19"/>
              <w:bidi w:val="0"/>
              <w:jc w:val="center"/>
              <w:rPr>
                <w:rFonts w:hint="eastAsia" w:eastAsia="宋体"/>
                <w:lang w:val="en-US" w:eastAsia="zh-CN"/>
              </w:rPr>
            </w:pPr>
            <w:r>
              <w:rPr>
                <w:rFonts w:hint="eastAsia"/>
                <w:lang w:val="en-US" w:eastAsia="zh-CN"/>
              </w:rPr>
              <w:t>/</w:t>
            </w:r>
          </w:p>
        </w:tc>
        <w:tc>
          <w:tcPr>
            <w:tcW w:w="502" w:type="pct"/>
            <w:noWrap w:val="0"/>
            <w:tcMar>
              <w:top w:w="28" w:type="dxa"/>
              <w:left w:w="57" w:type="dxa"/>
              <w:bottom w:w="28" w:type="dxa"/>
              <w:right w:w="57" w:type="dxa"/>
            </w:tcMar>
            <w:vAlign w:val="center"/>
          </w:tcPr>
          <w:p w14:paraId="7528C529">
            <w:pPr>
              <w:pStyle w:val="19"/>
              <w:bidi w:val="0"/>
              <w:jc w:val="center"/>
              <w:rPr>
                <w:rFonts w:hint="eastAsia" w:eastAsia="宋体"/>
                <w:lang w:val="en-US" w:eastAsia="zh-CN"/>
              </w:rPr>
            </w:pPr>
            <w:r>
              <w:rPr>
                <w:rFonts w:hint="eastAsia"/>
                <w:lang w:val="en-US" w:eastAsia="zh-CN"/>
              </w:rPr>
              <w:t>/</w:t>
            </w:r>
          </w:p>
        </w:tc>
      </w:tr>
      <w:tr w14:paraId="2FAA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152" w:type="pct"/>
            <w:gridSpan w:val="2"/>
            <w:vMerge w:val="restart"/>
            <w:noWrap w:val="0"/>
            <w:tcMar>
              <w:top w:w="28" w:type="dxa"/>
              <w:left w:w="57" w:type="dxa"/>
              <w:bottom w:w="28" w:type="dxa"/>
              <w:right w:w="57" w:type="dxa"/>
            </w:tcMar>
            <w:vAlign w:val="center"/>
          </w:tcPr>
          <w:p w14:paraId="7AD7924C">
            <w:pPr>
              <w:pStyle w:val="19"/>
              <w:bidi w:val="0"/>
              <w:jc w:val="center"/>
            </w:pPr>
            <w:r>
              <w:t>合计</w:t>
            </w:r>
          </w:p>
        </w:tc>
        <w:tc>
          <w:tcPr>
            <w:tcW w:w="678" w:type="pct"/>
            <w:vMerge w:val="restart"/>
            <w:noWrap w:val="0"/>
            <w:tcMar>
              <w:top w:w="28" w:type="dxa"/>
              <w:left w:w="57" w:type="dxa"/>
              <w:bottom w:w="28" w:type="dxa"/>
              <w:right w:w="57" w:type="dxa"/>
            </w:tcMar>
            <w:vAlign w:val="center"/>
          </w:tcPr>
          <w:p w14:paraId="041E9998">
            <w:pPr>
              <w:pStyle w:val="19"/>
              <w:bidi w:val="0"/>
              <w:jc w:val="center"/>
              <w:rPr>
                <w:rFonts w:hint="default" w:eastAsia="宋体"/>
                <w:lang w:val="en-US" w:eastAsia="zh-CN"/>
              </w:rPr>
            </w:pPr>
            <w:r>
              <w:rPr>
                <w:rFonts w:hint="eastAsia" w:eastAsia="宋体"/>
                <w:lang w:val="en-US" w:eastAsia="zh-CN"/>
              </w:rPr>
              <w:t>64452.36</w:t>
            </w:r>
          </w:p>
        </w:tc>
        <w:tc>
          <w:tcPr>
            <w:tcW w:w="1159" w:type="pct"/>
            <w:noWrap w:val="0"/>
            <w:tcMar>
              <w:top w:w="28" w:type="dxa"/>
              <w:left w:w="57" w:type="dxa"/>
              <w:bottom w:w="28" w:type="dxa"/>
              <w:right w:w="57" w:type="dxa"/>
            </w:tcMar>
            <w:vAlign w:val="center"/>
          </w:tcPr>
          <w:p w14:paraId="356BB2D8">
            <w:pPr>
              <w:pStyle w:val="19"/>
              <w:bidi w:val="0"/>
              <w:jc w:val="center"/>
            </w:pPr>
            <w:r>
              <w:t>污染物浓度</w:t>
            </w:r>
          </w:p>
        </w:tc>
        <w:tc>
          <w:tcPr>
            <w:tcW w:w="846" w:type="dxa"/>
            <w:noWrap w:val="0"/>
            <w:tcMar>
              <w:top w:w="28" w:type="dxa"/>
              <w:left w:w="57" w:type="dxa"/>
              <w:bottom w:w="28" w:type="dxa"/>
              <w:right w:w="57" w:type="dxa"/>
            </w:tcMar>
            <w:vAlign w:val="center"/>
          </w:tcPr>
          <w:p w14:paraId="07917EB1">
            <w:pPr>
              <w:pStyle w:val="19"/>
              <w:bidi w:val="0"/>
              <w:rPr>
                <w:rFonts w:hint="default"/>
                <w:lang w:val="en-US" w:eastAsia="zh-CN"/>
              </w:rPr>
            </w:pPr>
            <w:r>
              <w:rPr>
                <w:rFonts w:hint="default"/>
                <w:lang w:val="en-US" w:eastAsia="zh-CN"/>
              </w:rPr>
              <w:t>2520.95</w:t>
            </w:r>
          </w:p>
        </w:tc>
        <w:tc>
          <w:tcPr>
            <w:tcW w:w="846" w:type="dxa"/>
            <w:noWrap w:val="0"/>
            <w:tcMar>
              <w:top w:w="28" w:type="dxa"/>
              <w:left w:w="57" w:type="dxa"/>
              <w:bottom w:w="28" w:type="dxa"/>
              <w:right w:w="57" w:type="dxa"/>
            </w:tcMar>
            <w:vAlign w:val="center"/>
          </w:tcPr>
          <w:p w14:paraId="3B0E17CA">
            <w:pPr>
              <w:pStyle w:val="19"/>
              <w:bidi w:val="0"/>
              <w:rPr>
                <w:rFonts w:hint="default"/>
                <w:lang w:val="en-US" w:eastAsia="zh-CN"/>
              </w:rPr>
            </w:pPr>
            <w:r>
              <w:rPr>
                <w:rFonts w:hint="default"/>
                <w:lang w:val="en-US" w:eastAsia="zh-CN"/>
              </w:rPr>
              <w:t>764.44</w:t>
            </w:r>
          </w:p>
        </w:tc>
        <w:tc>
          <w:tcPr>
            <w:tcW w:w="846" w:type="dxa"/>
            <w:noWrap w:val="0"/>
            <w:tcMar>
              <w:top w:w="28" w:type="dxa"/>
              <w:left w:w="57" w:type="dxa"/>
              <w:bottom w:w="28" w:type="dxa"/>
              <w:right w:w="57" w:type="dxa"/>
            </w:tcMar>
            <w:vAlign w:val="center"/>
          </w:tcPr>
          <w:p w14:paraId="19522580">
            <w:pPr>
              <w:pStyle w:val="19"/>
              <w:bidi w:val="0"/>
              <w:rPr>
                <w:rFonts w:hint="default"/>
                <w:lang w:val="en-US" w:eastAsia="zh-CN"/>
              </w:rPr>
            </w:pPr>
            <w:r>
              <w:rPr>
                <w:rFonts w:hint="default"/>
                <w:lang w:val="en-US" w:eastAsia="zh-CN"/>
              </w:rPr>
              <w:t>765.06</w:t>
            </w:r>
          </w:p>
        </w:tc>
        <w:tc>
          <w:tcPr>
            <w:tcW w:w="849" w:type="dxa"/>
            <w:noWrap w:val="0"/>
            <w:tcMar>
              <w:top w:w="28" w:type="dxa"/>
              <w:left w:w="57" w:type="dxa"/>
              <w:bottom w:w="28" w:type="dxa"/>
              <w:right w:w="57" w:type="dxa"/>
            </w:tcMar>
            <w:vAlign w:val="center"/>
          </w:tcPr>
          <w:p w14:paraId="284AFC5D">
            <w:pPr>
              <w:pStyle w:val="19"/>
              <w:bidi w:val="0"/>
              <w:rPr>
                <w:rFonts w:hint="default"/>
                <w:lang w:val="en-US" w:eastAsia="zh-CN"/>
              </w:rPr>
            </w:pPr>
            <w:r>
              <w:rPr>
                <w:rFonts w:hint="default"/>
                <w:lang w:val="en-US" w:eastAsia="zh-CN"/>
              </w:rPr>
              <w:t>249.02</w:t>
            </w:r>
          </w:p>
        </w:tc>
      </w:tr>
      <w:tr w14:paraId="6885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152" w:type="pct"/>
            <w:gridSpan w:val="2"/>
            <w:vMerge w:val="continue"/>
            <w:noWrap w:val="0"/>
            <w:tcMar>
              <w:top w:w="28" w:type="dxa"/>
              <w:left w:w="57" w:type="dxa"/>
              <w:bottom w:w="28" w:type="dxa"/>
              <w:right w:w="57" w:type="dxa"/>
            </w:tcMar>
            <w:vAlign w:val="center"/>
          </w:tcPr>
          <w:p w14:paraId="2FE2425A">
            <w:pPr>
              <w:pStyle w:val="19"/>
              <w:bidi w:val="0"/>
              <w:jc w:val="center"/>
            </w:pPr>
          </w:p>
        </w:tc>
        <w:tc>
          <w:tcPr>
            <w:tcW w:w="678" w:type="pct"/>
            <w:vMerge w:val="continue"/>
            <w:noWrap w:val="0"/>
            <w:tcMar>
              <w:top w:w="28" w:type="dxa"/>
              <w:left w:w="57" w:type="dxa"/>
              <w:bottom w:w="28" w:type="dxa"/>
              <w:right w:w="57" w:type="dxa"/>
            </w:tcMar>
            <w:vAlign w:val="center"/>
          </w:tcPr>
          <w:p w14:paraId="63B91781">
            <w:pPr>
              <w:pStyle w:val="19"/>
              <w:bidi w:val="0"/>
              <w:jc w:val="center"/>
            </w:pPr>
          </w:p>
        </w:tc>
        <w:tc>
          <w:tcPr>
            <w:tcW w:w="1159" w:type="pct"/>
            <w:noWrap w:val="0"/>
            <w:tcMar>
              <w:top w:w="28" w:type="dxa"/>
              <w:left w:w="57" w:type="dxa"/>
              <w:bottom w:w="28" w:type="dxa"/>
              <w:right w:w="57" w:type="dxa"/>
            </w:tcMar>
            <w:vAlign w:val="center"/>
          </w:tcPr>
          <w:p w14:paraId="58172AB3">
            <w:pPr>
              <w:pStyle w:val="19"/>
              <w:bidi w:val="0"/>
              <w:jc w:val="center"/>
            </w:pPr>
            <w:r>
              <w:t>产生量</w:t>
            </w:r>
          </w:p>
        </w:tc>
        <w:tc>
          <w:tcPr>
            <w:tcW w:w="846" w:type="dxa"/>
            <w:noWrap w:val="0"/>
            <w:tcMar>
              <w:top w:w="28" w:type="dxa"/>
              <w:left w:w="57" w:type="dxa"/>
              <w:bottom w:w="28" w:type="dxa"/>
              <w:right w:w="57" w:type="dxa"/>
            </w:tcMar>
            <w:vAlign w:val="center"/>
          </w:tcPr>
          <w:p w14:paraId="3626AA51">
            <w:pPr>
              <w:pStyle w:val="19"/>
              <w:bidi w:val="0"/>
              <w:rPr>
                <w:rFonts w:hint="default"/>
                <w:lang w:val="en-US" w:eastAsia="zh-CN"/>
              </w:rPr>
            </w:pPr>
            <w:r>
              <w:rPr>
                <w:rFonts w:hint="default"/>
                <w:lang w:val="en-US" w:eastAsia="zh-CN"/>
              </w:rPr>
              <w:t>162.481</w:t>
            </w:r>
          </w:p>
        </w:tc>
        <w:tc>
          <w:tcPr>
            <w:tcW w:w="846" w:type="dxa"/>
            <w:noWrap w:val="0"/>
            <w:tcMar>
              <w:top w:w="28" w:type="dxa"/>
              <w:left w:w="57" w:type="dxa"/>
              <w:bottom w:w="28" w:type="dxa"/>
              <w:right w:w="57" w:type="dxa"/>
            </w:tcMar>
            <w:vAlign w:val="center"/>
          </w:tcPr>
          <w:p w14:paraId="798FB83A">
            <w:pPr>
              <w:pStyle w:val="19"/>
              <w:bidi w:val="0"/>
              <w:rPr>
                <w:rFonts w:hint="default"/>
                <w:lang w:val="en-US" w:eastAsia="zh-CN"/>
              </w:rPr>
            </w:pPr>
            <w:r>
              <w:rPr>
                <w:rFonts w:hint="default"/>
                <w:lang w:val="en-US" w:eastAsia="zh-CN"/>
              </w:rPr>
              <w:t>49.27</w:t>
            </w:r>
          </w:p>
        </w:tc>
        <w:tc>
          <w:tcPr>
            <w:tcW w:w="846" w:type="dxa"/>
            <w:noWrap w:val="0"/>
            <w:tcMar>
              <w:top w:w="28" w:type="dxa"/>
              <w:left w:w="57" w:type="dxa"/>
              <w:bottom w:w="28" w:type="dxa"/>
              <w:right w:w="57" w:type="dxa"/>
            </w:tcMar>
            <w:vAlign w:val="center"/>
          </w:tcPr>
          <w:p w14:paraId="33435FE9">
            <w:pPr>
              <w:pStyle w:val="19"/>
              <w:bidi w:val="0"/>
              <w:rPr>
                <w:rFonts w:hint="default"/>
                <w:lang w:val="en-US" w:eastAsia="zh-CN"/>
              </w:rPr>
            </w:pPr>
            <w:r>
              <w:rPr>
                <w:rFonts w:hint="default"/>
                <w:lang w:val="en-US" w:eastAsia="zh-CN"/>
              </w:rPr>
              <w:t>49.31</w:t>
            </w:r>
          </w:p>
        </w:tc>
        <w:tc>
          <w:tcPr>
            <w:tcW w:w="849" w:type="dxa"/>
            <w:noWrap w:val="0"/>
            <w:tcMar>
              <w:top w:w="28" w:type="dxa"/>
              <w:left w:w="57" w:type="dxa"/>
              <w:bottom w:w="28" w:type="dxa"/>
              <w:right w:w="57" w:type="dxa"/>
            </w:tcMar>
            <w:vAlign w:val="center"/>
          </w:tcPr>
          <w:p w14:paraId="2E380890">
            <w:pPr>
              <w:pStyle w:val="19"/>
              <w:bidi w:val="0"/>
              <w:rPr>
                <w:rFonts w:hint="default"/>
                <w:lang w:val="en-US" w:eastAsia="zh-CN"/>
              </w:rPr>
            </w:pPr>
            <w:r>
              <w:rPr>
                <w:rFonts w:hint="default"/>
                <w:lang w:val="en-US" w:eastAsia="zh-CN"/>
              </w:rPr>
              <w:t>16.05</w:t>
            </w:r>
          </w:p>
        </w:tc>
      </w:tr>
    </w:tbl>
    <w:p w14:paraId="59B5D17C">
      <w:pPr>
        <w:pStyle w:val="28"/>
        <w:bidi w:val="0"/>
        <w:rPr>
          <w:rFonts w:hint="default"/>
          <w:lang w:val="en-US" w:eastAsia="zh-CN"/>
        </w:rPr>
      </w:pPr>
      <w:r>
        <w:rPr>
          <w:rFonts w:hint="eastAsia"/>
          <w:lang w:val="en-US" w:eastAsia="zh-CN"/>
        </w:rPr>
        <w:t>噪声</w:t>
      </w:r>
    </w:p>
    <w:p w14:paraId="299FC232">
      <w:pPr>
        <w:bidi w:val="0"/>
      </w:pPr>
      <w:r>
        <w:t>本项目主要噪声源为风机、泵类、固液分离机等设备噪声</w:t>
      </w:r>
      <w:r>
        <w:rPr>
          <w:rFonts w:hint="eastAsia"/>
          <w:lang w:val="en-US" w:eastAsia="zh-CN"/>
        </w:rPr>
        <w:t>及猪叫声</w:t>
      </w:r>
      <w:r>
        <w:t>，噪声源强在</w:t>
      </w:r>
      <w:r>
        <w:rPr>
          <w:rFonts w:hint="eastAsia"/>
          <w:lang w:val="en-US" w:eastAsia="zh-CN"/>
        </w:rPr>
        <w:t>60</w:t>
      </w:r>
      <w:r>
        <w:t>～</w:t>
      </w:r>
      <w:r>
        <w:rPr>
          <w:rFonts w:hint="eastAsia"/>
        </w:rPr>
        <w:t>85</w:t>
      </w:r>
      <w:r>
        <w:t>dB(A)之间。项目主要噪声源分布情况见表</w:t>
      </w:r>
      <w:r>
        <w:rPr>
          <w:rFonts w:hint="eastAsia"/>
        </w:rPr>
        <w:t>3</w:t>
      </w:r>
      <w:r>
        <w:t>.</w:t>
      </w:r>
      <w:r>
        <w:rPr>
          <w:rFonts w:hint="eastAsia"/>
          <w:lang w:val="en-US" w:eastAsia="zh-CN"/>
        </w:rPr>
        <w:t>4-16</w:t>
      </w:r>
      <w:r>
        <w:t>。</w:t>
      </w:r>
    </w:p>
    <w:p w14:paraId="360288AC">
      <w:pPr>
        <w:pStyle w:val="30"/>
        <w:bidi w:val="0"/>
      </w:pPr>
      <w:r>
        <w:t>表</w:t>
      </w:r>
      <w:r>
        <w:rPr>
          <w:rFonts w:hint="eastAsia"/>
        </w:rPr>
        <w:t>3</w:t>
      </w:r>
      <w:r>
        <w:t>.</w:t>
      </w:r>
      <w:r>
        <w:rPr>
          <w:rFonts w:hint="eastAsia"/>
          <w:lang w:val="en-US" w:eastAsia="zh-CN"/>
        </w:rPr>
        <w:t xml:space="preserve">4-16  </w:t>
      </w:r>
      <w:r>
        <w:t xml:space="preserve"> 本项目主要噪声源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325"/>
        <w:gridCol w:w="1095"/>
        <w:gridCol w:w="1320"/>
        <w:gridCol w:w="1995"/>
        <w:gridCol w:w="2183"/>
      </w:tblGrid>
      <w:tr w14:paraId="6362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Mar>
              <w:top w:w="0" w:type="dxa"/>
              <w:left w:w="57" w:type="dxa"/>
              <w:bottom w:w="0" w:type="dxa"/>
              <w:right w:w="57" w:type="dxa"/>
            </w:tcMar>
            <w:vAlign w:val="center"/>
          </w:tcPr>
          <w:p w14:paraId="021C4102">
            <w:pPr>
              <w:pStyle w:val="19"/>
              <w:bidi w:val="0"/>
            </w:pPr>
            <w:r>
              <w:t>序号</w:t>
            </w:r>
          </w:p>
        </w:tc>
        <w:tc>
          <w:tcPr>
            <w:tcW w:w="1325" w:type="dxa"/>
            <w:tcMar>
              <w:top w:w="0" w:type="dxa"/>
              <w:left w:w="57" w:type="dxa"/>
              <w:bottom w:w="0" w:type="dxa"/>
              <w:right w:w="57" w:type="dxa"/>
            </w:tcMar>
            <w:vAlign w:val="center"/>
          </w:tcPr>
          <w:p w14:paraId="6795AEB9">
            <w:pPr>
              <w:pStyle w:val="19"/>
              <w:bidi w:val="0"/>
            </w:pPr>
            <w:r>
              <w:t>设备名称</w:t>
            </w:r>
          </w:p>
        </w:tc>
        <w:tc>
          <w:tcPr>
            <w:tcW w:w="1095" w:type="dxa"/>
            <w:tcMar>
              <w:top w:w="0" w:type="dxa"/>
              <w:left w:w="57" w:type="dxa"/>
              <w:bottom w:w="0" w:type="dxa"/>
              <w:right w:w="57" w:type="dxa"/>
            </w:tcMar>
            <w:vAlign w:val="center"/>
          </w:tcPr>
          <w:p w14:paraId="57019DCF">
            <w:pPr>
              <w:pStyle w:val="19"/>
              <w:bidi w:val="0"/>
            </w:pPr>
            <w:r>
              <w:rPr>
                <w:rFonts w:hint="eastAsia"/>
              </w:rPr>
              <w:t>位置</w:t>
            </w:r>
          </w:p>
        </w:tc>
        <w:tc>
          <w:tcPr>
            <w:tcW w:w="1320" w:type="dxa"/>
            <w:tcMar>
              <w:top w:w="0" w:type="dxa"/>
              <w:left w:w="57" w:type="dxa"/>
              <w:bottom w:w="0" w:type="dxa"/>
              <w:right w:w="57" w:type="dxa"/>
            </w:tcMar>
            <w:vAlign w:val="center"/>
          </w:tcPr>
          <w:p w14:paraId="4A890ADB">
            <w:pPr>
              <w:pStyle w:val="19"/>
              <w:bidi w:val="0"/>
            </w:pPr>
            <w:r>
              <w:t>防治措施</w:t>
            </w:r>
          </w:p>
        </w:tc>
        <w:tc>
          <w:tcPr>
            <w:tcW w:w="1995" w:type="dxa"/>
            <w:tcMar>
              <w:top w:w="0" w:type="dxa"/>
              <w:left w:w="57" w:type="dxa"/>
              <w:bottom w:w="0" w:type="dxa"/>
              <w:right w:w="57" w:type="dxa"/>
            </w:tcMar>
            <w:vAlign w:val="center"/>
          </w:tcPr>
          <w:p w14:paraId="71EFBC5B">
            <w:pPr>
              <w:pStyle w:val="19"/>
              <w:bidi w:val="0"/>
            </w:pPr>
            <w:r>
              <w:t>单台设备噪声强度dB(A)</w:t>
            </w:r>
          </w:p>
        </w:tc>
        <w:tc>
          <w:tcPr>
            <w:tcW w:w="2183" w:type="dxa"/>
            <w:tcMar>
              <w:top w:w="0" w:type="dxa"/>
              <w:left w:w="57" w:type="dxa"/>
              <w:bottom w:w="0" w:type="dxa"/>
              <w:right w:w="57" w:type="dxa"/>
            </w:tcMar>
            <w:vAlign w:val="center"/>
          </w:tcPr>
          <w:p w14:paraId="59AF4D14">
            <w:pPr>
              <w:pStyle w:val="19"/>
              <w:bidi w:val="0"/>
            </w:pPr>
            <w:r>
              <w:t>单台设备噪声降噪后强度dB(A)</w:t>
            </w:r>
          </w:p>
        </w:tc>
      </w:tr>
      <w:tr w14:paraId="0D32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Mar>
              <w:top w:w="0" w:type="dxa"/>
              <w:left w:w="57" w:type="dxa"/>
              <w:bottom w:w="0" w:type="dxa"/>
              <w:right w:w="57" w:type="dxa"/>
            </w:tcMar>
            <w:vAlign w:val="center"/>
          </w:tcPr>
          <w:p w14:paraId="62AB5B72">
            <w:pPr>
              <w:pStyle w:val="19"/>
              <w:bidi w:val="0"/>
            </w:pPr>
            <w:r>
              <w:rPr>
                <w:rFonts w:hint="eastAsia"/>
              </w:rPr>
              <w:t>1</w:t>
            </w:r>
          </w:p>
        </w:tc>
        <w:tc>
          <w:tcPr>
            <w:tcW w:w="1325" w:type="dxa"/>
            <w:tcMar>
              <w:top w:w="0" w:type="dxa"/>
              <w:left w:w="57" w:type="dxa"/>
              <w:bottom w:w="0" w:type="dxa"/>
              <w:right w:w="57" w:type="dxa"/>
            </w:tcMar>
            <w:vAlign w:val="center"/>
          </w:tcPr>
          <w:p w14:paraId="4BA11757">
            <w:pPr>
              <w:pStyle w:val="19"/>
              <w:bidi w:val="0"/>
            </w:pPr>
            <w:r>
              <w:rPr>
                <w:rFonts w:hint="eastAsia"/>
              </w:rPr>
              <w:t>猪叫声</w:t>
            </w:r>
          </w:p>
        </w:tc>
        <w:tc>
          <w:tcPr>
            <w:tcW w:w="1095" w:type="dxa"/>
            <w:vMerge w:val="restart"/>
            <w:tcMar>
              <w:top w:w="0" w:type="dxa"/>
              <w:left w:w="57" w:type="dxa"/>
              <w:bottom w:w="0" w:type="dxa"/>
              <w:right w:w="57" w:type="dxa"/>
            </w:tcMar>
            <w:vAlign w:val="center"/>
          </w:tcPr>
          <w:p w14:paraId="6ED00541">
            <w:pPr>
              <w:pStyle w:val="19"/>
              <w:bidi w:val="0"/>
            </w:pPr>
            <w:r>
              <w:rPr>
                <w:rFonts w:hint="eastAsia"/>
              </w:rPr>
              <w:t>猪舍</w:t>
            </w:r>
          </w:p>
        </w:tc>
        <w:tc>
          <w:tcPr>
            <w:tcW w:w="1320" w:type="dxa"/>
            <w:tcMar>
              <w:top w:w="0" w:type="dxa"/>
              <w:left w:w="57" w:type="dxa"/>
              <w:bottom w:w="0" w:type="dxa"/>
              <w:right w:w="57" w:type="dxa"/>
            </w:tcMar>
            <w:vAlign w:val="center"/>
          </w:tcPr>
          <w:p w14:paraId="42118137">
            <w:pPr>
              <w:pStyle w:val="19"/>
              <w:bidi w:val="0"/>
            </w:pPr>
            <w:r>
              <w:rPr>
                <w:rFonts w:hint="eastAsia"/>
              </w:rPr>
              <w:t>隔声</w:t>
            </w:r>
          </w:p>
        </w:tc>
        <w:tc>
          <w:tcPr>
            <w:tcW w:w="1995" w:type="dxa"/>
            <w:tcMar>
              <w:top w:w="0" w:type="dxa"/>
              <w:left w:w="57" w:type="dxa"/>
              <w:bottom w:w="0" w:type="dxa"/>
              <w:right w:w="57" w:type="dxa"/>
            </w:tcMar>
            <w:vAlign w:val="center"/>
          </w:tcPr>
          <w:p w14:paraId="04D33B70">
            <w:pPr>
              <w:pStyle w:val="19"/>
              <w:bidi w:val="0"/>
            </w:pPr>
            <w:r>
              <w:rPr>
                <w:rFonts w:hint="eastAsia"/>
              </w:rPr>
              <w:t>80</w:t>
            </w:r>
          </w:p>
        </w:tc>
        <w:tc>
          <w:tcPr>
            <w:tcW w:w="2183" w:type="dxa"/>
            <w:tcMar>
              <w:top w:w="0" w:type="dxa"/>
              <w:left w:w="57" w:type="dxa"/>
              <w:bottom w:w="0" w:type="dxa"/>
              <w:right w:w="57" w:type="dxa"/>
            </w:tcMar>
            <w:vAlign w:val="center"/>
          </w:tcPr>
          <w:p w14:paraId="16A8865A">
            <w:pPr>
              <w:pStyle w:val="19"/>
              <w:bidi w:val="0"/>
            </w:pPr>
            <w:r>
              <w:rPr>
                <w:rFonts w:hint="eastAsia"/>
              </w:rPr>
              <w:t>60</w:t>
            </w:r>
          </w:p>
        </w:tc>
      </w:tr>
      <w:tr w14:paraId="3C1F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Mar>
              <w:top w:w="0" w:type="dxa"/>
              <w:left w:w="57" w:type="dxa"/>
              <w:bottom w:w="0" w:type="dxa"/>
              <w:right w:w="57" w:type="dxa"/>
            </w:tcMar>
            <w:vAlign w:val="center"/>
          </w:tcPr>
          <w:p w14:paraId="1B477E9B">
            <w:pPr>
              <w:pStyle w:val="19"/>
              <w:bidi w:val="0"/>
            </w:pPr>
            <w:r>
              <w:rPr>
                <w:rFonts w:hint="eastAsia"/>
              </w:rPr>
              <w:t>2</w:t>
            </w:r>
          </w:p>
        </w:tc>
        <w:tc>
          <w:tcPr>
            <w:tcW w:w="1325" w:type="dxa"/>
            <w:tcMar>
              <w:top w:w="0" w:type="dxa"/>
              <w:left w:w="57" w:type="dxa"/>
              <w:bottom w:w="0" w:type="dxa"/>
              <w:right w:w="57" w:type="dxa"/>
            </w:tcMar>
            <w:vAlign w:val="center"/>
          </w:tcPr>
          <w:p w14:paraId="731B1B9C">
            <w:pPr>
              <w:pStyle w:val="19"/>
              <w:bidi w:val="0"/>
            </w:pPr>
            <w:r>
              <w:t>风机</w:t>
            </w:r>
          </w:p>
        </w:tc>
        <w:tc>
          <w:tcPr>
            <w:tcW w:w="1095" w:type="dxa"/>
            <w:vMerge w:val="continue"/>
            <w:tcMar>
              <w:top w:w="0" w:type="dxa"/>
              <w:left w:w="57" w:type="dxa"/>
              <w:bottom w:w="0" w:type="dxa"/>
              <w:right w:w="57" w:type="dxa"/>
            </w:tcMar>
            <w:vAlign w:val="center"/>
          </w:tcPr>
          <w:p w14:paraId="7E7B1DA8">
            <w:pPr>
              <w:pStyle w:val="19"/>
              <w:bidi w:val="0"/>
            </w:pPr>
          </w:p>
        </w:tc>
        <w:tc>
          <w:tcPr>
            <w:tcW w:w="1320" w:type="dxa"/>
            <w:tcMar>
              <w:top w:w="0" w:type="dxa"/>
              <w:left w:w="57" w:type="dxa"/>
              <w:bottom w:w="0" w:type="dxa"/>
              <w:right w:w="57" w:type="dxa"/>
            </w:tcMar>
            <w:vAlign w:val="center"/>
          </w:tcPr>
          <w:p w14:paraId="1BDC6D33">
            <w:pPr>
              <w:pStyle w:val="19"/>
              <w:bidi w:val="0"/>
            </w:pPr>
            <w:r>
              <w:rPr>
                <w:rFonts w:hint="eastAsia"/>
              </w:rPr>
              <w:t>隔声、减震</w:t>
            </w:r>
          </w:p>
        </w:tc>
        <w:tc>
          <w:tcPr>
            <w:tcW w:w="1995" w:type="dxa"/>
            <w:tcMar>
              <w:top w:w="0" w:type="dxa"/>
              <w:left w:w="57" w:type="dxa"/>
              <w:bottom w:w="0" w:type="dxa"/>
              <w:right w:w="57" w:type="dxa"/>
            </w:tcMar>
            <w:vAlign w:val="center"/>
          </w:tcPr>
          <w:p w14:paraId="241B8AB9">
            <w:pPr>
              <w:pStyle w:val="19"/>
              <w:bidi w:val="0"/>
            </w:pPr>
            <w:r>
              <w:rPr>
                <w:rFonts w:hint="eastAsia"/>
              </w:rPr>
              <w:t>75</w:t>
            </w:r>
          </w:p>
        </w:tc>
        <w:tc>
          <w:tcPr>
            <w:tcW w:w="2183" w:type="dxa"/>
            <w:tcMar>
              <w:top w:w="0" w:type="dxa"/>
              <w:left w:w="57" w:type="dxa"/>
              <w:bottom w:w="0" w:type="dxa"/>
              <w:right w:w="57" w:type="dxa"/>
            </w:tcMar>
            <w:vAlign w:val="center"/>
          </w:tcPr>
          <w:p w14:paraId="6828AC2A">
            <w:pPr>
              <w:pStyle w:val="19"/>
              <w:bidi w:val="0"/>
            </w:pPr>
            <w:r>
              <w:rPr>
                <w:rFonts w:hint="eastAsia"/>
              </w:rPr>
              <w:t>55</w:t>
            </w:r>
          </w:p>
        </w:tc>
      </w:tr>
      <w:tr w14:paraId="1585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Mar>
              <w:top w:w="0" w:type="dxa"/>
              <w:left w:w="57" w:type="dxa"/>
              <w:bottom w:w="0" w:type="dxa"/>
              <w:right w:w="57" w:type="dxa"/>
            </w:tcMar>
            <w:vAlign w:val="center"/>
          </w:tcPr>
          <w:p w14:paraId="13030F65">
            <w:pPr>
              <w:pStyle w:val="19"/>
              <w:bidi w:val="0"/>
            </w:pPr>
            <w:r>
              <w:rPr>
                <w:rFonts w:hint="eastAsia"/>
              </w:rPr>
              <w:t>3</w:t>
            </w:r>
          </w:p>
        </w:tc>
        <w:tc>
          <w:tcPr>
            <w:tcW w:w="1325" w:type="dxa"/>
            <w:tcMar>
              <w:top w:w="0" w:type="dxa"/>
              <w:left w:w="57" w:type="dxa"/>
              <w:bottom w:w="0" w:type="dxa"/>
              <w:right w:w="57" w:type="dxa"/>
            </w:tcMar>
            <w:vAlign w:val="center"/>
          </w:tcPr>
          <w:p w14:paraId="28A47B15">
            <w:pPr>
              <w:pStyle w:val="19"/>
              <w:bidi w:val="0"/>
            </w:pPr>
            <w:r>
              <w:t>泵</w:t>
            </w:r>
          </w:p>
        </w:tc>
        <w:tc>
          <w:tcPr>
            <w:tcW w:w="1095" w:type="dxa"/>
            <w:vMerge w:val="continue"/>
            <w:tcMar>
              <w:top w:w="0" w:type="dxa"/>
              <w:left w:w="57" w:type="dxa"/>
              <w:bottom w:w="0" w:type="dxa"/>
              <w:right w:w="57" w:type="dxa"/>
            </w:tcMar>
            <w:vAlign w:val="center"/>
          </w:tcPr>
          <w:p w14:paraId="6A929C08">
            <w:pPr>
              <w:pStyle w:val="19"/>
              <w:bidi w:val="0"/>
            </w:pPr>
          </w:p>
        </w:tc>
        <w:tc>
          <w:tcPr>
            <w:tcW w:w="1320" w:type="dxa"/>
            <w:tcMar>
              <w:top w:w="0" w:type="dxa"/>
              <w:left w:w="57" w:type="dxa"/>
              <w:bottom w:w="0" w:type="dxa"/>
              <w:right w:w="57" w:type="dxa"/>
            </w:tcMar>
            <w:vAlign w:val="center"/>
          </w:tcPr>
          <w:p w14:paraId="0B7569DF">
            <w:pPr>
              <w:pStyle w:val="19"/>
              <w:bidi w:val="0"/>
            </w:pPr>
            <w:r>
              <w:rPr>
                <w:rFonts w:hint="eastAsia"/>
              </w:rPr>
              <w:t>隔声、减震</w:t>
            </w:r>
          </w:p>
        </w:tc>
        <w:tc>
          <w:tcPr>
            <w:tcW w:w="1995" w:type="dxa"/>
            <w:tcMar>
              <w:top w:w="0" w:type="dxa"/>
              <w:left w:w="57" w:type="dxa"/>
              <w:bottom w:w="0" w:type="dxa"/>
              <w:right w:w="57" w:type="dxa"/>
            </w:tcMar>
            <w:vAlign w:val="center"/>
          </w:tcPr>
          <w:p w14:paraId="0AFEF345">
            <w:pPr>
              <w:pStyle w:val="19"/>
              <w:bidi w:val="0"/>
            </w:pPr>
            <w:r>
              <w:rPr>
                <w:rFonts w:hint="eastAsia"/>
              </w:rPr>
              <w:t>80</w:t>
            </w:r>
          </w:p>
        </w:tc>
        <w:tc>
          <w:tcPr>
            <w:tcW w:w="2183" w:type="dxa"/>
            <w:tcMar>
              <w:top w:w="0" w:type="dxa"/>
              <w:left w:w="57" w:type="dxa"/>
              <w:bottom w:w="0" w:type="dxa"/>
              <w:right w:w="57" w:type="dxa"/>
            </w:tcMar>
            <w:vAlign w:val="center"/>
          </w:tcPr>
          <w:p w14:paraId="2616B257">
            <w:pPr>
              <w:pStyle w:val="19"/>
              <w:bidi w:val="0"/>
            </w:pPr>
            <w:r>
              <w:rPr>
                <w:rFonts w:hint="eastAsia"/>
              </w:rPr>
              <w:t>60</w:t>
            </w:r>
          </w:p>
        </w:tc>
      </w:tr>
      <w:tr w14:paraId="731E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Mar>
              <w:top w:w="0" w:type="dxa"/>
              <w:left w:w="57" w:type="dxa"/>
              <w:bottom w:w="0" w:type="dxa"/>
              <w:right w:w="57" w:type="dxa"/>
            </w:tcMar>
          </w:tcPr>
          <w:p w14:paraId="2ED77081">
            <w:pPr>
              <w:pStyle w:val="19"/>
              <w:bidi w:val="0"/>
            </w:pPr>
            <w:r>
              <w:rPr>
                <w:rFonts w:hint="eastAsia"/>
              </w:rPr>
              <w:t>4</w:t>
            </w:r>
          </w:p>
        </w:tc>
        <w:tc>
          <w:tcPr>
            <w:tcW w:w="1325" w:type="dxa"/>
            <w:tcMar>
              <w:top w:w="0" w:type="dxa"/>
              <w:left w:w="57" w:type="dxa"/>
              <w:bottom w:w="0" w:type="dxa"/>
              <w:right w:w="57" w:type="dxa"/>
            </w:tcMar>
          </w:tcPr>
          <w:p w14:paraId="537CB002">
            <w:pPr>
              <w:pStyle w:val="19"/>
              <w:bidi w:val="0"/>
            </w:pPr>
            <w:r>
              <w:t>固液分离机</w:t>
            </w:r>
          </w:p>
        </w:tc>
        <w:tc>
          <w:tcPr>
            <w:tcW w:w="1095" w:type="dxa"/>
            <w:vMerge w:val="restart"/>
            <w:tcMar>
              <w:top w:w="0" w:type="dxa"/>
              <w:left w:w="57" w:type="dxa"/>
              <w:bottom w:w="0" w:type="dxa"/>
              <w:right w:w="57" w:type="dxa"/>
            </w:tcMar>
            <w:vAlign w:val="center"/>
          </w:tcPr>
          <w:p w14:paraId="560CAA75">
            <w:pPr>
              <w:pStyle w:val="19"/>
              <w:bidi w:val="0"/>
            </w:pPr>
            <w:r>
              <w:rPr>
                <w:rFonts w:hint="eastAsia"/>
              </w:rPr>
              <w:t>污水处理区</w:t>
            </w:r>
          </w:p>
        </w:tc>
        <w:tc>
          <w:tcPr>
            <w:tcW w:w="1320" w:type="dxa"/>
            <w:tcMar>
              <w:top w:w="0" w:type="dxa"/>
              <w:left w:w="57" w:type="dxa"/>
              <w:bottom w:w="0" w:type="dxa"/>
              <w:right w:w="57" w:type="dxa"/>
            </w:tcMar>
            <w:vAlign w:val="center"/>
          </w:tcPr>
          <w:p w14:paraId="2EE88266">
            <w:pPr>
              <w:pStyle w:val="19"/>
              <w:bidi w:val="0"/>
            </w:pPr>
            <w:r>
              <w:rPr>
                <w:rFonts w:hint="eastAsia"/>
              </w:rPr>
              <w:t>隔声、减震</w:t>
            </w:r>
          </w:p>
        </w:tc>
        <w:tc>
          <w:tcPr>
            <w:tcW w:w="1995" w:type="dxa"/>
            <w:tcMar>
              <w:top w:w="0" w:type="dxa"/>
              <w:left w:w="57" w:type="dxa"/>
              <w:bottom w:w="0" w:type="dxa"/>
              <w:right w:w="57" w:type="dxa"/>
            </w:tcMar>
            <w:vAlign w:val="center"/>
          </w:tcPr>
          <w:p w14:paraId="49C67241">
            <w:pPr>
              <w:pStyle w:val="19"/>
              <w:bidi w:val="0"/>
            </w:pPr>
            <w:r>
              <w:rPr>
                <w:rFonts w:hint="eastAsia"/>
              </w:rPr>
              <w:t>85</w:t>
            </w:r>
          </w:p>
        </w:tc>
        <w:tc>
          <w:tcPr>
            <w:tcW w:w="2183" w:type="dxa"/>
            <w:tcMar>
              <w:top w:w="0" w:type="dxa"/>
              <w:left w:w="57" w:type="dxa"/>
              <w:bottom w:w="0" w:type="dxa"/>
              <w:right w:w="57" w:type="dxa"/>
            </w:tcMar>
            <w:vAlign w:val="center"/>
          </w:tcPr>
          <w:p w14:paraId="21C4EF58">
            <w:pPr>
              <w:pStyle w:val="19"/>
              <w:bidi w:val="0"/>
            </w:pPr>
            <w:r>
              <w:rPr>
                <w:rFonts w:hint="eastAsia"/>
              </w:rPr>
              <w:t>65</w:t>
            </w:r>
          </w:p>
        </w:tc>
      </w:tr>
      <w:tr w14:paraId="749B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Mar>
              <w:top w:w="0" w:type="dxa"/>
              <w:left w:w="57" w:type="dxa"/>
              <w:bottom w:w="0" w:type="dxa"/>
              <w:right w:w="57" w:type="dxa"/>
            </w:tcMar>
          </w:tcPr>
          <w:p w14:paraId="076AB599">
            <w:pPr>
              <w:pStyle w:val="19"/>
              <w:bidi w:val="0"/>
            </w:pPr>
            <w:r>
              <w:rPr>
                <w:rFonts w:hint="eastAsia"/>
              </w:rPr>
              <w:t>5</w:t>
            </w:r>
          </w:p>
        </w:tc>
        <w:tc>
          <w:tcPr>
            <w:tcW w:w="1325" w:type="dxa"/>
            <w:tcMar>
              <w:top w:w="0" w:type="dxa"/>
              <w:left w:w="57" w:type="dxa"/>
              <w:bottom w:w="0" w:type="dxa"/>
              <w:right w:w="57" w:type="dxa"/>
            </w:tcMar>
          </w:tcPr>
          <w:p w14:paraId="150E9637">
            <w:pPr>
              <w:pStyle w:val="19"/>
              <w:bidi w:val="0"/>
            </w:pPr>
            <w:r>
              <w:rPr>
                <w:rFonts w:hint="eastAsia"/>
              </w:rPr>
              <w:t>各种泵类</w:t>
            </w:r>
          </w:p>
        </w:tc>
        <w:tc>
          <w:tcPr>
            <w:tcW w:w="1095" w:type="dxa"/>
            <w:vMerge w:val="continue"/>
            <w:tcMar>
              <w:top w:w="0" w:type="dxa"/>
              <w:left w:w="57" w:type="dxa"/>
              <w:bottom w:w="0" w:type="dxa"/>
              <w:right w:w="57" w:type="dxa"/>
            </w:tcMar>
            <w:vAlign w:val="center"/>
          </w:tcPr>
          <w:p w14:paraId="245FE559">
            <w:pPr>
              <w:pStyle w:val="19"/>
              <w:bidi w:val="0"/>
            </w:pPr>
          </w:p>
        </w:tc>
        <w:tc>
          <w:tcPr>
            <w:tcW w:w="1320" w:type="dxa"/>
            <w:tcMar>
              <w:top w:w="0" w:type="dxa"/>
              <w:left w:w="57" w:type="dxa"/>
              <w:bottom w:w="0" w:type="dxa"/>
              <w:right w:w="57" w:type="dxa"/>
            </w:tcMar>
            <w:vAlign w:val="center"/>
          </w:tcPr>
          <w:p w14:paraId="47F2BCDA">
            <w:pPr>
              <w:pStyle w:val="19"/>
              <w:bidi w:val="0"/>
            </w:pPr>
            <w:r>
              <w:rPr>
                <w:rFonts w:hint="eastAsia"/>
              </w:rPr>
              <w:t>隔声、减震</w:t>
            </w:r>
          </w:p>
        </w:tc>
        <w:tc>
          <w:tcPr>
            <w:tcW w:w="1995" w:type="dxa"/>
            <w:tcMar>
              <w:top w:w="0" w:type="dxa"/>
              <w:left w:w="57" w:type="dxa"/>
              <w:bottom w:w="0" w:type="dxa"/>
              <w:right w:w="57" w:type="dxa"/>
            </w:tcMar>
            <w:vAlign w:val="center"/>
          </w:tcPr>
          <w:p w14:paraId="1A7E5C00">
            <w:pPr>
              <w:pStyle w:val="19"/>
              <w:bidi w:val="0"/>
            </w:pPr>
            <w:r>
              <w:rPr>
                <w:rFonts w:hint="eastAsia"/>
              </w:rPr>
              <w:t>80</w:t>
            </w:r>
          </w:p>
        </w:tc>
        <w:tc>
          <w:tcPr>
            <w:tcW w:w="2183" w:type="dxa"/>
            <w:tcMar>
              <w:top w:w="0" w:type="dxa"/>
              <w:left w:w="57" w:type="dxa"/>
              <w:bottom w:w="0" w:type="dxa"/>
              <w:right w:w="57" w:type="dxa"/>
            </w:tcMar>
            <w:vAlign w:val="center"/>
          </w:tcPr>
          <w:p w14:paraId="148D21F8">
            <w:pPr>
              <w:pStyle w:val="19"/>
              <w:bidi w:val="0"/>
            </w:pPr>
            <w:r>
              <w:rPr>
                <w:rFonts w:hint="eastAsia"/>
              </w:rPr>
              <w:t>60</w:t>
            </w:r>
          </w:p>
        </w:tc>
      </w:tr>
    </w:tbl>
    <w:p w14:paraId="44826008">
      <w:pPr>
        <w:bidi w:val="0"/>
        <w:rPr>
          <w:color w:val="auto"/>
        </w:rPr>
      </w:pPr>
      <w:r>
        <w:rPr>
          <w:color w:val="auto"/>
        </w:rPr>
        <w:t>本项目拟采用以下噪声防治措施：</w:t>
      </w:r>
    </w:p>
    <w:p w14:paraId="15B6D37D">
      <w:pPr>
        <w:bidi w:val="0"/>
        <w:rPr>
          <w:color w:val="auto"/>
        </w:rPr>
      </w:pPr>
      <w:r>
        <w:rPr>
          <w:color w:val="auto"/>
        </w:rPr>
        <w:t>（1）在设备选型上，首先选用装备先进的低噪音设备，并采取适当的降噪措施，如机组基础设置衬垫，使之与建筑结构隔开。</w:t>
      </w:r>
    </w:p>
    <w:p w14:paraId="24CB9BDF">
      <w:pPr>
        <w:bidi w:val="0"/>
        <w:rPr>
          <w:color w:val="auto"/>
        </w:rPr>
      </w:pPr>
      <w:r>
        <w:rPr>
          <w:color w:val="auto"/>
        </w:rPr>
        <w:t>（2）风机的进出口安装消声装置，泵类加隔音罩。</w:t>
      </w:r>
    </w:p>
    <w:p w14:paraId="3B31D7D4">
      <w:pPr>
        <w:bidi w:val="0"/>
        <w:rPr>
          <w:color w:val="auto"/>
        </w:rPr>
      </w:pPr>
      <w:r>
        <w:rPr>
          <w:color w:val="auto"/>
        </w:rPr>
        <w:t>（3）在设备、管道设计中，注意防振、防冲击，以减轻振动噪声，并应注意改善气体输送时流场状况，以减少空气动力噪声。</w:t>
      </w:r>
    </w:p>
    <w:p w14:paraId="68F1CE46">
      <w:pPr>
        <w:bidi w:val="0"/>
        <w:rPr>
          <w:color w:val="auto"/>
        </w:rPr>
      </w:pPr>
      <w:r>
        <w:rPr>
          <w:color w:val="auto"/>
        </w:rPr>
        <w:t>（4）厂区平面布置要优化，合理布局，将高噪声设备尽量布置在远离厂界处，通过距离衰减减轻噪声源对厂界噪声的影响。噪声设备布置时尽量远离行政办公区及宿舍区，设置隔音机房；操作间做吸音、隔音处理，厂区周围及高噪音车间周围种植降噪植物等。</w:t>
      </w:r>
    </w:p>
    <w:p w14:paraId="72C04427">
      <w:pPr>
        <w:bidi w:val="0"/>
        <w:rPr>
          <w:rFonts w:hint="eastAsia"/>
          <w:lang w:val="en-US" w:eastAsia="zh-CN"/>
        </w:rPr>
      </w:pPr>
      <w:r>
        <w:rPr>
          <w:color w:val="auto"/>
        </w:rPr>
        <w:t>在采取了必要的降噪措施后，本项目的运营对周围声环境的贡献值较小。</w:t>
      </w:r>
    </w:p>
    <w:p w14:paraId="4D229A4F">
      <w:pPr>
        <w:pStyle w:val="28"/>
        <w:bidi w:val="0"/>
        <w:rPr>
          <w:rFonts w:hint="default"/>
          <w:lang w:val="en-US" w:eastAsia="zh-CN"/>
        </w:rPr>
      </w:pPr>
      <w:r>
        <w:rPr>
          <w:rFonts w:hint="eastAsia"/>
          <w:lang w:val="en-US" w:eastAsia="zh-CN"/>
        </w:rPr>
        <w:t>固体废物</w:t>
      </w:r>
    </w:p>
    <w:p w14:paraId="394B0D8F">
      <w:pPr>
        <w:bidi w:val="0"/>
        <w:rPr>
          <w:rFonts w:hint="default"/>
          <w:lang w:val="en-US" w:eastAsia="zh-CN"/>
        </w:rPr>
      </w:pPr>
      <w:r>
        <w:rPr>
          <w:rFonts w:hint="eastAsia"/>
          <w:lang w:val="en-US" w:eastAsia="zh-CN"/>
        </w:rPr>
        <w:t>本项目运营期的固体废物主要包括猪粪、病死猪、医疗废物、沼渣、污泥、废脱硫剂、锅炉灰渣、废饲料包装袋和生活垃圾，具体核算情况如下：</w:t>
      </w:r>
    </w:p>
    <w:p w14:paraId="76446169">
      <w:pPr>
        <w:keepNext w:val="0"/>
        <w:keepLines w:val="0"/>
        <w:pageBreakBefore w:val="0"/>
        <w:kinsoku/>
        <w:wordWrap/>
        <w:overflowPunct/>
        <w:topLinePunct w:val="0"/>
        <w:autoSpaceDE/>
        <w:autoSpaceDN/>
        <w:bidi w:val="0"/>
        <w:adjustRightInd/>
        <w:snapToGrid/>
        <w:textAlignment w:val="auto"/>
        <w:outlineLvl w:val="9"/>
        <w:rPr>
          <w:rFonts w:hint="default"/>
          <w:b/>
          <w:bCs/>
          <w:lang w:val="en-US" w:eastAsia="zh-CN"/>
        </w:rPr>
      </w:pPr>
      <w:r>
        <w:rPr>
          <w:rFonts w:hint="eastAsia"/>
          <w:b/>
          <w:bCs/>
          <w:lang w:val="en-US" w:eastAsia="zh-CN"/>
        </w:rPr>
        <w:t>1、一般固体废物</w:t>
      </w:r>
    </w:p>
    <w:p w14:paraId="1198A5DB">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（1）猪粪</w:t>
      </w:r>
    </w:p>
    <w:p w14:paraId="7751C380">
      <w:pPr>
        <w:keepNext w:val="0"/>
        <w:keepLines w:val="0"/>
        <w:pageBreakBefore w:val="0"/>
        <w:kinsoku/>
        <w:wordWrap/>
        <w:overflowPunct/>
        <w:topLinePunct w:val="0"/>
        <w:autoSpaceDE/>
        <w:autoSpaceDN/>
        <w:bidi w:val="0"/>
        <w:adjustRightInd/>
        <w:snapToGrid/>
        <w:textAlignment w:val="auto"/>
        <w:outlineLvl w:val="9"/>
      </w:pPr>
      <w:r>
        <w:t>根据《规模畜禽养殖场污染防治最佳可行技术指南（试行）》</w:t>
      </w:r>
      <w:r>
        <w:rPr>
          <w:rFonts w:hint="eastAsia"/>
        </w:rPr>
        <w:t>（HJ-BAT-10-2013）</w:t>
      </w:r>
      <w:r>
        <w:t>编制说明，猪</w:t>
      </w:r>
      <w:r>
        <w:rPr>
          <w:rFonts w:hint="eastAsia"/>
          <w:lang w:val="en-US" w:eastAsia="zh-CN"/>
        </w:rPr>
        <w:t>粪</w:t>
      </w:r>
      <w:r>
        <w:t>排泄量计算公式为：</w:t>
      </w:r>
    </w:p>
    <w:p w14:paraId="443977B0">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Yf</w:t>
      </w:r>
      <w:r>
        <w:t>=0.</w:t>
      </w:r>
      <w:r>
        <w:rPr>
          <w:rFonts w:hint="eastAsia"/>
          <w:lang w:val="en-US" w:eastAsia="zh-CN"/>
        </w:rPr>
        <w:t>530F-0.049</w:t>
      </w:r>
    </w:p>
    <w:p w14:paraId="3031ACAC">
      <w:pPr>
        <w:keepNext w:val="0"/>
        <w:keepLines w:val="0"/>
        <w:pageBreakBefore w:val="0"/>
        <w:kinsoku/>
        <w:wordWrap/>
        <w:overflowPunct/>
        <w:topLinePunct w:val="0"/>
        <w:autoSpaceDE/>
        <w:autoSpaceDN/>
        <w:bidi w:val="0"/>
        <w:adjustRightInd/>
        <w:snapToGrid/>
        <w:textAlignment w:val="auto"/>
        <w:outlineLvl w:val="9"/>
      </w:pPr>
      <w:r>
        <w:t>式中，</w:t>
      </w:r>
      <w:r>
        <w:rPr>
          <w:rFonts w:hint="eastAsia"/>
          <w:lang w:val="en-US" w:eastAsia="zh-CN"/>
        </w:rPr>
        <w:t>Yf</w:t>
      </w:r>
      <w:r>
        <w:t>—</w:t>
      </w:r>
      <w:r>
        <w:rPr>
          <w:rFonts w:hint="eastAsia"/>
          <w:lang w:val="en-US" w:eastAsia="zh-CN"/>
        </w:rPr>
        <w:t>粪便</w:t>
      </w:r>
      <w:r>
        <w:t>排泄量，单位：</w:t>
      </w:r>
      <w:r>
        <w:rPr>
          <w:rFonts w:hint="eastAsia"/>
          <w:lang w:val="en-US" w:eastAsia="zh-CN"/>
        </w:rPr>
        <w:t>kg</w:t>
      </w:r>
      <w:r>
        <w:t>；</w:t>
      </w:r>
    </w:p>
    <w:p w14:paraId="4C40C745">
      <w:pPr>
        <w:keepNext w:val="0"/>
        <w:keepLines w:val="0"/>
        <w:pageBreakBefore w:val="0"/>
        <w:kinsoku/>
        <w:wordWrap/>
        <w:overflowPunct/>
        <w:topLinePunct w:val="0"/>
        <w:autoSpaceDE/>
        <w:autoSpaceDN/>
        <w:bidi w:val="0"/>
        <w:adjustRightInd/>
        <w:snapToGrid/>
        <w:textAlignment w:val="auto"/>
        <w:outlineLvl w:val="9"/>
      </w:pPr>
      <w:r>
        <w:rPr>
          <w:rFonts w:hint="eastAsia"/>
          <w:lang w:val="en-US" w:eastAsia="zh-CN"/>
        </w:rPr>
        <w:t>F</w:t>
      </w:r>
      <w:r>
        <w:t>—</w:t>
      </w:r>
      <w:r>
        <w:rPr>
          <w:rFonts w:hint="eastAsia"/>
          <w:lang w:val="en-US" w:eastAsia="zh-CN"/>
        </w:rPr>
        <w:t>饲料采食量</w:t>
      </w:r>
      <w:r>
        <w:t>，单位：</w:t>
      </w:r>
      <w:r>
        <w:rPr>
          <w:rFonts w:hint="eastAsia"/>
          <w:lang w:val="en-US" w:eastAsia="zh-CN"/>
        </w:rPr>
        <w:t>2.5kg</w:t>
      </w:r>
      <w:r>
        <w:t>。</w:t>
      </w:r>
    </w:p>
    <w:p w14:paraId="61A88C48">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default"/>
        </w:rPr>
        <w:t>本项目常年存栏猪为</w:t>
      </w:r>
      <w:r>
        <w:rPr>
          <w:rFonts w:hint="eastAsia"/>
          <w:lang w:val="en-US" w:eastAsia="zh-CN"/>
        </w:rPr>
        <w:t>5.0</w:t>
      </w:r>
      <w:r>
        <w:rPr>
          <w:rFonts w:hint="default"/>
        </w:rPr>
        <w:t>万头</w:t>
      </w:r>
      <w:r>
        <w:rPr>
          <w:rFonts w:hint="default"/>
          <w:lang w:eastAsia="zh-CN"/>
        </w:rPr>
        <w:t>，</w:t>
      </w:r>
      <w:r>
        <w:rPr>
          <w:rFonts w:hint="default"/>
          <w:lang w:val="en-US" w:eastAsia="zh-CN"/>
        </w:rPr>
        <w:t>故粪便排泄量为1.276</w:t>
      </w:r>
      <w:r>
        <w:rPr>
          <w:rFonts w:hint="default"/>
        </w:rPr>
        <w:t>kg/d</w:t>
      </w:r>
      <w:r>
        <w:rPr>
          <w:rFonts w:hint="eastAsia"/>
          <w:lang w:val="en-US" w:eastAsia="zh-CN"/>
        </w:rPr>
        <w:t>·</w:t>
      </w:r>
      <w:r>
        <w:rPr>
          <w:rFonts w:hint="default"/>
        </w:rPr>
        <w:t>头</w:t>
      </w:r>
      <w:r>
        <w:rPr>
          <w:rFonts w:hint="default"/>
          <w:lang w:eastAsia="zh-CN"/>
        </w:rPr>
        <w:t>，</w:t>
      </w:r>
      <w:r>
        <w:rPr>
          <w:rFonts w:hint="default"/>
          <w:lang w:val="en-US" w:eastAsia="zh-CN"/>
        </w:rPr>
        <w:t>粪便总排泄量为</w:t>
      </w:r>
      <w:r>
        <w:rPr>
          <w:rFonts w:hint="eastAsia"/>
          <w:lang w:val="en-US" w:eastAsia="zh-CN"/>
        </w:rPr>
        <w:t>63.8</w:t>
      </w:r>
      <w:r>
        <w:rPr>
          <w:rFonts w:hint="default"/>
          <w:lang w:val="en-US" w:eastAsia="zh-CN"/>
        </w:rPr>
        <w:t>t/d（</w:t>
      </w:r>
      <w:r>
        <w:rPr>
          <w:rFonts w:hint="eastAsia"/>
          <w:lang w:val="en-US" w:eastAsia="zh-CN"/>
        </w:rPr>
        <w:t>23287</w:t>
      </w:r>
      <w:r>
        <w:rPr>
          <w:rFonts w:hint="default"/>
          <w:lang w:val="en-US" w:eastAsia="zh-CN"/>
        </w:rPr>
        <w:t>t/a）。</w:t>
      </w:r>
    </w:p>
    <w:p w14:paraId="2C8E3F96">
      <w:pPr>
        <w:keepNext w:val="0"/>
        <w:keepLines w:val="0"/>
        <w:pageBreakBefore w:val="0"/>
        <w:kinsoku/>
        <w:wordWrap/>
        <w:overflowPunct/>
        <w:topLinePunct w:val="0"/>
        <w:autoSpaceDE/>
        <w:autoSpaceDN/>
        <w:bidi w:val="0"/>
        <w:adjustRightInd/>
        <w:snapToGrid/>
        <w:textAlignment w:val="auto"/>
        <w:outlineLvl w:val="9"/>
        <w:rPr>
          <w:rFonts w:hint="default"/>
        </w:rPr>
      </w:pPr>
      <w:r>
        <w:rPr>
          <w:rFonts w:hint="default"/>
          <w:lang w:val="en-US" w:eastAsia="zh-CN"/>
        </w:rPr>
        <w:t>猪粪</w:t>
      </w:r>
      <w:r>
        <w:rPr>
          <w:rFonts w:hint="default"/>
        </w:rPr>
        <w:t>养殖粪便量产生系数见下表</w:t>
      </w:r>
      <w:r>
        <w:rPr>
          <w:rFonts w:hint="eastAsia"/>
          <w:lang w:val="en-US" w:eastAsia="zh-CN"/>
        </w:rPr>
        <w:t>3.4-17</w:t>
      </w:r>
      <w:r>
        <w:rPr>
          <w:rFonts w:hint="default"/>
        </w:rPr>
        <w:t>。</w:t>
      </w:r>
    </w:p>
    <w:p w14:paraId="7F430BA8">
      <w:pPr>
        <w:pStyle w:val="30"/>
        <w:keepNext w:val="0"/>
        <w:keepLines w:val="0"/>
        <w:pageBreakBefore w:val="0"/>
        <w:kinsoku/>
        <w:wordWrap/>
        <w:overflowPunct/>
        <w:topLinePunct w:val="0"/>
        <w:autoSpaceDE/>
        <w:autoSpaceDN/>
        <w:bidi w:val="0"/>
        <w:adjustRightInd/>
        <w:snapToGrid/>
        <w:textAlignment w:val="auto"/>
        <w:outlineLvl w:val="9"/>
        <w:rPr>
          <w:rFonts w:hint="default"/>
        </w:rPr>
      </w:pPr>
      <w:r>
        <w:rPr>
          <w:rFonts w:hint="default"/>
        </w:rPr>
        <w:t>表</w:t>
      </w:r>
      <w:r>
        <w:rPr>
          <w:rFonts w:hint="eastAsia"/>
          <w:lang w:val="en-US" w:eastAsia="zh-CN"/>
        </w:rPr>
        <w:t xml:space="preserve">3.4-17  </w:t>
      </w:r>
      <w:r>
        <w:rPr>
          <w:rFonts w:hint="default"/>
        </w:rPr>
        <w:t xml:space="preserve"> 猪养殖粪便量产生系数</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061"/>
        <w:gridCol w:w="1315"/>
        <w:gridCol w:w="1187"/>
        <w:gridCol w:w="1718"/>
        <w:gridCol w:w="1706"/>
      </w:tblGrid>
      <w:tr w14:paraId="4B7D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48" w:type="pct"/>
            <w:noWrap w:val="0"/>
            <w:tcMar>
              <w:top w:w="0" w:type="dxa"/>
              <w:left w:w="57" w:type="dxa"/>
              <w:bottom w:w="0" w:type="dxa"/>
              <w:right w:w="57" w:type="dxa"/>
            </w:tcMar>
            <w:vAlign w:val="center"/>
          </w:tcPr>
          <w:p w14:paraId="08A060A2">
            <w:pPr>
              <w:pStyle w:val="19"/>
              <w:keepNext w:val="0"/>
              <w:keepLines w:val="0"/>
              <w:pageBreakBefore w:val="0"/>
              <w:kinsoku/>
              <w:wordWrap/>
              <w:overflowPunct/>
              <w:topLinePunct w:val="0"/>
              <w:autoSpaceDE/>
              <w:autoSpaceDN/>
              <w:bidi w:val="0"/>
              <w:adjustRightInd/>
              <w:snapToGrid/>
              <w:textAlignment w:val="auto"/>
              <w:outlineLvl w:val="9"/>
              <w:rPr>
                <w:rFonts w:hint="default"/>
              </w:rPr>
            </w:pPr>
            <w:r>
              <w:rPr>
                <w:rFonts w:hint="default"/>
              </w:rPr>
              <w:t>饲养阶段</w:t>
            </w:r>
          </w:p>
        </w:tc>
        <w:tc>
          <w:tcPr>
            <w:tcW w:w="630" w:type="pct"/>
            <w:noWrap w:val="0"/>
            <w:tcMar>
              <w:top w:w="0" w:type="dxa"/>
              <w:left w:w="57" w:type="dxa"/>
              <w:bottom w:w="0" w:type="dxa"/>
              <w:right w:w="57" w:type="dxa"/>
            </w:tcMar>
            <w:vAlign w:val="center"/>
          </w:tcPr>
          <w:p w14:paraId="7B798A13">
            <w:pPr>
              <w:pStyle w:val="19"/>
              <w:keepNext w:val="0"/>
              <w:keepLines w:val="0"/>
              <w:pageBreakBefore w:val="0"/>
              <w:kinsoku/>
              <w:wordWrap/>
              <w:overflowPunct/>
              <w:topLinePunct w:val="0"/>
              <w:autoSpaceDE/>
              <w:autoSpaceDN/>
              <w:bidi w:val="0"/>
              <w:adjustRightInd/>
              <w:snapToGrid/>
              <w:textAlignment w:val="auto"/>
              <w:outlineLvl w:val="9"/>
              <w:rPr>
                <w:rFonts w:hint="default"/>
              </w:rPr>
            </w:pPr>
            <w:r>
              <w:rPr>
                <w:rFonts w:hint="default"/>
              </w:rPr>
              <w:t>单位</w:t>
            </w:r>
          </w:p>
        </w:tc>
        <w:tc>
          <w:tcPr>
            <w:tcW w:w="781" w:type="pct"/>
            <w:noWrap w:val="0"/>
            <w:tcMar>
              <w:top w:w="0" w:type="dxa"/>
              <w:left w:w="57" w:type="dxa"/>
              <w:bottom w:w="0" w:type="dxa"/>
              <w:right w:w="57" w:type="dxa"/>
            </w:tcMar>
            <w:vAlign w:val="center"/>
          </w:tcPr>
          <w:p w14:paraId="2B3B015A">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饲料采食量</w:t>
            </w:r>
          </w:p>
        </w:tc>
        <w:tc>
          <w:tcPr>
            <w:tcW w:w="705" w:type="pct"/>
            <w:noWrap w:val="0"/>
            <w:tcMar>
              <w:top w:w="0" w:type="dxa"/>
              <w:left w:w="57" w:type="dxa"/>
              <w:bottom w:w="0" w:type="dxa"/>
              <w:right w:w="57" w:type="dxa"/>
            </w:tcMar>
            <w:vAlign w:val="center"/>
          </w:tcPr>
          <w:p w14:paraId="1E5DFABB">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存栏量</w:t>
            </w:r>
          </w:p>
        </w:tc>
        <w:tc>
          <w:tcPr>
            <w:tcW w:w="1020" w:type="pct"/>
            <w:noWrap w:val="0"/>
            <w:tcMar>
              <w:top w:w="0" w:type="dxa"/>
              <w:left w:w="57" w:type="dxa"/>
              <w:bottom w:w="0" w:type="dxa"/>
              <w:right w:w="57" w:type="dxa"/>
            </w:tcMar>
            <w:vAlign w:val="center"/>
          </w:tcPr>
          <w:p w14:paraId="450D4830">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年生产天数</w:t>
            </w:r>
          </w:p>
        </w:tc>
        <w:tc>
          <w:tcPr>
            <w:tcW w:w="1013" w:type="pct"/>
            <w:noWrap w:val="0"/>
            <w:tcMar>
              <w:top w:w="0" w:type="dxa"/>
              <w:left w:w="57" w:type="dxa"/>
              <w:bottom w:w="0" w:type="dxa"/>
              <w:right w:w="57" w:type="dxa"/>
            </w:tcMar>
            <w:vAlign w:val="center"/>
          </w:tcPr>
          <w:p w14:paraId="63B438C7">
            <w:pPr>
              <w:pStyle w:val="19"/>
              <w:keepNext w:val="0"/>
              <w:keepLines w:val="0"/>
              <w:pageBreakBefore w:val="0"/>
              <w:kinsoku/>
              <w:wordWrap/>
              <w:overflowPunct/>
              <w:topLinePunct w:val="0"/>
              <w:autoSpaceDE/>
              <w:autoSpaceDN/>
              <w:bidi w:val="0"/>
              <w:adjustRightInd/>
              <w:snapToGrid/>
              <w:textAlignment w:val="auto"/>
              <w:outlineLvl w:val="9"/>
              <w:rPr>
                <w:rFonts w:hint="default"/>
              </w:rPr>
            </w:pPr>
            <w:r>
              <w:rPr>
                <w:rFonts w:hint="eastAsia"/>
                <w:lang w:val="en-US" w:eastAsia="zh-CN"/>
              </w:rPr>
              <w:t>粪便</w:t>
            </w:r>
            <w:r>
              <w:rPr>
                <w:rFonts w:hint="default"/>
              </w:rPr>
              <w:t>产生量（t/a）</w:t>
            </w:r>
          </w:p>
        </w:tc>
      </w:tr>
      <w:tr w14:paraId="3136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48" w:type="pct"/>
            <w:noWrap w:val="0"/>
            <w:tcMar>
              <w:top w:w="0" w:type="dxa"/>
              <w:left w:w="57" w:type="dxa"/>
              <w:bottom w:w="0" w:type="dxa"/>
              <w:right w:w="57" w:type="dxa"/>
            </w:tcMar>
            <w:vAlign w:val="center"/>
          </w:tcPr>
          <w:p w14:paraId="3C3675CC">
            <w:pPr>
              <w:pStyle w:val="19"/>
              <w:keepNext w:val="0"/>
              <w:keepLines w:val="0"/>
              <w:pageBreakBefore w:val="0"/>
              <w:kinsoku/>
              <w:wordWrap/>
              <w:overflowPunct/>
              <w:topLinePunct w:val="0"/>
              <w:autoSpaceDE/>
              <w:autoSpaceDN/>
              <w:bidi w:val="0"/>
              <w:adjustRightInd/>
              <w:snapToGrid/>
              <w:textAlignment w:val="auto"/>
              <w:outlineLvl w:val="9"/>
              <w:rPr>
                <w:rFonts w:hint="default"/>
              </w:rPr>
            </w:pPr>
            <w:r>
              <w:rPr>
                <w:rFonts w:hint="default"/>
              </w:rPr>
              <w:t>育肥猪</w:t>
            </w:r>
          </w:p>
        </w:tc>
        <w:tc>
          <w:tcPr>
            <w:tcW w:w="630" w:type="pct"/>
            <w:noWrap w:val="0"/>
            <w:tcMar>
              <w:top w:w="0" w:type="dxa"/>
              <w:left w:w="57" w:type="dxa"/>
              <w:bottom w:w="0" w:type="dxa"/>
              <w:right w:w="57" w:type="dxa"/>
            </w:tcMar>
            <w:vAlign w:val="center"/>
          </w:tcPr>
          <w:p w14:paraId="53410FD6">
            <w:pPr>
              <w:pStyle w:val="19"/>
              <w:keepNext w:val="0"/>
              <w:keepLines w:val="0"/>
              <w:pageBreakBefore w:val="0"/>
              <w:kinsoku/>
              <w:wordWrap/>
              <w:overflowPunct/>
              <w:topLinePunct w:val="0"/>
              <w:autoSpaceDE/>
              <w:autoSpaceDN/>
              <w:bidi w:val="0"/>
              <w:adjustRightInd/>
              <w:snapToGrid/>
              <w:textAlignment w:val="auto"/>
              <w:outlineLvl w:val="9"/>
              <w:rPr>
                <w:rFonts w:hint="default"/>
              </w:rPr>
            </w:pPr>
            <w:r>
              <w:rPr>
                <w:rFonts w:hint="default"/>
              </w:rPr>
              <w:t>kg/头</w:t>
            </w:r>
            <w:r>
              <w:rPr>
                <w:rFonts w:hint="eastAsia"/>
                <w:lang w:val="en-US" w:eastAsia="zh-CN"/>
              </w:rPr>
              <w:t>·</w:t>
            </w:r>
            <w:r>
              <w:rPr>
                <w:rFonts w:hint="default"/>
              </w:rPr>
              <w:t>d</w:t>
            </w:r>
          </w:p>
        </w:tc>
        <w:tc>
          <w:tcPr>
            <w:tcW w:w="781" w:type="pct"/>
            <w:noWrap w:val="0"/>
            <w:tcMar>
              <w:top w:w="0" w:type="dxa"/>
              <w:left w:w="57" w:type="dxa"/>
              <w:bottom w:w="0" w:type="dxa"/>
              <w:right w:w="57" w:type="dxa"/>
            </w:tcMar>
            <w:vAlign w:val="center"/>
          </w:tcPr>
          <w:p w14:paraId="66D67E5E">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rPr>
            </w:pPr>
            <w:r>
              <w:rPr>
                <w:rFonts w:hint="eastAsia"/>
                <w:lang w:val="en-US" w:eastAsia="zh-CN"/>
              </w:rPr>
              <w:t>2.5</w:t>
            </w:r>
          </w:p>
        </w:tc>
        <w:tc>
          <w:tcPr>
            <w:tcW w:w="705" w:type="pct"/>
            <w:noWrap w:val="0"/>
            <w:tcMar>
              <w:top w:w="0" w:type="dxa"/>
              <w:left w:w="57" w:type="dxa"/>
              <w:bottom w:w="0" w:type="dxa"/>
              <w:right w:w="57" w:type="dxa"/>
            </w:tcMar>
            <w:vAlign w:val="center"/>
          </w:tcPr>
          <w:p w14:paraId="3405EB34">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50000</w:t>
            </w:r>
          </w:p>
        </w:tc>
        <w:tc>
          <w:tcPr>
            <w:tcW w:w="1020" w:type="pct"/>
            <w:noWrap w:val="0"/>
            <w:tcMar>
              <w:top w:w="0" w:type="dxa"/>
              <w:left w:w="57" w:type="dxa"/>
              <w:bottom w:w="0" w:type="dxa"/>
              <w:right w:w="57" w:type="dxa"/>
            </w:tcMar>
            <w:vAlign w:val="center"/>
          </w:tcPr>
          <w:p w14:paraId="5846396F">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365</w:t>
            </w:r>
          </w:p>
        </w:tc>
        <w:tc>
          <w:tcPr>
            <w:tcW w:w="1013" w:type="pct"/>
            <w:noWrap w:val="0"/>
            <w:tcMar>
              <w:top w:w="0" w:type="dxa"/>
              <w:left w:w="57" w:type="dxa"/>
              <w:bottom w:w="0" w:type="dxa"/>
              <w:right w:w="57" w:type="dxa"/>
            </w:tcMar>
            <w:vAlign w:val="center"/>
          </w:tcPr>
          <w:p w14:paraId="5D4A4F87">
            <w:pPr>
              <w:pStyle w:val="19"/>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23287</w:t>
            </w:r>
          </w:p>
        </w:tc>
      </w:tr>
    </w:tbl>
    <w:p w14:paraId="2597DBB8">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（2）沼渣、污泥</w:t>
      </w:r>
    </w:p>
    <w:p w14:paraId="03072DB1">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根据类比已投入运营的种猪育肥场运营经验，厌氧反应后的沼渣及好氧处理后的污泥产生量按8kg/100m</w:t>
      </w:r>
      <w:r>
        <w:rPr>
          <w:rFonts w:hint="eastAsia"/>
          <w:vertAlign w:val="superscript"/>
          <w:lang w:val="en-US" w:eastAsia="zh-CN"/>
        </w:rPr>
        <w:t>3</w:t>
      </w:r>
      <w:r>
        <w:rPr>
          <w:rFonts w:hint="eastAsia"/>
          <w:vertAlign w:val="baseline"/>
          <w:lang w:val="en-US" w:eastAsia="zh-CN"/>
        </w:rPr>
        <w:t>·</w:t>
      </w:r>
      <w:r>
        <w:rPr>
          <w:rFonts w:hint="eastAsia"/>
          <w:lang w:val="en-US" w:eastAsia="zh-CN"/>
        </w:rPr>
        <w:t>d（废水）计，本项目废水处理量为260.58m</w:t>
      </w:r>
      <w:r>
        <w:rPr>
          <w:rFonts w:hint="eastAsia"/>
          <w:vertAlign w:val="superscript"/>
          <w:lang w:val="en-US" w:eastAsia="zh-CN"/>
        </w:rPr>
        <w:t>3</w:t>
      </w:r>
      <w:r>
        <w:rPr>
          <w:rFonts w:hint="eastAsia"/>
          <w:lang w:val="en-US" w:eastAsia="zh-CN"/>
        </w:rPr>
        <w:t>/d，则项目污水处理设施沼渣及污泥产生量为7.61t/a。</w:t>
      </w:r>
    </w:p>
    <w:p w14:paraId="60CB19A9">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由于本项目污水处理系统主要处理养殖废水、生活废水，所产生的污泥不属于危险废物，为一般固废，可纳入堆肥场与粪便一并堆肥处理。</w:t>
      </w:r>
    </w:p>
    <w:p w14:paraId="60DBCD2B">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（3）病死猪</w:t>
      </w:r>
    </w:p>
    <w:p w14:paraId="28E319DA">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本项目建设单位养殖场采用了科学化管理与养殖方式，病死猪产生量控制在较低的比例，根据目前规模化养殖场的管理水平，出现病死猪的几率和数量较低。类比现有已建规模化养殖场生产情况，本项目猪死亡率按最大存栏量的1%计，则年死亡数为500头，育肥猪重量分别按70kg计，则病死猪产生量为35t/a。</w:t>
      </w:r>
    </w:p>
    <w:p w14:paraId="3F0B2578">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根据《国家危险废物名录》（2021年），病死家禽不属于危险废物。而按照《关于进一步加强病死动物无害化处理监管工作的通知》（农医发〔2012〕12号）的要求，由动物卫生监督机构承担病死动物及动物产品无害化处理的监管责任，按照《病死动物无害化处理技术规范》（农医发〔2013〕34号）的有关要求进行无害化处理。</w:t>
      </w:r>
    </w:p>
    <w:p w14:paraId="360305BE">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本项目产生的病死猪及时交由有资质单位处理（暂定为第七师123</w:t>
      </w:r>
      <w:r>
        <w:rPr>
          <w:rFonts w:hint="eastAsia"/>
        </w:rPr>
        <w:t>团病死畜禽无害化处理</w:t>
      </w:r>
      <w:r>
        <w:rPr>
          <w:rFonts w:hint="eastAsia"/>
          <w:lang w:val="en-US" w:eastAsia="zh-CN"/>
        </w:rPr>
        <w:t>中心），防止产生恶臭等二次污染，并杜绝传播疾病。</w:t>
      </w:r>
    </w:p>
    <w:p w14:paraId="42DA7410">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（4）废饲料包装袋</w:t>
      </w:r>
    </w:p>
    <w:p w14:paraId="6E10BC4A">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本项目外购袋装饲料后运输至厂区，将产生少量的废包装袋，根据类比估算，其产生量约为2t/a。统一收集后外卖给废品回收站。</w:t>
      </w:r>
    </w:p>
    <w:p w14:paraId="797650AD">
      <w:pPr>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r>
        <w:rPr>
          <w:rFonts w:hint="eastAsia"/>
          <w:lang w:val="en-US" w:eastAsia="zh-CN"/>
        </w:rPr>
        <w:t>（5）废脱硫剂</w:t>
      </w:r>
    </w:p>
    <w:p w14:paraId="79801053">
      <w:pPr>
        <w:keepNext w:val="0"/>
        <w:keepLines w:val="0"/>
        <w:pageBreakBefore w:val="0"/>
        <w:widowControl/>
        <w:suppressLineNumbers w:val="0"/>
        <w:kinsoku/>
        <w:wordWrap/>
        <w:overflowPunct/>
        <w:topLinePunct w:val="0"/>
        <w:autoSpaceDE/>
        <w:autoSpaceDN/>
        <w:bidi w:val="0"/>
        <w:adjustRightInd/>
        <w:snapToGrid/>
        <w:jc w:val="left"/>
        <w:textAlignment w:val="auto"/>
        <w:outlineLvl w:val="9"/>
      </w:pPr>
      <w:r>
        <w:rPr>
          <w:rFonts w:hint="eastAsia" w:ascii="宋体" w:hAnsi="宋体" w:eastAsia="宋体" w:cs="宋体"/>
          <w:color w:val="000000"/>
          <w:kern w:val="0"/>
          <w:sz w:val="24"/>
          <w:szCs w:val="24"/>
          <w:lang w:val="en-US" w:eastAsia="zh-CN" w:bidi="ar"/>
        </w:rPr>
        <w:t>沼气脱硫装置中失去活性的废脱硫剂年产生量约为</w:t>
      </w:r>
      <w:r>
        <w:rPr>
          <w:rFonts w:hint="default" w:ascii="Times New Roman" w:hAnsi="Times New Roman" w:eastAsia="宋体" w:cs="Times New Roman"/>
          <w:color w:val="000000"/>
          <w:kern w:val="0"/>
          <w:sz w:val="24"/>
          <w:szCs w:val="24"/>
          <w:lang w:val="en-US" w:eastAsia="zh-CN" w:bidi="ar"/>
        </w:rPr>
        <w:t>0.06t</w:t>
      </w:r>
      <w:r>
        <w:rPr>
          <w:rFonts w:hint="eastAsia" w:ascii="宋体" w:hAnsi="宋体" w:eastAsia="宋体" w:cs="宋体"/>
          <w:color w:val="000000"/>
          <w:kern w:val="0"/>
          <w:sz w:val="24"/>
          <w:szCs w:val="24"/>
          <w:lang w:val="en-US" w:eastAsia="zh-CN" w:bidi="ar"/>
        </w:rPr>
        <w:t>，交由生产厂家统一回收处置</w:t>
      </w:r>
      <w:r>
        <w:rPr>
          <w:rFonts w:hint="eastAsia" w:ascii="宋体" w:hAnsi="宋体" w:cs="宋体"/>
          <w:color w:val="000000"/>
          <w:kern w:val="0"/>
          <w:sz w:val="24"/>
          <w:szCs w:val="24"/>
          <w:lang w:val="en-US" w:eastAsia="zh-CN" w:bidi="ar"/>
        </w:rPr>
        <w:t>。</w:t>
      </w:r>
    </w:p>
    <w:p w14:paraId="17F1380C">
      <w:pPr>
        <w:keepNext w:val="0"/>
        <w:keepLines w:val="0"/>
        <w:pageBreakBefore w:val="0"/>
        <w:kinsoku/>
        <w:wordWrap/>
        <w:overflowPunct/>
        <w:topLinePunct w:val="0"/>
        <w:autoSpaceDE/>
        <w:autoSpaceDN/>
        <w:bidi w:val="0"/>
        <w:adjustRightInd/>
        <w:snapToGrid/>
        <w:textAlignment w:val="auto"/>
        <w:outlineLvl w:val="9"/>
        <w:rPr>
          <w:color w:val="000000" w:themeColor="text1"/>
          <w:highlight w:val="none"/>
          <w14:textFill>
            <w14:solidFill>
              <w14:schemeClr w14:val="tx1"/>
            </w14:solidFill>
          </w14:textFill>
        </w:rPr>
      </w:pPr>
      <w:r>
        <w:rPr>
          <w:rFonts w:hint="eastAsia"/>
          <w:lang w:val="en-US" w:eastAsia="zh-CN"/>
        </w:rPr>
        <w:t>（6）</w:t>
      </w:r>
      <w:r>
        <w:rPr>
          <w:color w:val="000000" w:themeColor="text1"/>
          <w:highlight w:val="none"/>
          <w14:textFill>
            <w14:solidFill>
              <w14:schemeClr w14:val="tx1"/>
            </w14:solidFill>
          </w14:textFill>
        </w:rPr>
        <w:t>生活垃圾</w:t>
      </w:r>
    </w:p>
    <w:p w14:paraId="6957DA16">
      <w:pPr>
        <w:keepNext w:val="0"/>
        <w:keepLines w:val="0"/>
        <w:pageBreakBefore w:val="0"/>
        <w:kinsoku/>
        <w:wordWrap/>
        <w:overflowPunct/>
        <w:topLinePunct w:val="0"/>
        <w:autoSpaceDE/>
        <w:autoSpaceDN/>
        <w:bidi w:val="0"/>
        <w:adjustRightInd/>
        <w:snapToGrid/>
        <w:ind w:firstLine="480" w:firstLineChars="200"/>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人，生活垃圾产生量按0.5kg/d计，生活垃圾产生量为</w:t>
      </w:r>
      <w:r>
        <w:rPr>
          <w:rFonts w:hint="eastAsia"/>
          <w:color w:val="000000" w:themeColor="text1"/>
          <w:highlight w:val="none"/>
          <w:lang w:val="en-US" w:eastAsia="zh-CN"/>
          <w14:textFill>
            <w14:solidFill>
              <w14:schemeClr w14:val="tx1"/>
            </w14:solidFill>
          </w14:textFill>
        </w:rPr>
        <w:t>4.5</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厂区设置垃圾桶</w:t>
      </w:r>
      <w:r>
        <w:rPr>
          <w:color w:val="000000" w:themeColor="text1"/>
          <w:highlight w:val="none"/>
          <w14:textFill>
            <w14:solidFill>
              <w14:schemeClr w14:val="tx1"/>
            </w14:solidFill>
          </w14:textFill>
        </w:rPr>
        <w:t>收集后由环卫部门定期清运。</w:t>
      </w:r>
    </w:p>
    <w:p w14:paraId="4F7331A7">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w:t>
      </w:r>
      <w:r>
        <w:rPr>
          <w:rFonts w:hint="eastAsia"/>
          <w:lang w:val="en-US" w:eastAsia="zh-CN"/>
        </w:rPr>
        <w:t>7</w:t>
      </w:r>
      <w:r>
        <w:rPr>
          <w:rFonts w:hint="eastAsia"/>
          <w:lang w:eastAsia="zh-CN"/>
        </w:rPr>
        <w:t>）软水制备产生的废离子交换树脂</w:t>
      </w:r>
    </w:p>
    <w:p w14:paraId="5E9B9466">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本项目的离子交换器的离子交换树脂填料约为0.1t/a，每3-5年更换一次，根据《国家危险废物名录》（2021），离子交换树脂不属于危险废物（900-015-13），属于一般固废，由厂家回收再生利用。</w:t>
      </w:r>
    </w:p>
    <w:p w14:paraId="772E7F62">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w:t>
      </w:r>
      <w:r>
        <w:rPr>
          <w:rFonts w:hint="eastAsia"/>
          <w:lang w:val="en-US" w:eastAsia="zh-CN"/>
        </w:rPr>
        <w:t>8</w:t>
      </w:r>
      <w:r>
        <w:rPr>
          <w:rFonts w:hint="eastAsia"/>
          <w:lang w:eastAsia="zh-CN"/>
        </w:rPr>
        <w:t>）锅炉灰渣</w:t>
      </w:r>
    </w:p>
    <w:p w14:paraId="6E219532">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本项目生物质锅炉的燃料燃烧后会产生炉渣。锅炉炉渣产生量计算公式如下：</w:t>
      </w:r>
    </w:p>
    <w:p w14:paraId="6DAFDC3A">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Z=dz·B·A/（1-Cz）</w:t>
      </w:r>
    </w:p>
    <w:p w14:paraId="691BE483">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Z—炉渣产生量，t；</w:t>
      </w:r>
    </w:p>
    <w:p w14:paraId="3DF0861E">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B—燃料用量，t；本项目生物质成型燃料用量</w:t>
      </w:r>
      <w:r>
        <w:rPr>
          <w:rFonts w:hint="eastAsia"/>
          <w:lang w:val="en-US" w:eastAsia="zh-CN"/>
        </w:rPr>
        <w:t>1900*3=5700</w:t>
      </w:r>
      <w:r>
        <w:rPr>
          <w:rFonts w:hint="eastAsia"/>
          <w:lang w:eastAsia="zh-CN"/>
        </w:rPr>
        <w:t>t/a；</w:t>
      </w:r>
    </w:p>
    <w:p w14:paraId="2FDAD5A9">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A—燃料中的灰分，% ，即1.89%；</w:t>
      </w:r>
    </w:p>
    <w:p w14:paraId="68F27AC2">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Cz—炉渣中可燃物百分含量，%，本次取27.6%；</w:t>
      </w:r>
    </w:p>
    <w:p w14:paraId="205E140C">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dz—炉渣中的灰分占燃料总灰分的百分数dz=1-dfh，即75%。</w:t>
      </w:r>
    </w:p>
    <w:p w14:paraId="56833A5A">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故锅炉灰渣产生量约</w:t>
      </w:r>
      <w:r>
        <w:rPr>
          <w:rFonts w:hint="eastAsia"/>
          <w:lang w:val="en-US" w:eastAsia="zh-CN"/>
        </w:rPr>
        <w:t>83.09</w:t>
      </w:r>
      <w:r>
        <w:rPr>
          <w:rFonts w:hint="eastAsia"/>
          <w:lang w:eastAsia="zh-CN"/>
        </w:rPr>
        <w:t>t/a。根据《一般固体废物分类与代码》（GB/T39198-2020）查询可知属于非特定行业生产过程中产生的一般固体废物64-锅炉渣-非特定行业生产过程中产生的锅炉渣（代码 900-999-64）。</w:t>
      </w:r>
    </w:p>
    <w:p w14:paraId="2618173D">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清理出的炉渣钾含量较高，同时还含有丰富的营养成分如磷和钙等，集中收集暂存</w:t>
      </w:r>
      <w:r>
        <w:rPr>
          <w:rFonts w:hint="eastAsia"/>
          <w:lang w:val="en-US" w:eastAsia="zh-CN"/>
        </w:rPr>
        <w:t>在</w:t>
      </w:r>
      <w:r>
        <w:rPr>
          <w:rFonts w:hint="eastAsia"/>
          <w:highlight w:val="none"/>
          <w:lang w:val="en-US" w:eastAsia="zh-CN"/>
        </w:rPr>
        <w:t>锅炉房内设置的</w:t>
      </w:r>
      <w:r>
        <w:rPr>
          <w:highlight w:val="none"/>
        </w:rPr>
        <w:t>5m</w:t>
      </w:r>
      <w:r>
        <w:rPr>
          <w:highlight w:val="none"/>
          <w:vertAlign w:val="superscript"/>
        </w:rPr>
        <w:t>3</w:t>
      </w:r>
      <w:r>
        <w:rPr>
          <w:rFonts w:hint="eastAsia"/>
          <w:highlight w:val="none"/>
          <w:vertAlign w:val="baseline"/>
          <w:lang w:val="en-US" w:eastAsia="zh-CN"/>
        </w:rPr>
        <w:t>容量的</w:t>
      </w:r>
      <w:r>
        <w:rPr>
          <w:rFonts w:hint="eastAsia"/>
          <w:highlight w:val="none"/>
          <w:lang w:val="en-US" w:eastAsia="zh-CN"/>
        </w:rPr>
        <w:t>收集箱</w:t>
      </w:r>
      <w:r>
        <w:rPr>
          <w:rFonts w:hint="eastAsia"/>
          <w:lang w:eastAsia="zh-CN"/>
        </w:rPr>
        <w:t>，外售。</w:t>
      </w:r>
    </w:p>
    <w:p w14:paraId="6DBFAE2C">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w:t>
      </w:r>
      <w:r>
        <w:rPr>
          <w:rFonts w:hint="eastAsia"/>
          <w:lang w:val="en-US" w:eastAsia="zh-CN"/>
        </w:rPr>
        <w:t>9</w:t>
      </w:r>
      <w:r>
        <w:rPr>
          <w:rFonts w:hint="eastAsia"/>
          <w:lang w:eastAsia="zh-CN"/>
        </w:rPr>
        <w:t>）除尘灰</w:t>
      </w:r>
    </w:p>
    <w:p w14:paraId="75F94F60">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eastAsia="zh-CN"/>
        </w:rPr>
        <w:t>本项目生物质锅炉配套的袋式除尘器定期清理时会产生除尘灰。根据物料衡算，项目除尘灰的产生量约为</w:t>
      </w:r>
      <w:r>
        <w:rPr>
          <w:rFonts w:hint="eastAsia"/>
          <w:highlight w:val="none"/>
          <w:lang w:val="en-US" w:eastAsia="zh-CN"/>
        </w:rPr>
        <w:t>2.82</w:t>
      </w:r>
      <w:r>
        <w:rPr>
          <w:rFonts w:hint="eastAsia"/>
          <w:highlight w:val="none"/>
          <w:lang w:eastAsia="zh-CN"/>
        </w:rPr>
        <w:t>t/a</w:t>
      </w:r>
      <w:r>
        <w:rPr>
          <w:rFonts w:hint="eastAsia"/>
          <w:lang w:eastAsia="zh-CN"/>
        </w:rPr>
        <w:t>。根据《一般固体废物分类与代码》（GB/T39198-2020）查询可知属于非特定行业生产过程中产生的一般固体废物99-其他废物-非特定行业生产过程中产生的其他废物（代码900-999-99）。清理出的除尘灰属于草木灰，集中收集暂存</w:t>
      </w:r>
      <w:r>
        <w:rPr>
          <w:rFonts w:hint="eastAsia"/>
          <w:lang w:val="en-US" w:eastAsia="zh-CN"/>
        </w:rPr>
        <w:t>在</w:t>
      </w:r>
      <w:r>
        <w:rPr>
          <w:rFonts w:hint="eastAsia"/>
          <w:highlight w:val="none"/>
          <w:lang w:val="en-US" w:eastAsia="zh-CN"/>
        </w:rPr>
        <w:t>锅炉房内设置的</w:t>
      </w:r>
      <w:r>
        <w:rPr>
          <w:highlight w:val="none"/>
        </w:rPr>
        <w:t>5m</w:t>
      </w:r>
      <w:r>
        <w:rPr>
          <w:highlight w:val="none"/>
          <w:vertAlign w:val="superscript"/>
        </w:rPr>
        <w:t>3</w:t>
      </w:r>
      <w:r>
        <w:rPr>
          <w:rFonts w:hint="eastAsia"/>
          <w:highlight w:val="none"/>
          <w:vertAlign w:val="baseline"/>
          <w:lang w:val="en-US" w:eastAsia="zh-CN"/>
        </w:rPr>
        <w:t>容量的</w:t>
      </w:r>
      <w:r>
        <w:rPr>
          <w:rFonts w:hint="eastAsia"/>
          <w:highlight w:val="none"/>
          <w:lang w:val="en-US" w:eastAsia="zh-CN"/>
        </w:rPr>
        <w:t>收集箱</w:t>
      </w:r>
      <w:r>
        <w:rPr>
          <w:rFonts w:hint="eastAsia"/>
          <w:lang w:eastAsia="zh-CN"/>
        </w:rPr>
        <w:t>，外售。</w:t>
      </w:r>
    </w:p>
    <w:p w14:paraId="69B744A7">
      <w:pPr>
        <w:keepNext w:val="0"/>
        <w:keepLines w:val="0"/>
        <w:pageBreakBefore w:val="0"/>
        <w:kinsoku/>
        <w:wordWrap/>
        <w:overflowPunct/>
        <w:topLinePunct w:val="0"/>
        <w:autoSpaceDE/>
        <w:autoSpaceDN/>
        <w:bidi w:val="0"/>
        <w:adjustRightInd/>
        <w:snapToGrid/>
        <w:textAlignment w:val="auto"/>
        <w:outlineLvl w:val="9"/>
        <w:rPr>
          <w:rFonts w:hint="default"/>
          <w:b/>
          <w:bCs/>
          <w:lang w:val="en-US" w:eastAsia="zh-CN"/>
        </w:rPr>
      </w:pPr>
      <w:r>
        <w:rPr>
          <w:rFonts w:hint="eastAsia"/>
          <w:b/>
          <w:bCs/>
          <w:lang w:val="en-US" w:eastAsia="zh-CN"/>
        </w:rPr>
        <w:t>2、危险废物</w:t>
      </w:r>
    </w:p>
    <w:p w14:paraId="57FF9F76">
      <w:pPr>
        <w:keepNext w:val="0"/>
        <w:keepLines w:val="0"/>
        <w:pageBreakBefore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治疗畜禽疾病（本项目主要是猪瘟、伪狂犬、口蹄疫、猪繁殖与呼吸综合征等）使用的药剂主要有猪稳康、伪狂静、OA高效灭活菌、蓝抗定注射液等；药具主要为一次性针具、吊瓶等，临时存放于危废暂存间。医疗废物的产生量与养殖过程中疫情的发生量和治疗量有关，根据卫生防疫要求及疫病防治管理，疫苗药具及防疫用药用量按每只畜禽注射一次，主要产生的一次性针具及废弃药瓶量。根据建设单位提供的数据，每头猪防疫产生医疗废物量约为0.01kg/a，本项目年出栏育肥猪100000头，故医疗废物产生量约为1.0t/a。</w:t>
      </w:r>
    </w:p>
    <w:p w14:paraId="67E82F51">
      <w:pPr>
        <w:keepNext w:val="0"/>
        <w:keepLines w:val="0"/>
        <w:pageBreakBefore w:val="0"/>
        <w:kinsoku/>
        <w:wordWrap/>
        <w:overflowPunct/>
        <w:topLinePunct w:val="0"/>
        <w:autoSpaceDE/>
        <w:autoSpaceDN/>
        <w:bidi w:val="0"/>
        <w:adjustRightInd/>
        <w:snapToGrid/>
        <w:textAlignment w:val="auto"/>
        <w:outlineLvl w:val="9"/>
        <w:rPr>
          <w:rFonts w:hint="eastAsia"/>
          <w:lang w:eastAsia="zh-CN"/>
        </w:rPr>
      </w:pPr>
      <w:r>
        <w:rPr>
          <w:rFonts w:hint="eastAsia"/>
          <w:lang w:val="en-US" w:eastAsia="zh-CN"/>
        </w:rPr>
        <w:t>根据《国家危险废物名录》（2021年），本项目医疗废物属于HW01医疗废物中的“841-001-01为感染性废物”，故本项目产生的医疗废物属于危险废物。评价要求厂区内建设具备“三防”措施的暂存场所，并设置危险废物识别标志。医疗废物委托有资质的单位处理。</w:t>
      </w:r>
    </w:p>
    <w:p w14:paraId="3F7370F3">
      <w:pPr>
        <w:keepNext w:val="0"/>
        <w:keepLines w:val="0"/>
        <w:pageBreakBefore w:val="0"/>
        <w:kinsoku/>
        <w:wordWrap/>
        <w:overflowPunct/>
        <w:topLinePunct w:val="0"/>
        <w:autoSpaceDE/>
        <w:autoSpaceDN/>
        <w:bidi w:val="0"/>
        <w:adjustRightInd/>
        <w:snapToGrid/>
        <w:ind w:firstLine="480" w:firstLineChars="200"/>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本项目固体废物产生及处置情况见表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w:t>
      </w:r>
    </w:p>
    <w:p w14:paraId="456245A6">
      <w:pPr>
        <w:pStyle w:val="30"/>
        <w:bidi w:val="0"/>
      </w:pPr>
      <w:r>
        <w:t>表</w:t>
      </w:r>
      <w:r>
        <w:rPr>
          <w:rFonts w:hint="eastAsia"/>
        </w:rPr>
        <w:t>3</w:t>
      </w:r>
      <w:r>
        <w:t>.</w:t>
      </w:r>
      <w:r>
        <w:rPr>
          <w:rFonts w:hint="eastAsia"/>
          <w:lang w:val="en-US" w:eastAsia="zh-CN"/>
        </w:rPr>
        <w:t xml:space="preserve">4-18  </w:t>
      </w:r>
      <w:r>
        <w:t xml:space="preserve"> </w:t>
      </w:r>
      <w:r>
        <w:rPr>
          <w:rFonts w:hint="eastAsia"/>
          <w:lang w:val="en-US" w:eastAsia="zh-CN"/>
        </w:rPr>
        <w:t>本</w:t>
      </w:r>
      <w:r>
        <w:t>项目固体废物产生及处置情况</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085"/>
        <w:gridCol w:w="1093"/>
        <w:gridCol w:w="915"/>
        <w:gridCol w:w="846"/>
        <w:gridCol w:w="708"/>
        <w:gridCol w:w="758"/>
        <w:gridCol w:w="1034"/>
        <w:gridCol w:w="1390"/>
      </w:tblGrid>
      <w:tr w14:paraId="6962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348" w:type="pct"/>
            <w:tcMar>
              <w:top w:w="0" w:type="dxa"/>
              <w:left w:w="57" w:type="dxa"/>
              <w:bottom w:w="0" w:type="dxa"/>
              <w:right w:w="57" w:type="dxa"/>
            </w:tcMar>
            <w:vAlign w:val="center"/>
          </w:tcPr>
          <w:p w14:paraId="5CB95C41">
            <w:pPr>
              <w:pStyle w:val="19"/>
              <w:bidi w:val="0"/>
              <w:rPr>
                <w:rFonts w:hint="eastAsia" w:eastAsia="宋体"/>
                <w:lang w:val="en-US" w:eastAsia="zh-CN"/>
              </w:rPr>
            </w:pPr>
            <w:r>
              <w:rPr>
                <w:rFonts w:hint="eastAsia"/>
                <w:lang w:val="en-US" w:eastAsia="zh-CN"/>
              </w:rPr>
              <w:t>序号</w:t>
            </w:r>
          </w:p>
        </w:tc>
        <w:tc>
          <w:tcPr>
            <w:tcW w:w="644" w:type="pct"/>
            <w:tcMar>
              <w:top w:w="0" w:type="dxa"/>
              <w:left w:w="57" w:type="dxa"/>
              <w:bottom w:w="0" w:type="dxa"/>
              <w:right w:w="57" w:type="dxa"/>
            </w:tcMar>
            <w:vAlign w:val="center"/>
          </w:tcPr>
          <w:p w14:paraId="7829F702">
            <w:pPr>
              <w:pStyle w:val="19"/>
              <w:bidi w:val="0"/>
            </w:pPr>
            <w:r>
              <w:t>固体废物名称</w:t>
            </w:r>
          </w:p>
        </w:tc>
        <w:tc>
          <w:tcPr>
            <w:tcW w:w="649" w:type="pct"/>
            <w:tcMar>
              <w:top w:w="0" w:type="dxa"/>
              <w:left w:w="57" w:type="dxa"/>
              <w:bottom w:w="0" w:type="dxa"/>
              <w:right w:w="57" w:type="dxa"/>
            </w:tcMar>
            <w:vAlign w:val="center"/>
          </w:tcPr>
          <w:p w14:paraId="2C0CBB9B">
            <w:pPr>
              <w:pStyle w:val="19"/>
              <w:bidi w:val="0"/>
            </w:pPr>
            <w:r>
              <w:t>产生环节</w:t>
            </w:r>
          </w:p>
        </w:tc>
        <w:tc>
          <w:tcPr>
            <w:tcW w:w="543" w:type="pct"/>
            <w:tcMar>
              <w:top w:w="0" w:type="dxa"/>
              <w:left w:w="57" w:type="dxa"/>
              <w:bottom w:w="0" w:type="dxa"/>
              <w:right w:w="57" w:type="dxa"/>
            </w:tcMar>
            <w:vAlign w:val="center"/>
          </w:tcPr>
          <w:p w14:paraId="1DB338B5">
            <w:pPr>
              <w:pStyle w:val="19"/>
              <w:bidi w:val="0"/>
            </w:pPr>
            <w:r>
              <w:t>主要成分</w:t>
            </w:r>
          </w:p>
        </w:tc>
        <w:tc>
          <w:tcPr>
            <w:tcW w:w="502" w:type="pct"/>
            <w:tcMar>
              <w:top w:w="0" w:type="dxa"/>
              <w:left w:w="57" w:type="dxa"/>
              <w:bottom w:w="0" w:type="dxa"/>
              <w:right w:w="57" w:type="dxa"/>
            </w:tcMar>
            <w:vAlign w:val="center"/>
          </w:tcPr>
          <w:p w14:paraId="2D1528ED">
            <w:pPr>
              <w:pStyle w:val="19"/>
              <w:bidi w:val="0"/>
            </w:pPr>
            <w:r>
              <w:t>产生量(t/a)</w:t>
            </w:r>
          </w:p>
        </w:tc>
        <w:tc>
          <w:tcPr>
            <w:tcW w:w="420" w:type="pct"/>
            <w:tcMar>
              <w:top w:w="0" w:type="dxa"/>
              <w:left w:w="57" w:type="dxa"/>
              <w:bottom w:w="0" w:type="dxa"/>
              <w:right w:w="57" w:type="dxa"/>
            </w:tcMar>
            <w:vAlign w:val="center"/>
          </w:tcPr>
          <w:p w14:paraId="573573FA">
            <w:pPr>
              <w:pStyle w:val="19"/>
              <w:bidi w:val="0"/>
            </w:pPr>
            <w:r>
              <w:t>利用量(t/a)</w:t>
            </w:r>
          </w:p>
        </w:tc>
        <w:tc>
          <w:tcPr>
            <w:tcW w:w="450" w:type="pct"/>
            <w:tcMar>
              <w:top w:w="0" w:type="dxa"/>
              <w:left w:w="57" w:type="dxa"/>
              <w:bottom w:w="0" w:type="dxa"/>
              <w:right w:w="57" w:type="dxa"/>
            </w:tcMar>
            <w:vAlign w:val="center"/>
          </w:tcPr>
          <w:p w14:paraId="177B5D98">
            <w:pPr>
              <w:pStyle w:val="19"/>
              <w:bidi w:val="0"/>
            </w:pPr>
            <w:r>
              <w:t>处置量(t/a)</w:t>
            </w:r>
          </w:p>
        </w:tc>
        <w:tc>
          <w:tcPr>
            <w:tcW w:w="614" w:type="pct"/>
            <w:tcMar>
              <w:top w:w="0" w:type="dxa"/>
              <w:left w:w="57" w:type="dxa"/>
              <w:bottom w:w="0" w:type="dxa"/>
              <w:right w:w="57" w:type="dxa"/>
            </w:tcMar>
            <w:vAlign w:val="center"/>
          </w:tcPr>
          <w:p w14:paraId="27129CC6">
            <w:pPr>
              <w:pStyle w:val="19"/>
              <w:bidi w:val="0"/>
            </w:pPr>
            <w:r>
              <w:t>类别</w:t>
            </w:r>
          </w:p>
        </w:tc>
        <w:tc>
          <w:tcPr>
            <w:tcW w:w="825" w:type="pct"/>
            <w:tcMar>
              <w:top w:w="0" w:type="dxa"/>
              <w:left w:w="57" w:type="dxa"/>
              <w:bottom w:w="0" w:type="dxa"/>
              <w:right w:w="57" w:type="dxa"/>
            </w:tcMar>
            <w:vAlign w:val="center"/>
          </w:tcPr>
          <w:p w14:paraId="6E00661D">
            <w:pPr>
              <w:pStyle w:val="19"/>
              <w:bidi w:val="0"/>
            </w:pPr>
            <w:r>
              <w:t>处置措施</w:t>
            </w:r>
          </w:p>
        </w:tc>
      </w:tr>
      <w:tr w14:paraId="77F7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76CDA3E5">
            <w:pPr>
              <w:pStyle w:val="19"/>
              <w:bidi w:val="0"/>
              <w:rPr>
                <w:rFonts w:hint="eastAsia" w:eastAsia="宋体"/>
                <w:lang w:val="en-US" w:eastAsia="zh-CN"/>
              </w:rPr>
            </w:pPr>
            <w:r>
              <w:rPr>
                <w:rFonts w:hint="eastAsia"/>
                <w:lang w:val="en-US" w:eastAsia="zh-CN"/>
              </w:rPr>
              <w:t>1</w:t>
            </w:r>
          </w:p>
        </w:tc>
        <w:tc>
          <w:tcPr>
            <w:tcW w:w="644" w:type="pct"/>
            <w:tcMar>
              <w:top w:w="0" w:type="dxa"/>
              <w:left w:w="57" w:type="dxa"/>
              <w:bottom w:w="0" w:type="dxa"/>
              <w:right w:w="57" w:type="dxa"/>
            </w:tcMar>
            <w:vAlign w:val="center"/>
          </w:tcPr>
          <w:p w14:paraId="3FDF9BFE">
            <w:pPr>
              <w:pStyle w:val="19"/>
              <w:bidi w:val="0"/>
            </w:pPr>
            <w:r>
              <w:rPr>
                <w:rFonts w:hint="default"/>
              </w:rPr>
              <w:t>猪粪</w:t>
            </w:r>
          </w:p>
        </w:tc>
        <w:tc>
          <w:tcPr>
            <w:tcW w:w="649" w:type="pct"/>
            <w:tcMar>
              <w:top w:w="0" w:type="dxa"/>
              <w:left w:w="57" w:type="dxa"/>
              <w:bottom w:w="0" w:type="dxa"/>
              <w:right w:w="57" w:type="dxa"/>
            </w:tcMar>
            <w:vAlign w:val="center"/>
          </w:tcPr>
          <w:p w14:paraId="06D3E11E">
            <w:pPr>
              <w:pStyle w:val="19"/>
              <w:bidi w:val="0"/>
            </w:pPr>
            <w:r>
              <w:rPr>
                <w:rFonts w:hint="default"/>
              </w:rPr>
              <w:t>养殖过程</w:t>
            </w:r>
          </w:p>
        </w:tc>
        <w:tc>
          <w:tcPr>
            <w:tcW w:w="543" w:type="pct"/>
            <w:tcMar>
              <w:top w:w="0" w:type="dxa"/>
              <w:left w:w="57" w:type="dxa"/>
              <w:bottom w:w="0" w:type="dxa"/>
              <w:right w:w="57" w:type="dxa"/>
            </w:tcMar>
            <w:vAlign w:val="center"/>
          </w:tcPr>
          <w:p w14:paraId="781E51E3">
            <w:pPr>
              <w:pStyle w:val="19"/>
              <w:bidi w:val="0"/>
            </w:pPr>
            <w:r>
              <w:rPr>
                <w:rFonts w:hint="default"/>
              </w:rPr>
              <w:t>有机物</w:t>
            </w:r>
          </w:p>
        </w:tc>
        <w:tc>
          <w:tcPr>
            <w:tcW w:w="502" w:type="pct"/>
            <w:tcMar>
              <w:top w:w="0" w:type="dxa"/>
              <w:left w:w="57" w:type="dxa"/>
              <w:bottom w:w="0" w:type="dxa"/>
              <w:right w:w="57" w:type="dxa"/>
            </w:tcMar>
            <w:vAlign w:val="center"/>
          </w:tcPr>
          <w:p w14:paraId="431FFB14">
            <w:pPr>
              <w:pStyle w:val="19"/>
              <w:bidi w:val="0"/>
              <w:rPr>
                <w:rFonts w:hint="default"/>
                <w:lang w:val="en-US"/>
              </w:rPr>
            </w:pPr>
            <w:r>
              <w:rPr>
                <w:rFonts w:hint="eastAsia"/>
                <w:lang w:val="en-US" w:eastAsia="zh-CN"/>
              </w:rPr>
              <w:t>23287</w:t>
            </w:r>
          </w:p>
        </w:tc>
        <w:tc>
          <w:tcPr>
            <w:tcW w:w="420" w:type="pct"/>
            <w:tcMar>
              <w:top w:w="0" w:type="dxa"/>
              <w:left w:w="57" w:type="dxa"/>
              <w:bottom w:w="0" w:type="dxa"/>
              <w:right w:w="57" w:type="dxa"/>
            </w:tcMar>
            <w:vAlign w:val="center"/>
          </w:tcPr>
          <w:p w14:paraId="4CCD2745">
            <w:pPr>
              <w:pStyle w:val="19"/>
              <w:bidi w:val="0"/>
              <w:rPr>
                <w:rFonts w:hint="eastAsia"/>
              </w:rPr>
            </w:pPr>
            <w:r>
              <w:rPr>
                <w:rFonts w:hint="default"/>
              </w:rPr>
              <w:t>0</w:t>
            </w:r>
          </w:p>
        </w:tc>
        <w:tc>
          <w:tcPr>
            <w:tcW w:w="450" w:type="pct"/>
            <w:tcMar>
              <w:top w:w="0" w:type="dxa"/>
              <w:left w:w="57" w:type="dxa"/>
              <w:bottom w:w="0" w:type="dxa"/>
              <w:right w:w="57" w:type="dxa"/>
            </w:tcMar>
            <w:vAlign w:val="center"/>
          </w:tcPr>
          <w:p w14:paraId="69F93D73">
            <w:pPr>
              <w:pStyle w:val="19"/>
              <w:bidi w:val="0"/>
              <w:rPr>
                <w:rFonts w:hint="default"/>
                <w:lang w:val="en-US"/>
              </w:rPr>
            </w:pPr>
            <w:r>
              <w:rPr>
                <w:rFonts w:hint="eastAsia"/>
                <w:lang w:val="en-US" w:eastAsia="zh-CN"/>
              </w:rPr>
              <w:t>23287</w:t>
            </w:r>
          </w:p>
        </w:tc>
        <w:tc>
          <w:tcPr>
            <w:tcW w:w="614" w:type="pct"/>
            <w:tcMar>
              <w:top w:w="0" w:type="dxa"/>
              <w:left w:w="57" w:type="dxa"/>
              <w:bottom w:w="0" w:type="dxa"/>
              <w:right w:w="57" w:type="dxa"/>
            </w:tcMar>
            <w:vAlign w:val="center"/>
          </w:tcPr>
          <w:p w14:paraId="71531672">
            <w:pPr>
              <w:pStyle w:val="19"/>
              <w:bidi w:val="0"/>
            </w:pPr>
            <w:r>
              <w:rPr>
                <w:rFonts w:hint="default"/>
              </w:rPr>
              <w:t>一般固废</w:t>
            </w:r>
          </w:p>
        </w:tc>
        <w:tc>
          <w:tcPr>
            <w:tcW w:w="825" w:type="pct"/>
            <w:vMerge w:val="restart"/>
            <w:tcMar>
              <w:top w:w="0" w:type="dxa"/>
              <w:left w:w="57" w:type="dxa"/>
              <w:bottom w:w="0" w:type="dxa"/>
              <w:right w:w="57" w:type="dxa"/>
            </w:tcMar>
            <w:vAlign w:val="center"/>
          </w:tcPr>
          <w:p w14:paraId="6BC62A57">
            <w:pPr>
              <w:pStyle w:val="19"/>
              <w:bidi w:val="0"/>
              <w:rPr>
                <w:rFonts w:hint="eastAsia" w:eastAsia="宋体"/>
                <w:lang w:eastAsia="zh-CN"/>
              </w:rPr>
            </w:pPr>
            <w:r>
              <w:t>堆肥后</w:t>
            </w:r>
            <w:r>
              <w:rPr>
                <w:rFonts w:hint="eastAsia"/>
                <w:lang w:val="en-US" w:eastAsia="zh-CN"/>
              </w:rPr>
              <w:t>还田</w:t>
            </w:r>
          </w:p>
        </w:tc>
      </w:tr>
      <w:tr w14:paraId="4671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69334DCB">
            <w:pPr>
              <w:pStyle w:val="19"/>
              <w:bidi w:val="0"/>
              <w:rPr>
                <w:rFonts w:hint="eastAsia" w:eastAsia="宋体"/>
                <w:lang w:val="en-US" w:eastAsia="zh-CN"/>
              </w:rPr>
            </w:pPr>
            <w:r>
              <w:rPr>
                <w:rFonts w:hint="eastAsia"/>
                <w:lang w:val="en-US" w:eastAsia="zh-CN"/>
              </w:rPr>
              <w:t>2</w:t>
            </w:r>
          </w:p>
        </w:tc>
        <w:tc>
          <w:tcPr>
            <w:tcW w:w="644" w:type="pct"/>
            <w:tcMar>
              <w:top w:w="0" w:type="dxa"/>
              <w:left w:w="57" w:type="dxa"/>
              <w:bottom w:w="0" w:type="dxa"/>
              <w:right w:w="57" w:type="dxa"/>
            </w:tcMar>
            <w:vAlign w:val="center"/>
          </w:tcPr>
          <w:p w14:paraId="6B535593">
            <w:pPr>
              <w:pStyle w:val="19"/>
              <w:bidi w:val="0"/>
              <w:rPr>
                <w:rFonts w:hint="default" w:eastAsia="宋体"/>
                <w:lang w:val="en-US" w:eastAsia="zh-CN"/>
              </w:rPr>
            </w:pPr>
            <w:r>
              <w:rPr>
                <w:rFonts w:hint="default"/>
              </w:rPr>
              <w:t>沼渣</w:t>
            </w:r>
            <w:r>
              <w:rPr>
                <w:rFonts w:hint="eastAsia"/>
                <w:lang w:val="en-US" w:eastAsia="zh-CN"/>
              </w:rPr>
              <w:t>/污泥</w:t>
            </w:r>
          </w:p>
        </w:tc>
        <w:tc>
          <w:tcPr>
            <w:tcW w:w="649" w:type="pct"/>
            <w:tcMar>
              <w:top w:w="0" w:type="dxa"/>
              <w:left w:w="57" w:type="dxa"/>
              <w:bottom w:w="0" w:type="dxa"/>
              <w:right w:w="57" w:type="dxa"/>
            </w:tcMar>
            <w:vAlign w:val="center"/>
          </w:tcPr>
          <w:p w14:paraId="2D8272FC">
            <w:pPr>
              <w:pStyle w:val="19"/>
              <w:bidi w:val="0"/>
            </w:pPr>
            <w:r>
              <w:rPr>
                <w:rFonts w:hint="default"/>
              </w:rPr>
              <w:t>废水处理</w:t>
            </w:r>
          </w:p>
        </w:tc>
        <w:tc>
          <w:tcPr>
            <w:tcW w:w="543" w:type="pct"/>
            <w:tcMar>
              <w:top w:w="0" w:type="dxa"/>
              <w:left w:w="57" w:type="dxa"/>
              <w:bottom w:w="0" w:type="dxa"/>
              <w:right w:w="57" w:type="dxa"/>
            </w:tcMar>
            <w:vAlign w:val="center"/>
          </w:tcPr>
          <w:p w14:paraId="19AE7288">
            <w:pPr>
              <w:pStyle w:val="19"/>
              <w:bidi w:val="0"/>
            </w:pPr>
            <w:r>
              <w:rPr>
                <w:rFonts w:hint="default"/>
              </w:rPr>
              <w:t>有机物</w:t>
            </w:r>
          </w:p>
        </w:tc>
        <w:tc>
          <w:tcPr>
            <w:tcW w:w="502" w:type="pct"/>
            <w:tcMar>
              <w:top w:w="0" w:type="dxa"/>
              <w:left w:w="57" w:type="dxa"/>
              <w:bottom w:w="0" w:type="dxa"/>
              <w:right w:w="57" w:type="dxa"/>
            </w:tcMar>
            <w:vAlign w:val="center"/>
          </w:tcPr>
          <w:p w14:paraId="54D2FD99">
            <w:pPr>
              <w:pStyle w:val="19"/>
              <w:bidi w:val="0"/>
              <w:rPr>
                <w:rFonts w:hint="default"/>
                <w:lang w:val="en-US"/>
              </w:rPr>
            </w:pPr>
            <w:r>
              <w:rPr>
                <w:rFonts w:hint="eastAsia"/>
                <w:lang w:val="en-US" w:eastAsia="zh-CN"/>
              </w:rPr>
              <w:t>7.61</w:t>
            </w:r>
          </w:p>
        </w:tc>
        <w:tc>
          <w:tcPr>
            <w:tcW w:w="420" w:type="pct"/>
            <w:tcMar>
              <w:top w:w="0" w:type="dxa"/>
              <w:left w:w="57" w:type="dxa"/>
              <w:bottom w:w="0" w:type="dxa"/>
              <w:right w:w="57" w:type="dxa"/>
            </w:tcMar>
            <w:vAlign w:val="center"/>
          </w:tcPr>
          <w:p w14:paraId="209277A8">
            <w:pPr>
              <w:pStyle w:val="19"/>
              <w:bidi w:val="0"/>
            </w:pPr>
            <w:r>
              <w:rPr>
                <w:rFonts w:hint="default"/>
              </w:rPr>
              <w:t>0</w:t>
            </w:r>
          </w:p>
        </w:tc>
        <w:tc>
          <w:tcPr>
            <w:tcW w:w="450" w:type="pct"/>
            <w:tcMar>
              <w:top w:w="0" w:type="dxa"/>
              <w:left w:w="57" w:type="dxa"/>
              <w:bottom w:w="0" w:type="dxa"/>
              <w:right w:w="57" w:type="dxa"/>
            </w:tcMar>
            <w:vAlign w:val="center"/>
          </w:tcPr>
          <w:p w14:paraId="462F64E5">
            <w:pPr>
              <w:pStyle w:val="19"/>
              <w:bidi w:val="0"/>
              <w:rPr>
                <w:rFonts w:hint="default"/>
                <w:lang w:val="en-US" w:eastAsia="zh-CN"/>
              </w:rPr>
            </w:pPr>
            <w:r>
              <w:rPr>
                <w:rFonts w:hint="eastAsia"/>
                <w:lang w:val="en-US" w:eastAsia="zh-CN"/>
              </w:rPr>
              <w:t>7.61</w:t>
            </w:r>
          </w:p>
        </w:tc>
        <w:tc>
          <w:tcPr>
            <w:tcW w:w="614" w:type="pct"/>
            <w:tcMar>
              <w:top w:w="0" w:type="dxa"/>
              <w:left w:w="57" w:type="dxa"/>
              <w:bottom w:w="0" w:type="dxa"/>
              <w:right w:w="57" w:type="dxa"/>
            </w:tcMar>
            <w:vAlign w:val="center"/>
          </w:tcPr>
          <w:p w14:paraId="03E3FD05">
            <w:pPr>
              <w:pStyle w:val="19"/>
              <w:bidi w:val="0"/>
            </w:pPr>
            <w:r>
              <w:rPr>
                <w:rFonts w:hint="default"/>
              </w:rPr>
              <w:t>一般固废</w:t>
            </w:r>
          </w:p>
        </w:tc>
        <w:tc>
          <w:tcPr>
            <w:tcW w:w="825" w:type="pct"/>
            <w:vMerge w:val="continue"/>
            <w:tcMar>
              <w:top w:w="0" w:type="dxa"/>
              <w:left w:w="57" w:type="dxa"/>
              <w:bottom w:w="0" w:type="dxa"/>
              <w:right w:w="57" w:type="dxa"/>
            </w:tcMar>
            <w:vAlign w:val="center"/>
          </w:tcPr>
          <w:p w14:paraId="7935D129">
            <w:pPr>
              <w:pStyle w:val="19"/>
              <w:bidi w:val="0"/>
            </w:pPr>
          </w:p>
        </w:tc>
      </w:tr>
      <w:tr w14:paraId="498C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70850B39">
            <w:pPr>
              <w:pStyle w:val="19"/>
              <w:bidi w:val="0"/>
              <w:rPr>
                <w:rFonts w:hint="eastAsia" w:eastAsia="宋体"/>
                <w:lang w:val="en-US" w:eastAsia="zh-CN"/>
              </w:rPr>
            </w:pPr>
            <w:r>
              <w:rPr>
                <w:rFonts w:hint="eastAsia"/>
                <w:lang w:val="en-US" w:eastAsia="zh-CN"/>
              </w:rPr>
              <w:t>3</w:t>
            </w:r>
          </w:p>
        </w:tc>
        <w:tc>
          <w:tcPr>
            <w:tcW w:w="644" w:type="pct"/>
            <w:tcMar>
              <w:top w:w="0" w:type="dxa"/>
              <w:left w:w="57" w:type="dxa"/>
              <w:bottom w:w="0" w:type="dxa"/>
              <w:right w:w="57" w:type="dxa"/>
            </w:tcMar>
            <w:vAlign w:val="center"/>
          </w:tcPr>
          <w:p w14:paraId="166BC644">
            <w:pPr>
              <w:pStyle w:val="19"/>
              <w:bidi w:val="0"/>
            </w:pPr>
            <w:r>
              <w:t>病死猪</w:t>
            </w:r>
          </w:p>
        </w:tc>
        <w:tc>
          <w:tcPr>
            <w:tcW w:w="649" w:type="pct"/>
            <w:tcMar>
              <w:top w:w="0" w:type="dxa"/>
              <w:left w:w="57" w:type="dxa"/>
              <w:bottom w:w="0" w:type="dxa"/>
              <w:right w:w="57" w:type="dxa"/>
            </w:tcMar>
            <w:vAlign w:val="center"/>
          </w:tcPr>
          <w:p w14:paraId="64296603">
            <w:pPr>
              <w:pStyle w:val="19"/>
              <w:bidi w:val="0"/>
            </w:pPr>
            <w:r>
              <w:t>养殖过程</w:t>
            </w:r>
          </w:p>
        </w:tc>
        <w:tc>
          <w:tcPr>
            <w:tcW w:w="543" w:type="pct"/>
            <w:tcMar>
              <w:top w:w="0" w:type="dxa"/>
              <w:left w:w="57" w:type="dxa"/>
              <w:bottom w:w="0" w:type="dxa"/>
              <w:right w:w="57" w:type="dxa"/>
            </w:tcMar>
            <w:vAlign w:val="center"/>
          </w:tcPr>
          <w:p w14:paraId="5994CB12">
            <w:pPr>
              <w:pStyle w:val="19"/>
              <w:bidi w:val="0"/>
            </w:pPr>
            <w:r>
              <w:t>有机物</w:t>
            </w:r>
          </w:p>
        </w:tc>
        <w:tc>
          <w:tcPr>
            <w:tcW w:w="502" w:type="pct"/>
            <w:tcMar>
              <w:top w:w="0" w:type="dxa"/>
              <w:left w:w="57" w:type="dxa"/>
              <w:bottom w:w="0" w:type="dxa"/>
              <w:right w:w="57" w:type="dxa"/>
            </w:tcMar>
            <w:vAlign w:val="center"/>
          </w:tcPr>
          <w:p w14:paraId="5FA98D09">
            <w:pPr>
              <w:pStyle w:val="19"/>
              <w:bidi w:val="0"/>
            </w:pPr>
            <w:r>
              <w:rPr>
                <w:rFonts w:hint="eastAsia"/>
              </w:rPr>
              <w:t>35</w:t>
            </w:r>
          </w:p>
        </w:tc>
        <w:tc>
          <w:tcPr>
            <w:tcW w:w="420" w:type="pct"/>
            <w:tcMar>
              <w:top w:w="0" w:type="dxa"/>
              <w:left w:w="57" w:type="dxa"/>
              <w:bottom w:w="0" w:type="dxa"/>
              <w:right w:w="57" w:type="dxa"/>
            </w:tcMar>
            <w:vAlign w:val="center"/>
          </w:tcPr>
          <w:p w14:paraId="63029B7F">
            <w:pPr>
              <w:pStyle w:val="19"/>
              <w:bidi w:val="0"/>
            </w:pPr>
            <w:r>
              <w:t>0</w:t>
            </w:r>
          </w:p>
        </w:tc>
        <w:tc>
          <w:tcPr>
            <w:tcW w:w="450" w:type="pct"/>
            <w:tcMar>
              <w:top w:w="0" w:type="dxa"/>
              <w:left w:w="57" w:type="dxa"/>
              <w:bottom w:w="0" w:type="dxa"/>
              <w:right w:w="57" w:type="dxa"/>
            </w:tcMar>
            <w:vAlign w:val="center"/>
          </w:tcPr>
          <w:p w14:paraId="76CD0A3B">
            <w:pPr>
              <w:pStyle w:val="19"/>
              <w:bidi w:val="0"/>
            </w:pPr>
            <w:r>
              <w:rPr>
                <w:rFonts w:hint="eastAsia"/>
              </w:rPr>
              <w:t>35</w:t>
            </w:r>
          </w:p>
        </w:tc>
        <w:tc>
          <w:tcPr>
            <w:tcW w:w="614" w:type="pct"/>
            <w:tcMar>
              <w:top w:w="0" w:type="dxa"/>
              <w:left w:w="57" w:type="dxa"/>
              <w:bottom w:w="0" w:type="dxa"/>
              <w:right w:w="57" w:type="dxa"/>
            </w:tcMar>
            <w:vAlign w:val="center"/>
          </w:tcPr>
          <w:p w14:paraId="0E0C7ED5">
            <w:pPr>
              <w:pStyle w:val="19"/>
              <w:bidi w:val="0"/>
              <w:rPr>
                <w:rFonts w:hint="eastAsia" w:eastAsia="宋体"/>
                <w:lang w:eastAsia="zh-CN"/>
              </w:rPr>
            </w:pPr>
            <w:r>
              <w:rPr>
                <w:rFonts w:hint="eastAsia"/>
                <w:lang w:val="en-US" w:eastAsia="zh-CN"/>
              </w:rPr>
              <w:t>/</w:t>
            </w:r>
          </w:p>
        </w:tc>
        <w:tc>
          <w:tcPr>
            <w:tcW w:w="825" w:type="pct"/>
            <w:tcMar>
              <w:top w:w="0" w:type="dxa"/>
              <w:left w:w="57" w:type="dxa"/>
              <w:bottom w:w="0" w:type="dxa"/>
              <w:right w:w="57" w:type="dxa"/>
            </w:tcMar>
            <w:vAlign w:val="center"/>
          </w:tcPr>
          <w:p w14:paraId="1108FF19">
            <w:pPr>
              <w:pStyle w:val="19"/>
              <w:bidi w:val="0"/>
            </w:pPr>
            <w:r>
              <w:rPr>
                <w:rFonts w:hint="eastAsia"/>
                <w:lang w:val="en-US" w:eastAsia="zh-CN"/>
              </w:rPr>
              <w:t>委托</w:t>
            </w:r>
            <w:r>
              <w:t>有资质的单位</w:t>
            </w:r>
            <w:r>
              <w:rPr>
                <w:rFonts w:hint="eastAsia"/>
              </w:rPr>
              <w:t>无害化处置</w:t>
            </w:r>
          </w:p>
        </w:tc>
      </w:tr>
      <w:tr w14:paraId="2E20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671297B1">
            <w:pPr>
              <w:pStyle w:val="19"/>
              <w:bidi w:val="0"/>
              <w:rPr>
                <w:rFonts w:hint="default"/>
                <w:lang w:val="en-US" w:eastAsia="zh-CN"/>
              </w:rPr>
            </w:pPr>
            <w:r>
              <w:rPr>
                <w:rFonts w:hint="eastAsia"/>
                <w:lang w:val="en-US" w:eastAsia="zh-CN"/>
              </w:rPr>
              <w:t>4</w:t>
            </w:r>
          </w:p>
        </w:tc>
        <w:tc>
          <w:tcPr>
            <w:tcW w:w="644" w:type="pct"/>
            <w:tcMar>
              <w:top w:w="0" w:type="dxa"/>
              <w:left w:w="57" w:type="dxa"/>
              <w:bottom w:w="0" w:type="dxa"/>
              <w:right w:w="57" w:type="dxa"/>
            </w:tcMar>
            <w:vAlign w:val="center"/>
          </w:tcPr>
          <w:p w14:paraId="4D6791E9">
            <w:pPr>
              <w:pStyle w:val="19"/>
              <w:bidi w:val="0"/>
              <w:rPr>
                <w:rFonts w:hint="default" w:eastAsia="宋体"/>
                <w:lang w:val="en-US" w:eastAsia="zh-CN"/>
              </w:rPr>
            </w:pPr>
            <w:r>
              <w:rPr>
                <w:rFonts w:hint="eastAsia"/>
                <w:lang w:val="en-US" w:eastAsia="zh-CN"/>
              </w:rPr>
              <w:t>废饲料包装袋</w:t>
            </w:r>
          </w:p>
        </w:tc>
        <w:tc>
          <w:tcPr>
            <w:tcW w:w="649" w:type="pct"/>
            <w:tcMar>
              <w:top w:w="0" w:type="dxa"/>
              <w:left w:w="57" w:type="dxa"/>
              <w:bottom w:w="0" w:type="dxa"/>
              <w:right w:w="57" w:type="dxa"/>
            </w:tcMar>
            <w:vAlign w:val="center"/>
          </w:tcPr>
          <w:p w14:paraId="257AF52D">
            <w:pPr>
              <w:pStyle w:val="19"/>
              <w:bidi w:val="0"/>
            </w:pPr>
            <w:r>
              <w:t>养殖过程</w:t>
            </w:r>
          </w:p>
        </w:tc>
        <w:tc>
          <w:tcPr>
            <w:tcW w:w="543" w:type="pct"/>
            <w:tcMar>
              <w:top w:w="0" w:type="dxa"/>
              <w:left w:w="57" w:type="dxa"/>
              <w:bottom w:w="0" w:type="dxa"/>
              <w:right w:w="57" w:type="dxa"/>
            </w:tcMar>
            <w:vAlign w:val="center"/>
          </w:tcPr>
          <w:p w14:paraId="0B8EB6C3">
            <w:pPr>
              <w:pStyle w:val="19"/>
              <w:bidi w:val="0"/>
              <w:rPr>
                <w:rFonts w:hint="eastAsia" w:eastAsia="宋体"/>
                <w:lang w:val="en-US" w:eastAsia="zh-CN"/>
              </w:rPr>
            </w:pPr>
            <w:r>
              <w:rPr>
                <w:rFonts w:hint="eastAsia"/>
                <w:lang w:val="en-US" w:eastAsia="zh-CN"/>
              </w:rPr>
              <w:t>塑料</w:t>
            </w:r>
          </w:p>
        </w:tc>
        <w:tc>
          <w:tcPr>
            <w:tcW w:w="502" w:type="pct"/>
            <w:tcMar>
              <w:top w:w="0" w:type="dxa"/>
              <w:left w:w="57" w:type="dxa"/>
              <w:bottom w:w="0" w:type="dxa"/>
              <w:right w:w="57" w:type="dxa"/>
            </w:tcMar>
            <w:vAlign w:val="center"/>
          </w:tcPr>
          <w:p w14:paraId="66923C87">
            <w:pPr>
              <w:pStyle w:val="19"/>
              <w:bidi w:val="0"/>
              <w:rPr>
                <w:rFonts w:hint="eastAsia" w:eastAsia="宋体"/>
                <w:lang w:val="en-US" w:eastAsia="zh-CN"/>
              </w:rPr>
            </w:pPr>
            <w:r>
              <w:rPr>
                <w:rFonts w:hint="eastAsia"/>
                <w:lang w:val="en-US" w:eastAsia="zh-CN"/>
              </w:rPr>
              <w:t>2</w:t>
            </w:r>
          </w:p>
        </w:tc>
        <w:tc>
          <w:tcPr>
            <w:tcW w:w="420" w:type="pct"/>
            <w:tcMar>
              <w:top w:w="0" w:type="dxa"/>
              <w:left w:w="57" w:type="dxa"/>
              <w:bottom w:w="0" w:type="dxa"/>
              <w:right w:w="57" w:type="dxa"/>
            </w:tcMar>
            <w:vAlign w:val="center"/>
          </w:tcPr>
          <w:p w14:paraId="4FF68B1D">
            <w:pPr>
              <w:pStyle w:val="19"/>
              <w:bidi w:val="0"/>
              <w:rPr>
                <w:rFonts w:hint="eastAsia" w:eastAsia="宋体"/>
                <w:lang w:val="en-US" w:eastAsia="zh-CN"/>
              </w:rPr>
            </w:pPr>
            <w:r>
              <w:rPr>
                <w:rFonts w:hint="eastAsia"/>
                <w:lang w:val="en-US" w:eastAsia="zh-CN"/>
              </w:rPr>
              <w:t>0</w:t>
            </w:r>
          </w:p>
        </w:tc>
        <w:tc>
          <w:tcPr>
            <w:tcW w:w="450" w:type="pct"/>
            <w:tcMar>
              <w:top w:w="0" w:type="dxa"/>
              <w:left w:w="57" w:type="dxa"/>
              <w:bottom w:w="0" w:type="dxa"/>
              <w:right w:w="57" w:type="dxa"/>
            </w:tcMar>
            <w:vAlign w:val="center"/>
          </w:tcPr>
          <w:p w14:paraId="4CDE9FB9">
            <w:pPr>
              <w:pStyle w:val="19"/>
              <w:bidi w:val="0"/>
              <w:rPr>
                <w:rFonts w:hint="eastAsia" w:eastAsia="宋体"/>
                <w:lang w:val="en-US" w:eastAsia="zh-CN"/>
              </w:rPr>
            </w:pPr>
            <w:r>
              <w:rPr>
                <w:rFonts w:hint="eastAsia"/>
                <w:lang w:val="en-US" w:eastAsia="zh-CN"/>
              </w:rPr>
              <w:t>2</w:t>
            </w:r>
          </w:p>
        </w:tc>
        <w:tc>
          <w:tcPr>
            <w:tcW w:w="614" w:type="pct"/>
            <w:tcMar>
              <w:top w:w="0" w:type="dxa"/>
              <w:left w:w="57" w:type="dxa"/>
              <w:bottom w:w="0" w:type="dxa"/>
              <w:right w:w="57" w:type="dxa"/>
            </w:tcMar>
            <w:vAlign w:val="center"/>
          </w:tcPr>
          <w:p w14:paraId="1C5BA904">
            <w:pPr>
              <w:pStyle w:val="19"/>
              <w:bidi w:val="0"/>
              <w:rPr>
                <w:rFonts w:hint="eastAsia"/>
                <w:lang w:val="en-US" w:eastAsia="zh-CN"/>
              </w:rPr>
            </w:pPr>
            <w:r>
              <w:rPr>
                <w:rFonts w:hint="default"/>
              </w:rPr>
              <w:t>一般固废</w:t>
            </w:r>
          </w:p>
        </w:tc>
        <w:tc>
          <w:tcPr>
            <w:tcW w:w="825" w:type="pct"/>
            <w:tcMar>
              <w:top w:w="0" w:type="dxa"/>
              <w:left w:w="57" w:type="dxa"/>
              <w:bottom w:w="0" w:type="dxa"/>
              <w:right w:w="57" w:type="dxa"/>
            </w:tcMar>
            <w:vAlign w:val="center"/>
          </w:tcPr>
          <w:p w14:paraId="360D0452">
            <w:pPr>
              <w:pStyle w:val="19"/>
              <w:bidi w:val="0"/>
              <w:rPr>
                <w:rFonts w:hint="default"/>
                <w:lang w:val="en-US" w:eastAsia="zh-CN"/>
              </w:rPr>
            </w:pPr>
            <w:r>
              <w:rPr>
                <w:rFonts w:hint="eastAsia"/>
                <w:lang w:val="en-US" w:eastAsia="zh-CN"/>
              </w:rPr>
              <w:t>外售给废品回收站</w:t>
            </w:r>
          </w:p>
        </w:tc>
      </w:tr>
      <w:tr w14:paraId="3D01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70905A7B">
            <w:pPr>
              <w:pStyle w:val="19"/>
              <w:bidi w:val="0"/>
              <w:rPr>
                <w:rFonts w:hint="default"/>
                <w:lang w:val="en-US" w:eastAsia="zh-CN"/>
              </w:rPr>
            </w:pPr>
            <w:r>
              <w:rPr>
                <w:rFonts w:hint="eastAsia"/>
                <w:lang w:val="en-US" w:eastAsia="zh-CN"/>
              </w:rPr>
              <w:t>5</w:t>
            </w:r>
          </w:p>
        </w:tc>
        <w:tc>
          <w:tcPr>
            <w:tcW w:w="644" w:type="pct"/>
            <w:tcMar>
              <w:top w:w="0" w:type="dxa"/>
              <w:left w:w="57" w:type="dxa"/>
              <w:bottom w:w="0" w:type="dxa"/>
              <w:right w:w="57" w:type="dxa"/>
            </w:tcMar>
            <w:vAlign w:val="center"/>
          </w:tcPr>
          <w:p w14:paraId="61466421">
            <w:pPr>
              <w:pStyle w:val="19"/>
              <w:bidi w:val="0"/>
              <w:rPr>
                <w:rFonts w:hint="default"/>
                <w:lang w:val="en-US" w:eastAsia="zh-CN"/>
              </w:rPr>
            </w:pPr>
            <w:r>
              <w:rPr>
                <w:rFonts w:hint="eastAsia"/>
                <w:lang w:val="en-US" w:eastAsia="zh-CN"/>
              </w:rPr>
              <w:t>废脱硫剂</w:t>
            </w:r>
          </w:p>
        </w:tc>
        <w:tc>
          <w:tcPr>
            <w:tcW w:w="649" w:type="pct"/>
            <w:tcMar>
              <w:top w:w="0" w:type="dxa"/>
              <w:left w:w="57" w:type="dxa"/>
              <w:bottom w:w="0" w:type="dxa"/>
              <w:right w:w="57" w:type="dxa"/>
            </w:tcMar>
            <w:vAlign w:val="center"/>
          </w:tcPr>
          <w:p w14:paraId="5ECD442F">
            <w:pPr>
              <w:pStyle w:val="19"/>
              <w:bidi w:val="0"/>
              <w:rPr>
                <w:rFonts w:hint="default" w:eastAsia="宋体"/>
                <w:lang w:val="en-US" w:eastAsia="zh-CN"/>
              </w:rPr>
            </w:pPr>
            <w:r>
              <w:rPr>
                <w:rFonts w:hint="eastAsia"/>
                <w:lang w:val="en-US" w:eastAsia="zh-CN"/>
              </w:rPr>
              <w:t>沼气脱硫</w:t>
            </w:r>
          </w:p>
        </w:tc>
        <w:tc>
          <w:tcPr>
            <w:tcW w:w="543" w:type="pct"/>
            <w:tcMar>
              <w:top w:w="0" w:type="dxa"/>
              <w:left w:w="57" w:type="dxa"/>
              <w:bottom w:w="0" w:type="dxa"/>
              <w:right w:w="57" w:type="dxa"/>
            </w:tcMar>
            <w:vAlign w:val="center"/>
          </w:tcPr>
          <w:p w14:paraId="6811B4D6">
            <w:pPr>
              <w:pStyle w:val="19"/>
              <w:bidi w:val="0"/>
              <w:rPr>
                <w:rFonts w:hint="default"/>
                <w:lang w:val="en-US" w:eastAsia="zh-CN"/>
              </w:rPr>
            </w:pPr>
            <w:r>
              <w:rPr>
                <w:rFonts w:hint="eastAsia"/>
                <w:lang w:val="en-US" w:eastAsia="zh-CN"/>
              </w:rPr>
              <w:t>FeS等</w:t>
            </w:r>
          </w:p>
        </w:tc>
        <w:tc>
          <w:tcPr>
            <w:tcW w:w="502" w:type="pct"/>
            <w:tcMar>
              <w:top w:w="0" w:type="dxa"/>
              <w:left w:w="57" w:type="dxa"/>
              <w:bottom w:w="0" w:type="dxa"/>
              <w:right w:w="57" w:type="dxa"/>
            </w:tcMar>
            <w:vAlign w:val="center"/>
          </w:tcPr>
          <w:p w14:paraId="398A08EC">
            <w:pPr>
              <w:pStyle w:val="19"/>
              <w:bidi w:val="0"/>
              <w:rPr>
                <w:rFonts w:hint="default"/>
                <w:lang w:val="en-US" w:eastAsia="zh-CN"/>
              </w:rPr>
            </w:pPr>
            <w:r>
              <w:rPr>
                <w:rFonts w:hint="eastAsia"/>
                <w:lang w:val="en-US" w:eastAsia="zh-CN"/>
              </w:rPr>
              <w:t>0.06</w:t>
            </w:r>
          </w:p>
        </w:tc>
        <w:tc>
          <w:tcPr>
            <w:tcW w:w="420" w:type="pct"/>
            <w:tcMar>
              <w:top w:w="0" w:type="dxa"/>
              <w:left w:w="57" w:type="dxa"/>
              <w:bottom w:w="0" w:type="dxa"/>
              <w:right w:w="57" w:type="dxa"/>
            </w:tcMar>
            <w:vAlign w:val="center"/>
          </w:tcPr>
          <w:p w14:paraId="3081E74E">
            <w:pPr>
              <w:pStyle w:val="19"/>
              <w:bidi w:val="0"/>
              <w:rPr>
                <w:rFonts w:hint="default"/>
                <w:lang w:val="en-US" w:eastAsia="zh-CN"/>
              </w:rPr>
            </w:pPr>
            <w:r>
              <w:rPr>
                <w:rFonts w:hint="eastAsia"/>
                <w:lang w:val="en-US" w:eastAsia="zh-CN"/>
              </w:rPr>
              <w:t>0</w:t>
            </w:r>
          </w:p>
        </w:tc>
        <w:tc>
          <w:tcPr>
            <w:tcW w:w="450" w:type="pct"/>
            <w:tcMar>
              <w:top w:w="0" w:type="dxa"/>
              <w:left w:w="57" w:type="dxa"/>
              <w:bottom w:w="0" w:type="dxa"/>
              <w:right w:w="57" w:type="dxa"/>
            </w:tcMar>
            <w:vAlign w:val="center"/>
          </w:tcPr>
          <w:p w14:paraId="42CD07CB">
            <w:pPr>
              <w:pStyle w:val="19"/>
              <w:bidi w:val="0"/>
              <w:rPr>
                <w:rFonts w:hint="default"/>
                <w:lang w:val="en-US" w:eastAsia="zh-CN"/>
              </w:rPr>
            </w:pPr>
            <w:r>
              <w:rPr>
                <w:rFonts w:hint="eastAsia"/>
                <w:lang w:val="en-US" w:eastAsia="zh-CN"/>
              </w:rPr>
              <w:t>0.06</w:t>
            </w:r>
          </w:p>
        </w:tc>
        <w:tc>
          <w:tcPr>
            <w:tcW w:w="614" w:type="pct"/>
            <w:tcMar>
              <w:top w:w="0" w:type="dxa"/>
              <w:left w:w="57" w:type="dxa"/>
              <w:bottom w:w="0" w:type="dxa"/>
              <w:right w:w="57" w:type="dxa"/>
            </w:tcMar>
            <w:vAlign w:val="center"/>
          </w:tcPr>
          <w:p w14:paraId="4E755E09">
            <w:pPr>
              <w:pStyle w:val="19"/>
              <w:bidi w:val="0"/>
              <w:rPr>
                <w:rFonts w:hint="default"/>
              </w:rPr>
            </w:pPr>
            <w:r>
              <w:rPr>
                <w:rFonts w:hint="default"/>
              </w:rPr>
              <w:t>一般固废</w:t>
            </w:r>
          </w:p>
        </w:tc>
        <w:tc>
          <w:tcPr>
            <w:tcW w:w="825" w:type="pct"/>
            <w:tcMar>
              <w:top w:w="0" w:type="dxa"/>
              <w:left w:w="57" w:type="dxa"/>
              <w:bottom w:w="0" w:type="dxa"/>
              <w:right w:w="57" w:type="dxa"/>
            </w:tcMar>
            <w:vAlign w:val="center"/>
          </w:tcPr>
          <w:p w14:paraId="5340F938">
            <w:pPr>
              <w:pStyle w:val="19"/>
              <w:bidi w:val="0"/>
              <w:rPr>
                <w:rFonts w:hint="default"/>
                <w:lang w:val="en-US" w:eastAsia="zh-CN"/>
              </w:rPr>
            </w:pPr>
            <w:r>
              <w:rPr>
                <w:rFonts w:hint="eastAsia"/>
                <w:lang w:val="en-US" w:eastAsia="zh-CN"/>
              </w:rPr>
              <w:t>供应商回收</w:t>
            </w:r>
          </w:p>
        </w:tc>
      </w:tr>
      <w:tr w14:paraId="6B69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5511DBCE">
            <w:pPr>
              <w:pStyle w:val="19"/>
              <w:bidi w:val="0"/>
              <w:ind w:firstLine="0" w:firstLineChars="0"/>
              <w:rPr>
                <w:rFonts w:hint="eastAsia" w:eastAsia="宋体"/>
                <w:lang w:val="en-US" w:eastAsia="zh-CN"/>
              </w:rPr>
            </w:pPr>
            <w:r>
              <w:rPr>
                <w:rFonts w:hint="eastAsia"/>
                <w:lang w:val="en-US" w:eastAsia="zh-CN"/>
              </w:rPr>
              <w:t>6</w:t>
            </w:r>
          </w:p>
        </w:tc>
        <w:tc>
          <w:tcPr>
            <w:tcW w:w="644" w:type="pct"/>
            <w:tcMar>
              <w:top w:w="0" w:type="dxa"/>
              <w:left w:w="57" w:type="dxa"/>
              <w:bottom w:w="0" w:type="dxa"/>
              <w:right w:w="57" w:type="dxa"/>
            </w:tcMar>
            <w:vAlign w:val="center"/>
          </w:tcPr>
          <w:p w14:paraId="008FDB1B">
            <w:pPr>
              <w:pStyle w:val="19"/>
              <w:bidi w:val="0"/>
              <w:ind w:firstLine="0" w:firstLineChars="0"/>
              <w:rPr>
                <w:rFonts w:hint="eastAsia" w:ascii="Times New Roman" w:hAnsi="Times New Roman" w:eastAsia="宋体" w:cs="Times New Roman"/>
                <w:kern w:val="2"/>
                <w:sz w:val="21"/>
                <w:szCs w:val="22"/>
                <w:lang w:val="en-US" w:eastAsia="zh-CN" w:bidi="ar-SA"/>
              </w:rPr>
            </w:pPr>
            <w:r>
              <w:t>生活垃圾</w:t>
            </w:r>
          </w:p>
        </w:tc>
        <w:tc>
          <w:tcPr>
            <w:tcW w:w="649" w:type="pct"/>
            <w:tcMar>
              <w:top w:w="0" w:type="dxa"/>
              <w:left w:w="57" w:type="dxa"/>
              <w:bottom w:w="0" w:type="dxa"/>
              <w:right w:w="57" w:type="dxa"/>
            </w:tcMar>
            <w:vAlign w:val="center"/>
          </w:tcPr>
          <w:p w14:paraId="6B0AD5CE">
            <w:pPr>
              <w:pStyle w:val="19"/>
              <w:bidi w:val="0"/>
              <w:ind w:firstLine="0" w:firstLineChars="0"/>
              <w:rPr>
                <w:rFonts w:hint="eastAsia" w:ascii="Times New Roman" w:hAnsi="Times New Roman" w:eastAsia="宋体" w:cs="Times New Roman"/>
                <w:kern w:val="2"/>
                <w:sz w:val="21"/>
                <w:szCs w:val="22"/>
                <w:lang w:val="en-US" w:eastAsia="zh-CN" w:bidi="ar-SA"/>
              </w:rPr>
            </w:pPr>
            <w:r>
              <w:t>办公生活</w:t>
            </w:r>
          </w:p>
        </w:tc>
        <w:tc>
          <w:tcPr>
            <w:tcW w:w="543" w:type="pct"/>
            <w:tcMar>
              <w:top w:w="0" w:type="dxa"/>
              <w:left w:w="57" w:type="dxa"/>
              <w:bottom w:w="0" w:type="dxa"/>
              <w:right w:w="57" w:type="dxa"/>
            </w:tcMar>
            <w:vAlign w:val="center"/>
          </w:tcPr>
          <w:p w14:paraId="33450B5B">
            <w:pPr>
              <w:pStyle w:val="19"/>
              <w:bidi w:val="0"/>
              <w:ind w:firstLine="0" w:firstLineChars="0"/>
              <w:rPr>
                <w:rFonts w:hint="eastAsia" w:ascii="Times New Roman" w:hAnsi="Times New Roman" w:eastAsia="宋体" w:cs="Times New Roman"/>
                <w:kern w:val="2"/>
                <w:sz w:val="21"/>
                <w:szCs w:val="22"/>
                <w:lang w:val="en-US" w:eastAsia="zh-CN" w:bidi="ar-SA"/>
              </w:rPr>
            </w:pPr>
            <w:r>
              <w:t>果皮等</w:t>
            </w:r>
          </w:p>
        </w:tc>
        <w:tc>
          <w:tcPr>
            <w:tcW w:w="502" w:type="pct"/>
            <w:tcMar>
              <w:top w:w="0" w:type="dxa"/>
              <w:left w:w="57" w:type="dxa"/>
              <w:bottom w:w="0" w:type="dxa"/>
              <w:right w:w="57" w:type="dxa"/>
            </w:tcMar>
            <w:vAlign w:val="center"/>
          </w:tcPr>
          <w:p w14:paraId="18B9235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4.5</w:t>
            </w:r>
          </w:p>
        </w:tc>
        <w:tc>
          <w:tcPr>
            <w:tcW w:w="420" w:type="pct"/>
            <w:tcMar>
              <w:top w:w="0" w:type="dxa"/>
              <w:left w:w="57" w:type="dxa"/>
              <w:bottom w:w="0" w:type="dxa"/>
              <w:right w:w="57" w:type="dxa"/>
            </w:tcMar>
            <w:vAlign w:val="center"/>
          </w:tcPr>
          <w:p w14:paraId="2FCBF419">
            <w:pPr>
              <w:pStyle w:val="19"/>
              <w:bidi w:val="0"/>
              <w:ind w:firstLine="0" w:firstLineChars="0"/>
              <w:rPr>
                <w:rFonts w:hint="eastAsia" w:ascii="Times New Roman" w:hAnsi="Times New Roman" w:eastAsia="宋体" w:cs="Times New Roman"/>
                <w:kern w:val="2"/>
                <w:sz w:val="21"/>
                <w:szCs w:val="22"/>
                <w:lang w:val="en-US" w:eastAsia="zh-CN" w:bidi="ar-SA"/>
              </w:rPr>
            </w:pPr>
            <w:r>
              <w:t>0</w:t>
            </w:r>
          </w:p>
        </w:tc>
        <w:tc>
          <w:tcPr>
            <w:tcW w:w="450" w:type="pct"/>
            <w:tcMar>
              <w:top w:w="0" w:type="dxa"/>
              <w:left w:w="57" w:type="dxa"/>
              <w:bottom w:w="0" w:type="dxa"/>
              <w:right w:w="57" w:type="dxa"/>
            </w:tcMar>
            <w:vAlign w:val="center"/>
          </w:tcPr>
          <w:p w14:paraId="134E4FC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4.</w:t>
            </w:r>
            <w:r>
              <w:rPr>
                <w:rFonts w:hint="eastAsia"/>
              </w:rPr>
              <w:t>5</w:t>
            </w:r>
          </w:p>
        </w:tc>
        <w:tc>
          <w:tcPr>
            <w:tcW w:w="614" w:type="pct"/>
            <w:tcMar>
              <w:top w:w="0" w:type="dxa"/>
              <w:left w:w="57" w:type="dxa"/>
              <w:bottom w:w="0" w:type="dxa"/>
              <w:right w:w="57" w:type="dxa"/>
            </w:tcMar>
            <w:vAlign w:val="center"/>
          </w:tcPr>
          <w:p w14:paraId="1FC412CA">
            <w:pPr>
              <w:pStyle w:val="19"/>
              <w:bidi w:val="0"/>
              <w:ind w:firstLine="0" w:firstLineChars="0"/>
              <w:rPr>
                <w:rFonts w:hint="default" w:ascii="Times New Roman" w:hAnsi="Times New Roman" w:eastAsia="宋体" w:cs="Times New Roman"/>
                <w:kern w:val="2"/>
                <w:sz w:val="21"/>
                <w:szCs w:val="22"/>
                <w:lang w:val="en-US" w:eastAsia="zh-CN" w:bidi="ar-SA"/>
              </w:rPr>
            </w:pPr>
            <w:r>
              <w:t>一般固废</w:t>
            </w:r>
          </w:p>
        </w:tc>
        <w:tc>
          <w:tcPr>
            <w:tcW w:w="825" w:type="pct"/>
            <w:tcMar>
              <w:top w:w="0" w:type="dxa"/>
              <w:left w:w="57" w:type="dxa"/>
              <w:bottom w:w="0" w:type="dxa"/>
              <w:right w:w="57" w:type="dxa"/>
            </w:tcMar>
            <w:vAlign w:val="center"/>
          </w:tcPr>
          <w:p w14:paraId="09B08825">
            <w:pPr>
              <w:pStyle w:val="19"/>
              <w:bidi w:val="0"/>
              <w:ind w:firstLine="0" w:firstLineChars="0"/>
              <w:rPr>
                <w:rFonts w:hint="eastAsia" w:ascii="Times New Roman" w:hAnsi="Times New Roman" w:eastAsia="宋体" w:cs="Times New Roman"/>
                <w:kern w:val="2"/>
                <w:sz w:val="21"/>
                <w:szCs w:val="22"/>
                <w:lang w:val="en-US" w:eastAsia="zh-CN" w:bidi="ar-SA"/>
              </w:rPr>
            </w:pPr>
            <w:r>
              <w:t>环卫部门清运</w:t>
            </w:r>
          </w:p>
        </w:tc>
      </w:tr>
      <w:tr w14:paraId="2FB8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798B9134">
            <w:pPr>
              <w:pStyle w:val="19"/>
              <w:bidi w:val="0"/>
              <w:ind w:firstLine="0" w:firstLineChars="0"/>
              <w:rPr>
                <w:rFonts w:hint="default" w:eastAsia="宋体"/>
                <w:lang w:val="en-US" w:eastAsia="zh-CN"/>
              </w:rPr>
            </w:pPr>
            <w:r>
              <w:rPr>
                <w:rFonts w:hint="eastAsia"/>
                <w:lang w:val="en-US" w:eastAsia="zh-CN"/>
              </w:rPr>
              <w:t>7</w:t>
            </w:r>
          </w:p>
        </w:tc>
        <w:tc>
          <w:tcPr>
            <w:tcW w:w="644" w:type="pct"/>
            <w:tcMar>
              <w:top w:w="0" w:type="dxa"/>
              <w:left w:w="57" w:type="dxa"/>
              <w:bottom w:w="0" w:type="dxa"/>
              <w:right w:w="57" w:type="dxa"/>
            </w:tcMar>
            <w:vAlign w:val="center"/>
          </w:tcPr>
          <w:p w14:paraId="178F9448">
            <w:pPr>
              <w:pStyle w:val="19"/>
              <w:bidi w:val="0"/>
              <w:ind w:firstLine="0" w:firstLineChars="0"/>
              <w:rPr>
                <w:rFonts w:hint="eastAsia" w:eastAsia="宋体"/>
                <w:lang w:val="en-US" w:eastAsia="zh-CN"/>
              </w:rPr>
            </w:pPr>
            <w:r>
              <w:rPr>
                <w:rFonts w:hint="eastAsia" w:eastAsia="宋体"/>
                <w:lang w:val="en-US" w:eastAsia="zh-CN"/>
              </w:rPr>
              <w:t>废离子交换树脂</w:t>
            </w:r>
          </w:p>
        </w:tc>
        <w:tc>
          <w:tcPr>
            <w:tcW w:w="649" w:type="pct"/>
            <w:tcMar>
              <w:top w:w="0" w:type="dxa"/>
              <w:left w:w="57" w:type="dxa"/>
              <w:bottom w:w="0" w:type="dxa"/>
              <w:right w:w="57" w:type="dxa"/>
            </w:tcMar>
            <w:vAlign w:val="center"/>
          </w:tcPr>
          <w:p w14:paraId="241C58DC">
            <w:pPr>
              <w:pStyle w:val="19"/>
              <w:bidi w:val="0"/>
              <w:ind w:firstLine="0" w:firstLineChars="0"/>
              <w:rPr>
                <w:rFonts w:hint="default" w:eastAsia="宋体"/>
                <w:lang w:val="en-US" w:eastAsia="zh-CN"/>
              </w:rPr>
            </w:pPr>
            <w:r>
              <w:rPr>
                <w:rFonts w:hint="eastAsia"/>
                <w:lang w:val="en-US" w:eastAsia="zh-CN"/>
              </w:rPr>
              <w:t>锅炉房软水制备</w:t>
            </w:r>
          </w:p>
        </w:tc>
        <w:tc>
          <w:tcPr>
            <w:tcW w:w="543" w:type="pct"/>
            <w:tcMar>
              <w:top w:w="0" w:type="dxa"/>
              <w:left w:w="57" w:type="dxa"/>
              <w:bottom w:w="0" w:type="dxa"/>
              <w:right w:w="57" w:type="dxa"/>
            </w:tcMar>
            <w:vAlign w:val="center"/>
          </w:tcPr>
          <w:p w14:paraId="549E8C27">
            <w:pPr>
              <w:pStyle w:val="19"/>
              <w:bidi w:val="0"/>
              <w:ind w:firstLine="0" w:firstLineChars="0"/>
              <w:rPr>
                <w:rFonts w:hint="eastAsia" w:eastAsia="宋体"/>
                <w:lang w:val="en-US" w:eastAsia="zh-CN"/>
              </w:rPr>
            </w:pPr>
            <w:r>
              <w:rPr>
                <w:rFonts w:hint="eastAsia"/>
                <w:lang w:val="en-US" w:eastAsia="zh-CN"/>
              </w:rPr>
              <w:t>树脂</w:t>
            </w:r>
          </w:p>
        </w:tc>
        <w:tc>
          <w:tcPr>
            <w:tcW w:w="502" w:type="pct"/>
            <w:tcMar>
              <w:top w:w="0" w:type="dxa"/>
              <w:left w:w="57" w:type="dxa"/>
              <w:bottom w:w="0" w:type="dxa"/>
              <w:right w:w="57" w:type="dxa"/>
            </w:tcMar>
            <w:vAlign w:val="center"/>
          </w:tcPr>
          <w:p w14:paraId="66A2B06E">
            <w:pPr>
              <w:pStyle w:val="19"/>
              <w:bidi w:val="0"/>
              <w:ind w:firstLine="0" w:firstLineChars="0"/>
              <w:rPr>
                <w:rFonts w:hint="default"/>
                <w:lang w:val="en-US" w:eastAsia="zh-CN"/>
              </w:rPr>
            </w:pPr>
            <w:r>
              <w:rPr>
                <w:rFonts w:hint="eastAsia"/>
                <w:lang w:val="en-US" w:eastAsia="zh-CN"/>
              </w:rPr>
              <w:t>0.1</w:t>
            </w:r>
          </w:p>
        </w:tc>
        <w:tc>
          <w:tcPr>
            <w:tcW w:w="420" w:type="pct"/>
            <w:tcMar>
              <w:top w:w="0" w:type="dxa"/>
              <w:left w:w="57" w:type="dxa"/>
              <w:bottom w:w="0" w:type="dxa"/>
              <w:right w:w="57" w:type="dxa"/>
            </w:tcMar>
            <w:vAlign w:val="center"/>
          </w:tcPr>
          <w:p w14:paraId="39CB81D0">
            <w:pPr>
              <w:pStyle w:val="19"/>
              <w:bidi w:val="0"/>
              <w:ind w:firstLine="0" w:firstLineChars="0"/>
              <w:rPr>
                <w:rFonts w:hint="eastAsia" w:eastAsia="宋体"/>
                <w:lang w:val="en-US" w:eastAsia="zh-CN"/>
              </w:rPr>
            </w:pPr>
            <w:r>
              <w:rPr>
                <w:rFonts w:hint="eastAsia"/>
                <w:lang w:val="en-US" w:eastAsia="zh-CN"/>
              </w:rPr>
              <w:t>0</w:t>
            </w:r>
          </w:p>
        </w:tc>
        <w:tc>
          <w:tcPr>
            <w:tcW w:w="450" w:type="pct"/>
            <w:tcMar>
              <w:top w:w="0" w:type="dxa"/>
              <w:left w:w="57" w:type="dxa"/>
              <w:bottom w:w="0" w:type="dxa"/>
              <w:right w:w="57" w:type="dxa"/>
            </w:tcMar>
            <w:vAlign w:val="center"/>
          </w:tcPr>
          <w:p w14:paraId="3B9886E5">
            <w:pPr>
              <w:pStyle w:val="19"/>
              <w:bidi w:val="0"/>
              <w:ind w:firstLine="0" w:firstLineChars="0"/>
              <w:rPr>
                <w:rFonts w:hint="default"/>
                <w:lang w:val="en-US" w:eastAsia="zh-CN"/>
              </w:rPr>
            </w:pPr>
            <w:r>
              <w:rPr>
                <w:rFonts w:hint="eastAsia"/>
                <w:lang w:val="en-US" w:eastAsia="zh-CN"/>
              </w:rPr>
              <w:t>0.1</w:t>
            </w:r>
          </w:p>
        </w:tc>
        <w:tc>
          <w:tcPr>
            <w:tcW w:w="614" w:type="pct"/>
            <w:tcMar>
              <w:top w:w="0" w:type="dxa"/>
              <w:left w:w="57" w:type="dxa"/>
              <w:bottom w:w="0" w:type="dxa"/>
              <w:right w:w="57" w:type="dxa"/>
            </w:tcMar>
            <w:vAlign w:val="center"/>
          </w:tcPr>
          <w:p w14:paraId="05CACF65">
            <w:pPr>
              <w:pStyle w:val="19"/>
              <w:bidi w:val="0"/>
              <w:ind w:firstLine="0" w:firstLineChars="0"/>
            </w:pPr>
            <w:r>
              <w:t>一般固废</w:t>
            </w:r>
          </w:p>
        </w:tc>
        <w:tc>
          <w:tcPr>
            <w:tcW w:w="825" w:type="pct"/>
            <w:tcMar>
              <w:top w:w="0" w:type="dxa"/>
              <w:left w:w="57" w:type="dxa"/>
              <w:bottom w:w="0" w:type="dxa"/>
              <w:right w:w="57" w:type="dxa"/>
            </w:tcMar>
            <w:vAlign w:val="center"/>
          </w:tcPr>
          <w:p w14:paraId="02E56889">
            <w:pPr>
              <w:pStyle w:val="19"/>
              <w:bidi w:val="0"/>
              <w:ind w:firstLine="0" w:firstLineChars="0"/>
            </w:pPr>
            <w:r>
              <w:rPr>
                <w:rFonts w:hint="eastAsia"/>
                <w:lang w:val="en-US" w:eastAsia="zh-CN"/>
              </w:rPr>
              <w:t>供应商回收</w:t>
            </w:r>
          </w:p>
        </w:tc>
      </w:tr>
      <w:tr w14:paraId="03C1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77FE8987">
            <w:pPr>
              <w:pStyle w:val="19"/>
              <w:bidi w:val="0"/>
              <w:rPr>
                <w:rFonts w:hint="default"/>
                <w:lang w:val="en-US" w:eastAsia="zh-CN"/>
              </w:rPr>
            </w:pPr>
            <w:r>
              <w:rPr>
                <w:rFonts w:hint="eastAsia"/>
                <w:lang w:val="en-US" w:eastAsia="zh-CN"/>
              </w:rPr>
              <w:t>8</w:t>
            </w:r>
          </w:p>
        </w:tc>
        <w:tc>
          <w:tcPr>
            <w:tcW w:w="644" w:type="pct"/>
            <w:tcMar>
              <w:top w:w="0" w:type="dxa"/>
              <w:left w:w="57" w:type="dxa"/>
              <w:bottom w:w="0" w:type="dxa"/>
              <w:right w:w="57" w:type="dxa"/>
            </w:tcMar>
            <w:vAlign w:val="center"/>
          </w:tcPr>
          <w:p w14:paraId="7BC03141">
            <w:pPr>
              <w:pStyle w:val="19"/>
              <w:bidi w:val="0"/>
              <w:rPr>
                <w:rFonts w:hint="default" w:eastAsia="宋体"/>
                <w:lang w:val="en-US" w:eastAsia="zh-CN"/>
              </w:rPr>
            </w:pPr>
            <w:r>
              <w:rPr>
                <w:rFonts w:hint="eastAsia"/>
                <w:lang w:val="en-US" w:eastAsia="zh-CN"/>
              </w:rPr>
              <w:t>锅炉灰渣</w:t>
            </w:r>
          </w:p>
        </w:tc>
        <w:tc>
          <w:tcPr>
            <w:tcW w:w="649" w:type="pct"/>
            <w:vMerge w:val="restart"/>
            <w:tcMar>
              <w:top w:w="0" w:type="dxa"/>
              <w:left w:w="57" w:type="dxa"/>
              <w:bottom w:w="0" w:type="dxa"/>
              <w:right w:w="57" w:type="dxa"/>
            </w:tcMar>
            <w:vAlign w:val="center"/>
          </w:tcPr>
          <w:p w14:paraId="09DC1DC8">
            <w:pPr>
              <w:pStyle w:val="19"/>
              <w:bidi w:val="0"/>
              <w:rPr>
                <w:rFonts w:hint="eastAsia" w:eastAsia="宋体"/>
                <w:lang w:val="en-US" w:eastAsia="zh-CN"/>
              </w:rPr>
            </w:pPr>
            <w:r>
              <w:rPr>
                <w:rFonts w:hint="eastAsia"/>
                <w:lang w:val="en-US" w:eastAsia="zh-CN"/>
              </w:rPr>
              <w:t>生物质锅炉</w:t>
            </w:r>
          </w:p>
        </w:tc>
        <w:tc>
          <w:tcPr>
            <w:tcW w:w="543" w:type="pct"/>
            <w:tcMar>
              <w:top w:w="0" w:type="dxa"/>
              <w:left w:w="57" w:type="dxa"/>
              <w:bottom w:w="0" w:type="dxa"/>
              <w:right w:w="57" w:type="dxa"/>
            </w:tcMar>
            <w:vAlign w:val="center"/>
          </w:tcPr>
          <w:p w14:paraId="33B488C5">
            <w:pPr>
              <w:pStyle w:val="19"/>
              <w:bidi w:val="0"/>
            </w:pPr>
            <w:r>
              <w:rPr>
                <w:rFonts w:hint="eastAsia"/>
                <w:lang w:eastAsia="zh-CN"/>
              </w:rPr>
              <w:t>炉渣</w:t>
            </w:r>
          </w:p>
        </w:tc>
        <w:tc>
          <w:tcPr>
            <w:tcW w:w="502" w:type="pct"/>
            <w:tcMar>
              <w:top w:w="0" w:type="dxa"/>
              <w:left w:w="57" w:type="dxa"/>
              <w:bottom w:w="0" w:type="dxa"/>
              <w:right w:w="57" w:type="dxa"/>
            </w:tcMar>
            <w:vAlign w:val="center"/>
          </w:tcPr>
          <w:p w14:paraId="71194246">
            <w:pPr>
              <w:pStyle w:val="19"/>
              <w:bidi w:val="0"/>
              <w:rPr>
                <w:rFonts w:hint="default"/>
                <w:lang w:val="en-US" w:eastAsia="zh-CN"/>
              </w:rPr>
            </w:pPr>
            <w:r>
              <w:rPr>
                <w:rFonts w:hint="eastAsia"/>
                <w:lang w:val="en-US" w:eastAsia="zh-CN"/>
              </w:rPr>
              <w:t>83.09</w:t>
            </w:r>
          </w:p>
        </w:tc>
        <w:tc>
          <w:tcPr>
            <w:tcW w:w="420" w:type="pct"/>
            <w:tcMar>
              <w:top w:w="0" w:type="dxa"/>
              <w:left w:w="57" w:type="dxa"/>
              <w:bottom w:w="0" w:type="dxa"/>
              <w:right w:w="57" w:type="dxa"/>
            </w:tcMar>
            <w:vAlign w:val="center"/>
          </w:tcPr>
          <w:p w14:paraId="113C4341">
            <w:pPr>
              <w:pStyle w:val="19"/>
              <w:bidi w:val="0"/>
              <w:rPr>
                <w:rFonts w:hint="eastAsia" w:eastAsia="宋体"/>
                <w:lang w:val="en-US" w:eastAsia="zh-CN"/>
              </w:rPr>
            </w:pPr>
            <w:r>
              <w:rPr>
                <w:rFonts w:hint="eastAsia"/>
                <w:lang w:val="en-US" w:eastAsia="zh-CN"/>
              </w:rPr>
              <w:t>0</w:t>
            </w:r>
          </w:p>
        </w:tc>
        <w:tc>
          <w:tcPr>
            <w:tcW w:w="758" w:type="dxa"/>
            <w:tcMar>
              <w:top w:w="0" w:type="dxa"/>
              <w:left w:w="57" w:type="dxa"/>
              <w:bottom w:w="0" w:type="dxa"/>
              <w:right w:w="57" w:type="dxa"/>
            </w:tcMar>
            <w:vAlign w:val="center"/>
          </w:tcPr>
          <w:p w14:paraId="194E6F3F">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83.09</w:t>
            </w:r>
          </w:p>
        </w:tc>
        <w:tc>
          <w:tcPr>
            <w:tcW w:w="614" w:type="pct"/>
            <w:tcMar>
              <w:top w:w="0" w:type="dxa"/>
              <w:left w:w="57" w:type="dxa"/>
              <w:bottom w:w="0" w:type="dxa"/>
              <w:right w:w="57" w:type="dxa"/>
            </w:tcMar>
            <w:vAlign w:val="center"/>
          </w:tcPr>
          <w:p w14:paraId="2F7598C1">
            <w:pPr>
              <w:pStyle w:val="19"/>
              <w:bidi w:val="0"/>
            </w:pPr>
            <w:r>
              <w:t>一般固废</w:t>
            </w:r>
          </w:p>
        </w:tc>
        <w:tc>
          <w:tcPr>
            <w:tcW w:w="825" w:type="pct"/>
            <w:tcMar>
              <w:top w:w="0" w:type="dxa"/>
              <w:left w:w="57" w:type="dxa"/>
              <w:bottom w:w="0" w:type="dxa"/>
              <w:right w:w="57" w:type="dxa"/>
            </w:tcMar>
            <w:vAlign w:val="center"/>
          </w:tcPr>
          <w:p w14:paraId="0B7D49BB">
            <w:pPr>
              <w:pStyle w:val="19"/>
              <w:bidi w:val="0"/>
              <w:rPr>
                <w:rFonts w:hint="eastAsia" w:eastAsia="宋体"/>
                <w:lang w:val="en-US" w:eastAsia="zh-CN"/>
              </w:rPr>
            </w:pPr>
            <w:r>
              <w:rPr>
                <w:rFonts w:hint="eastAsia"/>
                <w:lang w:val="en-US" w:eastAsia="zh-CN"/>
              </w:rPr>
              <w:t>收集外售</w:t>
            </w:r>
          </w:p>
        </w:tc>
      </w:tr>
      <w:tr w14:paraId="2E54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63EEB36F">
            <w:pPr>
              <w:pStyle w:val="19"/>
              <w:bidi w:val="0"/>
              <w:rPr>
                <w:rFonts w:hint="default"/>
                <w:lang w:val="en-US" w:eastAsia="zh-CN"/>
              </w:rPr>
            </w:pPr>
            <w:r>
              <w:rPr>
                <w:rFonts w:hint="eastAsia"/>
                <w:lang w:val="en-US" w:eastAsia="zh-CN"/>
              </w:rPr>
              <w:t>9</w:t>
            </w:r>
          </w:p>
        </w:tc>
        <w:tc>
          <w:tcPr>
            <w:tcW w:w="644" w:type="pct"/>
            <w:tcMar>
              <w:top w:w="0" w:type="dxa"/>
              <w:left w:w="57" w:type="dxa"/>
              <w:bottom w:w="0" w:type="dxa"/>
              <w:right w:w="57" w:type="dxa"/>
            </w:tcMar>
            <w:vAlign w:val="center"/>
          </w:tcPr>
          <w:p w14:paraId="3B0EAA3B">
            <w:pPr>
              <w:pStyle w:val="19"/>
              <w:bidi w:val="0"/>
              <w:rPr>
                <w:rFonts w:hint="eastAsia" w:eastAsia="宋体"/>
                <w:lang w:val="en-US" w:eastAsia="zh-CN"/>
              </w:rPr>
            </w:pPr>
            <w:r>
              <w:rPr>
                <w:rFonts w:hint="eastAsia"/>
                <w:lang w:val="en-US" w:eastAsia="zh-CN"/>
              </w:rPr>
              <w:t>除尘灰</w:t>
            </w:r>
          </w:p>
        </w:tc>
        <w:tc>
          <w:tcPr>
            <w:tcW w:w="649" w:type="pct"/>
            <w:vMerge w:val="continue"/>
            <w:tcMar>
              <w:top w:w="0" w:type="dxa"/>
              <w:left w:w="57" w:type="dxa"/>
              <w:bottom w:w="0" w:type="dxa"/>
              <w:right w:w="57" w:type="dxa"/>
            </w:tcMar>
            <w:vAlign w:val="center"/>
          </w:tcPr>
          <w:p w14:paraId="26A89C39">
            <w:pPr>
              <w:pStyle w:val="19"/>
              <w:bidi w:val="0"/>
            </w:pPr>
          </w:p>
        </w:tc>
        <w:tc>
          <w:tcPr>
            <w:tcW w:w="543" w:type="pct"/>
            <w:tcMar>
              <w:top w:w="0" w:type="dxa"/>
              <w:left w:w="57" w:type="dxa"/>
              <w:bottom w:w="0" w:type="dxa"/>
              <w:right w:w="57" w:type="dxa"/>
            </w:tcMar>
            <w:vAlign w:val="center"/>
          </w:tcPr>
          <w:p w14:paraId="01B0DCCE">
            <w:pPr>
              <w:pStyle w:val="19"/>
              <w:bidi w:val="0"/>
              <w:rPr>
                <w:rFonts w:hint="eastAsia" w:eastAsia="宋体"/>
                <w:lang w:val="en-US" w:eastAsia="zh-CN"/>
              </w:rPr>
            </w:pPr>
            <w:r>
              <w:rPr>
                <w:rFonts w:hint="eastAsia"/>
                <w:lang w:val="en-US" w:eastAsia="zh-CN"/>
              </w:rPr>
              <w:t>灰尘</w:t>
            </w:r>
          </w:p>
        </w:tc>
        <w:tc>
          <w:tcPr>
            <w:tcW w:w="502" w:type="pct"/>
            <w:tcMar>
              <w:top w:w="0" w:type="dxa"/>
              <w:left w:w="57" w:type="dxa"/>
              <w:bottom w:w="0" w:type="dxa"/>
              <w:right w:w="57" w:type="dxa"/>
            </w:tcMar>
            <w:vAlign w:val="center"/>
          </w:tcPr>
          <w:p w14:paraId="6C8E7319">
            <w:pPr>
              <w:pStyle w:val="19"/>
              <w:bidi w:val="0"/>
              <w:rPr>
                <w:rFonts w:hint="default"/>
                <w:lang w:val="en-US" w:eastAsia="zh-CN"/>
              </w:rPr>
            </w:pPr>
            <w:r>
              <w:rPr>
                <w:rFonts w:hint="eastAsia"/>
                <w:lang w:val="en-US" w:eastAsia="zh-CN"/>
              </w:rPr>
              <w:t>2.82</w:t>
            </w:r>
          </w:p>
        </w:tc>
        <w:tc>
          <w:tcPr>
            <w:tcW w:w="420" w:type="pct"/>
            <w:tcMar>
              <w:top w:w="0" w:type="dxa"/>
              <w:left w:w="57" w:type="dxa"/>
              <w:bottom w:w="0" w:type="dxa"/>
              <w:right w:w="57" w:type="dxa"/>
            </w:tcMar>
            <w:vAlign w:val="center"/>
          </w:tcPr>
          <w:p w14:paraId="593289B4">
            <w:pPr>
              <w:pStyle w:val="19"/>
              <w:bidi w:val="0"/>
              <w:rPr>
                <w:rFonts w:hint="eastAsia" w:eastAsia="宋体"/>
                <w:lang w:val="en-US" w:eastAsia="zh-CN"/>
              </w:rPr>
            </w:pPr>
            <w:r>
              <w:rPr>
                <w:rFonts w:hint="eastAsia"/>
                <w:lang w:val="en-US" w:eastAsia="zh-CN"/>
              </w:rPr>
              <w:t>0</w:t>
            </w:r>
          </w:p>
        </w:tc>
        <w:tc>
          <w:tcPr>
            <w:tcW w:w="758" w:type="dxa"/>
            <w:tcMar>
              <w:top w:w="0" w:type="dxa"/>
              <w:left w:w="57" w:type="dxa"/>
              <w:bottom w:w="0" w:type="dxa"/>
              <w:right w:w="57" w:type="dxa"/>
            </w:tcMar>
            <w:vAlign w:val="center"/>
          </w:tcPr>
          <w:p w14:paraId="4EA17EA2">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2.82</w:t>
            </w:r>
          </w:p>
        </w:tc>
        <w:tc>
          <w:tcPr>
            <w:tcW w:w="614" w:type="pct"/>
            <w:tcMar>
              <w:top w:w="0" w:type="dxa"/>
              <w:left w:w="57" w:type="dxa"/>
              <w:bottom w:w="0" w:type="dxa"/>
              <w:right w:w="57" w:type="dxa"/>
            </w:tcMar>
            <w:vAlign w:val="center"/>
          </w:tcPr>
          <w:p w14:paraId="2F784E47">
            <w:pPr>
              <w:pStyle w:val="19"/>
              <w:bidi w:val="0"/>
            </w:pPr>
            <w:r>
              <w:t>一般固废</w:t>
            </w:r>
          </w:p>
        </w:tc>
        <w:tc>
          <w:tcPr>
            <w:tcW w:w="825" w:type="pct"/>
            <w:tcMar>
              <w:top w:w="0" w:type="dxa"/>
              <w:left w:w="57" w:type="dxa"/>
              <w:bottom w:w="0" w:type="dxa"/>
              <w:right w:w="57" w:type="dxa"/>
            </w:tcMar>
            <w:vAlign w:val="center"/>
          </w:tcPr>
          <w:p w14:paraId="5A487F3F">
            <w:pPr>
              <w:pStyle w:val="19"/>
              <w:bidi w:val="0"/>
            </w:pPr>
            <w:r>
              <w:rPr>
                <w:rFonts w:hint="eastAsia"/>
                <w:lang w:val="en-US" w:eastAsia="zh-CN"/>
              </w:rPr>
              <w:t>收集外售</w:t>
            </w:r>
          </w:p>
        </w:tc>
      </w:tr>
      <w:tr w14:paraId="7D22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8" w:type="pct"/>
            <w:tcMar>
              <w:top w:w="0" w:type="dxa"/>
              <w:left w:w="57" w:type="dxa"/>
              <w:bottom w:w="0" w:type="dxa"/>
              <w:right w:w="57" w:type="dxa"/>
            </w:tcMar>
            <w:vAlign w:val="center"/>
          </w:tcPr>
          <w:p w14:paraId="35C02373">
            <w:pPr>
              <w:pStyle w:val="19"/>
              <w:bidi w:val="0"/>
              <w:ind w:firstLine="0" w:firstLineChars="0"/>
              <w:rPr>
                <w:rFonts w:hint="default" w:eastAsia="宋体"/>
                <w:lang w:val="en-US" w:eastAsia="zh-CN"/>
              </w:rPr>
            </w:pPr>
            <w:r>
              <w:rPr>
                <w:rFonts w:hint="eastAsia"/>
                <w:lang w:val="en-US" w:eastAsia="zh-CN"/>
              </w:rPr>
              <w:t>10</w:t>
            </w:r>
          </w:p>
        </w:tc>
        <w:tc>
          <w:tcPr>
            <w:tcW w:w="644" w:type="pct"/>
            <w:tcMar>
              <w:top w:w="0" w:type="dxa"/>
              <w:left w:w="57" w:type="dxa"/>
              <w:bottom w:w="0" w:type="dxa"/>
              <w:right w:w="57" w:type="dxa"/>
            </w:tcMar>
            <w:vAlign w:val="center"/>
          </w:tcPr>
          <w:p w14:paraId="3BAFC984">
            <w:pPr>
              <w:pStyle w:val="19"/>
              <w:bidi w:val="0"/>
              <w:ind w:firstLine="0" w:firstLineChars="0"/>
              <w:rPr>
                <w:rFonts w:hint="eastAsia" w:ascii="Times New Roman" w:hAnsi="Times New Roman" w:eastAsia="宋体" w:cs="Times New Roman"/>
                <w:kern w:val="2"/>
                <w:sz w:val="21"/>
                <w:szCs w:val="22"/>
                <w:lang w:val="en-US" w:eastAsia="zh-CN" w:bidi="ar-SA"/>
              </w:rPr>
            </w:pPr>
            <w:r>
              <w:t>医疗废物</w:t>
            </w:r>
          </w:p>
        </w:tc>
        <w:tc>
          <w:tcPr>
            <w:tcW w:w="649" w:type="pct"/>
            <w:tcMar>
              <w:top w:w="0" w:type="dxa"/>
              <w:left w:w="57" w:type="dxa"/>
              <w:bottom w:w="0" w:type="dxa"/>
              <w:right w:w="57" w:type="dxa"/>
            </w:tcMar>
            <w:vAlign w:val="center"/>
          </w:tcPr>
          <w:p w14:paraId="1CD58664">
            <w:pPr>
              <w:pStyle w:val="19"/>
              <w:bidi w:val="0"/>
              <w:ind w:firstLine="0" w:firstLineChars="0"/>
              <w:rPr>
                <w:rFonts w:ascii="Times New Roman" w:hAnsi="Times New Roman" w:eastAsia="宋体" w:cs="Times New Roman"/>
                <w:kern w:val="2"/>
                <w:sz w:val="21"/>
                <w:szCs w:val="22"/>
                <w:lang w:val="en-US" w:eastAsia="zh-CN" w:bidi="ar-SA"/>
              </w:rPr>
            </w:pPr>
            <w:r>
              <w:t>防疫</w:t>
            </w:r>
          </w:p>
        </w:tc>
        <w:tc>
          <w:tcPr>
            <w:tcW w:w="543" w:type="pct"/>
            <w:tcMar>
              <w:top w:w="0" w:type="dxa"/>
              <w:left w:w="57" w:type="dxa"/>
              <w:bottom w:w="0" w:type="dxa"/>
              <w:right w:w="57" w:type="dxa"/>
            </w:tcMar>
            <w:vAlign w:val="center"/>
          </w:tcPr>
          <w:p w14:paraId="1CA3EA93">
            <w:pPr>
              <w:pStyle w:val="19"/>
              <w:bidi w:val="0"/>
              <w:ind w:firstLine="0" w:firstLineChars="0"/>
              <w:rPr>
                <w:rFonts w:hint="eastAsia" w:ascii="Times New Roman" w:hAnsi="Times New Roman" w:eastAsia="宋体" w:cs="Times New Roman"/>
                <w:kern w:val="2"/>
                <w:sz w:val="21"/>
                <w:szCs w:val="22"/>
                <w:lang w:val="en-US" w:eastAsia="zh-CN" w:bidi="ar-SA"/>
              </w:rPr>
            </w:pPr>
            <w:r>
              <w:t>药物</w:t>
            </w:r>
          </w:p>
        </w:tc>
        <w:tc>
          <w:tcPr>
            <w:tcW w:w="502" w:type="pct"/>
            <w:tcMar>
              <w:top w:w="0" w:type="dxa"/>
              <w:left w:w="57" w:type="dxa"/>
              <w:bottom w:w="0" w:type="dxa"/>
              <w:right w:w="57" w:type="dxa"/>
            </w:tcMar>
            <w:vAlign w:val="center"/>
          </w:tcPr>
          <w:p w14:paraId="1D6E9BE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1.0</w:t>
            </w:r>
          </w:p>
        </w:tc>
        <w:tc>
          <w:tcPr>
            <w:tcW w:w="420" w:type="pct"/>
            <w:tcMar>
              <w:top w:w="0" w:type="dxa"/>
              <w:left w:w="57" w:type="dxa"/>
              <w:bottom w:w="0" w:type="dxa"/>
              <w:right w:w="57" w:type="dxa"/>
            </w:tcMar>
            <w:vAlign w:val="center"/>
          </w:tcPr>
          <w:p w14:paraId="67925B21">
            <w:pPr>
              <w:pStyle w:val="19"/>
              <w:bidi w:val="0"/>
              <w:ind w:firstLine="0" w:firstLineChars="0"/>
              <w:rPr>
                <w:rFonts w:hint="eastAsia" w:ascii="Times New Roman" w:hAnsi="Times New Roman" w:eastAsia="宋体" w:cs="Times New Roman"/>
                <w:kern w:val="2"/>
                <w:sz w:val="21"/>
                <w:szCs w:val="22"/>
                <w:lang w:val="en-US" w:eastAsia="zh-CN" w:bidi="ar-SA"/>
              </w:rPr>
            </w:pPr>
            <w:r>
              <w:t>0</w:t>
            </w:r>
          </w:p>
        </w:tc>
        <w:tc>
          <w:tcPr>
            <w:tcW w:w="450" w:type="pct"/>
            <w:tcMar>
              <w:top w:w="0" w:type="dxa"/>
              <w:left w:w="57" w:type="dxa"/>
              <w:bottom w:w="0" w:type="dxa"/>
              <w:right w:w="57" w:type="dxa"/>
            </w:tcMar>
            <w:vAlign w:val="center"/>
          </w:tcPr>
          <w:p w14:paraId="502FA596">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1.0</w:t>
            </w:r>
          </w:p>
        </w:tc>
        <w:tc>
          <w:tcPr>
            <w:tcW w:w="614" w:type="pct"/>
            <w:tcMar>
              <w:top w:w="0" w:type="dxa"/>
              <w:left w:w="57" w:type="dxa"/>
              <w:bottom w:w="0" w:type="dxa"/>
              <w:right w:w="57" w:type="dxa"/>
            </w:tcMar>
            <w:vAlign w:val="center"/>
          </w:tcPr>
          <w:p w14:paraId="261D100E">
            <w:pPr>
              <w:pStyle w:val="19"/>
              <w:bidi w:val="0"/>
              <w:ind w:firstLine="0" w:firstLineChars="0"/>
              <w:rPr>
                <w:rFonts w:hint="eastAsia" w:ascii="Times New Roman" w:hAnsi="Times New Roman" w:eastAsia="宋体" w:cs="Times New Roman"/>
                <w:kern w:val="2"/>
                <w:sz w:val="21"/>
                <w:szCs w:val="22"/>
                <w:lang w:val="en-US" w:eastAsia="zh-CN" w:bidi="ar-SA"/>
              </w:rPr>
            </w:pPr>
            <w:r>
              <w:t>危险废物</w:t>
            </w:r>
          </w:p>
        </w:tc>
        <w:tc>
          <w:tcPr>
            <w:tcW w:w="825" w:type="pct"/>
            <w:tcMar>
              <w:top w:w="0" w:type="dxa"/>
              <w:left w:w="57" w:type="dxa"/>
              <w:bottom w:w="0" w:type="dxa"/>
              <w:right w:w="57" w:type="dxa"/>
            </w:tcMar>
            <w:vAlign w:val="center"/>
          </w:tcPr>
          <w:p w14:paraId="3BE0752D">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rPr>
              <w:t>委托</w:t>
            </w:r>
            <w:r>
              <w:rPr>
                <w:rFonts w:hint="eastAsia"/>
                <w:lang w:val="en-US" w:eastAsia="zh-CN"/>
              </w:rPr>
              <w:t>有资质单位</w:t>
            </w:r>
            <w:r>
              <w:rPr>
                <w:rFonts w:hint="eastAsia"/>
              </w:rPr>
              <w:t>处置</w:t>
            </w:r>
          </w:p>
        </w:tc>
      </w:tr>
    </w:tbl>
    <w:p w14:paraId="36D85447">
      <w:p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5FF1D03D">
      <w:pPr>
        <w:pStyle w:val="28"/>
        <w:bidi w:val="0"/>
        <w:rPr>
          <w:rFonts w:hint="default"/>
          <w:lang w:val="en-US" w:eastAsia="zh-CN"/>
        </w:rPr>
      </w:pPr>
      <w:r>
        <w:rPr>
          <w:rFonts w:hint="eastAsia"/>
          <w:lang w:val="en-US" w:eastAsia="zh-CN"/>
        </w:rPr>
        <w:t>污染物排放情况汇总</w:t>
      </w:r>
    </w:p>
    <w:p w14:paraId="5B7C7B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本项目污染物排放量统计见表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4-19</w:t>
      </w:r>
      <w:r>
        <w:rPr>
          <w:color w:val="000000" w:themeColor="text1"/>
          <w:highlight w:val="none"/>
          <w14:textFill>
            <w14:solidFill>
              <w14:schemeClr w14:val="tx1"/>
            </w14:solidFill>
          </w14:textFill>
        </w:rPr>
        <w:t>。</w:t>
      </w:r>
      <w:bookmarkStart w:id="22" w:name="_Ref403208090"/>
    </w:p>
    <w:p w14:paraId="36E0DA37">
      <w:pPr>
        <w:pStyle w:val="30"/>
        <w:bidi w:val="0"/>
      </w:pPr>
      <w:r>
        <w:t>表</w:t>
      </w:r>
      <w:bookmarkEnd w:id="22"/>
      <w:r>
        <w:rPr>
          <w:rFonts w:hint="eastAsia"/>
        </w:rPr>
        <w:t>3</w:t>
      </w:r>
      <w:r>
        <w:t>.</w:t>
      </w:r>
      <w:r>
        <w:rPr>
          <w:rFonts w:hint="eastAsia"/>
          <w:lang w:val="en-US" w:eastAsia="zh-CN"/>
        </w:rPr>
        <w:t xml:space="preserve">4-19  </w:t>
      </w:r>
      <w:r>
        <w:t xml:space="preserve"> 本项目污染物排放情况汇总</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2"/>
        <w:gridCol w:w="1116"/>
        <w:gridCol w:w="768"/>
        <w:gridCol w:w="1115"/>
        <w:gridCol w:w="1586"/>
        <w:gridCol w:w="1437"/>
        <w:gridCol w:w="4049"/>
        <w:gridCol w:w="2088"/>
        <w:gridCol w:w="1341"/>
      </w:tblGrid>
      <w:tr w14:paraId="2093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tcBorders>
              <w:tl2br w:val="nil"/>
              <w:tr2bl w:val="nil"/>
            </w:tcBorders>
            <w:tcMar>
              <w:top w:w="0" w:type="dxa"/>
              <w:left w:w="57" w:type="dxa"/>
              <w:bottom w:w="0" w:type="dxa"/>
              <w:right w:w="57" w:type="dxa"/>
            </w:tcMar>
            <w:vAlign w:val="center"/>
          </w:tcPr>
          <w:p w14:paraId="381F978E">
            <w:pPr>
              <w:pStyle w:val="19"/>
              <w:bidi w:val="0"/>
              <w:rPr>
                <w:rFonts w:hint="default"/>
                <w:sz w:val="21"/>
                <w:szCs w:val="21"/>
              </w:rPr>
            </w:pPr>
            <w:r>
              <w:rPr>
                <w:rFonts w:hint="default"/>
                <w:sz w:val="21"/>
                <w:szCs w:val="21"/>
              </w:rPr>
              <w:t>类别</w:t>
            </w:r>
          </w:p>
        </w:tc>
        <w:tc>
          <w:tcPr>
            <w:tcW w:w="2999" w:type="dxa"/>
            <w:gridSpan w:val="3"/>
            <w:tcBorders>
              <w:tl2br w:val="nil"/>
              <w:tr2bl w:val="nil"/>
            </w:tcBorders>
            <w:tcMar>
              <w:top w:w="0" w:type="dxa"/>
              <w:left w:w="57" w:type="dxa"/>
              <w:bottom w:w="0" w:type="dxa"/>
              <w:right w:w="57" w:type="dxa"/>
            </w:tcMar>
            <w:vAlign w:val="center"/>
          </w:tcPr>
          <w:p w14:paraId="26E45C05">
            <w:pPr>
              <w:pStyle w:val="19"/>
              <w:bidi w:val="0"/>
              <w:rPr>
                <w:rFonts w:hint="default"/>
                <w:sz w:val="21"/>
                <w:szCs w:val="21"/>
              </w:rPr>
            </w:pPr>
            <w:r>
              <w:rPr>
                <w:rFonts w:hint="default"/>
                <w:sz w:val="21"/>
                <w:szCs w:val="21"/>
              </w:rPr>
              <w:t>控制项目</w:t>
            </w:r>
          </w:p>
        </w:tc>
        <w:tc>
          <w:tcPr>
            <w:tcW w:w="1586" w:type="dxa"/>
            <w:tcBorders>
              <w:tl2br w:val="nil"/>
              <w:tr2bl w:val="nil"/>
            </w:tcBorders>
            <w:tcMar>
              <w:top w:w="0" w:type="dxa"/>
              <w:left w:w="57" w:type="dxa"/>
              <w:bottom w:w="0" w:type="dxa"/>
              <w:right w:w="57" w:type="dxa"/>
            </w:tcMar>
            <w:vAlign w:val="center"/>
          </w:tcPr>
          <w:p w14:paraId="65AFA78D">
            <w:pPr>
              <w:pStyle w:val="19"/>
              <w:bidi w:val="0"/>
              <w:rPr>
                <w:rFonts w:hint="eastAsia"/>
                <w:sz w:val="21"/>
                <w:szCs w:val="21"/>
                <w:lang w:eastAsia="zh-CN"/>
              </w:rPr>
            </w:pPr>
            <w:r>
              <w:rPr>
                <w:sz w:val="21"/>
                <w:szCs w:val="21"/>
              </w:rPr>
              <w:t>产生</w:t>
            </w:r>
            <w:r>
              <w:rPr>
                <w:rFonts w:hint="eastAsia"/>
                <w:sz w:val="21"/>
                <w:szCs w:val="21"/>
              </w:rPr>
              <w:t>速率</w:t>
            </w:r>
            <w:r>
              <w:rPr>
                <w:rFonts w:hint="eastAsia"/>
                <w:sz w:val="21"/>
                <w:szCs w:val="21"/>
                <w:lang w:eastAsia="zh-CN"/>
              </w:rPr>
              <w:t>（</w:t>
            </w:r>
            <w:r>
              <w:rPr>
                <w:rFonts w:hint="eastAsia"/>
                <w:sz w:val="21"/>
                <w:szCs w:val="21"/>
                <w:lang w:val="en-US" w:eastAsia="zh-CN"/>
              </w:rPr>
              <w:t>kg/h</w:t>
            </w:r>
            <w:r>
              <w:rPr>
                <w:rFonts w:hint="eastAsia"/>
                <w:sz w:val="21"/>
                <w:szCs w:val="21"/>
                <w:lang w:eastAsia="zh-CN"/>
              </w:rPr>
              <w:t>）</w:t>
            </w:r>
          </w:p>
        </w:tc>
        <w:tc>
          <w:tcPr>
            <w:tcW w:w="1437" w:type="dxa"/>
            <w:tcBorders>
              <w:tl2br w:val="nil"/>
              <w:tr2bl w:val="nil"/>
            </w:tcBorders>
            <w:tcMar>
              <w:top w:w="0" w:type="dxa"/>
              <w:left w:w="57" w:type="dxa"/>
              <w:bottom w:w="0" w:type="dxa"/>
              <w:right w:w="57" w:type="dxa"/>
            </w:tcMar>
            <w:vAlign w:val="center"/>
          </w:tcPr>
          <w:p w14:paraId="5F53ED2B">
            <w:pPr>
              <w:pStyle w:val="19"/>
              <w:bidi w:val="0"/>
              <w:rPr>
                <w:rFonts w:hint="default"/>
                <w:sz w:val="21"/>
                <w:szCs w:val="21"/>
              </w:rPr>
            </w:pPr>
            <w:r>
              <w:rPr>
                <w:rFonts w:hint="default"/>
                <w:sz w:val="21"/>
                <w:szCs w:val="21"/>
              </w:rPr>
              <w:t>产生量（t/a）</w:t>
            </w:r>
          </w:p>
        </w:tc>
        <w:tc>
          <w:tcPr>
            <w:tcW w:w="4049" w:type="dxa"/>
            <w:tcBorders>
              <w:tl2br w:val="nil"/>
              <w:tr2bl w:val="nil"/>
            </w:tcBorders>
            <w:tcMar>
              <w:top w:w="0" w:type="dxa"/>
              <w:left w:w="57" w:type="dxa"/>
              <w:bottom w:w="0" w:type="dxa"/>
              <w:right w:w="57" w:type="dxa"/>
            </w:tcMar>
            <w:vAlign w:val="center"/>
          </w:tcPr>
          <w:p w14:paraId="684F5A12">
            <w:pPr>
              <w:pStyle w:val="19"/>
              <w:bidi w:val="0"/>
              <w:rPr>
                <w:rFonts w:hint="default" w:eastAsia="宋体"/>
                <w:sz w:val="21"/>
                <w:szCs w:val="21"/>
                <w:lang w:val="en-US" w:eastAsia="zh-CN"/>
              </w:rPr>
            </w:pPr>
            <w:r>
              <w:rPr>
                <w:rFonts w:hint="eastAsia"/>
                <w:sz w:val="21"/>
                <w:szCs w:val="21"/>
                <w:lang w:val="en-US" w:eastAsia="zh-CN"/>
              </w:rPr>
              <w:t>污染防治措施</w:t>
            </w:r>
          </w:p>
        </w:tc>
        <w:tc>
          <w:tcPr>
            <w:tcW w:w="2088" w:type="dxa"/>
            <w:tcBorders>
              <w:tl2br w:val="nil"/>
              <w:tr2bl w:val="nil"/>
            </w:tcBorders>
            <w:tcMar>
              <w:top w:w="0" w:type="dxa"/>
              <w:left w:w="57" w:type="dxa"/>
              <w:bottom w:w="0" w:type="dxa"/>
              <w:right w:w="57" w:type="dxa"/>
            </w:tcMar>
            <w:vAlign w:val="center"/>
          </w:tcPr>
          <w:p w14:paraId="48645C31">
            <w:pPr>
              <w:pStyle w:val="19"/>
              <w:bidi w:val="0"/>
              <w:rPr>
                <w:rFonts w:hint="default"/>
                <w:sz w:val="21"/>
                <w:szCs w:val="21"/>
              </w:rPr>
            </w:pPr>
            <w:r>
              <w:rPr>
                <w:rFonts w:hint="eastAsia"/>
                <w:sz w:val="21"/>
                <w:szCs w:val="21"/>
                <w:lang w:val="en-US" w:eastAsia="zh-CN"/>
              </w:rPr>
              <w:t>排放</w:t>
            </w:r>
            <w:r>
              <w:rPr>
                <w:sz w:val="21"/>
                <w:szCs w:val="21"/>
              </w:rPr>
              <w:t>浓度</w:t>
            </w:r>
            <w:r>
              <w:rPr>
                <w:rFonts w:hint="eastAsia"/>
                <w:sz w:val="21"/>
                <w:szCs w:val="21"/>
              </w:rPr>
              <w:t>或速率</w:t>
            </w:r>
            <w:r>
              <w:rPr>
                <w:rFonts w:hint="eastAsia"/>
                <w:sz w:val="21"/>
                <w:szCs w:val="21"/>
                <w:lang w:eastAsia="zh-CN"/>
              </w:rPr>
              <w:t>（</w:t>
            </w:r>
            <w:r>
              <w:rPr>
                <w:rFonts w:hint="eastAsia"/>
                <w:sz w:val="21"/>
                <w:szCs w:val="21"/>
                <w:lang w:val="en-US" w:eastAsia="zh-CN"/>
              </w:rPr>
              <w:t>kg/h</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4A42F0EE">
            <w:pPr>
              <w:pStyle w:val="19"/>
              <w:bidi w:val="0"/>
              <w:rPr>
                <w:rFonts w:hint="default"/>
                <w:sz w:val="21"/>
                <w:szCs w:val="21"/>
              </w:rPr>
            </w:pPr>
            <w:r>
              <w:rPr>
                <w:rFonts w:hint="default"/>
                <w:sz w:val="21"/>
                <w:szCs w:val="21"/>
              </w:rPr>
              <w:t>排放量（t/a）</w:t>
            </w:r>
          </w:p>
        </w:tc>
      </w:tr>
      <w:tr w14:paraId="5F09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restart"/>
            <w:tcBorders>
              <w:tl2br w:val="nil"/>
              <w:tr2bl w:val="nil"/>
            </w:tcBorders>
            <w:tcMar>
              <w:top w:w="0" w:type="dxa"/>
              <w:left w:w="57" w:type="dxa"/>
              <w:bottom w:w="0" w:type="dxa"/>
              <w:right w:w="57" w:type="dxa"/>
            </w:tcMar>
            <w:vAlign w:val="center"/>
          </w:tcPr>
          <w:p w14:paraId="0F66E109">
            <w:pPr>
              <w:pStyle w:val="19"/>
              <w:bidi w:val="0"/>
              <w:rPr>
                <w:rFonts w:hint="default"/>
                <w:sz w:val="21"/>
                <w:szCs w:val="21"/>
                <w:lang w:eastAsia="zh-CN"/>
              </w:rPr>
            </w:pPr>
            <w:r>
              <w:rPr>
                <w:rFonts w:hint="default"/>
                <w:sz w:val="21"/>
                <w:szCs w:val="21"/>
                <w:lang w:val="en-US" w:eastAsia="zh-CN"/>
              </w:rPr>
              <w:t>废气</w:t>
            </w:r>
          </w:p>
        </w:tc>
        <w:tc>
          <w:tcPr>
            <w:tcW w:w="1116" w:type="dxa"/>
            <w:vMerge w:val="restart"/>
            <w:tcBorders>
              <w:tl2br w:val="nil"/>
              <w:tr2bl w:val="nil"/>
            </w:tcBorders>
            <w:tcMar>
              <w:top w:w="0" w:type="dxa"/>
              <w:left w:w="57" w:type="dxa"/>
              <w:bottom w:w="0" w:type="dxa"/>
              <w:right w:w="57" w:type="dxa"/>
            </w:tcMar>
            <w:vAlign w:val="center"/>
          </w:tcPr>
          <w:p w14:paraId="4D02875C">
            <w:pPr>
              <w:pStyle w:val="19"/>
              <w:bidi w:val="0"/>
              <w:rPr>
                <w:rFonts w:hint="default"/>
                <w:sz w:val="21"/>
                <w:szCs w:val="21"/>
                <w:lang w:eastAsia="zh-CN"/>
              </w:rPr>
            </w:pPr>
            <w:r>
              <w:rPr>
                <w:rFonts w:hint="default"/>
                <w:sz w:val="21"/>
                <w:szCs w:val="21"/>
                <w:lang w:val="en-US" w:eastAsia="zh-CN"/>
              </w:rPr>
              <w:t>育肥</w:t>
            </w:r>
            <w:r>
              <w:rPr>
                <w:rFonts w:hint="default"/>
                <w:sz w:val="21"/>
                <w:szCs w:val="21"/>
                <w:lang w:eastAsia="zh-CN"/>
              </w:rPr>
              <w:t>舍</w:t>
            </w:r>
          </w:p>
        </w:tc>
        <w:tc>
          <w:tcPr>
            <w:tcW w:w="768" w:type="dxa"/>
            <w:vMerge w:val="restart"/>
            <w:tcBorders>
              <w:tl2br w:val="nil"/>
              <w:tr2bl w:val="nil"/>
            </w:tcBorders>
            <w:tcMar>
              <w:top w:w="0" w:type="dxa"/>
              <w:left w:w="57" w:type="dxa"/>
              <w:bottom w:w="0" w:type="dxa"/>
              <w:right w:w="57" w:type="dxa"/>
            </w:tcMar>
            <w:vAlign w:val="center"/>
          </w:tcPr>
          <w:p w14:paraId="50F0D068">
            <w:pPr>
              <w:pStyle w:val="19"/>
              <w:bidi w:val="0"/>
              <w:rPr>
                <w:rFonts w:hint="default"/>
                <w:sz w:val="21"/>
                <w:szCs w:val="21"/>
              </w:rPr>
            </w:pPr>
            <w:r>
              <w:rPr>
                <w:rFonts w:hint="default"/>
                <w:sz w:val="21"/>
                <w:szCs w:val="21"/>
              </w:rPr>
              <w:t>无组织</w:t>
            </w:r>
          </w:p>
        </w:tc>
        <w:tc>
          <w:tcPr>
            <w:tcW w:w="1115" w:type="dxa"/>
            <w:tcBorders>
              <w:tl2br w:val="nil"/>
              <w:tr2bl w:val="nil"/>
            </w:tcBorders>
            <w:tcMar>
              <w:top w:w="0" w:type="dxa"/>
              <w:left w:w="57" w:type="dxa"/>
              <w:bottom w:w="0" w:type="dxa"/>
              <w:right w:w="57" w:type="dxa"/>
            </w:tcMar>
            <w:vAlign w:val="center"/>
          </w:tcPr>
          <w:p w14:paraId="27C1A3AC">
            <w:pPr>
              <w:pStyle w:val="19"/>
              <w:bidi w:val="0"/>
              <w:rPr>
                <w:rFonts w:hint="default"/>
                <w:sz w:val="21"/>
                <w:szCs w:val="21"/>
              </w:rPr>
            </w:pPr>
            <w:r>
              <w:rPr>
                <w:rFonts w:hint="default"/>
                <w:sz w:val="21"/>
                <w:szCs w:val="21"/>
              </w:rPr>
              <w:t>NH</w:t>
            </w:r>
            <w:r>
              <w:rPr>
                <w:rFonts w:hint="default"/>
                <w:sz w:val="21"/>
                <w:szCs w:val="21"/>
                <w:vertAlign w:val="subscript"/>
              </w:rPr>
              <w:t>3</w:t>
            </w:r>
          </w:p>
        </w:tc>
        <w:tc>
          <w:tcPr>
            <w:tcW w:w="1586" w:type="dxa"/>
            <w:tcBorders>
              <w:tl2br w:val="nil"/>
              <w:tr2bl w:val="nil"/>
            </w:tcBorders>
            <w:tcMar>
              <w:top w:w="0" w:type="dxa"/>
              <w:left w:w="57" w:type="dxa"/>
              <w:bottom w:w="0" w:type="dxa"/>
              <w:right w:w="57" w:type="dxa"/>
            </w:tcMar>
            <w:vAlign w:val="center"/>
          </w:tcPr>
          <w:p w14:paraId="7A7BFFA6">
            <w:pPr>
              <w:pStyle w:val="19"/>
              <w:bidi w:val="0"/>
              <w:rPr>
                <w:rFonts w:hint="default"/>
                <w:sz w:val="21"/>
                <w:szCs w:val="21"/>
                <w:lang w:val="en-US"/>
              </w:rPr>
            </w:pPr>
            <w:r>
              <w:rPr>
                <w:rFonts w:hint="eastAsia"/>
                <w:sz w:val="21"/>
                <w:szCs w:val="21"/>
                <w:lang w:val="en-US" w:eastAsia="zh-CN"/>
              </w:rPr>
              <w:t>3.816</w:t>
            </w:r>
          </w:p>
        </w:tc>
        <w:tc>
          <w:tcPr>
            <w:tcW w:w="1437" w:type="dxa"/>
            <w:tcBorders>
              <w:tl2br w:val="nil"/>
              <w:tr2bl w:val="nil"/>
            </w:tcBorders>
            <w:tcMar>
              <w:top w:w="0" w:type="dxa"/>
              <w:left w:w="57" w:type="dxa"/>
              <w:bottom w:w="0" w:type="dxa"/>
              <w:right w:w="57" w:type="dxa"/>
            </w:tcMar>
            <w:vAlign w:val="center"/>
          </w:tcPr>
          <w:p w14:paraId="27266684">
            <w:pPr>
              <w:pStyle w:val="19"/>
              <w:bidi w:val="0"/>
              <w:rPr>
                <w:rFonts w:hint="default"/>
                <w:sz w:val="21"/>
                <w:szCs w:val="21"/>
                <w:lang w:val="en-US"/>
              </w:rPr>
            </w:pPr>
            <w:r>
              <w:rPr>
                <w:rFonts w:hint="eastAsia"/>
                <w:sz w:val="21"/>
                <w:szCs w:val="21"/>
                <w:lang w:val="en-US" w:eastAsia="zh-CN"/>
              </w:rPr>
              <w:t>27.475</w:t>
            </w:r>
          </w:p>
        </w:tc>
        <w:tc>
          <w:tcPr>
            <w:tcW w:w="4049" w:type="dxa"/>
            <w:vMerge w:val="restart"/>
            <w:tcBorders>
              <w:tl2br w:val="nil"/>
              <w:tr2bl w:val="nil"/>
            </w:tcBorders>
            <w:tcMar>
              <w:top w:w="0" w:type="dxa"/>
              <w:left w:w="57" w:type="dxa"/>
              <w:bottom w:w="0" w:type="dxa"/>
              <w:right w:w="57" w:type="dxa"/>
            </w:tcMar>
            <w:vAlign w:val="center"/>
          </w:tcPr>
          <w:p w14:paraId="270AA9F9">
            <w:pPr>
              <w:pStyle w:val="19"/>
              <w:bidi w:val="0"/>
              <w:rPr>
                <w:rFonts w:hint="eastAsia" w:eastAsia="宋体"/>
                <w:sz w:val="21"/>
                <w:szCs w:val="21"/>
                <w:lang w:val="en-US" w:eastAsia="zh-CN"/>
              </w:rPr>
            </w:pPr>
            <w:r>
              <w:rPr>
                <w:rFonts w:hint="eastAsia"/>
                <w:sz w:val="21"/>
                <w:szCs w:val="21"/>
              </w:rPr>
              <w:t>加强通风、合理搭配饲料、投放吸附剂和喷洒除臭剂、全漏缝地板、及时清除粪便，定期冲洗猪舍和杀菌消毒，保持猪舍环境卫生</w:t>
            </w:r>
            <w:r>
              <w:rPr>
                <w:rFonts w:hint="eastAsia"/>
                <w:sz w:val="21"/>
                <w:szCs w:val="21"/>
                <w:lang w:eastAsia="zh-CN"/>
              </w:rPr>
              <w:t>。</w:t>
            </w:r>
          </w:p>
        </w:tc>
        <w:tc>
          <w:tcPr>
            <w:tcW w:w="2088" w:type="dxa"/>
            <w:tcBorders>
              <w:tl2br w:val="nil"/>
              <w:tr2bl w:val="nil"/>
            </w:tcBorders>
            <w:tcMar>
              <w:top w:w="0" w:type="dxa"/>
              <w:left w:w="57" w:type="dxa"/>
              <w:bottom w:w="0" w:type="dxa"/>
              <w:right w:w="57" w:type="dxa"/>
            </w:tcMar>
            <w:vAlign w:val="center"/>
          </w:tcPr>
          <w:p w14:paraId="140F8D01">
            <w:pPr>
              <w:pStyle w:val="19"/>
              <w:bidi w:val="0"/>
              <w:rPr>
                <w:rFonts w:hint="default"/>
                <w:sz w:val="21"/>
                <w:szCs w:val="21"/>
                <w:lang w:val="en-US" w:eastAsia="zh-CN"/>
              </w:rPr>
            </w:pPr>
            <w:r>
              <w:rPr>
                <w:rFonts w:hint="eastAsia"/>
                <w:sz w:val="21"/>
                <w:szCs w:val="21"/>
                <w:lang w:val="en-US" w:eastAsia="zh-CN"/>
              </w:rPr>
              <w:t>0.3816</w:t>
            </w:r>
          </w:p>
        </w:tc>
        <w:tc>
          <w:tcPr>
            <w:tcW w:w="0" w:type="auto"/>
            <w:tcBorders>
              <w:tl2br w:val="nil"/>
              <w:tr2bl w:val="nil"/>
            </w:tcBorders>
            <w:tcMar>
              <w:top w:w="0" w:type="dxa"/>
              <w:left w:w="57" w:type="dxa"/>
              <w:bottom w:w="0" w:type="dxa"/>
              <w:right w:w="57" w:type="dxa"/>
            </w:tcMar>
            <w:vAlign w:val="center"/>
          </w:tcPr>
          <w:p w14:paraId="563B7056">
            <w:pPr>
              <w:pStyle w:val="19"/>
              <w:bidi w:val="0"/>
              <w:rPr>
                <w:rFonts w:hint="default"/>
                <w:sz w:val="21"/>
                <w:szCs w:val="21"/>
                <w:lang w:val="en-US" w:eastAsia="zh-CN"/>
              </w:rPr>
            </w:pPr>
            <w:r>
              <w:rPr>
                <w:rFonts w:hint="eastAsia"/>
                <w:sz w:val="21"/>
                <w:szCs w:val="21"/>
                <w:lang w:val="en-US" w:eastAsia="zh-CN"/>
              </w:rPr>
              <w:t>2.745</w:t>
            </w:r>
          </w:p>
        </w:tc>
      </w:tr>
      <w:tr w14:paraId="44F1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1F291E84">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459D20D0">
            <w:pPr>
              <w:pStyle w:val="19"/>
              <w:bidi w:val="0"/>
              <w:rPr>
                <w:rFonts w:hint="default"/>
                <w:sz w:val="21"/>
                <w:szCs w:val="21"/>
              </w:rPr>
            </w:pPr>
          </w:p>
        </w:tc>
        <w:tc>
          <w:tcPr>
            <w:tcW w:w="768" w:type="dxa"/>
            <w:vMerge w:val="continue"/>
            <w:tcBorders>
              <w:tl2br w:val="nil"/>
              <w:tr2bl w:val="nil"/>
            </w:tcBorders>
            <w:tcMar>
              <w:top w:w="0" w:type="dxa"/>
              <w:left w:w="57" w:type="dxa"/>
              <w:bottom w:w="0" w:type="dxa"/>
              <w:right w:w="57" w:type="dxa"/>
            </w:tcMar>
            <w:vAlign w:val="center"/>
          </w:tcPr>
          <w:p w14:paraId="4FA5ED00">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3FE8D29F">
            <w:pPr>
              <w:pStyle w:val="19"/>
              <w:bidi w:val="0"/>
              <w:rPr>
                <w:rFonts w:hint="default"/>
                <w:sz w:val="21"/>
                <w:szCs w:val="21"/>
              </w:rPr>
            </w:pPr>
            <w:r>
              <w:rPr>
                <w:rFonts w:hint="default"/>
                <w:sz w:val="21"/>
                <w:szCs w:val="21"/>
              </w:rPr>
              <w:t>H</w:t>
            </w:r>
            <w:r>
              <w:rPr>
                <w:rFonts w:hint="default"/>
                <w:sz w:val="21"/>
                <w:szCs w:val="21"/>
                <w:vertAlign w:val="subscript"/>
              </w:rPr>
              <w:t>2</w:t>
            </w:r>
            <w:r>
              <w:rPr>
                <w:rFonts w:hint="default"/>
                <w:sz w:val="21"/>
                <w:szCs w:val="21"/>
              </w:rPr>
              <w:t>S</w:t>
            </w:r>
          </w:p>
        </w:tc>
        <w:tc>
          <w:tcPr>
            <w:tcW w:w="1586" w:type="dxa"/>
            <w:tcBorders>
              <w:tl2br w:val="nil"/>
              <w:tr2bl w:val="nil"/>
            </w:tcBorders>
            <w:tcMar>
              <w:top w:w="0" w:type="dxa"/>
              <w:left w:w="57" w:type="dxa"/>
              <w:bottom w:w="0" w:type="dxa"/>
              <w:right w:w="57" w:type="dxa"/>
            </w:tcMar>
            <w:vAlign w:val="center"/>
          </w:tcPr>
          <w:p w14:paraId="21D725CE">
            <w:pPr>
              <w:pStyle w:val="19"/>
              <w:bidi w:val="0"/>
              <w:rPr>
                <w:rFonts w:hint="default"/>
                <w:sz w:val="21"/>
                <w:szCs w:val="21"/>
              </w:rPr>
            </w:pPr>
            <w:r>
              <w:rPr>
                <w:rFonts w:hint="eastAsia"/>
                <w:sz w:val="21"/>
                <w:szCs w:val="21"/>
                <w:lang w:val="en-US" w:eastAsia="zh-CN"/>
              </w:rPr>
              <w:t>0.403</w:t>
            </w:r>
          </w:p>
        </w:tc>
        <w:tc>
          <w:tcPr>
            <w:tcW w:w="1437" w:type="dxa"/>
            <w:tcBorders>
              <w:tl2br w:val="nil"/>
              <w:tr2bl w:val="nil"/>
            </w:tcBorders>
            <w:tcMar>
              <w:top w:w="0" w:type="dxa"/>
              <w:left w:w="57" w:type="dxa"/>
              <w:bottom w:w="0" w:type="dxa"/>
              <w:right w:w="57" w:type="dxa"/>
            </w:tcMar>
            <w:vAlign w:val="center"/>
          </w:tcPr>
          <w:p w14:paraId="20C4E526">
            <w:pPr>
              <w:pStyle w:val="19"/>
              <w:bidi w:val="0"/>
              <w:rPr>
                <w:rFonts w:hint="default"/>
                <w:sz w:val="21"/>
                <w:szCs w:val="21"/>
              </w:rPr>
            </w:pPr>
            <w:r>
              <w:rPr>
                <w:rFonts w:hint="eastAsia"/>
                <w:sz w:val="21"/>
                <w:szCs w:val="21"/>
                <w:lang w:val="en-US" w:eastAsia="zh-CN"/>
              </w:rPr>
              <w:t>2.905</w:t>
            </w:r>
          </w:p>
        </w:tc>
        <w:tc>
          <w:tcPr>
            <w:tcW w:w="4049" w:type="dxa"/>
            <w:vMerge w:val="continue"/>
            <w:tcBorders>
              <w:tl2br w:val="nil"/>
              <w:tr2bl w:val="nil"/>
            </w:tcBorders>
            <w:tcMar>
              <w:top w:w="0" w:type="dxa"/>
              <w:left w:w="57" w:type="dxa"/>
              <w:bottom w:w="0" w:type="dxa"/>
              <w:right w:w="57" w:type="dxa"/>
            </w:tcMar>
            <w:vAlign w:val="center"/>
          </w:tcPr>
          <w:p w14:paraId="59233ED6">
            <w:pPr>
              <w:pStyle w:val="19"/>
              <w:bidi w:val="0"/>
              <w:rPr>
                <w:rFonts w:hint="eastAsia"/>
                <w:sz w:val="21"/>
                <w:szCs w:val="21"/>
                <w:lang w:val="en-US" w:eastAsia="zh-CN"/>
              </w:rPr>
            </w:pPr>
          </w:p>
        </w:tc>
        <w:tc>
          <w:tcPr>
            <w:tcW w:w="2088" w:type="dxa"/>
            <w:tcBorders>
              <w:tl2br w:val="nil"/>
              <w:tr2bl w:val="nil"/>
            </w:tcBorders>
            <w:tcMar>
              <w:top w:w="0" w:type="dxa"/>
              <w:left w:w="57" w:type="dxa"/>
              <w:bottom w:w="0" w:type="dxa"/>
              <w:right w:w="57" w:type="dxa"/>
            </w:tcMar>
            <w:vAlign w:val="center"/>
          </w:tcPr>
          <w:p w14:paraId="12AED029">
            <w:pPr>
              <w:pStyle w:val="19"/>
              <w:bidi w:val="0"/>
              <w:rPr>
                <w:rFonts w:hint="default"/>
                <w:sz w:val="21"/>
                <w:szCs w:val="21"/>
                <w:lang w:val="en-US" w:eastAsia="zh-CN"/>
              </w:rPr>
            </w:pPr>
            <w:r>
              <w:rPr>
                <w:rFonts w:hint="eastAsia"/>
                <w:sz w:val="21"/>
                <w:szCs w:val="21"/>
                <w:lang w:val="en-US" w:eastAsia="zh-CN"/>
              </w:rPr>
              <w:t>0.0403</w:t>
            </w:r>
          </w:p>
        </w:tc>
        <w:tc>
          <w:tcPr>
            <w:tcW w:w="0" w:type="auto"/>
            <w:tcBorders>
              <w:tl2br w:val="nil"/>
              <w:tr2bl w:val="nil"/>
            </w:tcBorders>
            <w:tcMar>
              <w:top w:w="0" w:type="dxa"/>
              <w:left w:w="57" w:type="dxa"/>
              <w:bottom w:w="0" w:type="dxa"/>
              <w:right w:w="57" w:type="dxa"/>
            </w:tcMar>
            <w:vAlign w:val="center"/>
          </w:tcPr>
          <w:p w14:paraId="4385E89C">
            <w:pPr>
              <w:pStyle w:val="19"/>
              <w:bidi w:val="0"/>
              <w:rPr>
                <w:rFonts w:hint="default"/>
                <w:sz w:val="21"/>
                <w:szCs w:val="21"/>
                <w:lang w:val="en-US" w:eastAsia="zh-CN"/>
              </w:rPr>
            </w:pPr>
            <w:r>
              <w:rPr>
                <w:rFonts w:hint="eastAsia"/>
                <w:sz w:val="21"/>
                <w:szCs w:val="21"/>
                <w:lang w:val="en-US" w:eastAsia="zh-CN"/>
              </w:rPr>
              <w:t>0.2905</w:t>
            </w:r>
          </w:p>
        </w:tc>
      </w:tr>
      <w:tr w14:paraId="2B42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419FC26A">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3687A2B1">
            <w:pPr>
              <w:pStyle w:val="19"/>
              <w:bidi w:val="0"/>
              <w:rPr>
                <w:rFonts w:hint="default"/>
                <w:sz w:val="21"/>
                <w:szCs w:val="21"/>
                <w:lang w:eastAsia="zh-CN"/>
              </w:rPr>
            </w:pPr>
            <w:r>
              <w:rPr>
                <w:rFonts w:hint="eastAsia"/>
                <w:sz w:val="21"/>
                <w:szCs w:val="21"/>
                <w:lang w:val="en-US" w:eastAsia="zh-CN"/>
              </w:rPr>
              <w:t>堆肥场</w:t>
            </w:r>
          </w:p>
        </w:tc>
        <w:tc>
          <w:tcPr>
            <w:tcW w:w="768" w:type="dxa"/>
            <w:vMerge w:val="restart"/>
            <w:tcBorders>
              <w:tl2br w:val="nil"/>
              <w:tr2bl w:val="nil"/>
            </w:tcBorders>
            <w:tcMar>
              <w:top w:w="0" w:type="dxa"/>
              <w:left w:w="57" w:type="dxa"/>
              <w:bottom w:w="0" w:type="dxa"/>
              <w:right w:w="57" w:type="dxa"/>
            </w:tcMar>
            <w:vAlign w:val="center"/>
          </w:tcPr>
          <w:p w14:paraId="31367F11">
            <w:pPr>
              <w:pStyle w:val="19"/>
              <w:bidi w:val="0"/>
              <w:rPr>
                <w:rFonts w:hint="default"/>
                <w:sz w:val="21"/>
                <w:szCs w:val="21"/>
              </w:rPr>
            </w:pPr>
            <w:r>
              <w:rPr>
                <w:rFonts w:hint="default"/>
                <w:sz w:val="21"/>
                <w:szCs w:val="21"/>
              </w:rPr>
              <w:t>无组织</w:t>
            </w:r>
          </w:p>
        </w:tc>
        <w:tc>
          <w:tcPr>
            <w:tcW w:w="1115" w:type="dxa"/>
            <w:tcBorders>
              <w:tl2br w:val="nil"/>
              <w:tr2bl w:val="nil"/>
            </w:tcBorders>
            <w:tcMar>
              <w:top w:w="0" w:type="dxa"/>
              <w:left w:w="57" w:type="dxa"/>
              <w:bottom w:w="0" w:type="dxa"/>
              <w:right w:w="57" w:type="dxa"/>
            </w:tcMar>
            <w:vAlign w:val="center"/>
          </w:tcPr>
          <w:p w14:paraId="7A727A2A">
            <w:pPr>
              <w:pStyle w:val="19"/>
              <w:bidi w:val="0"/>
              <w:ind w:firstLine="0" w:firstLineChars="0"/>
              <w:rPr>
                <w:rFonts w:hint="default"/>
                <w:sz w:val="21"/>
                <w:szCs w:val="21"/>
                <w:highlight w:val="none"/>
              </w:rPr>
            </w:pPr>
            <w:r>
              <w:rPr>
                <w:rFonts w:hint="default"/>
                <w:sz w:val="21"/>
                <w:szCs w:val="21"/>
                <w:highlight w:val="none"/>
              </w:rPr>
              <w:t>NH</w:t>
            </w:r>
            <w:r>
              <w:rPr>
                <w:rFonts w:hint="default"/>
                <w:sz w:val="21"/>
                <w:szCs w:val="21"/>
                <w:highlight w:val="none"/>
                <w:vertAlign w:val="subscript"/>
              </w:rPr>
              <w:t>3</w:t>
            </w:r>
          </w:p>
        </w:tc>
        <w:tc>
          <w:tcPr>
            <w:tcW w:w="1586" w:type="dxa"/>
            <w:tcBorders>
              <w:tl2br w:val="nil"/>
              <w:tr2bl w:val="nil"/>
            </w:tcBorders>
            <w:tcMar>
              <w:top w:w="0" w:type="dxa"/>
              <w:left w:w="57" w:type="dxa"/>
              <w:bottom w:w="0" w:type="dxa"/>
              <w:right w:w="57" w:type="dxa"/>
            </w:tcMar>
            <w:vAlign w:val="center"/>
          </w:tcPr>
          <w:p w14:paraId="287C9856">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lang w:val="en-US" w:eastAsia="zh-CN"/>
              </w:rPr>
              <w:t>0.006</w:t>
            </w:r>
          </w:p>
        </w:tc>
        <w:tc>
          <w:tcPr>
            <w:tcW w:w="1437" w:type="dxa"/>
            <w:tcBorders>
              <w:tl2br w:val="nil"/>
              <w:tr2bl w:val="nil"/>
            </w:tcBorders>
            <w:tcMar>
              <w:top w:w="0" w:type="dxa"/>
              <w:left w:w="57" w:type="dxa"/>
              <w:bottom w:w="0" w:type="dxa"/>
              <w:right w:w="57" w:type="dxa"/>
            </w:tcMar>
            <w:vAlign w:val="center"/>
          </w:tcPr>
          <w:p w14:paraId="2734C805">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lang w:val="en-US" w:eastAsia="zh-CN"/>
              </w:rPr>
              <w:t>0.053</w:t>
            </w:r>
          </w:p>
        </w:tc>
        <w:tc>
          <w:tcPr>
            <w:tcW w:w="4049" w:type="dxa"/>
            <w:vMerge w:val="restart"/>
            <w:tcBorders>
              <w:tl2br w:val="nil"/>
              <w:tr2bl w:val="nil"/>
            </w:tcBorders>
            <w:tcMar>
              <w:top w:w="0" w:type="dxa"/>
              <w:left w:w="57" w:type="dxa"/>
              <w:bottom w:w="0" w:type="dxa"/>
              <w:right w:w="57" w:type="dxa"/>
            </w:tcMar>
            <w:vAlign w:val="center"/>
          </w:tcPr>
          <w:p w14:paraId="6CDEE466">
            <w:pPr>
              <w:pStyle w:val="19"/>
              <w:bidi w:val="0"/>
              <w:rPr>
                <w:rFonts w:hint="eastAsia"/>
                <w:sz w:val="21"/>
                <w:szCs w:val="21"/>
                <w:highlight w:val="none"/>
                <w:lang w:val="en-US" w:eastAsia="zh-CN"/>
              </w:rPr>
            </w:pPr>
            <w:r>
              <w:rPr>
                <w:rFonts w:hint="eastAsia"/>
                <w:sz w:val="21"/>
                <w:szCs w:val="21"/>
                <w:highlight w:val="none"/>
              </w:rPr>
              <w:t>添加物理吸附剂、喷洒除臭剂等</w:t>
            </w:r>
          </w:p>
        </w:tc>
        <w:tc>
          <w:tcPr>
            <w:tcW w:w="2088" w:type="dxa"/>
            <w:tcBorders>
              <w:tl2br w:val="nil"/>
              <w:tr2bl w:val="nil"/>
            </w:tcBorders>
            <w:tcMar>
              <w:top w:w="0" w:type="dxa"/>
              <w:left w:w="57" w:type="dxa"/>
              <w:bottom w:w="0" w:type="dxa"/>
              <w:right w:w="57" w:type="dxa"/>
            </w:tcMar>
            <w:vAlign w:val="center"/>
          </w:tcPr>
          <w:p w14:paraId="24E51EBA">
            <w:pPr>
              <w:pStyle w:val="19"/>
              <w:bidi w:val="0"/>
              <w:ind w:firstLine="0" w:firstLineChars="0"/>
              <w:rPr>
                <w:rFonts w:hint="default"/>
                <w:sz w:val="21"/>
                <w:szCs w:val="21"/>
                <w:highlight w:val="none"/>
                <w:lang w:val="en-US" w:eastAsia="zh-CN"/>
              </w:rPr>
            </w:pPr>
            <w:r>
              <w:rPr>
                <w:rFonts w:hint="eastAsia"/>
                <w:lang w:val="en-US" w:eastAsia="zh-CN"/>
              </w:rPr>
              <w:t>0.006</w:t>
            </w:r>
          </w:p>
        </w:tc>
        <w:tc>
          <w:tcPr>
            <w:tcW w:w="1341" w:type="dxa"/>
            <w:tcBorders>
              <w:tl2br w:val="nil"/>
              <w:tr2bl w:val="nil"/>
            </w:tcBorders>
            <w:tcMar>
              <w:top w:w="0" w:type="dxa"/>
              <w:left w:w="57" w:type="dxa"/>
              <w:bottom w:w="0" w:type="dxa"/>
              <w:right w:w="57" w:type="dxa"/>
            </w:tcMar>
            <w:vAlign w:val="center"/>
          </w:tcPr>
          <w:p w14:paraId="2EAE25D5">
            <w:pPr>
              <w:pStyle w:val="19"/>
              <w:bidi w:val="0"/>
              <w:ind w:firstLine="0" w:firstLineChars="0"/>
              <w:rPr>
                <w:rFonts w:hint="default"/>
                <w:sz w:val="21"/>
                <w:szCs w:val="21"/>
                <w:highlight w:val="none"/>
                <w:lang w:val="en-US" w:eastAsia="zh-CN"/>
              </w:rPr>
            </w:pPr>
            <w:r>
              <w:rPr>
                <w:rFonts w:hint="eastAsia"/>
                <w:lang w:val="en-US" w:eastAsia="zh-CN"/>
              </w:rPr>
              <w:t>0.053</w:t>
            </w:r>
          </w:p>
        </w:tc>
      </w:tr>
      <w:tr w14:paraId="697C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5141CD64">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2069C363">
            <w:pPr>
              <w:pStyle w:val="19"/>
              <w:bidi w:val="0"/>
              <w:rPr>
                <w:rFonts w:hint="default"/>
                <w:sz w:val="21"/>
                <w:szCs w:val="21"/>
              </w:rPr>
            </w:pPr>
          </w:p>
        </w:tc>
        <w:tc>
          <w:tcPr>
            <w:tcW w:w="768" w:type="dxa"/>
            <w:vMerge w:val="continue"/>
            <w:tcBorders>
              <w:tl2br w:val="nil"/>
              <w:tr2bl w:val="nil"/>
            </w:tcBorders>
            <w:tcMar>
              <w:top w:w="0" w:type="dxa"/>
              <w:left w:w="57" w:type="dxa"/>
              <w:bottom w:w="0" w:type="dxa"/>
              <w:right w:w="57" w:type="dxa"/>
            </w:tcMar>
            <w:vAlign w:val="center"/>
          </w:tcPr>
          <w:p w14:paraId="26EDFF21">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56A47E22">
            <w:pPr>
              <w:pStyle w:val="19"/>
              <w:bidi w:val="0"/>
              <w:ind w:firstLine="0" w:firstLineChars="0"/>
              <w:rPr>
                <w:rFonts w:hint="default"/>
                <w:sz w:val="21"/>
                <w:szCs w:val="21"/>
                <w:highlight w:val="none"/>
              </w:rPr>
            </w:pPr>
            <w:r>
              <w:rPr>
                <w:rFonts w:hint="default"/>
                <w:sz w:val="21"/>
                <w:szCs w:val="21"/>
                <w:highlight w:val="none"/>
              </w:rPr>
              <w:t>H</w:t>
            </w:r>
            <w:r>
              <w:rPr>
                <w:rFonts w:hint="default"/>
                <w:sz w:val="21"/>
                <w:szCs w:val="21"/>
                <w:highlight w:val="none"/>
                <w:vertAlign w:val="subscript"/>
              </w:rPr>
              <w:t>2</w:t>
            </w:r>
            <w:r>
              <w:rPr>
                <w:rFonts w:hint="default"/>
                <w:sz w:val="21"/>
                <w:szCs w:val="21"/>
                <w:highlight w:val="none"/>
              </w:rPr>
              <w:t>S</w:t>
            </w:r>
          </w:p>
        </w:tc>
        <w:tc>
          <w:tcPr>
            <w:tcW w:w="1586" w:type="dxa"/>
            <w:tcBorders>
              <w:tl2br w:val="nil"/>
              <w:tr2bl w:val="nil"/>
            </w:tcBorders>
            <w:tcMar>
              <w:top w:w="0" w:type="dxa"/>
              <w:left w:w="57" w:type="dxa"/>
              <w:bottom w:w="0" w:type="dxa"/>
              <w:right w:w="57" w:type="dxa"/>
            </w:tcMar>
            <w:vAlign w:val="center"/>
          </w:tcPr>
          <w:p w14:paraId="7306A892">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lang w:val="en-US" w:eastAsia="zh-CN"/>
              </w:rPr>
              <w:t>0.0006</w:t>
            </w:r>
          </w:p>
        </w:tc>
        <w:tc>
          <w:tcPr>
            <w:tcW w:w="1437" w:type="dxa"/>
            <w:tcBorders>
              <w:tl2br w:val="nil"/>
              <w:tr2bl w:val="nil"/>
            </w:tcBorders>
            <w:tcMar>
              <w:top w:w="0" w:type="dxa"/>
              <w:left w:w="57" w:type="dxa"/>
              <w:bottom w:w="0" w:type="dxa"/>
              <w:right w:w="57" w:type="dxa"/>
            </w:tcMar>
            <w:vAlign w:val="center"/>
          </w:tcPr>
          <w:p w14:paraId="6D569092">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lang w:val="en-US" w:eastAsia="zh-CN"/>
              </w:rPr>
              <w:t>0.005</w:t>
            </w:r>
          </w:p>
        </w:tc>
        <w:tc>
          <w:tcPr>
            <w:tcW w:w="4049" w:type="dxa"/>
            <w:vMerge w:val="continue"/>
            <w:tcBorders>
              <w:tl2br w:val="nil"/>
              <w:tr2bl w:val="nil"/>
            </w:tcBorders>
            <w:tcMar>
              <w:top w:w="0" w:type="dxa"/>
              <w:left w:w="57" w:type="dxa"/>
              <w:bottom w:w="0" w:type="dxa"/>
              <w:right w:w="57" w:type="dxa"/>
            </w:tcMar>
            <w:vAlign w:val="center"/>
          </w:tcPr>
          <w:p w14:paraId="188BDF31">
            <w:pPr>
              <w:pStyle w:val="19"/>
              <w:bidi w:val="0"/>
              <w:rPr>
                <w:rFonts w:hint="eastAsia"/>
                <w:sz w:val="21"/>
                <w:szCs w:val="21"/>
                <w:highlight w:val="none"/>
                <w:lang w:val="en-US" w:eastAsia="zh-CN"/>
              </w:rPr>
            </w:pPr>
          </w:p>
        </w:tc>
        <w:tc>
          <w:tcPr>
            <w:tcW w:w="2088" w:type="dxa"/>
            <w:tcBorders>
              <w:tl2br w:val="nil"/>
              <w:tr2bl w:val="nil"/>
            </w:tcBorders>
            <w:tcMar>
              <w:top w:w="0" w:type="dxa"/>
              <w:left w:w="57" w:type="dxa"/>
              <w:bottom w:w="0" w:type="dxa"/>
              <w:right w:w="57" w:type="dxa"/>
            </w:tcMar>
            <w:vAlign w:val="center"/>
          </w:tcPr>
          <w:p w14:paraId="5AF01C61">
            <w:pPr>
              <w:pStyle w:val="19"/>
              <w:bidi w:val="0"/>
              <w:ind w:firstLine="0" w:firstLineChars="0"/>
              <w:rPr>
                <w:rFonts w:hint="default"/>
                <w:sz w:val="21"/>
                <w:szCs w:val="21"/>
                <w:highlight w:val="none"/>
                <w:lang w:val="en-US" w:eastAsia="zh-CN"/>
              </w:rPr>
            </w:pPr>
            <w:r>
              <w:rPr>
                <w:rFonts w:hint="eastAsia"/>
                <w:lang w:val="en-US" w:eastAsia="zh-CN"/>
              </w:rPr>
              <w:t>0.0006</w:t>
            </w:r>
          </w:p>
        </w:tc>
        <w:tc>
          <w:tcPr>
            <w:tcW w:w="1341" w:type="dxa"/>
            <w:tcBorders>
              <w:tl2br w:val="nil"/>
              <w:tr2bl w:val="nil"/>
            </w:tcBorders>
            <w:tcMar>
              <w:top w:w="0" w:type="dxa"/>
              <w:left w:w="57" w:type="dxa"/>
              <w:bottom w:w="0" w:type="dxa"/>
              <w:right w:w="57" w:type="dxa"/>
            </w:tcMar>
            <w:vAlign w:val="center"/>
          </w:tcPr>
          <w:p w14:paraId="5A20C944">
            <w:pPr>
              <w:pStyle w:val="19"/>
              <w:bidi w:val="0"/>
              <w:ind w:firstLine="0" w:firstLineChars="0"/>
              <w:rPr>
                <w:rFonts w:hint="default"/>
                <w:sz w:val="21"/>
                <w:szCs w:val="21"/>
                <w:highlight w:val="none"/>
                <w:lang w:val="en-US" w:eastAsia="zh-CN"/>
              </w:rPr>
            </w:pPr>
            <w:r>
              <w:rPr>
                <w:rFonts w:hint="eastAsia"/>
                <w:lang w:val="en-US" w:eastAsia="zh-CN"/>
              </w:rPr>
              <w:t>0.005</w:t>
            </w:r>
          </w:p>
        </w:tc>
      </w:tr>
      <w:tr w14:paraId="1619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277332DD">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51998DC1">
            <w:pPr>
              <w:pStyle w:val="19"/>
              <w:bidi w:val="0"/>
              <w:rPr>
                <w:rFonts w:hint="default"/>
                <w:sz w:val="21"/>
                <w:szCs w:val="21"/>
                <w:lang w:val="en-US" w:eastAsia="zh-CN"/>
              </w:rPr>
            </w:pPr>
            <w:r>
              <w:rPr>
                <w:rFonts w:hint="eastAsia"/>
                <w:highlight w:val="none"/>
                <w:lang w:val="en-US" w:eastAsia="zh-CN"/>
              </w:rPr>
              <w:t>污水处理系统</w:t>
            </w:r>
          </w:p>
        </w:tc>
        <w:tc>
          <w:tcPr>
            <w:tcW w:w="768" w:type="dxa"/>
            <w:vMerge w:val="restart"/>
            <w:tcBorders>
              <w:tl2br w:val="nil"/>
              <w:tr2bl w:val="nil"/>
            </w:tcBorders>
            <w:tcMar>
              <w:top w:w="0" w:type="dxa"/>
              <w:left w:w="57" w:type="dxa"/>
              <w:bottom w:w="0" w:type="dxa"/>
              <w:right w:w="57" w:type="dxa"/>
            </w:tcMar>
            <w:vAlign w:val="center"/>
          </w:tcPr>
          <w:p w14:paraId="6FB49799">
            <w:pPr>
              <w:pStyle w:val="19"/>
              <w:bidi w:val="0"/>
              <w:rPr>
                <w:rFonts w:hint="default"/>
                <w:sz w:val="21"/>
                <w:szCs w:val="21"/>
              </w:rPr>
            </w:pPr>
            <w:r>
              <w:rPr>
                <w:rFonts w:hint="default"/>
                <w:sz w:val="21"/>
                <w:szCs w:val="21"/>
              </w:rPr>
              <w:t>无组织</w:t>
            </w:r>
          </w:p>
        </w:tc>
        <w:tc>
          <w:tcPr>
            <w:tcW w:w="1115" w:type="dxa"/>
            <w:tcBorders>
              <w:tl2br w:val="nil"/>
              <w:tr2bl w:val="nil"/>
            </w:tcBorders>
            <w:tcMar>
              <w:top w:w="0" w:type="dxa"/>
              <w:left w:w="57" w:type="dxa"/>
              <w:bottom w:w="0" w:type="dxa"/>
              <w:right w:w="57" w:type="dxa"/>
            </w:tcMar>
            <w:vAlign w:val="center"/>
          </w:tcPr>
          <w:p w14:paraId="002EEC5D">
            <w:pPr>
              <w:pStyle w:val="19"/>
              <w:bidi w:val="0"/>
              <w:ind w:firstLine="0" w:firstLineChars="0"/>
              <w:rPr>
                <w:rFonts w:hint="default"/>
                <w:sz w:val="21"/>
                <w:szCs w:val="21"/>
                <w:highlight w:val="none"/>
              </w:rPr>
            </w:pPr>
            <w:r>
              <w:rPr>
                <w:rFonts w:hint="default"/>
                <w:sz w:val="21"/>
                <w:szCs w:val="21"/>
                <w:highlight w:val="none"/>
              </w:rPr>
              <w:t>NH</w:t>
            </w:r>
            <w:r>
              <w:rPr>
                <w:rFonts w:hint="default"/>
                <w:sz w:val="21"/>
                <w:szCs w:val="21"/>
                <w:highlight w:val="none"/>
                <w:vertAlign w:val="subscript"/>
              </w:rPr>
              <w:t>3</w:t>
            </w:r>
          </w:p>
        </w:tc>
        <w:tc>
          <w:tcPr>
            <w:tcW w:w="1586" w:type="dxa"/>
            <w:tcBorders>
              <w:tl2br w:val="nil"/>
              <w:tr2bl w:val="nil"/>
            </w:tcBorders>
            <w:tcMar>
              <w:top w:w="0" w:type="dxa"/>
              <w:left w:w="57" w:type="dxa"/>
              <w:bottom w:w="0" w:type="dxa"/>
              <w:right w:w="57" w:type="dxa"/>
            </w:tcMar>
            <w:vAlign w:val="center"/>
          </w:tcPr>
          <w:p w14:paraId="08951902">
            <w:pPr>
              <w:pStyle w:val="19"/>
              <w:bidi w:val="0"/>
              <w:ind w:firstLine="0" w:firstLineChars="0"/>
              <w:rPr>
                <w:rFonts w:hint="default"/>
                <w:sz w:val="21"/>
                <w:szCs w:val="21"/>
                <w:highlight w:val="none"/>
              </w:rPr>
            </w:pPr>
            <w:r>
              <w:rPr>
                <w:rFonts w:hint="eastAsia"/>
                <w:lang w:val="en-US" w:eastAsia="zh-CN"/>
              </w:rPr>
              <w:t>0.017</w:t>
            </w:r>
          </w:p>
        </w:tc>
        <w:tc>
          <w:tcPr>
            <w:tcW w:w="1437" w:type="dxa"/>
            <w:tcBorders>
              <w:tl2br w:val="nil"/>
              <w:tr2bl w:val="nil"/>
            </w:tcBorders>
            <w:tcMar>
              <w:top w:w="0" w:type="dxa"/>
              <w:left w:w="57" w:type="dxa"/>
              <w:bottom w:w="0" w:type="dxa"/>
              <w:right w:w="57" w:type="dxa"/>
            </w:tcMar>
            <w:vAlign w:val="center"/>
          </w:tcPr>
          <w:p w14:paraId="02A217F5">
            <w:pPr>
              <w:pStyle w:val="19"/>
              <w:bidi w:val="0"/>
              <w:ind w:firstLine="0" w:firstLineChars="0"/>
              <w:rPr>
                <w:rFonts w:hint="default"/>
                <w:sz w:val="21"/>
                <w:szCs w:val="21"/>
                <w:highlight w:val="none"/>
              </w:rPr>
            </w:pPr>
            <w:r>
              <w:rPr>
                <w:rFonts w:hint="eastAsia"/>
                <w:lang w:val="en-US" w:eastAsia="zh-CN"/>
              </w:rPr>
              <w:t>0.147</w:t>
            </w:r>
          </w:p>
        </w:tc>
        <w:tc>
          <w:tcPr>
            <w:tcW w:w="4049" w:type="dxa"/>
            <w:vMerge w:val="restart"/>
            <w:tcBorders>
              <w:tl2br w:val="nil"/>
              <w:tr2bl w:val="nil"/>
            </w:tcBorders>
            <w:tcMar>
              <w:top w:w="0" w:type="dxa"/>
              <w:left w:w="57" w:type="dxa"/>
              <w:bottom w:w="0" w:type="dxa"/>
              <w:right w:w="57" w:type="dxa"/>
            </w:tcMar>
            <w:vAlign w:val="center"/>
          </w:tcPr>
          <w:p w14:paraId="7B92EDAD">
            <w:pPr>
              <w:pStyle w:val="19"/>
              <w:bidi w:val="0"/>
              <w:rPr>
                <w:rFonts w:hint="default"/>
                <w:sz w:val="21"/>
                <w:szCs w:val="21"/>
                <w:highlight w:val="none"/>
                <w:lang w:val="en-US" w:eastAsia="zh-CN"/>
              </w:rPr>
            </w:pPr>
            <w:r>
              <w:rPr>
                <w:rFonts w:hint="default"/>
                <w:sz w:val="21"/>
                <w:szCs w:val="21"/>
                <w:highlight w:val="none"/>
                <w:lang w:val="en-US" w:eastAsia="zh-CN"/>
              </w:rPr>
              <w:t>收集池加盖密闭、1号粪污处理池外围定期喷洒除臭剂、厂区绿化</w:t>
            </w:r>
          </w:p>
        </w:tc>
        <w:tc>
          <w:tcPr>
            <w:tcW w:w="2088" w:type="dxa"/>
            <w:tcBorders>
              <w:tl2br w:val="nil"/>
              <w:tr2bl w:val="nil"/>
            </w:tcBorders>
            <w:tcMar>
              <w:top w:w="0" w:type="dxa"/>
              <w:left w:w="57" w:type="dxa"/>
              <w:bottom w:w="0" w:type="dxa"/>
              <w:right w:w="57" w:type="dxa"/>
            </w:tcMar>
            <w:vAlign w:val="center"/>
          </w:tcPr>
          <w:p w14:paraId="40461C78">
            <w:pPr>
              <w:pStyle w:val="19"/>
              <w:bidi w:val="0"/>
              <w:ind w:firstLine="0" w:firstLineChars="0"/>
              <w:rPr>
                <w:rFonts w:hint="default"/>
                <w:sz w:val="21"/>
                <w:szCs w:val="21"/>
                <w:highlight w:val="none"/>
                <w:lang w:val="en-US" w:eastAsia="zh-CN"/>
              </w:rPr>
            </w:pPr>
            <w:r>
              <w:rPr>
                <w:rFonts w:hint="eastAsia"/>
                <w:lang w:val="en-US" w:eastAsia="zh-CN"/>
              </w:rPr>
              <w:t>0.003</w:t>
            </w:r>
          </w:p>
        </w:tc>
        <w:tc>
          <w:tcPr>
            <w:tcW w:w="1341" w:type="dxa"/>
            <w:tcBorders>
              <w:tl2br w:val="nil"/>
              <w:tr2bl w:val="nil"/>
            </w:tcBorders>
            <w:tcMar>
              <w:top w:w="0" w:type="dxa"/>
              <w:left w:w="57" w:type="dxa"/>
              <w:bottom w:w="0" w:type="dxa"/>
              <w:right w:w="57" w:type="dxa"/>
            </w:tcMar>
            <w:vAlign w:val="center"/>
          </w:tcPr>
          <w:p w14:paraId="10244D5D">
            <w:pPr>
              <w:pStyle w:val="19"/>
              <w:bidi w:val="0"/>
              <w:ind w:firstLine="0" w:firstLineChars="0"/>
              <w:rPr>
                <w:rFonts w:hint="default"/>
                <w:sz w:val="21"/>
                <w:szCs w:val="21"/>
                <w:highlight w:val="none"/>
                <w:lang w:val="en-US" w:eastAsia="zh-CN"/>
              </w:rPr>
            </w:pPr>
            <w:r>
              <w:rPr>
                <w:rFonts w:hint="eastAsia"/>
                <w:lang w:val="en-US" w:eastAsia="zh-CN"/>
              </w:rPr>
              <w:t>0.022</w:t>
            </w:r>
          </w:p>
        </w:tc>
      </w:tr>
      <w:tr w14:paraId="73B6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0E7B9F69">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4B7455F0">
            <w:pPr>
              <w:pStyle w:val="19"/>
              <w:bidi w:val="0"/>
              <w:rPr>
                <w:rFonts w:hint="default"/>
                <w:sz w:val="21"/>
                <w:szCs w:val="21"/>
              </w:rPr>
            </w:pPr>
          </w:p>
        </w:tc>
        <w:tc>
          <w:tcPr>
            <w:tcW w:w="768" w:type="dxa"/>
            <w:vMerge w:val="continue"/>
            <w:tcBorders>
              <w:tl2br w:val="nil"/>
              <w:tr2bl w:val="nil"/>
            </w:tcBorders>
            <w:tcMar>
              <w:top w:w="0" w:type="dxa"/>
              <w:left w:w="57" w:type="dxa"/>
              <w:bottom w:w="0" w:type="dxa"/>
              <w:right w:w="57" w:type="dxa"/>
            </w:tcMar>
            <w:vAlign w:val="center"/>
          </w:tcPr>
          <w:p w14:paraId="64900834">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2D44F920">
            <w:pPr>
              <w:pStyle w:val="19"/>
              <w:bidi w:val="0"/>
              <w:ind w:firstLine="0" w:firstLineChars="0"/>
              <w:rPr>
                <w:rFonts w:hint="default"/>
                <w:sz w:val="21"/>
                <w:szCs w:val="21"/>
                <w:highlight w:val="none"/>
              </w:rPr>
            </w:pPr>
            <w:r>
              <w:rPr>
                <w:rFonts w:hint="default"/>
                <w:sz w:val="21"/>
                <w:szCs w:val="21"/>
                <w:highlight w:val="none"/>
              </w:rPr>
              <w:t>H</w:t>
            </w:r>
            <w:r>
              <w:rPr>
                <w:rFonts w:hint="default"/>
                <w:sz w:val="21"/>
                <w:szCs w:val="21"/>
                <w:highlight w:val="none"/>
                <w:vertAlign w:val="subscript"/>
              </w:rPr>
              <w:t>2</w:t>
            </w:r>
            <w:r>
              <w:rPr>
                <w:rFonts w:hint="default"/>
                <w:sz w:val="21"/>
                <w:szCs w:val="21"/>
                <w:highlight w:val="none"/>
              </w:rPr>
              <w:t>S</w:t>
            </w:r>
          </w:p>
        </w:tc>
        <w:tc>
          <w:tcPr>
            <w:tcW w:w="1586" w:type="dxa"/>
            <w:tcBorders>
              <w:tl2br w:val="nil"/>
              <w:tr2bl w:val="nil"/>
            </w:tcBorders>
            <w:tcMar>
              <w:top w:w="0" w:type="dxa"/>
              <w:left w:w="57" w:type="dxa"/>
              <w:bottom w:w="0" w:type="dxa"/>
              <w:right w:w="57" w:type="dxa"/>
            </w:tcMar>
            <w:vAlign w:val="center"/>
          </w:tcPr>
          <w:p w14:paraId="1C79634E">
            <w:pPr>
              <w:pStyle w:val="19"/>
              <w:bidi w:val="0"/>
              <w:ind w:firstLine="0" w:firstLineChars="0"/>
              <w:rPr>
                <w:rFonts w:hint="default"/>
                <w:sz w:val="21"/>
                <w:szCs w:val="21"/>
                <w:highlight w:val="none"/>
              </w:rPr>
            </w:pPr>
            <w:r>
              <w:rPr>
                <w:rFonts w:hint="eastAsia"/>
                <w:vertAlign w:val="baseline"/>
                <w:lang w:val="en-US" w:eastAsia="zh-CN"/>
              </w:rPr>
              <w:t>0.007</w:t>
            </w:r>
          </w:p>
        </w:tc>
        <w:tc>
          <w:tcPr>
            <w:tcW w:w="1437" w:type="dxa"/>
            <w:tcBorders>
              <w:tl2br w:val="nil"/>
              <w:tr2bl w:val="nil"/>
            </w:tcBorders>
            <w:tcMar>
              <w:top w:w="0" w:type="dxa"/>
              <w:left w:w="57" w:type="dxa"/>
              <w:bottom w:w="0" w:type="dxa"/>
              <w:right w:w="57" w:type="dxa"/>
            </w:tcMar>
            <w:vAlign w:val="center"/>
          </w:tcPr>
          <w:p w14:paraId="30375972">
            <w:pPr>
              <w:pStyle w:val="19"/>
              <w:bidi w:val="0"/>
              <w:ind w:firstLine="0" w:firstLineChars="0"/>
              <w:rPr>
                <w:rFonts w:hint="default"/>
                <w:sz w:val="21"/>
                <w:szCs w:val="21"/>
                <w:highlight w:val="none"/>
              </w:rPr>
            </w:pPr>
            <w:r>
              <w:rPr>
                <w:rFonts w:hint="eastAsia"/>
                <w:lang w:val="en-US" w:eastAsia="zh-CN"/>
              </w:rPr>
              <w:t>0.006</w:t>
            </w:r>
          </w:p>
        </w:tc>
        <w:tc>
          <w:tcPr>
            <w:tcW w:w="4049" w:type="dxa"/>
            <w:vMerge w:val="continue"/>
            <w:tcBorders>
              <w:tl2br w:val="nil"/>
              <w:tr2bl w:val="nil"/>
            </w:tcBorders>
            <w:tcMar>
              <w:top w:w="0" w:type="dxa"/>
              <w:left w:w="57" w:type="dxa"/>
              <w:bottom w:w="0" w:type="dxa"/>
              <w:right w:w="57" w:type="dxa"/>
            </w:tcMar>
            <w:vAlign w:val="center"/>
          </w:tcPr>
          <w:p w14:paraId="439DED8B">
            <w:pPr>
              <w:pStyle w:val="19"/>
              <w:bidi w:val="0"/>
              <w:rPr>
                <w:rFonts w:hint="eastAsia"/>
                <w:sz w:val="21"/>
                <w:szCs w:val="21"/>
                <w:highlight w:val="none"/>
                <w:lang w:val="en-US" w:eastAsia="zh-CN"/>
              </w:rPr>
            </w:pPr>
          </w:p>
        </w:tc>
        <w:tc>
          <w:tcPr>
            <w:tcW w:w="2088" w:type="dxa"/>
            <w:tcBorders>
              <w:tl2br w:val="nil"/>
              <w:tr2bl w:val="nil"/>
            </w:tcBorders>
            <w:tcMar>
              <w:top w:w="0" w:type="dxa"/>
              <w:left w:w="57" w:type="dxa"/>
              <w:bottom w:w="0" w:type="dxa"/>
              <w:right w:w="57" w:type="dxa"/>
            </w:tcMar>
            <w:vAlign w:val="center"/>
          </w:tcPr>
          <w:p w14:paraId="2DBDD652">
            <w:pPr>
              <w:pStyle w:val="19"/>
              <w:bidi w:val="0"/>
              <w:ind w:firstLine="0" w:firstLineChars="0"/>
              <w:rPr>
                <w:rFonts w:hint="default"/>
                <w:sz w:val="21"/>
                <w:szCs w:val="21"/>
                <w:highlight w:val="none"/>
                <w:lang w:val="en-US" w:eastAsia="zh-CN"/>
              </w:rPr>
            </w:pPr>
            <w:r>
              <w:rPr>
                <w:rFonts w:hint="eastAsia"/>
                <w:lang w:val="en-US" w:eastAsia="zh-CN"/>
              </w:rPr>
              <w:t>0.001</w:t>
            </w:r>
          </w:p>
        </w:tc>
        <w:tc>
          <w:tcPr>
            <w:tcW w:w="1341" w:type="dxa"/>
            <w:tcBorders>
              <w:tl2br w:val="nil"/>
              <w:tr2bl w:val="nil"/>
            </w:tcBorders>
            <w:tcMar>
              <w:top w:w="0" w:type="dxa"/>
              <w:left w:w="57" w:type="dxa"/>
              <w:bottom w:w="0" w:type="dxa"/>
              <w:right w:w="57" w:type="dxa"/>
            </w:tcMar>
            <w:vAlign w:val="center"/>
          </w:tcPr>
          <w:p w14:paraId="2E4F8E34">
            <w:pPr>
              <w:pStyle w:val="19"/>
              <w:bidi w:val="0"/>
              <w:ind w:firstLine="0" w:firstLineChars="0"/>
              <w:rPr>
                <w:rFonts w:hint="default"/>
                <w:sz w:val="21"/>
                <w:szCs w:val="21"/>
                <w:highlight w:val="none"/>
                <w:lang w:val="en-US" w:eastAsia="zh-CN"/>
              </w:rPr>
            </w:pPr>
            <w:r>
              <w:rPr>
                <w:rFonts w:hint="eastAsia"/>
                <w:lang w:val="en-US" w:eastAsia="zh-CN"/>
              </w:rPr>
              <w:t>0.001</w:t>
            </w:r>
          </w:p>
        </w:tc>
      </w:tr>
      <w:tr w14:paraId="748B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768D3F85">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126F04C2">
            <w:pPr>
              <w:pStyle w:val="19"/>
              <w:bidi w:val="0"/>
              <w:rPr>
                <w:rFonts w:hint="default"/>
                <w:sz w:val="21"/>
                <w:szCs w:val="21"/>
                <w:lang w:val="en-US" w:eastAsia="zh-CN"/>
              </w:rPr>
            </w:pPr>
            <w:r>
              <w:rPr>
                <w:rFonts w:hint="default"/>
                <w:highlight w:val="none"/>
                <w:lang w:val="en-US" w:eastAsia="zh-CN"/>
              </w:rPr>
              <w:t>干湿气分离</w:t>
            </w:r>
            <w:r>
              <w:rPr>
                <w:rFonts w:hint="eastAsia"/>
                <w:highlight w:val="none"/>
                <w:lang w:val="en-US" w:eastAsia="zh-CN"/>
              </w:rPr>
              <w:t>房</w:t>
            </w:r>
          </w:p>
        </w:tc>
        <w:tc>
          <w:tcPr>
            <w:tcW w:w="768" w:type="dxa"/>
            <w:vMerge w:val="restart"/>
            <w:tcBorders>
              <w:tl2br w:val="nil"/>
              <w:tr2bl w:val="nil"/>
            </w:tcBorders>
            <w:tcMar>
              <w:top w:w="0" w:type="dxa"/>
              <w:left w:w="57" w:type="dxa"/>
              <w:bottom w:w="0" w:type="dxa"/>
              <w:right w:w="57" w:type="dxa"/>
            </w:tcMar>
            <w:vAlign w:val="center"/>
          </w:tcPr>
          <w:p w14:paraId="7014CC99">
            <w:pPr>
              <w:pStyle w:val="19"/>
              <w:bidi w:val="0"/>
              <w:rPr>
                <w:rFonts w:hint="default"/>
                <w:sz w:val="21"/>
                <w:szCs w:val="21"/>
                <w:lang w:val="en-US" w:eastAsia="zh-CN"/>
              </w:rPr>
            </w:pPr>
            <w:r>
              <w:rPr>
                <w:rFonts w:hint="eastAsia"/>
                <w:sz w:val="21"/>
                <w:szCs w:val="21"/>
                <w:lang w:val="en-US" w:eastAsia="zh-CN"/>
              </w:rPr>
              <w:t>无</w:t>
            </w:r>
            <w:r>
              <w:rPr>
                <w:rFonts w:hint="default"/>
                <w:sz w:val="21"/>
                <w:szCs w:val="21"/>
                <w:lang w:val="en-US" w:eastAsia="zh-CN"/>
              </w:rPr>
              <w:t>组织</w:t>
            </w:r>
          </w:p>
        </w:tc>
        <w:tc>
          <w:tcPr>
            <w:tcW w:w="1115" w:type="dxa"/>
            <w:tcBorders>
              <w:tl2br w:val="nil"/>
              <w:tr2bl w:val="nil"/>
            </w:tcBorders>
            <w:tcMar>
              <w:top w:w="0" w:type="dxa"/>
              <w:left w:w="57" w:type="dxa"/>
              <w:bottom w:w="0" w:type="dxa"/>
              <w:right w:w="57" w:type="dxa"/>
            </w:tcMar>
            <w:vAlign w:val="center"/>
          </w:tcPr>
          <w:p w14:paraId="06EDE801">
            <w:pPr>
              <w:pStyle w:val="19"/>
              <w:bidi w:val="0"/>
              <w:ind w:firstLine="0" w:firstLineChars="0"/>
              <w:rPr>
                <w:rFonts w:hint="default"/>
                <w:sz w:val="21"/>
                <w:szCs w:val="21"/>
                <w:highlight w:val="none"/>
                <w:lang w:val="en-US" w:eastAsia="zh-CN"/>
              </w:rPr>
            </w:pPr>
            <w:r>
              <w:rPr>
                <w:rFonts w:hint="default"/>
                <w:sz w:val="21"/>
                <w:szCs w:val="21"/>
                <w:highlight w:val="none"/>
              </w:rPr>
              <w:t>NH</w:t>
            </w:r>
            <w:r>
              <w:rPr>
                <w:rFonts w:hint="default"/>
                <w:sz w:val="21"/>
                <w:szCs w:val="21"/>
                <w:highlight w:val="none"/>
                <w:vertAlign w:val="subscript"/>
              </w:rPr>
              <w:t>3</w:t>
            </w:r>
          </w:p>
        </w:tc>
        <w:tc>
          <w:tcPr>
            <w:tcW w:w="1586" w:type="dxa"/>
            <w:tcBorders>
              <w:tl2br w:val="nil"/>
              <w:tr2bl w:val="nil"/>
            </w:tcBorders>
            <w:tcMar>
              <w:top w:w="0" w:type="dxa"/>
              <w:left w:w="57" w:type="dxa"/>
              <w:bottom w:w="0" w:type="dxa"/>
              <w:right w:w="57" w:type="dxa"/>
            </w:tcMar>
            <w:vAlign w:val="center"/>
          </w:tcPr>
          <w:p w14:paraId="27BF35EC">
            <w:pPr>
              <w:pStyle w:val="19"/>
              <w:bidi w:val="0"/>
              <w:ind w:firstLine="0" w:firstLineChars="0"/>
              <w:rPr>
                <w:rFonts w:hint="default"/>
                <w:sz w:val="21"/>
                <w:szCs w:val="21"/>
                <w:highlight w:val="none"/>
                <w:lang w:val="en-US" w:eastAsia="zh-CN"/>
              </w:rPr>
            </w:pPr>
            <w:r>
              <w:rPr>
                <w:rFonts w:hint="eastAsia"/>
                <w:lang w:val="en-US" w:eastAsia="zh-CN"/>
              </w:rPr>
              <w:t>0.006</w:t>
            </w:r>
          </w:p>
        </w:tc>
        <w:tc>
          <w:tcPr>
            <w:tcW w:w="1437" w:type="dxa"/>
            <w:tcBorders>
              <w:tl2br w:val="nil"/>
              <w:tr2bl w:val="nil"/>
            </w:tcBorders>
            <w:tcMar>
              <w:top w:w="0" w:type="dxa"/>
              <w:left w:w="57" w:type="dxa"/>
              <w:bottom w:w="0" w:type="dxa"/>
              <w:right w:w="57" w:type="dxa"/>
            </w:tcMar>
            <w:vAlign w:val="center"/>
          </w:tcPr>
          <w:p w14:paraId="7F0C7FCB">
            <w:pPr>
              <w:pStyle w:val="19"/>
              <w:bidi w:val="0"/>
              <w:ind w:firstLine="0" w:firstLineChars="0"/>
              <w:rPr>
                <w:rFonts w:hint="default"/>
                <w:sz w:val="21"/>
                <w:szCs w:val="21"/>
                <w:highlight w:val="none"/>
                <w:lang w:val="en-US" w:eastAsia="zh-CN"/>
              </w:rPr>
            </w:pPr>
            <w:r>
              <w:rPr>
                <w:rFonts w:hint="eastAsia"/>
                <w:lang w:val="en-US" w:eastAsia="zh-CN"/>
              </w:rPr>
              <w:t>0.06</w:t>
            </w:r>
          </w:p>
        </w:tc>
        <w:tc>
          <w:tcPr>
            <w:tcW w:w="4049" w:type="dxa"/>
            <w:vMerge w:val="restart"/>
            <w:tcBorders>
              <w:tl2br w:val="nil"/>
              <w:tr2bl w:val="nil"/>
            </w:tcBorders>
            <w:tcMar>
              <w:top w:w="0" w:type="dxa"/>
              <w:left w:w="57" w:type="dxa"/>
              <w:bottom w:w="0" w:type="dxa"/>
              <w:right w:w="57" w:type="dxa"/>
            </w:tcMar>
            <w:vAlign w:val="center"/>
          </w:tcPr>
          <w:p w14:paraId="42D3E4C1">
            <w:pPr>
              <w:pStyle w:val="19"/>
              <w:bidi w:val="0"/>
              <w:rPr>
                <w:rFonts w:hint="eastAsia"/>
                <w:sz w:val="21"/>
                <w:szCs w:val="21"/>
                <w:highlight w:val="none"/>
                <w:lang w:val="en-US" w:eastAsia="zh-CN"/>
              </w:rPr>
            </w:pPr>
            <w:r>
              <w:rPr>
                <w:rFonts w:hint="default"/>
                <w:sz w:val="21"/>
                <w:szCs w:val="21"/>
                <w:highlight w:val="none"/>
                <w:lang w:val="en-US" w:eastAsia="zh-CN"/>
              </w:rPr>
              <w:t>密闭、喷洒除臭剂</w:t>
            </w:r>
          </w:p>
        </w:tc>
        <w:tc>
          <w:tcPr>
            <w:tcW w:w="2088" w:type="dxa"/>
            <w:tcBorders>
              <w:tl2br w:val="nil"/>
              <w:tr2bl w:val="nil"/>
            </w:tcBorders>
            <w:tcMar>
              <w:top w:w="0" w:type="dxa"/>
              <w:left w:w="57" w:type="dxa"/>
              <w:bottom w:w="0" w:type="dxa"/>
              <w:right w:w="57" w:type="dxa"/>
            </w:tcMar>
            <w:vAlign w:val="center"/>
          </w:tcPr>
          <w:p w14:paraId="3233AA65">
            <w:pPr>
              <w:pStyle w:val="19"/>
              <w:bidi w:val="0"/>
              <w:ind w:firstLine="0" w:firstLineChars="0"/>
              <w:rPr>
                <w:rFonts w:hint="default"/>
                <w:sz w:val="21"/>
                <w:szCs w:val="21"/>
                <w:highlight w:val="none"/>
                <w:lang w:val="en-US" w:eastAsia="zh-CN"/>
              </w:rPr>
            </w:pPr>
            <w:r>
              <w:rPr>
                <w:rFonts w:hint="eastAsia"/>
                <w:lang w:val="en-US" w:eastAsia="zh-CN"/>
              </w:rPr>
              <w:t>0.0018</w:t>
            </w:r>
          </w:p>
        </w:tc>
        <w:tc>
          <w:tcPr>
            <w:tcW w:w="1341" w:type="dxa"/>
            <w:tcBorders>
              <w:tl2br w:val="nil"/>
              <w:tr2bl w:val="nil"/>
            </w:tcBorders>
            <w:tcMar>
              <w:top w:w="0" w:type="dxa"/>
              <w:left w:w="57" w:type="dxa"/>
              <w:bottom w:w="0" w:type="dxa"/>
              <w:right w:w="57" w:type="dxa"/>
            </w:tcMar>
            <w:vAlign w:val="center"/>
          </w:tcPr>
          <w:p w14:paraId="4B79B9B3">
            <w:pPr>
              <w:pStyle w:val="19"/>
              <w:bidi w:val="0"/>
              <w:ind w:firstLine="0" w:firstLineChars="0"/>
              <w:rPr>
                <w:rFonts w:hint="default"/>
                <w:sz w:val="21"/>
                <w:szCs w:val="21"/>
                <w:highlight w:val="none"/>
                <w:lang w:val="en-US" w:eastAsia="zh-CN"/>
              </w:rPr>
            </w:pPr>
            <w:r>
              <w:rPr>
                <w:rFonts w:hint="eastAsia"/>
                <w:lang w:val="en-US" w:eastAsia="zh-CN"/>
              </w:rPr>
              <w:t>0.018</w:t>
            </w:r>
          </w:p>
        </w:tc>
      </w:tr>
      <w:tr w14:paraId="3255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4BF18AA3">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7F7D96D7">
            <w:pPr>
              <w:pStyle w:val="19"/>
              <w:bidi w:val="0"/>
              <w:rPr>
                <w:rFonts w:hint="default"/>
                <w:sz w:val="21"/>
                <w:szCs w:val="21"/>
              </w:rPr>
            </w:pPr>
          </w:p>
        </w:tc>
        <w:tc>
          <w:tcPr>
            <w:tcW w:w="768" w:type="dxa"/>
            <w:vMerge w:val="continue"/>
            <w:tcBorders>
              <w:tl2br w:val="nil"/>
              <w:tr2bl w:val="nil"/>
            </w:tcBorders>
            <w:tcMar>
              <w:top w:w="0" w:type="dxa"/>
              <w:left w:w="57" w:type="dxa"/>
              <w:bottom w:w="0" w:type="dxa"/>
              <w:right w:w="57" w:type="dxa"/>
            </w:tcMar>
            <w:vAlign w:val="center"/>
          </w:tcPr>
          <w:p w14:paraId="34CD20FF">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694A1373">
            <w:pPr>
              <w:pStyle w:val="19"/>
              <w:bidi w:val="0"/>
              <w:ind w:firstLine="0" w:firstLineChars="0"/>
              <w:rPr>
                <w:rFonts w:hint="default"/>
                <w:sz w:val="21"/>
                <w:szCs w:val="21"/>
                <w:highlight w:val="none"/>
                <w:lang w:val="en-US" w:eastAsia="zh-CN"/>
              </w:rPr>
            </w:pPr>
            <w:r>
              <w:rPr>
                <w:rFonts w:hint="default"/>
                <w:sz w:val="21"/>
                <w:szCs w:val="21"/>
                <w:highlight w:val="none"/>
              </w:rPr>
              <w:t>H</w:t>
            </w:r>
            <w:r>
              <w:rPr>
                <w:rFonts w:hint="default"/>
                <w:sz w:val="21"/>
                <w:szCs w:val="21"/>
                <w:highlight w:val="none"/>
                <w:vertAlign w:val="subscript"/>
              </w:rPr>
              <w:t>2</w:t>
            </w:r>
            <w:r>
              <w:rPr>
                <w:rFonts w:hint="default"/>
                <w:sz w:val="21"/>
                <w:szCs w:val="21"/>
                <w:highlight w:val="none"/>
              </w:rPr>
              <w:t>S</w:t>
            </w:r>
          </w:p>
        </w:tc>
        <w:tc>
          <w:tcPr>
            <w:tcW w:w="1586" w:type="dxa"/>
            <w:tcBorders>
              <w:tl2br w:val="nil"/>
              <w:tr2bl w:val="nil"/>
            </w:tcBorders>
            <w:tcMar>
              <w:top w:w="0" w:type="dxa"/>
              <w:left w:w="57" w:type="dxa"/>
              <w:bottom w:w="0" w:type="dxa"/>
              <w:right w:w="57" w:type="dxa"/>
            </w:tcMar>
            <w:vAlign w:val="center"/>
          </w:tcPr>
          <w:p w14:paraId="1BB851A5">
            <w:pPr>
              <w:pStyle w:val="19"/>
              <w:bidi w:val="0"/>
              <w:ind w:firstLine="0" w:firstLineChars="0"/>
              <w:rPr>
                <w:rFonts w:hint="default"/>
                <w:sz w:val="21"/>
                <w:szCs w:val="21"/>
                <w:highlight w:val="none"/>
                <w:lang w:val="en-US" w:eastAsia="zh-CN"/>
              </w:rPr>
            </w:pPr>
            <w:r>
              <w:rPr>
                <w:rFonts w:hint="eastAsia"/>
                <w:lang w:val="en-US" w:eastAsia="zh-CN"/>
              </w:rPr>
              <w:t>0.0004</w:t>
            </w:r>
          </w:p>
        </w:tc>
        <w:tc>
          <w:tcPr>
            <w:tcW w:w="1437" w:type="dxa"/>
            <w:tcBorders>
              <w:tl2br w:val="nil"/>
              <w:tr2bl w:val="nil"/>
            </w:tcBorders>
            <w:tcMar>
              <w:top w:w="0" w:type="dxa"/>
              <w:left w:w="57" w:type="dxa"/>
              <w:bottom w:w="0" w:type="dxa"/>
              <w:right w:w="57" w:type="dxa"/>
            </w:tcMar>
            <w:vAlign w:val="center"/>
          </w:tcPr>
          <w:p w14:paraId="5624A784">
            <w:pPr>
              <w:pStyle w:val="19"/>
              <w:bidi w:val="0"/>
              <w:ind w:firstLine="0" w:firstLineChars="0"/>
              <w:rPr>
                <w:rFonts w:hint="default"/>
                <w:sz w:val="21"/>
                <w:szCs w:val="21"/>
                <w:highlight w:val="none"/>
                <w:lang w:val="en-US" w:eastAsia="zh-CN"/>
              </w:rPr>
            </w:pPr>
            <w:r>
              <w:rPr>
                <w:rFonts w:hint="eastAsia"/>
                <w:lang w:val="en-US" w:eastAsia="zh-CN"/>
              </w:rPr>
              <w:t>0.003</w:t>
            </w:r>
          </w:p>
        </w:tc>
        <w:tc>
          <w:tcPr>
            <w:tcW w:w="4049" w:type="dxa"/>
            <w:vMerge w:val="continue"/>
            <w:tcBorders>
              <w:tl2br w:val="nil"/>
              <w:tr2bl w:val="nil"/>
            </w:tcBorders>
            <w:tcMar>
              <w:top w:w="0" w:type="dxa"/>
              <w:left w:w="57" w:type="dxa"/>
              <w:bottom w:w="0" w:type="dxa"/>
              <w:right w:w="57" w:type="dxa"/>
            </w:tcMar>
            <w:vAlign w:val="center"/>
          </w:tcPr>
          <w:p w14:paraId="1D7EA3C6">
            <w:pPr>
              <w:pStyle w:val="19"/>
              <w:bidi w:val="0"/>
              <w:rPr>
                <w:rFonts w:hint="eastAsia"/>
                <w:sz w:val="21"/>
                <w:szCs w:val="21"/>
                <w:highlight w:val="none"/>
                <w:lang w:val="en-US" w:eastAsia="zh-CN"/>
              </w:rPr>
            </w:pPr>
          </w:p>
        </w:tc>
        <w:tc>
          <w:tcPr>
            <w:tcW w:w="2088" w:type="dxa"/>
            <w:tcBorders>
              <w:tl2br w:val="nil"/>
              <w:tr2bl w:val="nil"/>
            </w:tcBorders>
            <w:tcMar>
              <w:top w:w="0" w:type="dxa"/>
              <w:left w:w="57" w:type="dxa"/>
              <w:bottom w:w="0" w:type="dxa"/>
              <w:right w:w="57" w:type="dxa"/>
            </w:tcMar>
            <w:vAlign w:val="center"/>
          </w:tcPr>
          <w:p w14:paraId="434AF188">
            <w:pPr>
              <w:pStyle w:val="19"/>
              <w:bidi w:val="0"/>
              <w:ind w:firstLine="0" w:firstLineChars="0"/>
              <w:rPr>
                <w:rFonts w:hint="default"/>
                <w:sz w:val="21"/>
                <w:szCs w:val="21"/>
                <w:highlight w:val="none"/>
                <w:lang w:val="en-US" w:eastAsia="zh-CN"/>
              </w:rPr>
            </w:pPr>
            <w:r>
              <w:rPr>
                <w:rFonts w:hint="eastAsia"/>
                <w:lang w:val="en-US" w:eastAsia="zh-CN"/>
              </w:rPr>
              <w:t>0.00012</w:t>
            </w:r>
          </w:p>
        </w:tc>
        <w:tc>
          <w:tcPr>
            <w:tcW w:w="1341" w:type="dxa"/>
            <w:tcBorders>
              <w:tl2br w:val="nil"/>
              <w:tr2bl w:val="nil"/>
            </w:tcBorders>
            <w:tcMar>
              <w:top w:w="0" w:type="dxa"/>
              <w:left w:w="57" w:type="dxa"/>
              <w:bottom w:w="0" w:type="dxa"/>
              <w:right w:w="57" w:type="dxa"/>
            </w:tcMar>
            <w:vAlign w:val="center"/>
          </w:tcPr>
          <w:p w14:paraId="4C4A9A2B">
            <w:pPr>
              <w:pStyle w:val="19"/>
              <w:bidi w:val="0"/>
              <w:ind w:firstLine="0" w:firstLineChars="0"/>
              <w:rPr>
                <w:rFonts w:hint="default"/>
                <w:sz w:val="21"/>
                <w:szCs w:val="21"/>
                <w:highlight w:val="none"/>
                <w:lang w:val="en-US" w:eastAsia="zh-CN"/>
              </w:rPr>
            </w:pPr>
            <w:r>
              <w:rPr>
                <w:rFonts w:hint="eastAsia"/>
                <w:lang w:val="en-US" w:eastAsia="zh-CN"/>
              </w:rPr>
              <w:t>0.0009</w:t>
            </w:r>
          </w:p>
        </w:tc>
      </w:tr>
      <w:tr w14:paraId="65EA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3F8C4AD3">
            <w:pPr>
              <w:pStyle w:val="19"/>
              <w:bidi w:val="0"/>
              <w:rPr>
                <w:rFonts w:hint="default"/>
                <w:sz w:val="21"/>
                <w:szCs w:val="21"/>
              </w:rPr>
            </w:pPr>
          </w:p>
        </w:tc>
        <w:tc>
          <w:tcPr>
            <w:tcW w:w="1116" w:type="dxa"/>
            <w:tcBorders>
              <w:tl2br w:val="nil"/>
              <w:tr2bl w:val="nil"/>
            </w:tcBorders>
            <w:tcMar>
              <w:top w:w="0" w:type="dxa"/>
              <w:left w:w="57" w:type="dxa"/>
              <w:bottom w:w="0" w:type="dxa"/>
              <w:right w:w="57" w:type="dxa"/>
            </w:tcMar>
            <w:vAlign w:val="center"/>
          </w:tcPr>
          <w:p w14:paraId="0215F8B5">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食堂油烟</w:t>
            </w:r>
          </w:p>
        </w:tc>
        <w:tc>
          <w:tcPr>
            <w:tcW w:w="768" w:type="dxa"/>
            <w:tcBorders>
              <w:tl2br w:val="nil"/>
              <w:tr2bl w:val="nil"/>
            </w:tcBorders>
            <w:tcMar>
              <w:top w:w="0" w:type="dxa"/>
              <w:left w:w="57" w:type="dxa"/>
              <w:bottom w:w="0" w:type="dxa"/>
              <w:right w:w="57" w:type="dxa"/>
            </w:tcMar>
            <w:vAlign w:val="center"/>
          </w:tcPr>
          <w:p w14:paraId="14D55780">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有组织</w:t>
            </w:r>
          </w:p>
        </w:tc>
        <w:tc>
          <w:tcPr>
            <w:tcW w:w="1115" w:type="dxa"/>
            <w:tcBorders>
              <w:tl2br w:val="nil"/>
              <w:tr2bl w:val="nil"/>
            </w:tcBorders>
            <w:tcMar>
              <w:top w:w="0" w:type="dxa"/>
              <w:left w:w="57" w:type="dxa"/>
              <w:bottom w:w="0" w:type="dxa"/>
              <w:right w:w="57" w:type="dxa"/>
            </w:tcMar>
            <w:vAlign w:val="center"/>
          </w:tcPr>
          <w:p w14:paraId="4EE365F2">
            <w:pPr>
              <w:pStyle w:val="19"/>
              <w:bidi w:val="0"/>
              <w:rPr>
                <w:rFonts w:hint="default"/>
                <w:sz w:val="21"/>
                <w:szCs w:val="21"/>
                <w:lang w:val="en-US" w:eastAsia="zh-CN"/>
              </w:rPr>
            </w:pPr>
            <w:r>
              <w:rPr>
                <w:rFonts w:hint="eastAsia"/>
                <w:sz w:val="21"/>
                <w:szCs w:val="21"/>
                <w:lang w:val="en-US" w:eastAsia="zh-CN"/>
              </w:rPr>
              <w:t>饮食油烟</w:t>
            </w:r>
          </w:p>
        </w:tc>
        <w:tc>
          <w:tcPr>
            <w:tcW w:w="1586" w:type="dxa"/>
            <w:tcBorders>
              <w:tl2br w:val="nil"/>
              <w:tr2bl w:val="nil"/>
            </w:tcBorders>
            <w:tcMar>
              <w:top w:w="0" w:type="dxa"/>
              <w:left w:w="57" w:type="dxa"/>
              <w:bottom w:w="0" w:type="dxa"/>
              <w:right w:w="57" w:type="dxa"/>
            </w:tcMar>
            <w:vAlign w:val="center"/>
          </w:tcPr>
          <w:p w14:paraId="3C70019A">
            <w:pPr>
              <w:pStyle w:val="19"/>
              <w:bidi w:val="0"/>
              <w:ind w:firstLine="0" w:firstLineChars="0"/>
              <w:rPr>
                <w:rFonts w:hint="default"/>
                <w:sz w:val="21"/>
                <w:szCs w:val="21"/>
                <w:lang w:val="en-US"/>
              </w:rPr>
            </w:pPr>
            <w:r>
              <w:rPr>
                <w:rFonts w:hint="eastAsia"/>
                <w:sz w:val="21"/>
                <w:szCs w:val="21"/>
                <w:lang w:val="en-US" w:eastAsia="zh-CN"/>
              </w:rPr>
              <w:t>1.25×10</w:t>
            </w:r>
            <w:r>
              <w:rPr>
                <w:rFonts w:hint="eastAsia"/>
                <w:sz w:val="21"/>
                <w:szCs w:val="21"/>
                <w:vertAlign w:val="superscript"/>
                <w:lang w:val="en-US" w:eastAsia="zh-CN"/>
              </w:rPr>
              <w:t>-3</w:t>
            </w:r>
          </w:p>
        </w:tc>
        <w:tc>
          <w:tcPr>
            <w:tcW w:w="1437" w:type="dxa"/>
            <w:tcBorders>
              <w:tl2br w:val="nil"/>
              <w:tr2bl w:val="nil"/>
            </w:tcBorders>
            <w:tcMar>
              <w:top w:w="0" w:type="dxa"/>
              <w:left w:w="57" w:type="dxa"/>
              <w:bottom w:w="0" w:type="dxa"/>
              <w:right w:w="57" w:type="dxa"/>
            </w:tcMar>
            <w:vAlign w:val="center"/>
          </w:tcPr>
          <w:p w14:paraId="496A728B">
            <w:pPr>
              <w:pStyle w:val="19"/>
              <w:bidi w:val="0"/>
              <w:ind w:firstLine="0" w:firstLineChars="0"/>
              <w:rPr>
                <w:rFonts w:hint="default"/>
                <w:sz w:val="21"/>
                <w:szCs w:val="21"/>
              </w:rPr>
            </w:pPr>
            <w:r>
              <w:rPr>
                <w:rFonts w:hint="eastAsia"/>
                <w:sz w:val="21"/>
                <w:szCs w:val="21"/>
                <w:lang w:val="en-US" w:eastAsia="zh-CN"/>
              </w:rPr>
              <w:t>0.01</w:t>
            </w:r>
          </w:p>
        </w:tc>
        <w:tc>
          <w:tcPr>
            <w:tcW w:w="4049" w:type="dxa"/>
            <w:tcBorders>
              <w:tl2br w:val="nil"/>
              <w:tr2bl w:val="nil"/>
            </w:tcBorders>
            <w:tcMar>
              <w:top w:w="0" w:type="dxa"/>
              <w:left w:w="57" w:type="dxa"/>
              <w:bottom w:w="0" w:type="dxa"/>
              <w:right w:w="57" w:type="dxa"/>
            </w:tcMar>
            <w:vAlign w:val="center"/>
          </w:tcPr>
          <w:p w14:paraId="75D807D1">
            <w:pPr>
              <w:pStyle w:val="19"/>
              <w:bidi w:val="0"/>
              <w:ind w:firstLine="0" w:firstLineChars="0"/>
              <w:rPr>
                <w:rFonts w:hint="default"/>
                <w:sz w:val="21"/>
                <w:szCs w:val="21"/>
                <w:lang w:val="en-US" w:eastAsia="zh-CN"/>
              </w:rPr>
            </w:pPr>
            <w:r>
              <w:rPr>
                <w:rFonts w:hint="eastAsia"/>
                <w:sz w:val="21"/>
                <w:szCs w:val="21"/>
                <w:lang w:val="en-US" w:eastAsia="zh-CN"/>
              </w:rPr>
              <w:t>油烟净化器+专用排烟风道于屋顶排放</w:t>
            </w:r>
          </w:p>
        </w:tc>
        <w:tc>
          <w:tcPr>
            <w:tcW w:w="2088" w:type="dxa"/>
            <w:tcBorders>
              <w:tl2br w:val="nil"/>
              <w:tr2bl w:val="nil"/>
            </w:tcBorders>
            <w:tcMar>
              <w:top w:w="0" w:type="dxa"/>
              <w:left w:w="57" w:type="dxa"/>
              <w:bottom w:w="0" w:type="dxa"/>
              <w:right w:w="57" w:type="dxa"/>
            </w:tcMar>
            <w:vAlign w:val="center"/>
          </w:tcPr>
          <w:p w14:paraId="1505287A">
            <w:pPr>
              <w:pStyle w:val="19"/>
              <w:bidi w:val="0"/>
              <w:rPr>
                <w:rFonts w:hint="default"/>
                <w:sz w:val="21"/>
                <w:szCs w:val="21"/>
                <w:lang w:val="en-US" w:eastAsia="zh-CN"/>
              </w:rPr>
            </w:pPr>
            <w:r>
              <w:rPr>
                <w:rFonts w:hint="eastAsia"/>
                <w:sz w:val="21"/>
                <w:szCs w:val="21"/>
                <w:lang w:val="en-US" w:eastAsia="zh-CN"/>
              </w:rPr>
              <w:t>5×10</w:t>
            </w:r>
            <w:r>
              <w:rPr>
                <w:rFonts w:hint="eastAsia"/>
                <w:sz w:val="21"/>
                <w:szCs w:val="21"/>
                <w:vertAlign w:val="superscript"/>
                <w:lang w:val="en-US" w:eastAsia="zh-CN"/>
              </w:rPr>
              <w:t>-4</w:t>
            </w:r>
            <w:r>
              <w:rPr>
                <w:rFonts w:hint="eastAsia"/>
                <w:sz w:val="21"/>
                <w:szCs w:val="21"/>
                <w:vertAlign w:val="baseline"/>
                <w:lang w:val="en-US" w:eastAsia="zh-CN"/>
              </w:rPr>
              <w:t>（1.37mg/m</w:t>
            </w:r>
            <w:r>
              <w:rPr>
                <w:rFonts w:hint="eastAsia"/>
                <w:sz w:val="21"/>
                <w:szCs w:val="21"/>
                <w:vertAlign w:val="superscript"/>
                <w:lang w:val="en-US" w:eastAsia="zh-CN"/>
              </w:rPr>
              <w:t>3</w:t>
            </w:r>
            <w:r>
              <w:rPr>
                <w:rFonts w:hint="eastAsia"/>
                <w:sz w:val="21"/>
                <w:szCs w:val="21"/>
                <w:vertAlign w:val="baseline"/>
                <w:lang w:val="en-US" w:eastAsia="zh-CN"/>
              </w:rPr>
              <w:t>）</w:t>
            </w:r>
          </w:p>
        </w:tc>
        <w:tc>
          <w:tcPr>
            <w:tcW w:w="0" w:type="auto"/>
            <w:tcBorders>
              <w:tl2br w:val="nil"/>
              <w:tr2bl w:val="nil"/>
            </w:tcBorders>
            <w:tcMar>
              <w:top w:w="0" w:type="dxa"/>
              <w:left w:w="57" w:type="dxa"/>
              <w:bottom w:w="0" w:type="dxa"/>
              <w:right w:w="57" w:type="dxa"/>
            </w:tcMar>
            <w:vAlign w:val="center"/>
          </w:tcPr>
          <w:p w14:paraId="1BF53169">
            <w:pPr>
              <w:pStyle w:val="19"/>
              <w:bidi w:val="0"/>
              <w:rPr>
                <w:rFonts w:hint="default"/>
                <w:sz w:val="21"/>
                <w:szCs w:val="21"/>
                <w:lang w:val="en-US" w:eastAsia="zh-CN"/>
              </w:rPr>
            </w:pPr>
            <w:r>
              <w:rPr>
                <w:rFonts w:hint="eastAsia"/>
                <w:sz w:val="21"/>
                <w:szCs w:val="21"/>
                <w:lang w:val="en-US" w:eastAsia="zh-CN"/>
              </w:rPr>
              <w:t>0.004</w:t>
            </w:r>
          </w:p>
        </w:tc>
      </w:tr>
      <w:tr w14:paraId="44BB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3024E126">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22D5EB18">
            <w:pPr>
              <w:pStyle w:val="19"/>
              <w:bidi w:val="0"/>
              <w:rPr>
                <w:rFonts w:hint="default"/>
                <w:sz w:val="21"/>
                <w:szCs w:val="21"/>
                <w:lang w:val="en-US" w:eastAsia="zh-CN"/>
              </w:rPr>
            </w:pPr>
            <w:r>
              <w:rPr>
                <w:rFonts w:hint="eastAsia"/>
                <w:sz w:val="21"/>
                <w:szCs w:val="21"/>
                <w:lang w:val="en-US" w:eastAsia="zh-CN"/>
              </w:rPr>
              <w:t>1#</w:t>
            </w:r>
            <w:r>
              <w:rPr>
                <w:rFonts w:hint="default"/>
                <w:sz w:val="21"/>
                <w:szCs w:val="21"/>
                <w:lang w:val="en-US" w:eastAsia="zh-CN"/>
              </w:rPr>
              <w:t>生物质锅炉</w:t>
            </w:r>
          </w:p>
        </w:tc>
        <w:tc>
          <w:tcPr>
            <w:tcW w:w="768" w:type="dxa"/>
            <w:vMerge w:val="restart"/>
            <w:tcBorders>
              <w:tl2br w:val="nil"/>
              <w:tr2bl w:val="nil"/>
            </w:tcBorders>
            <w:tcMar>
              <w:top w:w="0" w:type="dxa"/>
              <w:left w:w="57" w:type="dxa"/>
              <w:bottom w:w="0" w:type="dxa"/>
              <w:right w:w="57" w:type="dxa"/>
            </w:tcMar>
            <w:vAlign w:val="center"/>
          </w:tcPr>
          <w:p w14:paraId="7E749B6F">
            <w:pPr>
              <w:pStyle w:val="19"/>
              <w:bidi w:val="0"/>
              <w:rPr>
                <w:rFonts w:hint="eastAsia" w:eastAsia="宋体"/>
                <w:sz w:val="21"/>
                <w:szCs w:val="21"/>
                <w:lang w:val="en-US" w:eastAsia="zh-CN"/>
              </w:rPr>
            </w:pPr>
            <w:r>
              <w:rPr>
                <w:rFonts w:hint="eastAsia"/>
                <w:sz w:val="21"/>
                <w:szCs w:val="21"/>
                <w:lang w:val="en-US" w:eastAsia="zh-CN"/>
              </w:rPr>
              <w:t>有组织</w:t>
            </w:r>
          </w:p>
        </w:tc>
        <w:tc>
          <w:tcPr>
            <w:tcW w:w="1115" w:type="dxa"/>
            <w:tcBorders>
              <w:tl2br w:val="nil"/>
              <w:tr2bl w:val="nil"/>
            </w:tcBorders>
            <w:tcMar>
              <w:top w:w="0" w:type="dxa"/>
              <w:left w:w="57" w:type="dxa"/>
              <w:bottom w:w="0" w:type="dxa"/>
              <w:right w:w="57" w:type="dxa"/>
            </w:tcMar>
            <w:vAlign w:val="center"/>
          </w:tcPr>
          <w:p w14:paraId="3F49CC90">
            <w:pPr>
              <w:pStyle w:val="19"/>
              <w:bidi w:val="0"/>
              <w:ind w:firstLine="0" w:firstLineChars="0"/>
              <w:jc w:val="center"/>
              <w:rPr>
                <w:rFonts w:hint="default"/>
                <w:sz w:val="21"/>
                <w:szCs w:val="21"/>
                <w:lang w:val="en-US" w:eastAsia="zh-CN"/>
              </w:rPr>
            </w:pPr>
            <w:r>
              <w:rPr>
                <w:rFonts w:hint="eastAsia"/>
                <w:sz w:val="21"/>
                <w:szCs w:val="21"/>
                <w:lang w:val="en-US" w:eastAsia="zh-CN"/>
              </w:rPr>
              <w:t>颗粒物</w:t>
            </w:r>
          </w:p>
        </w:tc>
        <w:tc>
          <w:tcPr>
            <w:tcW w:w="1586" w:type="dxa"/>
            <w:tcBorders>
              <w:tl2br w:val="nil"/>
              <w:tr2bl w:val="nil"/>
            </w:tcBorders>
            <w:tcMar>
              <w:top w:w="0" w:type="dxa"/>
              <w:left w:w="57" w:type="dxa"/>
              <w:bottom w:w="0" w:type="dxa"/>
              <w:right w:w="57" w:type="dxa"/>
            </w:tcMar>
            <w:vAlign w:val="center"/>
          </w:tcPr>
          <w:p w14:paraId="6B30273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0.219</w:t>
            </w:r>
          </w:p>
        </w:tc>
        <w:tc>
          <w:tcPr>
            <w:tcW w:w="1437" w:type="dxa"/>
            <w:tcBorders>
              <w:tl2br w:val="nil"/>
              <w:tr2bl w:val="nil"/>
            </w:tcBorders>
            <w:tcMar>
              <w:top w:w="0" w:type="dxa"/>
              <w:left w:w="57" w:type="dxa"/>
              <w:bottom w:w="0" w:type="dxa"/>
              <w:right w:w="57" w:type="dxa"/>
            </w:tcMar>
            <w:vAlign w:val="center"/>
          </w:tcPr>
          <w:p w14:paraId="67D51144">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0.95</w:t>
            </w:r>
          </w:p>
        </w:tc>
        <w:tc>
          <w:tcPr>
            <w:tcW w:w="4049" w:type="dxa"/>
            <w:vMerge w:val="restart"/>
            <w:tcBorders>
              <w:tl2br w:val="nil"/>
              <w:tr2bl w:val="nil"/>
            </w:tcBorders>
            <w:tcMar>
              <w:top w:w="0" w:type="dxa"/>
              <w:left w:w="57" w:type="dxa"/>
              <w:bottom w:w="0" w:type="dxa"/>
              <w:right w:w="57" w:type="dxa"/>
            </w:tcMar>
            <w:vAlign w:val="center"/>
          </w:tcPr>
          <w:p w14:paraId="32214559">
            <w:pPr>
              <w:pStyle w:val="19"/>
              <w:bidi w:val="0"/>
              <w:ind w:firstLine="0" w:firstLineChars="0"/>
              <w:jc w:val="center"/>
              <w:rPr>
                <w:rFonts w:hint="default"/>
                <w:sz w:val="21"/>
                <w:szCs w:val="21"/>
                <w:lang w:val="en-US"/>
              </w:rPr>
            </w:pPr>
            <w:r>
              <w:rPr>
                <w:rFonts w:hint="eastAsia"/>
                <w:sz w:val="21"/>
                <w:szCs w:val="21"/>
                <w:lang w:val="en-US" w:eastAsia="zh-CN"/>
              </w:rPr>
              <w:t>低氮燃烧+布袋除尘+15m排气筒（DA001）</w:t>
            </w:r>
          </w:p>
        </w:tc>
        <w:tc>
          <w:tcPr>
            <w:tcW w:w="2088" w:type="dxa"/>
            <w:tcBorders>
              <w:tl2br w:val="nil"/>
              <w:tr2bl w:val="nil"/>
            </w:tcBorders>
            <w:tcMar>
              <w:top w:w="0" w:type="dxa"/>
              <w:left w:w="57" w:type="dxa"/>
              <w:bottom w:w="0" w:type="dxa"/>
              <w:right w:w="57" w:type="dxa"/>
            </w:tcMar>
            <w:vAlign w:val="center"/>
          </w:tcPr>
          <w:p w14:paraId="726D8438">
            <w:pPr>
              <w:pStyle w:val="19"/>
              <w:bidi w:val="0"/>
              <w:ind w:firstLine="0" w:firstLineChars="0"/>
              <w:jc w:val="center"/>
              <w:rPr>
                <w:rFonts w:hint="eastAsia" w:eastAsia="宋体"/>
                <w:sz w:val="21"/>
                <w:szCs w:val="21"/>
                <w:lang w:val="en-US" w:eastAsia="zh-CN"/>
              </w:rPr>
            </w:pPr>
            <w:r>
              <w:rPr>
                <w:rFonts w:hint="eastAsia"/>
                <w:sz w:val="21"/>
                <w:szCs w:val="21"/>
                <w:lang w:val="en-US" w:eastAsia="zh-CN"/>
              </w:rPr>
              <w:t>0.00219</w:t>
            </w:r>
            <w:r>
              <w:rPr>
                <w:rFonts w:hint="eastAsia"/>
                <w:sz w:val="21"/>
                <w:szCs w:val="21"/>
                <w:lang w:eastAsia="zh-CN"/>
              </w:rPr>
              <w:t>（</w:t>
            </w:r>
            <w:r>
              <w:rPr>
                <w:rFonts w:hint="eastAsia"/>
                <w:sz w:val="21"/>
                <w:szCs w:val="21"/>
                <w:lang w:val="en-US" w:eastAsia="zh-CN"/>
              </w:rPr>
              <w:t>0.81</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49298BB7">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0.0095</w:t>
            </w:r>
          </w:p>
        </w:tc>
      </w:tr>
      <w:tr w14:paraId="299B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2734F80B">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01EA5811">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2B1F938B">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17004E1D">
            <w:pPr>
              <w:pStyle w:val="19"/>
              <w:bidi w:val="0"/>
              <w:ind w:firstLine="0" w:firstLineChars="0"/>
              <w:jc w:val="center"/>
              <w:rPr>
                <w:rFonts w:hint="default"/>
                <w:sz w:val="21"/>
                <w:szCs w:val="21"/>
                <w:lang w:val="en-US" w:eastAsia="zh-CN"/>
              </w:rPr>
            </w:pPr>
            <w:r>
              <w:rPr>
                <w:sz w:val="21"/>
                <w:szCs w:val="21"/>
              </w:rPr>
              <w:t>SO</w:t>
            </w:r>
            <w:r>
              <w:rPr>
                <w:sz w:val="21"/>
                <w:szCs w:val="21"/>
                <w:vertAlign w:val="subscript"/>
              </w:rPr>
              <w:t>2</w:t>
            </w:r>
          </w:p>
        </w:tc>
        <w:tc>
          <w:tcPr>
            <w:tcW w:w="1586" w:type="dxa"/>
            <w:tcBorders>
              <w:tl2br w:val="nil"/>
              <w:tr2bl w:val="nil"/>
            </w:tcBorders>
            <w:tcMar>
              <w:top w:w="0" w:type="dxa"/>
              <w:left w:w="57" w:type="dxa"/>
              <w:bottom w:w="0" w:type="dxa"/>
              <w:right w:w="57" w:type="dxa"/>
            </w:tcMar>
            <w:vAlign w:val="center"/>
          </w:tcPr>
          <w:p w14:paraId="04CAF05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0.745</w:t>
            </w:r>
          </w:p>
        </w:tc>
        <w:tc>
          <w:tcPr>
            <w:tcW w:w="1437" w:type="dxa"/>
            <w:tcBorders>
              <w:tl2br w:val="nil"/>
              <w:tr2bl w:val="nil"/>
            </w:tcBorders>
            <w:tcMar>
              <w:top w:w="0" w:type="dxa"/>
              <w:left w:w="57" w:type="dxa"/>
              <w:bottom w:w="0" w:type="dxa"/>
              <w:right w:w="57" w:type="dxa"/>
            </w:tcMar>
            <w:vAlign w:val="center"/>
          </w:tcPr>
          <w:p w14:paraId="6C6824F9">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3.23</w:t>
            </w:r>
          </w:p>
        </w:tc>
        <w:tc>
          <w:tcPr>
            <w:tcW w:w="4049" w:type="dxa"/>
            <w:vMerge w:val="continue"/>
            <w:tcBorders>
              <w:tl2br w:val="nil"/>
              <w:tr2bl w:val="nil"/>
            </w:tcBorders>
            <w:tcMar>
              <w:top w:w="0" w:type="dxa"/>
              <w:left w:w="57" w:type="dxa"/>
              <w:bottom w:w="0" w:type="dxa"/>
              <w:right w:w="57" w:type="dxa"/>
            </w:tcMar>
            <w:vAlign w:val="center"/>
          </w:tcPr>
          <w:p w14:paraId="3151AA40">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509F7C64">
            <w:pPr>
              <w:pStyle w:val="19"/>
              <w:bidi w:val="0"/>
              <w:ind w:firstLine="0" w:firstLineChars="0"/>
              <w:jc w:val="center"/>
              <w:rPr>
                <w:rFonts w:hint="eastAsia" w:eastAsia="宋体"/>
                <w:sz w:val="21"/>
                <w:szCs w:val="21"/>
                <w:lang w:val="en-US" w:eastAsia="zh-CN"/>
              </w:rPr>
            </w:pPr>
            <w:r>
              <w:rPr>
                <w:rFonts w:hint="eastAsia"/>
                <w:sz w:val="21"/>
                <w:szCs w:val="21"/>
                <w:lang w:val="en-US" w:eastAsia="zh-CN"/>
              </w:rPr>
              <w:t>0.745</w:t>
            </w:r>
            <w:r>
              <w:rPr>
                <w:rFonts w:hint="eastAsia"/>
                <w:sz w:val="21"/>
                <w:szCs w:val="21"/>
                <w:lang w:eastAsia="zh-CN"/>
              </w:rPr>
              <w:t>（</w:t>
            </w:r>
            <w:r>
              <w:rPr>
                <w:rFonts w:hint="eastAsia"/>
                <w:sz w:val="21"/>
                <w:szCs w:val="21"/>
                <w:lang w:val="en-US" w:eastAsia="zh-CN"/>
              </w:rPr>
              <w:t>273</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21C6428B">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3.23</w:t>
            </w:r>
          </w:p>
        </w:tc>
      </w:tr>
      <w:tr w14:paraId="64F8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360389D2">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7650BA8B">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76BA753C">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639E260E">
            <w:pPr>
              <w:pStyle w:val="19"/>
              <w:bidi w:val="0"/>
              <w:ind w:firstLine="0" w:firstLineChars="0"/>
              <w:jc w:val="center"/>
              <w:rPr>
                <w:rFonts w:hint="default"/>
                <w:sz w:val="21"/>
                <w:szCs w:val="21"/>
                <w:lang w:val="en-US" w:eastAsia="zh-CN"/>
              </w:rPr>
            </w:pPr>
            <w:r>
              <w:rPr>
                <w:sz w:val="21"/>
                <w:szCs w:val="21"/>
              </w:rPr>
              <w:t>NO</w:t>
            </w:r>
            <w:r>
              <w:rPr>
                <w:sz w:val="21"/>
                <w:szCs w:val="21"/>
                <w:vertAlign w:val="subscript"/>
              </w:rPr>
              <w:t>x</w:t>
            </w:r>
          </w:p>
        </w:tc>
        <w:tc>
          <w:tcPr>
            <w:tcW w:w="1586" w:type="dxa"/>
            <w:tcBorders>
              <w:tl2br w:val="nil"/>
              <w:tr2bl w:val="nil"/>
            </w:tcBorders>
            <w:tcMar>
              <w:top w:w="0" w:type="dxa"/>
              <w:left w:w="57" w:type="dxa"/>
              <w:bottom w:w="0" w:type="dxa"/>
              <w:right w:w="57" w:type="dxa"/>
            </w:tcMar>
            <w:vAlign w:val="center"/>
          </w:tcPr>
          <w:p w14:paraId="1011840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0.446</w:t>
            </w:r>
          </w:p>
        </w:tc>
        <w:tc>
          <w:tcPr>
            <w:tcW w:w="1437" w:type="dxa"/>
            <w:tcBorders>
              <w:tl2br w:val="nil"/>
              <w:tr2bl w:val="nil"/>
            </w:tcBorders>
            <w:tcMar>
              <w:top w:w="0" w:type="dxa"/>
              <w:left w:w="57" w:type="dxa"/>
              <w:bottom w:w="0" w:type="dxa"/>
              <w:right w:w="57" w:type="dxa"/>
            </w:tcMar>
            <w:vAlign w:val="center"/>
          </w:tcPr>
          <w:p w14:paraId="6FEB9EA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1.938</w:t>
            </w:r>
          </w:p>
        </w:tc>
        <w:tc>
          <w:tcPr>
            <w:tcW w:w="4049" w:type="dxa"/>
            <w:vMerge w:val="continue"/>
            <w:tcBorders>
              <w:tl2br w:val="nil"/>
              <w:tr2bl w:val="nil"/>
            </w:tcBorders>
            <w:tcMar>
              <w:top w:w="0" w:type="dxa"/>
              <w:left w:w="57" w:type="dxa"/>
              <w:bottom w:w="0" w:type="dxa"/>
              <w:right w:w="57" w:type="dxa"/>
            </w:tcMar>
            <w:vAlign w:val="center"/>
          </w:tcPr>
          <w:p w14:paraId="20C58323">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73A78F75">
            <w:pPr>
              <w:pStyle w:val="19"/>
              <w:bidi w:val="0"/>
              <w:ind w:firstLine="0" w:firstLineChars="0"/>
              <w:jc w:val="center"/>
              <w:rPr>
                <w:rFonts w:hint="eastAsia" w:eastAsia="宋体"/>
                <w:sz w:val="21"/>
                <w:szCs w:val="21"/>
                <w:lang w:val="en-US" w:eastAsia="zh-CN"/>
              </w:rPr>
            </w:pPr>
            <w:r>
              <w:rPr>
                <w:rFonts w:hint="eastAsia"/>
                <w:sz w:val="21"/>
                <w:szCs w:val="21"/>
                <w:lang w:val="en-US" w:eastAsia="zh-CN"/>
              </w:rPr>
              <w:t>0.312</w:t>
            </w:r>
            <w:r>
              <w:rPr>
                <w:rFonts w:hint="eastAsia"/>
                <w:sz w:val="21"/>
                <w:szCs w:val="21"/>
                <w:lang w:eastAsia="zh-CN"/>
              </w:rPr>
              <w:t>（</w:t>
            </w:r>
            <w:r>
              <w:rPr>
                <w:rFonts w:hint="eastAsia"/>
                <w:sz w:val="21"/>
                <w:szCs w:val="21"/>
                <w:lang w:val="en-US" w:eastAsia="zh-CN"/>
              </w:rPr>
              <w:t>114.4</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0772A631">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1.357</w:t>
            </w:r>
          </w:p>
        </w:tc>
      </w:tr>
      <w:tr w14:paraId="6CBA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76EA3229">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1804E510">
            <w:pPr>
              <w:pStyle w:val="19"/>
              <w:bidi w:val="0"/>
              <w:rPr>
                <w:rFonts w:hint="default"/>
                <w:sz w:val="21"/>
                <w:szCs w:val="21"/>
                <w:lang w:val="en-US" w:eastAsia="zh-CN"/>
              </w:rPr>
            </w:pPr>
            <w:r>
              <w:rPr>
                <w:rFonts w:hint="eastAsia"/>
                <w:sz w:val="21"/>
                <w:szCs w:val="21"/>
                <w:lang w:val="en-US" w:eastAsia="zh-CN"/>
              </w:rPr>
              <w:t>2#</w:t>
            </w:r>
            <w:r>
              <w:rPr>
                <w:rFonts w:hint="default"/>
                <w:sz w:val="21"/>
                <w:szCs w:val="21"/>
                <w:lang w:val="en-US" w:eastAsia="zh-CN"/>
              </w:rPr>
              <w:t>生物质锅炉</w:t>
            </w:r>
          </w:p>
        </w:tc>
        <w:tc>
          <w:tcPr>
            <w:tcW w:w="768" w:type="dxa"/>
            <w:vMerge w:val="restart"/>
            <w:tcBorders>
              <w:tl2br w:val="nil"/>
              <w:tr2bl w:val="nil"/>
            </w:tcBorders>
            <w:tcMar>
              <w:top w:w="0" w:type="dxa"/>
              <w:left w:w="57" w:type="dxa"/>
              <w:bottom w:w="0" w:type="dxa"/>
              <w:right w:w="57" w:type="dxa"/>
            </w:tcMar>
            <w:vAlign w:val="center"/>
          </w:tcPr>
          <w:p w14:paraId="4D2D06B5">
            <w:pPr>
              <w:pStyle w:val="19"/>
              <w:bidi w:val="0"/>
              <w:rPr>
                <w:rFonts w:hint="default"/>
                <w:sz w:val="21"/>
                <w:szCs w:val="21"/>
              </w:rPr>
            </w:pPr>
            <w:r>
              <w:rPr>
                <w:rFonts w:hint="eastAsia"/>
                <w:sz w:val="21"/>
                <w:szCs w:val="21"/>
                <w:lang w:val="en-US" w:eastAsia="zh-CN"/>
              </w:rPr>
              <w:t>有组织</w:t>
            </w:r>
          </w:p>
        </w:tc>
        <w:tc>
          <w:tcPr>
            <w:tcW w:w="1115" w:type="dxa"/>
            <w:tcBorders>
              <w:tl2br w:val="nil"/>
              <w:tr2bl w:val="nil"/>
            </w:tcBorders>
            <w:tcMar>
              <w:top w:w="0" w:type="dxa"/>
              <w:left w:w="57" w:type="dxa"/>
              <w:bottom w:w="0" w:type="dxa"/>
              <w:right w:w="57" w:type="dxa"/>
            </w:tcMar>
            <w:vAlign w:val="center"/>
          </w:tcPr>
          <w:p w14:paraId="3D6EEDDA">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颗粒物</w:t>
            </w:r>
          </w:p>
        </w:tc>
        <w:tc>
          <w:tcPr>
            <w:tcW w:w="1586" w:type="dxa"/>
            <w:tcBorders>
              <w:tl2br w:val="nil"/>
              <w:tr2bl w:val="nil"/>
            </w:tcBorders>
            <w:tcMar>
              <w:top w:w="0" w:type="dxa"/>
              <w:left w:w="57" w:type="dxa"/>
              <w:bottom w:w="0" w:type="dxa"/>
              <w:right w:w="57" w:type="dxa"/>
            </w:tcMar>
            <w:vAlign w:val="center"/>
          </w:tcPr>
          <w:p w14:paraId="69E5E8A9">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0.219</w:t>
            </w:r>
          </w:p>
        </w:tc>
        <w:tc>
          <w:tcPr>
            <w:tcW w:w="1437" w:type="dxa"/>
            <w:tcBorders>
              <w:tl2br w:val="nil"/>
              <w:tr2bl w:val="nil"/>
            </w:tcBorders>
            <w:tcMar>
              <w:top w:w="0" w:type="dxa"/>
              <w:left w:w="57" w:type="dxa"/>
              <w:bottom w:w="0" w:type="dxa"/>
              <w:right w:w="57" w:type="dxa"/>
            </w:tcMar>
            <w:vAlign w:val="center"/>
          </w:tcPr>
          <w:p w14:paraId="3E3B196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0.95</w:t>
            </w:r>
          </w:p>
        </w:tc>
        <w:tc>
          <w:tcPr>
            <w:tcW w:w="4049" w:type="dxa"/>
            <w:vMerge w:val="restart"/>
            <w:tcBorders>
              <w:tl2br w:val="nil"/>
              <w:tr2bl w:val="nil"/>
            </w:tcBorders>
            <w:tcMar>
              <w:top w:w="0" w:type="dxa"/>
              <w:left w:w="57" w:type="dxa"/>
              <w:bottom w:w="0" w:type="dxa"/>
              <w:right w:w="57" w:type="dxa"/>
            </w:tcMar>
            <w:vAlign w:val="center"/>
          </w:tcPr>
          <w:p w14:paraId="46C2D41D">
            <w:pPr>
              <w:pStyle w:val="19"/>
              <w:bidi w:val="0"/>
              <w:ind w:firstLine="0" w:firstLineChars="0"/>
              <w:jc w:val="center"/>
              <w:rPr>
                <w:sz w:val="21"/>
                <w:szCs w:val="21"/>
              </w:rPr>
            </w:pPr>
            <w:r>
              <w:rPr>
                <w:rFonts w:hint="eastAsia"/>
                <w:sz w:val="21"/>
                <w:szCs w:val="21"/>
                <w:lang w:val="en-US" w:eastAsia="zh-CN"/>
              </w:rPr>
              <w:t>低氮燃烧+布袋除尘+15m排气筒（DA002）</w:t>
            </w:r>
          </w:p>
        </w:tc>
        <w:tc>
          <w:tcPr>
            <w:tcW w:w="2088" w:type="dxa"/>
            <w:tcBorders>
              <w:tl2br w:val="nil"/>
              <w:tr2bl w:val="nil"/>
            </w:tcBorders>
            <w:tcMar>
              <w:top w:w="0" w:type="dxa"/>
              <w:left w:w="57" w:type="dxa"/>
              <w:bottom w:w="0" w:type="dxa"/>
              <w:right w:w="57" w:type="dxa"/>
            </w:tcMar>
            <w:vAlign w:val="center"/>
          </w:tcPr>
          <w:p w14:paraId="73838253">
            <w:pPr>
              <w:pStyle w:val="19"/>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0.00219</w:t>
            </w:r>
            <w:r>
              <w:rPr>
                <w:rFonts w:hint="eastAsia"/>
                <w:sz w:val="21"/>
                <w:szCs w:val="21"/>
                <w:lang w:eastAsia="zh-CN"/>
              </w:rPr>
              <w:t>（</w:t>
            </w:r>
            <w:r>
              <w:rPr>
                <w:rFonts w:hint="eastAsia"/>
                <w:sz w:val="21"/>
                <w:szCs w:val="21"/>
                <w:lang w:val="en-US" w:eastAsia="zh-CN"/>
              </w:rPr>
              <w:t>0.81</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4EBE2C53">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0.0095</w:t>
            </w:r>
          </w:p>
        </w:tc>
      </w:tr>
      <w:tr w14:paraId="6F52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7CB49F26">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6EC70267">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4FCFD175">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7FC24D1C">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sz w:val="21"/>
                <w:szCs w:val="21"/>
              </w:rPr>
              <w:t>SO</w:t>
            </w:r>
            <w:r>
              <w:rPr>
                <w:sz w:val="21"/>
                <w:szCs w:val="21"/>
                <w:vertAlign w:val="subscript"/>
              </w:rPr>
              <w:t>2</w:t>
            </w:r>
          </w:p>
        </w:tc>
        <w:tc>
          <w:tcPr>
            <w:tcW w:w="1586" w:type="dxa"/>
            <w:tcBorders>
              <w:tl2br w:val="nil"/>
              <w:tr2bl w:val="nil"/>
            </w:tcBorders>
            <w:tcMar>
              <w:top w:w="0" w:type="dxa"/>
              <w:left w:w="57" w:type="dxa"/>
              <w:bottom w:w="0" w:type="dxa"/>
              <w:right w:w="57" w:type="dxa"/>
            </w:tcMar>
            <w:vAlign w:val="center"/>
          </w:tcPr>
          <w:p w14:paraId="3D4243F2">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0.745</w:t>
            </w:r>
          </w:p>
        </w:tc>
        <w:tc>
          <w:tcPr>
            <w:tcW w:w="1437" w:type="dxa"/>
            <w:tcBorders>
              <w:tl2br w:val="nil"/>
              <w:tr2bl w:val="nil"/>
            </w:tcBorders>
            <w:tcMar>
              <w:top w:w="0" w:type="dxa"/>
              <w:left w:w="57" w:type="dxa"/>
              <w:bottom w:w="0" w:type="dxa"/>
              <w:right w:w="57" w:type="dxa"/>
            </w:tcMar>
            <w:vAlign w:val="center"/>
          </w:tcPr>
          <w:p w14:paraId="4BFE3B1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3.23</w:t>
            </w:r>
          </w:p>
        </w:tc>
        <w:tc>
          <w:tcPr>
            <w:tcW w:w="4049" w:type="dxa"/>
            <w:vMerge w:val="continue"/>
            <w:tcBorders>
              <w:tl2br w:val="nil"/>
              <w:tr2bl w:val="nil"/>
            </w:tcBorders>
            <w:tcMar>
              <w:top w:w="0" w:type="dxa"/>
              <w:left w:w="57" w:type="dxa"/>
              <w:bottom w:w="0" w:type="dxa"/>
              <w:right w:w="57" w:type="dxa"/>
            </w:tcMar>
            <w:vAlign w:val="center"/>
          </w:tcPr>
          <w:p w14:paraId="2FFD98BC">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02701E9D">
            <w:pPr>
              <w:pStyle w:val="19"/>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0.745</w:t>
            </w:r>
            <w:r>
              <w:rPr>
                <w:rFonts w:hint="eastAsia"/>
                <w:sz w:val="21"/>
                <w:szCs w:val="21"/>
                <w:lang w:eastAsia="zh-CN"/>
              </w:rPr>
              <w:t>（</w:t>
            </w:r>
            <w:r>
              <w:rPr>
                <w:rFonts w:hint="eastAsia"/>
                <w:sz w:val="21"/>
                <w:szCs w:val="21"/>
                <w:lang w:val="en-US" w:eastAsia="zh-CN"/>
              </w:rPr>
              <w:t>273</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0F7D951E">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3.23</w:t>
            </w:r>
          </w:p>
        </w:tc>
      </w:tr>
      <w:tr w14:paraId="486B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49C311BD">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7441E0DC">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6C47F3F0">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58B3DF40">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sz w:val="21"/>
                <w:szCs w:val="21"/>
              </w:rPr>
              <w:t>NO</w:t>
            </w:r>
            <w:r>
              <w:rPr>
                <w:sz w:val="21"/>
                <w:szCs w:val="21"/>
                <w:vertAlign w:val="subscript"/>
              </w:rPr>
              <w:t>x</w:t>
            </w:r>
          </w:p>
        </w:tc>
        <w:tc>
          <w:tcPr>
            <w:tcW w:w="1586" w:type="dxa"/>
            <w:tcBorders>
              <w:tl2br w:val="nil"/>
              <w:tr2bl w:val="nil"/>
            </w:tcBorders>
            <w:tcMar>
              <w:top w:w="0" w:type="dxa"/>
              <w:left w:w="57" w:type="dxa"/>
              <w:bottom w:w="0" w:type="dxa"/>
              <w:right w:w="57" w:type="dxa"/>
            </w:tcMar>
            <w:vAlign w:val="center"/>
          </w:tcPr>
          <w:p w14:paraId="4DCA216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0.446</w:t>
            </w:r>
          </w:p>
        </w:tc>
        <w:tc>
          <w:tcPr>
            <w:tcW w:w="1437" w:type="dxa"/>
            <w:tcBorders>
              <w:tl2br w:val="nil"/>
              <w:tr2bl w:val="nil"/>
            </w:tcBorders>
            <w:tcMar>
              <w:top w:w="0" w:type="dxa"/>
              <w:left w:w="57" w:type="dxa"/>
              <w:bottom w:w="0" w:type="dxa"/>
              <w:right w:w="57" w:type="dxa"/>
            </w:tcMar>
            <w:vAlign w:val="center"/>
          </w:tcPr>
          <w:p w14:paraId="629F193C">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1.938</w:t>
            </w:r>
          </w:p>
        </w:tc>
        <w:tc>
          <w:tcPr>
            <w:tcW w:w="4049" w:type="dxa"/>
            <w:vMerge w:val="continue"/>
            <w:tcBorders>
              <w:tl2br w:val="nil"/>
              <w:tr2bl w:val="nil"/>
            </w:tcBorders>
            <w:tcMar>
              <w:top w:w="0" w:type="dxa"/>
              <w:left w:w="57" w:type="dxa"/>
              <w:bottom w:w="0" w:type="dxa"/>
              <w:right w:w="57" w:type="dxa"/>
            </w:tcMar>
            <w:vAlign w:val="center"/>
          </w:tcPr>
          <w:p w14:paraId="296E21BA">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2BD4FDD1">
            <w:pPr>
              <w:pStyle w:val="19"/>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0.312</w:t>
            </w:r>
            <w:r>
              <w:rPr>
                <w:rFonts w:hint="eastAsia"/>
                <w:sz w:val="21"/>
                <w:szCs w:val="21"/>
                <w:lang w:eastAsia="zh-CN"/>
              </w:rPr>
              <w:t>（</w:t>
            </w:r>
            <w:r>
              <w:rPr>
                <w:rFonts w:hint="eastAsia"/>
                <w:sz w:val="21"/>
                <w:szCs w:val="21"/>
                <w:lang w:val="en-US" w:eastAsia="zh-CN"/>
              </w:rPr>
              <w:t>114.4</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0D4149C9">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1.357</w:t>
            </w:r>
          </w:p>
        </w:tc>
      </w:tr>
      <w:tr w14:paraId="795E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2642B0C3">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7F706063">
            <w:pPr>
              <w:pStyle w:val="19"/>
              <w:bidi w:val="0"/>
              <w:rPr>
                <w:rFonts w:hint="default"/>
                <w:sz w:val="21"/>
                <w:szCs w:val="21"/>
                <w:lang w:val="en-US" w:eastAsia="zh-CN"/>
              </w:rPr>
            </w:pPr>
            <w:r>
              <w:rPr>
                <w:rFonts w:hint="eastAsia"/>
                <w:sz w:val="21"/>
                <w:szCs w:val="21"/>
                <w:lang w:val="en-US" w:eastAsia="zh-CN"/>
              </w:rPr>
              <w:t>3#</w:t>
            </w:r>
            <w:r>
              <w:rPr>
                <w:rFonts w:hint="default"/>
                <w:sz w:val="21"/>
                <w:szCs w:val="21"/>
                <w:lang w:val="en-US" w:eastAsia="zh-CN"/>
              </w:rPr>
              <w:t>生物质锅炉</w:t>
            </w:r>
          </w:p>
        </w:tc>
        <w:tc>
          <w:tcPr>
            <w:tcW w:w="768" w:type="dxa"/>
            <w:vMerge w:val="restart"/>
            <w:tcBorders>
              <w:tl2br w:val="nil"/>
              <w:tr2bl w:val="nil"/>
            </w:tcBorders>
            <w:tcMar>
              <w:top w:w="0" w:type="dxa"/>
              <w:left w:w="57" w:type="dxa"/>
              <w:bottom w:w="0" w:type="dxa"/>
              <w:right w:w="57" w:type="dxa"/>
            </w:tcMar>
            <w:vAlign w:val="center"/>
          </w:tcPr>
          <w:p w14:paraId="56BFD40E">
            <w:pPr>
              <w:pStyle w:val="19"/>
              <w:bidi w:val="0"/>
              <w:rPr>
                <w:rFonts w:hint="default"/>
                <w:sz w:val="21"/>
                <w:szCs w:val="21"/>
              </w:rPr>
            </w:pPr>
            <w:r>
              <w:rPr>
                <w:rFonts w:hint="eastAsia"/>
                <w:sz w:val="21"/>
                <w:szCs w:val="21"/>
                <w:lang w:val="en-US" w:eastAsia="zh-CN"/>
              </w:rPr>
              <w:t>有组织</w:t>
            </w:r>
          </w:p>
        </w:tc>
        <w:tc>
          <w:tcPr>
            <w:tcW w:w="1115" w:type="dxa"/>
            <w:tcBorders>
              <w:tl2br w:val="nil"/>
              <w:tr2bl w:val="nil"/>
            </w:tcBorders>
            <w:tcMar>
              <w:top w:w="0" w:type="dxa"/>
              <w:left w:w="57" w:type="dxa"/>
              <w:bottom w:w="0" w:type="dxa"/>
              <w:right w:w="57" w:type="dxa"/>
            </w:tcMar>
            <w:vAlign w:val="center"/>
          </w:tcPr>
          <w:p w14:paraId="3F5CAB98">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颗粒物</w:t>
            </w:r>
          </w:p>
        </w:tc>
        <w:tc>
          <w:tcPr>
            <w:tcW w:w="1586" w:type="dxa"/>
            <w:tcBorders>
              <w:tl2br w:val="nil"/>
              <w:tr2bl w:val="nil"/>
            </w:tcBorders>
            <w:tcMar>
              <w:top w:w="0" w:type="dxa"/>
              <w:left w:w="57" w:type="dxa"/>
              <w:bottom w:w="0" w:type="dxa"/>
              <w:right w:w="57" w:type="dxa"/>
            </w:tcMar>
            <w:vAlign w:val="center"/>
          </w:tcPr>
          <w:p w14:paraId="7B661E54">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0.219</w:t>
            </w:r>
          </w:p>
        </w:tc>
        <w:tc>
          <w:tcPr>
            <w:tcW w:w="1437" w:type="dxa"/>
            <w:tcBorders>
              <w:tl2br w:val="nil"/>
              <w:tr2bl w:val="nil"/>
            </w:tcBorders>
            <w:tcMar>
              <w:top w:w="0" w:type="dxa"/>
              <w:left w:w="57" w:type="dxa"/>
              <w:bottom w:w="0" w:type="dxa"/>
              <w:right w:w="57" w:type="dxa"/>
            </w:tcMar>
            <w:vAlign w:val="center"/>
          </w:tcPr>
          <w:p w14:paraId="77EB5560">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0.95</w:t>
            </w:r>
          </w:p>
        </w:tc>
        <w:tc>
          <w:tcPr>
            <w:tcW w:w="4049" w:type="dxa"/>
            <w:vMerge w:val="restart"/>
            <w:tcBorders>
              <w:tl2br w:val="nil"/>
              <w:tr2bl w:val="nil"/>
            </w:tcBorders>
            <w:tcMar>
              <w:top w:w="0" w:type="dxa"/>
              <w:left w:w="57" w:type="dxa"/>
              <w:bottom w:w="0" w:type="dxa"/>
              <w:right w:w="57" w:type="dxa"/>
            </w:tcMar>
            <w:vAlign w:val="center"/>
          </w:tcPr>
          <w:p w14:paraId="538A5D78">
            <w:pPr>
              <w:pStyle w:val="19"/>
              <w:bidi w:val="0"/>
              <w:ind w:firstLine="0" w:firstLineChars="0"/>
              <w:jc w:val="center"/>
              <w:rPr>
                <w:sz w:val="21"/>
                <w:szCs w:val="21"/>
              </w:rPr>
            </w:pPr>
            <w:r>
              <w:rPr>
                <w:rFonts w:hint="eastAsia"/>
                <w:sz w:val="21"/>
                <w:szCs w:val="21"/>
                <w:lang w:val="en-US" w:eastAsia="zh-CN"/>
              </w:rPr>
              <w:t>低氮燃烧+布袋除尘+15m排气筒（DA003）</w:t>
            </w:r>
          </w:p>
        </w:tc>
        <w:tc>
          <w:tcPr>
            <w:tcW w:w="2088" w:type="dxa"/>
            <w:tcBorders>
              <w:tl2br w:val="nil"/>
              <w:tr2bl w:val="nil"/>
            </w:tcBorders>
            <w:tcMar>
              <w:top w:w="0" w:type="dxa"/>
              <w:left w:w="57" w:type="dxa"/>
              <w:bottom w:w="0" w:type="dxa"/>
              <w:right w:w="57" w:type="dxa"/>
            </w:tcMar>
            <w:vAlign w:val="center"/>
          </w:tcPr>
          <w:p w14:paraId="3E6630B8">
            <w:pPr>
              <w:pStyle w:val="19"/>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0.00219</w:t>
            </w:r>
            <w:r>
              <w:rPr>
                <w:rFonts w:hint="eastAsia"/>
                <w:sz w:val="21"/>
                <w:szCs w:val="21"/>
                <w:lang w:eastAsia="zh-CN"/>
              </w:rPr>
              <w:t>（</w:t>
            </w:r>
            <w:r>
              <w:rPr>
                <w:rFonts w:hint="eastAsia"/>
                <w:sz w:val="21"/>
                <w:szCs w:val="21"/>
                <w:lang w:val="en-US" w:eastAsia="zh-CN"/>
              </w:rPr>
              <w:t>0.81</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0AFFF330">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0.0095</w:t>
            </w:r>
          </w:p>
        </w:tc>
      </w:tr>
      <w:tr w14:paraId="3F91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2771086D">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7184A1B2">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215A5590">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5CCFA615">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sz w:val="21"/>
                <w:szCs w:val="21"/>
              </w:rPr>
              <w:t>SO</w:t>
            </w:r>
            <w:r>
              <w:rPr>
                <w:sz w:val="21"/>
                <w:szCs w:val="21"/>
                <w:vertAlign w:val="subscript"/>
              </w:rPr>
              <w:t>2</w:t>
            </w:r>
          </w:p>
        </w:tc>
        <w:tc>
          <w:tcPr>
            <w:tcW w:w="1586" w:type="dxa"/>
            <w:tcBorders>
              <w:tl2br w:val="nil"/>
              <w:tr2bl w:val="nil"/>
            </w:tcBorders>
            <w:tcMar>
              <w:top w:w="0" w:type="dxa"/>
              <w:left w:w="57" w:type="dxa"/>
              <w:bottom w:w="0" w:type="dxa"/>
              <w:right w:w="57" w:type="dxa"/>
            </w:tcMar>
            <w:vAlign w:val="center"/>
          </w:tcPr>
          <w:p w14:paraId="6F67168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0.745</w:t>
            </w:r>
          </w:p>
        </w:tc>
        <w:tc>
          <w:tcPr>
            <w:tcW w:w="1437" w:type="dxa"/>
            <w:tcBorders>
              <w:tl2br w:val="nil"/>
              <w:tr2bl w:val="nil"/>
            </w:tcBorders>
            <w:tcMar>
              <w:top w:w="0" w:type="dxa"/>
              <w:left w:w="57" w:type="dxa"/>
              <w:bottom w:w="0" w:type="dxa"/>
              <w:right w:w="57" w:type="dxa"/>
            </w:tcMar>
            <w:vAlign w:val="center"/>
          </w:tcPr>
          <w:p w14:paraId="2F84375C">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3.23</w:t>
            </w:r>
          </w:p>
        </w:tc>
        <w:tc>
          <w:tcPr>
            <w:tcW w:w="4049" w:type="dxa"/>
            <w:vMerge w:val="continue"/>
            <w:tcBorders>
              <w:tl2br w:val="nil"/>
              <w:tr2bl w:val="nil"/>
            </w:tcBorders>
            <w:tcMar>
              <w:top w:w="0" w:type="dxa"/>
              <w:left w:w="57" w:type="dxa"/>
              <w:bottom w:w="0" w:type="dxa"/>
              <w:right w:w="57" w:type="dxa"/>
            </w:tcMar>
            <w:vAlign w:val="center"/>
          </w:tcPr>
          <w:p w14:paraId="30575AFF">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06D158A4">
            <w:pPr>
              <w:pStyle w:val="19"/>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0.745</w:t>
            </w:r>
            <w:r>
              <w:rPr>
                <w:rFonts w:hint="eastAsia"/>
                <w:sz w:val="21"/>
                <w:szCs w:val="21"/>
                <w:lang w:eastAsia="zh-CN"/>
              </w:rPr>
              <w:t>（</w:t>
            </w:r>
            <w:r>
              <w:rPr>
                <w:rFonts w:hint="eastAsia"/>
                <w:sz w:val="21"/>
                <w:szCs w:val="21"/>
                <w:lang w:val="en-US" w:eastAsia="zh-CN"/>
              </w:rPr>
              <w:t>273</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6AD8F2BD">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3.23</w:t>
            </w:r>
          </w:p>
        </w:tc>
      </w:tr>
      <w:tr w14:paraId="4773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5C9F8018">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1A948017">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7E7272B4">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0B3F1278">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sz w:val="21"/>
                <w:szCs w:val="21"/>
              </w:rPr>
              <w:t>NO</w:t>
            </w:r>
            <w:r>
              <w:rPr>
                <w:sz w:val="21"/>
                <w:szCs w:val="21"/>
                <w:vertAlign w:val="subscript"/>
              </w:rPr>
              <w:t>x</w:t>
            </w:r>
          </w:p>
        </w:tc>
        <w:tc>
          <w:tcPr>
            <w:tcW w:w="1586" w:type="dxa"/>
            <w:tcBorders>
              <w:tl2br w:val="nil"/>
              <w:tr2bl w:val="nil"/>
            </w:tcBorders>
            <w:tcMar>
              <w:top w:w="0" w:type="dxa"/>
              <w:left w:w="57" w:type="dxa"/>
              <w:bottom w:w="0" w:type="dxa"/>
              <w:right w:w="57" w:type="dxa"/>
            </w:tcMar>
            <w:vAlign w:val="center"/>
          </w:tcPr>
          <w:p w14:paraId="6E7F6EE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0.446</w:t>
            </w:r>
          </w:p>
        </w:tc>
        <w:tc>
          <w:tcPr>
            <w:tcW w:w="1437" w:type="dxa"/>
            <w:tcBorders>
              <w:tl2br w:val="nil"/>
              <w:tr2bl w:val="nil"/>
            </w:tcBorders>
            <w:tcMar>
              <w:top w:w="0" w:type="dxa"/>
              <w:left w:w="57" w:type="dxa"/>
              <w:bottom w:w="0" w:type="dxa"/>
              <w:right w:w="57" w:type="dxa"/>
            </w:tcMar>
            <w:vAlign w:val="center"/>
          </w:tcPr>
          <w:p w14:paraId="69C289A2">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1.938</w:t>
            </w:r>
          </w:p>
        </w:tc>
        <w:tc>
          <w:tcPr>
            <w:tcW w:w="4049" w:type="dxa"/>
            <w:vMerge w:val="continue"/>
            <w:tcBorders>
              <w:tl2br w:val="nil"/>
              <w:tr2bl w:val="nil"/>
            </w:tcBorders>
            <w:tcMar>
              <w:top w:w="0" w:type="dxa"/>
              <w:left w:w="57" w:type="dxa"/>
              <w:bottom w:w="0" w:type="dxa"/>
              <w:right w:w="57" w:type="dxa"/>
            </w:tcMar>
            <w:vAlign w:val="center"/>
          </w:tcPr>
          <w:p w14:paraId="2BCAA5C7">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20DF486A">
            <w:pPr>
              <w:pStyle w:val="19"/>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0.312</w:t>
            </w:r>
            <w:r>
              <w:rPr>
                <w:rFonts w:hint="eastAsia"/>
                <w:sz w:val="21"/>
                <w:szCs w:val="21"/>
                <w:lang w:eastAsia="zh-CN"/>
              </w:rPr>
              <w:t>（</w:t>
            </w:r>
            <w:r>
              <w:rPr>
                <w:rFonts w:hint="eastAsia"/>
                <w:sz w:val="21"/>
                <w:szCs w:val="21"/>
                <w:lang w:val="en-US" w:eastAsia="zh-CN"/>
              </w:rPr>
              <w:t>114.4</w:t>
            </w:r>
            <w:r>
              <w:rPr>
                <w:rFonts w:hint="eastAsia"/>
                <w:sz w:val="21"/>
                <w:szCs w:val="21"/>
                <w:vertAlign w:val="baseline"/>
                <w:lang w:val="en-US" w:eastAsia="zh-CN"/>
              </w:rPr>
              <w:t>mg/m</w:t>
            </w:r>
            <w:r>
              <w:rPr>
                <w:rFonts w:hint="eastAsia"/>
                <w:sz w:val="21"/>
                <w:szCs w:val="21"/>
                <w:vertAlign w:val="superscript"/>
                <w:lang w:val="en-US" w:eastAsia="zh-CN"/>
              </w:rPr>
              <w:t>3</w:t>
            </w:r>
            <w:r>
              <w:rPr>
                <w:rFonts w:hint="eastAsia"/>
                <w:sz w:val="21"/>
                <w:szCs w:val="21"/>
                <w:lang w:eastAsia="zh-CN"/>
              </w:rPr>
              <w:t>）</w:t>
            </w:r>
          </w:p>
        </w:tc>
        <w:tc>
          <w:tcPr>
            <w:tcW w:w="0" w:type="auto"/>
            <w:tcBorders>
              <w:tl2br w:val="nil"/>
              <w:tr2bl w:val="nil"/>
            </w:tcBorders>
            <w:tcMar>
              <w:top w:w="0" w:type="dxa"/>
              <w:left w:w="57" w:type="dxa"/>
              <w:bottom w:w="0" w:type="dxa"/>
              <w:right w:w="57" w:type="dxa"/>
            </w:tcMar>
            <w:vAlign w:val="center"/>
          </w:tcPr>
          <w:p w14:paraId="6E62E743">
            <w:pPr>
              <w:pStyle w:val="19"/>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1.357</w:t>
            </w:r>
          </w:p>
        </w:tc>
      </w:tr>
      <w:tr w14:paraId="6B18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5E2BF8C0">
            <w:pPr>
              <w:pStyle w:val="19"/>
              <w:bidi w:val="0"/>
              <w:rPr>
                <w:rFonts w:hint="default"/>
                <w:sz w:val="21"/>
                <w:szCs w:val="21"/>
              </w:rPr>
            </w:pPr>
          </w:p>
        </w:tc>
        <w:tc>
          <w:tcPr>
            <w:tcW w:w="1116" w:type="dxa"/>
            <w:vMerge w:val="restart"/>
            <w:tcBorders>
              <w:tl2br w:val="nil"/>
              <w:tr2bl w:val="nil"/>
            </w:tcBorders>
            <w:tcMar>
              <w:top w:w="0" w:type="dxa"/>
              <w:left w:w="57" w:type="dxa"/>
              <w:bottom w:w="0" w:type="dxa"/>
              <w:right w:w="57" w:type="dxa"/>
            </w:tcMar>
            <w:vAlign w:val="center"/>
          </w:tcPr>
          <w:p w14:paraId="2DAEDD60">
            <w:pPr>
              <w:pStyle w:val="19"/>
              <w:bidi w:val="0"/>
              <w:rPr>
                <w:rFonts w:hint="default"/>
                <w:sz w:val="21"/>
                <w:szCs w:val="21"/>
                <w:lang w:val="en-US" w:eastAsia="zh-CN"/>
              </w:rPr>
            </w:pPr>
            <w:r>
              <w:rPr>
                <w:rFonts w:hint="eastAsia"/>
                <w:sz w:val="21"/>
                <w:szCs w:val="21"/>
                <w:lang w:val="en-US" w:eastAsia="zh-CN"/>
              </w:rPr>
              <w:t>生物除臭</w:t>
            </w:r>
          </w:p>
        </w:tc>
        <w:tc>
          <w:tcPr>
            <w:tcW w:w="768" w:type="dxa"/>
            <w:vMerge w:val="restart"/>
            <w:tcBorders>
              <w:tl2br w:val="nil"/>
              <w:tr2bl w:val="nil"/>
            </w:tcBorders>
            <w:tcMar>
              <w:top w:w="0" w:type="dxa"/>
              <w:left w:w="57" w:type="dxa"/>
              <w:bottom w:w="0" w:type="dxa"/>
              <w:right w:w="57" w:type="dxa"/>
            </w:tcMar>
            <w:vAlign w:val="center"/>
          </w:tcPr>
          <w:p w14:paraId="23556F2E">
            <w:pPr>
              <w:pStyle w:val="19"/>
              <w:bidi w:val="0"/>
              <w:rPr>
                <w:rFonts w:hint="default"/>
                <w:sz w:val="21"/>
                <w:szCs w:val="21"/>
              </w:rPr>
            </w:pPr>
            <w:r>
              <w:rPr>
                <w:rFonts w:hint="eastAsia"/>
                <w:sz w:val="21"/>
                <w:szCs w:val="21"/>
                <w:lang w:val="en-US" w:eastAsia="zh-CN"/>
              </w:rPr>
              <w:t>有组织</w:t>
            </w:r>
          </w:p>
        </w:tc>
        <w:tc>
          <w:tcPr>
            <w:tcW w:w="1115" w:type="dxa"/>
            <w:tcBorders>
              <w:tl2br w:val="nil"/>
              <w:tr2bl w:val="nil"/>
            </w:tcBorders>
            <w:tcMar>
              <w:top w:w="0" w:type="dxa"/>
              <w:left w:w="57" w:type="dxa"/>
              <w:bottom w:w="0" w:type="dxa"/>
              <w:right w:w="57" w:type="dxa"/>
            </w:tcMar>
            <w:vAlign w:val="center"/>
          </w:tcPr>
          <w:p w14:paraId="154CEFA0">
            <w:pPr>
              <w:pStyle w:val="19"/>
              <w:bidi w:val="0"/>
              <w:ind w:firstLine="0" w:firstLineChars="0"/>
              <w:rPr>
                <w:rFonts w:ascii="Times New Roman" w:hAnsi="Times New Roman" w:eastAsia="宋体" w:cs="Times New Roman"/>
                <w:kern w:val="2"/>
                <w:sz w:val="21"/>
                <w:szCs w:val="22"/>
                <w:lang w:val="en-US" w:eastAsia="zh-CN" w:bidi="ar-SA"/>
              </w:rPr>
            </w:pPr>
            <w:r>
              <w:t>NH</w:t>
            </w:r>
            <w:r>
              <w:rPr>
                <w:vertAlign w:val="subscript"/>
              </w:rPr>
              <w:t>3</w:t>
            </w:r>
          </w:p>
        </w:tc>
        <w:tc>
          <w:tcPr>
            <w:tcW w:w="1586" w:type="dxa"/>
            <w:tcBorders>
              <w:tl2br w:val="nil"/>
              <w:tr2bl w:val="nil"/>
            </w:tcBorders>
            <w:tcMar>
              <w:top w:w="0" w:type="dxa"/>
              <w:left w:w="57" w:type="dxa"/>
              <w:bottom w:w="0" w:type="dxa"/>
              <w:right w:w="57" w:type="dxa"/>
            </w:tcMar>
            <w:vAlign w:val="center"/>
          </w:tcPr>
          <w:p w14:paraId="1A20A4D9">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0.303</w:t>
            </w:r>
          </w:p>
        </w:tc>
        <w:tc>
          <w:tcPr>
            <w:tcW w:w="1437" w:type="dxa"/>
            <w:tcBorders>
              <w:tl2br w:val="nil"/>
              <w:tr2bl w:val="nil"/>
            </w:tcBorders>
            <w:tcMar>
              <w:top w:w="0" w:type="dxa"/>
              <w:left w:w="57" w:type="dxa"/>
              <w:bottom w:w="0" w:type="dxa"/>
              <w:right w:w="57" w:type="dxa"/>
            </w:tcMar>
            <w:vAlign w:val="center"/>
          </w:tcPr>
          <w:p w14:paraId="0EEEBEF8">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2.657</w:t>
            </w:r>
          </w:p>
        </w:tc>
        <w:tc>
          <w:tcPr>
            <w:tcW w:w="4049" w:type="dxa"/>
            <w:vMerge w:val="restart"/>
            <w:tcBorders>
              <w:tl2br w:val="nil"/>
              <w:tr2bl w:val="nil"/>
            </w:tcBorders>
            <w:tcMar>
              <w:top w:w="0" w:type="dxa"/>
              <w:left w:w="57" w:type="dxa"/>
              <w:bottom w:w="0" w:type="dxa"/>
              <w:right w:w="57" w:type="dxa"/>
            </w:tcMar>
            <w:vAlign w:val="center"/>
          </w:tcPr>
          <w:p w14:paraId="7F2FCCE0">
            <w:pPr>
              <w:pStyle w:val="19"/>
              <w:bidi w:val="0"/>
              <w:ind w:firstLine="0" w:firstLineChars="0"/>
              <w:jc w:val="center"/>
              <w:rPr>
                <w:sz w:val="21"/>
                <w:szCs w:val="21"/>
              </w:rPr>
            </w:pPr>
            <w:r>
              <w:rPr>
                <w:rFonts w:hint="eastAsia"/>
                <w:lang w:val="en-US" w:eastAsia="zh-CN"/>
              </w:rPr>
              <w:t>生物除臭装置+15m排气筒（DA004）</w:t>
            </w:r>
          </w:p>
        </w:tc>
        <w:tc>
          <w:tcPr>
            <w:tcW w:w="2088" w:type="dxa"/>
            <w:tcBorders>
              <w:tl2br w:val="nil"/>
              <w:tr2bl w:val="nil"/>
            </w:tcBorders>
            <w:tcMar>
              <w:top w:w="0" w:type="dxa"/>
              <w:left w:w="57" w:type="dxa"/>
              <w:bottom w:w="0" w:type="dxa"/>
              <w:right w:w="57" w:type="dxa"/>
            </w:tcMar>
            <w:vAlign w:val="center"/>
          </w:tcPr>
          <w:p w14:paraId="3CF0C656">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eastAsia="宋体"/>
                <w:lang w:val="en-US" w:eastAsia="zh-CN"/>
              </w:rPr>
              <w:t>0.03</w:t>
            </w:r>
          </w:p>
        </w:tc>
        <w:tc>
          <w:tcPr>
            <w:tcW w:w="0" w:type="auto"/>
            <w:tcBorders>
              <w:tl2br w:val="nil"/>
              <w:tr2bl w:val="nil"/>
            </w:tcBorders>
            <w:tcMar>
              <w:top w:w="0" w:type="dxa"/>
              <w:left w:w="57" w:type="dxa"/>
              <w:bottom w:w="0" w:type="dxa"/>
              <w:right w:w="57" w:type="dxa"/>
            </w:tcMar>
            <w:vAlign w:val="center"/>
          </w:tcPr>
          <w:p w14:paraId="04DCD12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eastAsia="宋体"/>
                <w:lang w:val="en-US" w:eastAsia="zh-CN"/>
              </w:rPr>
              <w:t>0.26</w:t>
            </w:r>
          </w:p>
        </w:tc>
      </w:tr>
      <w:tr w14:paraId="127E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0C4862CD">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603A4261">
            <w:pPr>
              <w:pStyle w:val="19"/>
              <w:bidi w:val="0"/>
              <w:rPr>
                <w:rFonts w:hint="default"/>
                <w:sz w:val="21"/>
                <w:szCs w:val="21"/>
                <w:lang w:val="en-US" w:eastAsia="zh-CN"/>
              </w:rPr>
            </w:pPr>
          </w:p>
        </w:tc>
        <w:tc>
          <w:tcPr>
            <w:tcW w:w="768" w:type="dxa"/>
            <w:vMerge w:val="continue"/>
            <w:tcBorders>
              <w:tl2br w:val="nil"/>
              <w:tr2bl w:val="nil"/>
            </w:tcBorders>
            <w:tcMar>
              <w:top w:w="0" w:type="dxa"/>
              <w:left w:w="57" w:type="dxa"/>
              <w:bottom w:w="0" w:type="dxa"/>
              <w:right w:w="57" w:type="dxa"/>
            </w:tcMar>
            <w:vAlign w:val="center"/>
          </w:tcPr>
          <w:p w14:paraId="1BAEBF83">
            <w:pPr>
              <w:pStyle w:val="19"/>
              <w:bidi w:val="0"/>
              <w:rPr>
                <w:rFonts w:hint="default"/>
                <w:sz w:val="21"/>
                <w:szCs w:val="21"/>
              </w:rPr>
            </w:pPr>
          </w:p>
        </w:tc>
        <w:tc>
          <w:tcPr>
            <w:tcW w:w="1115" w:type="dxa"/>
            <w:tcBorders>
              <w:tl2br w:val="nil"/>
              <w:tr2bl w:val="nil"/>
            </w:tcBorders>
            <w:tcMar>
              <w:top w:w="0" w:type="dxa"/>
              <w:left w:w="57" w:type="dxa"/>
              <w:bottom w:w="0" w:type="dxa"/>
              <w:right w:w="57" w:type="dxa"/>
            </w:tcMar>
            <w:vAlign w:val="center"/>
          </w:tcPr>
          <w:p w14:paraId="6BB10A00">
            <w:pPr>
              <w:pStyle w:val="19"/>
              <w:bidi w:val="0"/>
              <w:ind w:firstLine="0" w:firstLineChars="0"/>
              <w:rPr>
                <w:rFonts w:ascii="Times New Roman" w:hAnsi="Times New Roman" w:eastAsia="宋体" w:cs="Times New Roman"/>
                <w:kern w:val="2"/>
                <w:sz w:val="21"/>
                <w:szCs w:val="22"/>
                <w:lang w:val="en-US" w:eastAsia="zh-CN" w:bidi="ar-SA"/>
              </w:rPr>
            </w:pPr>
            <w:r>
              <w:t>H</w:t>
            </w:r>
            <w:r>
              <w:rPr>
                <w:vertAlign w:val="subscript"/>
              </w:rPr>
              <w:t>2</w:t>
            </w:r>
            <w:r>
              <w:t>S</w:t>
            </w:r>
          </w:p>
        </w:tc>
        <w:tc>
          <w:tcPr>
            <w:tcW w:w="1586" w:type="dxa"/>
            <w:tcBorders>
              <w:tl2br w:val="nil"/>
              <w:tr2bl w:val="nil"/>
            </w:tcBorders>
            <w:tcMar>
              <w:top w:w="0" w:type="dxa"/>
              <w:left w:w="57" w:type="dxa"/>
              <w:bottom w:w="0" w:type="dxa"/>
              <w:right w:w="57" w:type="dxa"/>
            </w:tcMar>
            <w:vAlign w:val="center"/>
          </w:tcPr>
          <w:p w14:paraId="2EC8305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0.030</w:t>
            </w:r>
          </w:p>
        </w:tc>
        <w:tc>
          <w:tcPr>
            <w:tcW w:w="1437" w:type="dxa"/>
            <w:tcBorders>
              <w:tl2br w:val="nil"/>
              <w:tr2bl w:val="nil"/>
            </w:tcBorders>
            <w:tcMar>
              <w:top w:w="0" w:type="dxa"/>
              <w:left w:w="57" w:type="dxa"/>
              <w:bottom w:w="0" w:type="dxa"/>
              <w:right w:w="57" w:type="dxa"/>
            </w:tcMar>
            <w:vAlign w:val="center"/>
          </w:tcPr>
          <w:p w14:paraId="77A83C7E">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0.266</w:t>
            </w:r>
          </w:p>
        </w:tc>
        <w:tc>
          <w:tcPr>
            <w:tcW w:w="4049" w:type="dxa"/>
            <w:vMerge w:val="continue"/>
            <w:tcBorders>
              <w:tl2br w:val="nil"/>
              <w:tr2bl w:val="nil"/>
            </w:tcBorders>
            <w:tcMar>
              <w:top w:w="0" w:type="dxa"/>
              <w:left w:w="57" w:type="dxa"/>
              <w:bottom w:w="0" w:type="dxa"/>
              <w:right w:w="57" w:type="dxa"/>
            </w:tcMar>
            <w:vAlign w:val="center"/>
          </w:tcPr>
          <w:p w14:paraId="531C01DE">
            <w:pPr>
              <w:pStyle w:val="19"/>
              <w:bidi w:val="0"/>
              <w:ind w:firstLine="0" w:firstLineChars="0"/>
              <w:jc w:val="center"/>
              <w:rPr>
                <w:sz w:val="21"/>
                <w:szCs w:val="21"/>
              </w:rPr>
            </w:pPr>
          </w:p>
        </w:tc>
        <w:tc>
          <w:tcPr>
            <w:tcW w:w="2088" w:type="dxa"/>
            <w:tcBorders>
              <w:tl2br w:val="nil"/>
              <w:tr2bl w:val="nil"/>
            </w:tcBorders>
            <w:tcMar>
              <w:top w:w="0" w:type="dxa"/>
              <w:left w:w="57" w:type="dxa"/>
              <w:bottom w:w="0" w:type="dxa"/>
              <w:right w:w="57" w:type="dxa"/>
            </w:tcMar>
            <w:vAlign w:val="center"/>
          </w:tcPr>
          <w:p w14:paraId="126E961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eastAsia="宋体"/>
                <w:lang w:val="en-US" w:eastAsia="zh-CN"/>
              </w:rPr>
              <w:t>0.003</w:t>
            </w:r>
          </w:p>
        </w:tc>
        <w:tc>
          <w:tcPr>
            <w:tcW w:w="0" w:type="auto"/>
            <w:tcBorders>
              <w:tl2br w:val="nil"/>
              <w:tr2bl w:val="nil"/>
            </w:tcBorders>
            <w:tcMar>
              <w:top w:w="0" w:type="dxa"/>
              <w:left w:w="57" w:type="dxa"/>
              <w:bottom w:w="0" w:type="dxa"/>
              <w:right w:w="57" w:type="dxa"/>
            </w:tcMar>
            <w:vAlign w:val="center"/>
          </w:tcPr>
          <w:p w14:paraId="7C34786A">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eastAsia="宋体"/>
                <w:lang w:val="en-US" w:eastAsia="zh-CN"/>
              </w:rPr>
              <w:t>0.026</w:t>
            </w:r>
          </w:p>
        </w:tc>
      </w:tr>
      <w:tr w14:paraId="7364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restart"/>
            <w:tcBorders>
              <w:tl2br w:val="nil"/>
              <w:tr2bl w:val="nil"/>
            </w:tcBorders>
            <w:tcMar>
              <w:top w:w="0" w:type="dxa"/>
              <w:left w:w="57" w:type="dxa"/>
              <w:bottom w:w="0" w:type="dxa"/>
              <w:right w:w="57" w:type="dxa"/>
            </w:tcMar>
            <w:vAlign w:val="center"/>
          </w:tcPr>
          <w:p w14:paraId="0C2E325B">
            <w:pPr>
              <w:pStyle w:val="19"/>
              <w:bidi w:val="0"/>
              <w:rPr>
                <w:rFonts w:hint="default"/>
                <w:sz w:val="21"/>
                <w:szCs w:val="21"/>
                <w:lang w:eastAsia="zh-CN"/>
              </w:rPr>
            </w:pPr>
            <w:r>
              <w:rPr>
                <w:rFonts w:hint="default"/>
                <w:sz w:val="21"/>
                <w:szCs w:val="21"/>
                <w:lang w:val="en-US" w:eastAsia="zh-CN"/>
              </w:rPr>
              <w:t>废水</w:t>
            </w:r>
          </w:p>
        </w:tc>
        <w:tc>
          <w:tcPr>
            <w:tcW w:w="1116" w:type="dxa"/>
            <w:vMerge w:val="restart"/>
            <w:tcBorders>
              <w:tl2br w:val="nil"/>
              <w:tr2bl w:val="nil"/>
            </w:tcBorders>
            <w:tcMar>
              <w:top w:w="0" w:type="dxa"/>
              <w:left w:w="57" w:type="dxa"/>
              <w:bottom w:w="0" w:type="dxa"/>
              <w:right w:w="57" w:type="dxa"/>
            </w:tcMar>
            <w:vAlign w:val="center"/>
          </w:tcPr>
          <w:p w14:paraId="7DC8E329">
            <w:pPr>
              <w:pStyle w:val="19"/>
              <w:bidi w:val="0"/>
              <w:rPr>
                <w:rFonts w:hint="default"/>
                <w:sz w:val="21"/>
                <w:szCs w:val="21"/>
              </w:rPr>
            </w:pPr>
            <w:r>
              <w:rPr>
                <w:rFonts w:hint="default"/>
                <w:sz w:val="21"/>
                <w:szCs w:val="21"/>
              </w:rPr>
              <w:t>混合污水</w:t>
            </w:r>
          </w:p>
        </w:tc>
        <w:tc>
          <w:tcPr>
            <w:tcW w:w="1883" w:type="dxa"/>
            <w:gridSpan w:val="2"/>
            <w:tcBorders>
              <w:tl2br w:val="nil"/>
              <w:tr2bl w:val="nil"/>
            </w:tcBorders>
            <w:tcMar>
              <w:top w:w="0" w:type="dxa"/>
              <w:left w:w="57" w:type="dxa"/>
              <w:bottom w:w="0" w:type="dxa"/>
              <w:right w:w="57" w:type="dxa"/>
            </w:tcMar>
            <w:vAlign w:val="center"/>
          </w:tcPr>
          <w:p w14:paraId="718883B7">
            <w:pPr>
              <w:pStyle w:val="19"/>
              <w:bidi w:val="0"/>
              <w:rPr>
                <w:rFonts w:hint="default"/>
                <w:sz w:val="21"/>
                <w:szCs w:val="21"/>
              </w:rPr>
            </w:pPr>
            <w:r>
              <w:rPr>
                <w:rFonts w:hint="default"/>
                <w:sz w:val="21"/>
                <w:szCs w:val="21"/>
              </w:rPr>
              <w:t>废水量</w:t>
            </w:r>
          </w:p>
        </w:tc>
        <w:tc>
          <w:tcPr>
            <w:tcW w:w="1586" w:type="dxa"/>
            <w:tcBorders>
              <w:tl2br w:val="nil"/>
              <w:tr2bl w:val="nil"/>
            </w:tcBorders>
            <w:tcMar>
              <w:top w:w="0" w:type="dxa"/>
              <w:left w:w="57" w:type="dxa"/>
              <w:bottom w:w="0" w:type="dxa"/>
              <w:right w:w="57" w:type="dxa"/>
            </w:tcMar>
            <w:vAlign w:val="center"/>
          </w:tcPr>
          <w:p w14:paraId="44EF4E1E">
            <w:pPr>
              <w:pStyle w:val="19"/>
              <w:bidi w:val="0"/>
              <w:rPr>
                <w:rFonts w:hint="default"/>
                <w:sz w:val="21"/>
                <w:szCs w:val="21"/>
                <w:lang w:val="en-US" w:eastAsia="zh-CN"/>
              </w:rPr>
            </w:pPr>
            <w:r>
              <w:rPr>
                <w:rFonts w:hint="eastAsia"/>
                <w:sz w:val="21"/>
                <w:szCs w:val="21"/>
                <w:lang w:val="en-US" w:eastAsia="zh-CN"/>
              </w:rPr>
              <w:t>/</w:t>
            </w:r>
          </w:p>
        </w:tc>
        <w:tc>
          <w:tcPr>
            <w:tcW w:w="1437" w:type="dxa"/>
            <w:tcBorders>
              <w:tl2br w:val="nil"/>
              <w:tr2bl w:val="nil"/>
            </w:tcBorders>
            <w:tcMar>
              <w:top w:w="0" w:type="dxa"/>
              <w:left w:w="57" w:type="dxa"/>
              <w:bottom w:w="0" w:type="dxa"/>
              <w:right w:w="57" w:type="dxa"/>
            </w:tcMar>
            <w:vAlign w:val="center"/>
          </w:tcPr>
          <w:p w14:paraId="7AF53603">
            <w:pPr>
              <w:pStyle w:val="19"/>
              <w:bidi w:val="0"/>
              <w:rPr>
                <w:rFonts w:hint="default"/>
                <w:sz w:val="21"/>
                <w:szCs w:val="21"/>
              </w:rPr>
            </w:pPr>
            <w:r>
              <w:rPr>
                <w:rFonts w:hint="eastAsia"/>
                <w:sz w:val="21"/>
                <w:szCs w:val="21"/>
                <w:lang w:val="en-US" w:eastAsia="zh-CN"/>
              </w:rPr>
              <w:t>64452.36</w:t>
            </w:r>
            <w:r>
              <w:rPr>
                <w:rFonts w:hint="default"/>
                <w:sz w:val="21"/>
                <w:szCs w:val="21"/>
              </w:rPr>
              <w:t>m</w:t>
            </w:r>
            <w:r>
              <w:rPr>
                <w:rFonts w:hint="default"/>
                <w:sz w:val="21"/>
                <w:szCs w:val="21"/>
                <w:vertAlign w:val="superscript"/>
              </w:rPr>
              <w:t>3</w:t>
            </w:r>
            <w:r>
              <w:rPr>
                <w:rFonts w:hint="default"/>
                <w:sz w:val="21"/>
                <w:szCs w:val="21"/>
              </w:rPr>
              <w:t>/a</w:t>
            </w:r>
          </w:p>
        </w:tc>
        <w:tc>
          <w:tcPr>
            <w:tcW w:w="4049" w:type="dxa"/>
            <w:vMerge w:val="restart"/>
            <w:tcBorders>
              <w:tl2br w:val="nil"/>
              <w:tr2bl w:val="nil"/>
            </w:tcBorders>
            <w:tcMar>
              <w:top w:w="0" w:type="dxa"/>
              <w:left w:w="57" w:type="dxa"/>
              <w:bottom w:w="0" w:type="dxa"/>
              <w:right w:w="57" w:type="dxa"/>
            </w:tcMar>
            <w:vAlign w:val="center"/>
          </w:tcPr>
          <w:p w14:paraId="47EB5018">
            <w:pPr>
              <w:pStyle w:val="19"/>
              <w:bidi w:val="0"/>
              <w:rPr>
                <w:rFonts w:hint="default"/>
                <w:sz w:val="21"/>
                <w:szCs w:val="21"/>
                <w:lang w:val="en-US" w:eastAsia="zh-CN"/>
              </w:rPr>
            </w:pPr>
            <w:r>
              <w:rPr>
                <w:rFonts w:hint="eastAsia"/>
                <w:sz w:val="21"/>
                <w:szCs w:val="21"/>
                <w:lang w:val="en-US" w:eastAsia="zh-CN"/>
              </w:rPr>
              <w:t>污水处理系统（收集池+固液分离+UASB+SBR工艺）处理后在好氧塘（2号粪污处理池）中储存，委托129团农业发展中心定期清运。</w:t>
            </w:r>
          </w:p>
        </w:tc>
        <w:tc>
          <w:tcPr>
            <w:tcW w:w="2088" w:type="dxa"/>
            <w:tcBorders>
              <w:tl2br w:val="nil"/>
              <w:tr2bl w:val="nil"/>
            </w:tcBorders>
            <w:tcMar>
              <w:top w:w="0" w:type="dxa"/>
              <w:left w:w="57" w:type="dxa"/>
              <w:bottom w:w="0" w:type="dxa"/>
              <w:right w:w="57" w:type="dxa"/>
            </w:tcMar>
            <w:vAlign w:val="center"/>
          </w:tcPr>
          <w:p w14:paraId="635A0701">
            <w:pPr>
              <w:pStyle w:val="19"/>
              <w:bidi w:val="0"/>
              <w:rPr>
                <w:rFonts w:hint="default" w:eastAsia="宋体"/>
                <w:sz w:val="21"/>
                <w:szCs w:val="21"/>
                <w:highlight w:val="none"/>
                <w:lang w:val="en-US" w:eastAsia="zh-CN"/>
              </w:rPr>
            </w:pPr>
            <w:r>
              <w:rPr>
                <w:rFonts w:hint="eastAsia"/>
                <w:sz w:val="21"/>
                <w:szCs w:val="21"/>
                <w:highlight w:val="none"/>
                <w:lang w:val="en-US" w:eastAsia="zh-CN"/>
              </w:rPr>
              <w:t>0</w:t>
            </w:r>
          </w:p>
        </w:tc>
        <w:tc>
          <w:tcPr>
            <w:tcW w:w="0" w:type="auto"/>
            <w:tcBorders>
              <w:tl2br w:val="nil"/>
              <w:tr2bl w:val="nil"/>
            </w:tcBorders>
            <w:tcMar>
              <w:top w:w="0" w:type="dxa"/>
              <w:left w:w="57" w:type="dxa"/>
              <w:bottom w:w="0" w:type="dxa"/>
              <w:right w:w="57" w:type="dxa"/>
            </w:tcMar>
            <w:vAlign w:val="center"/>
          </w:tcPr>
          <w:p w14:paraId="78DD8C9C">
            <w:pPr>
              <w:pStyle w:val="19"/>
              <w:bidi w:val="0"/>
              <w:rPr>
                <w:rFonts w:hint="eastAsia" w:eastAsia="宋体"/>
                <w:sz w:val="21"/>
                <w:szCs w:val="21"/>
                <w:highlight w:val="none"/>
                <w:lang w:val="en-US" w:eastAsia="zh-CN"/>
              </w:rPr>
            </w:pPr>
            <w:r>
              <w:rPr>
                <w:rFonts w:hint="eastAsia"/>
                <w:sz w:val="21"/>
                <w:szCs w:val="21"/>
                <w:highlight w:val="none"/>
                <w:lang w:val="en-US" w:eastAsia="zh-CN"/>
              </w:rPr>
              <w:t>0</w:t>
            </w:r>
          </w:p>
        </w:tc>
      </w:tr>
      <w:tr w14:paraId="740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2737B6F8">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5CFB003B">
            <w:pPr>
              <w:pStyle w:val="19"/>
              <w:bidi w:val="0"/>
              <w:rPr>
                <w:rFonts w:hint="default"/>
                <w:sz w:val="21"/>
                <w:szCs w:val="21"/>
              </w:rPr>
            </w:pPr>
          </w:p>
        </w:tc>
        <w:tc>
          <w:tcPr>
            <w:tcW w:w="1883" w:type="dxa"/>
            <w:gridSpan w:val="2"/>
            <w:tcBorders>
              <w:tl2br w:val="nil"/>
              <w:tr2bl w:val="nil"/>
            </w:tcBorders>
            <w:tcMar>
              <w:top w:w="0" w:type="dxa"/>
              <w:left w:w="57" w:type="dxa"/>
              <w:bottom w:w="0" w:type="dxa"/>
              <w:right w:w="57" w:type="dxa"/>
            </w:tcMar>
            <w:vAlign w:val="center"/>
          </w:tcPr>
          <w:p w14:paraId="2C8E379C">
            <w:pPr>
              <w:pStyle w:val="19"/>
              <w:bidi w:val="0"/>
              <w:rPr>
                <w:rFonts w:hint="default"/>
                <w:sz w:val="21"/>
                <w:szCs w:val="21"/>
              </w:rPr>
            </w:pPr>
            <w:r>
              <w:rPr>
                <w:rFonts w:hint="default"/>
                <w:sz w:val="21"/>
                <w:szCs w:val="21"/>
              </w:rPr>
              <w:t>COD</w:t>
            </w:r>
          </w:p>
        </w:tc>
        <w:tc>
          <w:tcPr>
            <w:tcW w:w="1586" w:type="dxa"/>
            <w:tcBorders>
              <w:tl2br w:val="nil"/>
              <w:tr2bl w:val="nil"/>
            </w:tcBorders>
            <w:tcMar>
              <w:top w:w="0" w:type="dxa"/>
              <w:left w:w="57" w:type="dxa"/>
              <w:bottom w:w="0" w:type="dxa"/>
              <w:right w:w="57" w:type="dxa"/>
            </w:tcMar>
            <w:vAlign w:val="center"/>
          </w:tcPr>
          <w:p w14:paraId="42396A0B">
            <w:pPr>
              <w:pStyle w:val="19"/>
              <w:bidi w:val="0"/>
              <w:rPr>
                <w:rFonts w:hint="default"/>
                <w:sz w:val="21"/>
                <w:szCs w:val="21"/>
                <w:lang w:val="en-US" w:eastAsia="zh-CN"/>
              </w:rPr>
            </w:pPr>
            <w:r>
              <w:rPr>
                <w:rFonts w:hint="eastAsia"/>
                <w:sz w:val="21"/>
                <w:szCs w:val="21"/>
                <w:lang w:val="en-US" w:eastAsia="zh-CN"/>
              </w:rPr>
              <w:t>2520.95mg/L</w:t>
            </w:r>
          </w:p>
        </w:tc>
        <w:tc>
          <w:tcPr>
            <w:tcW w:w="1437" w:type="dxa"/>
            <w:tcBorders>
              <w:tl2br w:val="nil"/>
              <w:tr2bl w:val="nil"/>
            </w:tcBorders>
            <w:tcMar>
              <w:top w:w="0" w:type="dxa"/>
              <w:left w:w="57" w:type="dxa"/>
              <w:bottom w:w="0" w:type="dxa"/>
              <w:right w:w="57" w:type="dxa"/>
            </w:tcMar>
            <w:vAlign w:val="center"/>
          </w:tcPr>
          <w:p w14:paraId="640BF8A0">
            <w:pPr>
              <w:pStyle w:val="19"/>
              <w:bidi w:val="0"/>
              <w:rPr>
                <w:rFonts w:hint="default"/>
                <w:sz w:val="21"/>
                <w:szCs w:val="21"/>
                <w:lang w:val="en-US" w:eastAsia="zh-CN"/>
              </w:rPr>
            </w:pPr>
            <w:r>
              <w:rPr>
                <w:rFonts w:hint="eastAsia"/>
                <w:sz w:val="21"/>
                <w:szCs w:val="21"/>
                <w:lang w:val="en-US" w:eastAsia="zh-CN"/>
              </w:rPr>
              <w:t>162.481</w:t>
            </w:r>
            <w:r>
              <w:rPr>
                <w:rFonts w:hint="default"/>
                <w:sz w:val="21"/>
                <w:szCs w:val="21"/>
              </w:rPr>
              <w:t>t/a</w:t>
            </w:r>
          </w:p>
        </w:tc>
        <w:tc>
          <w:tcPr>
            <w:tcW w:w="4049" w:type="dxa"/>
            <w:vMerge w:val="continue"/>
            <w:tcBorders>
              <w:tl2br w:val="nil"/>
              <w:tr2bl w:val="nil"/>
            </w:tcBorders>
            <w:tcMar>
              <w:top w:w="0" w:type="dxa"/>
              <w:left w:w="57" w:type="dxa"/>
              <w:bottom w:w="0" w:type="dxa"/>
              <w:right w:w="57" w:type="dxa"/>
            </w:tcMar>
            <w:vAlign w:val="center"/>
          </w:tcPr>
          <w:p w14:paraId="5E383EF9">
            <w:pPr>
              <w:pStyle w:val="19"/>
              <w:bidi w:val="0"/>
              <w:rPr>
                <w:rFonts w:hint="eastAsia"/>
                <w:sz w:val="21"/>
                <w:szCs w:val="21"/>
                <w:lang w:val="en-US" w:eastAsia="zh-CN"/>
              </w:rPr>
            </w:pPr>
          </w:p>
        </w:tc>
        <w:tc>
          <w:tcPr>
            <w:tcW w:w="2088" w:type="dxa"/>
            <w:tcBorders>
              <w:tl2br w:val="nil"/>
              <w:tr2bl w:val="nil"/>
            </w:tcBorders>
            <w:tcMar>
              <w:top w:w="0" w:type="dxa"/>
              <w:left w:w="57" w:type="dxa"/>
              <w:bottom w:w="0" w:type="dxa"/>
              <w:right w:w="57" w:type="dxa"/>
            </w:tcMar>
            <w:vAlign w:val="center"/>
          </w:tcPr>
          <w:p w14:paraId="490BDF62">
            <w:pPr>
              <w:pStyle w:val="19"/>
              <w:bidi w:val="0"/>
              <w:rPr>
                <w:rFonts w:hint="default"/>
                <w:sz w:val="21"/>
                <w:szCs w:val="21"/>
                <w:highlight w:val="none"/>
                <w:lang w:val="en-US" w:eastAsia="zh-CN"/>
              </w:rPr>
            </w:pPr>
            <w:r>
              <w:rPr>
                <w:rFonts w:hint="eastAsia"/>
                <w:sz w:val="21"/>
                <w:szCs w:val="21"/>
                <w:highlight w:val="none"/>
                <w:lang w:val="en-US" w:eastAsia="zh-CN"/>
              </w:rPr>
              <w:t>400</w:t>
            </w:r>
          </w:p>
        </w:tc>
        <w:tc>
          <w:tcPr>
            <w:tcW w:w="0" w:type="auto"/>
            <w:tcBorders>
              <w:tl2br w:val="nil"/>
              <w:tr2bl w:val="nil"/>
            </w:tcBorders>
            <w:tcMar>
              <w:top w:w="0" w:type="dxa"/>
              <w:left w:w="57" w:type="dxa"/>
              <w:bottom w:w="0" w:type="dxa"/>
              <w:right w:w="57" w:type="dxa"/>
            </w:tcMar>
            <w:vAlign w:val="center"/>
          </w:tcPr>
          <w:p w14:paraId="06765552">
            <w:pPr>
              <w:pStyle w:val="19"/>
              <w:bidi w:val="0"/>
              <w:rPr>
                <w:rFonts w:hint="default"/>
                <w:sz w:val="21"/>
                <w:szCs w:val="21"/>
                <w:highlight w:val="none"/>
                <w:lang w:val="en-US" w:eastAsia="zh-CN"/>
              </w:rPr>
            </w:pPr>
            <w:r>
              <w:rPr>
                <w:rFonts w:hint="eastAsia"/>
                <w:sz w:val="21"/>
                <w:szCs w:val="21"/>
                <w:highlight w:val="none"/>
                <w:lang w:val="en-US" w:eastAsia="zh-CN"/>
              </w:rPr>
              <w:t>0</w:t>
            </w:r>
          </w:p>
        </w:tc>
      </w:tr>
      <w:tr w14:paraId="6873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007D11EA">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5ED808FA">
            <w:pPr>
              <w:pStyle w:val="19"/>
              <w:bidi w:val="0"/>
              <w:rPr>
                <w:rFonts w:hint="default"/>
                <w:sz w:val="21"/>
                <w:szCs w:val="21"/>
              </w:rPr>
            </w:pPr>
          </w:p>
        </w:tc>
        <w:tc>
          <w:tcPr>
            <w:tcW w:w="1883" w:type="dxa"/>
            <w:gridSpan w:val="2"/>
            <w:tcBorders>
              <w:tl2br w:val="nil"/>
              <w:tr2bl w:val="nil"/>
            </w:tcBorders>
            <w:tcMar>
              <w:top w:w="0" w:type="dxa"/>
              <w:left w:w="57" w:type="dxa"/>
              <w:bottom w:w="0" w:type="dxa"/>
              <w:right w:w="57" w:type="dxa"/>
            </w:tcMar>
            <w:vAlign w:val="center"/>
          </w:tcPr>
          <w:p w14:paraId="55262F18">
            <w:pPr>
              <w:pStyle w:val="19"/>
              <w:bidi w:val="0"/>
              <w:rPr>
                <w:rFonts w:hint="default"/>
                <w:sz w:val="21"/>
                <w:szCs w:val="21"/>
              </w:rPr>
            </w:pPr>
            <w:r>
              <w:rPr>
                <w:rFonts w:hint="default"/>
                <w:sz w:val="21"/>
                <w:szCs w:val="21"/>
              </w:rPr>
              <w:t>BOD</w:t>
            </w:r>
            <w:r>
              <w:rPr>
                <w:rFonts w:hint="default"/>
                <w:sz w:val="21"/>
                <w:szCs w:val="21"/>
                <w:vertAlign w:val="subscript"/>
              </w:rPr>
              <w:t>5</w:t>
            </w:r>
          </w:p>
        </w:tc>
        <w:tc>
          <w:tcPr>
            <w:tcW w:w="1586" w:type="dxa"/>
            <w:tcBorders>
              <w:tl2br w:val="nil"/>
              <w:tr2bl w:val="nil"/>
            </w:tcBorders>
            <w:tcMar>
              <w:top w:w="0" w:type="dxa"/>
              <w:left w:w="57" w:type="dxa"/>
              <w:bottom w:w="0" w:type="dxa"/>
              <w:right w:w="57" w:type="dxa"/>
            </w:tcMar>
            <w:vAlign w:val="center"/>
          </w:tcPr>
          <w:p w14:paraId="679C4D59">
            <w:pPr>
              <w:pStyle w:val="19"/>
              <w:bidi w:val="0"/>
              <w:rPr>
                <w:rFonts w:hint="default"/>
                <w:sz w:val="21"/>
                <w:szCs w:val="21"/>
                <w:lang w:val="en-US" w:eastAsia="zh-CN"/>
              </w:rPr>
            </w:pPr>
            <w:r>
              <w:rPr>
                <w:rFonts w:hint="eastAsia"/>
                <w:sz w:val="21"/>
                <w:szCs w:val="21"/>
                <w:lang w:val="en-US" w:eastAsia="zh-CN"/>
              </w:rPr>
              <w:t>764.44mg/L</w:t>
            </w:r>
          </w:p>
        </w:tc>
        <w:tc>
          <w:tcPr>
            <w:tcW w:w="1437" w:type="dxa"/>
            <w:tcBorders>
              <w:tl2br w:val="nil"/>
              <w:tr2bl w:val="nil"/>
            </w:tcBorders>
            <w:tcMar>
              <w:top w:w="0" w:type="dxa"/>
              <w:left w:w="57" w:type="dxa"/>
              <w:bottom w:w="0" w:type="dxa"/>
              <w:right w:w="57" w:type="dxa"/>
            </w:tcMar>
            <w:vAlign w:val="center"/>
          </w:tcPr>
          <w:p w14:paraId="106740D3">
            <w:pPr>
              <w:pStyle w:val="19"/>
              <w:bidi w:val="0"/>
              <w:rPr>
                <w:rFonts w:hint="default"/>
                <w:sz w:val="21"/>
                <w:szCs w:val="21"/>
              </w:rPr>
            </w:pPr>
            <w:r>
              <w:rPr>
                <w:rFonts w:hint="eastAsia"/>
                <w:sz w:val="21"/>
                <w:szCs w:val="21"/>
                <w:lang w:val="en-US" w:eastAsia="zh-CN"/>
              </w:rPr>
              <w:t>49.27</w:t>
            </w:r>
            <w:r>
              <w:rPr>
                <w:rFonts w:hint="default"/>
                <w:sz w:val="21"/>
                <w:szCs w:val="21"/>
              </w:rPr>
              <w:t>t/a</w:t>
            </w:r>
          </w:p>
        </w:tc>
        <w:tc>
          <w:tcPr>
            <w:tcW w:w="4049" w:type="dxa"/>
            <w:vMerge w:val="continue"/>
            <w:tcBorders>
              <w:tl2br w:val="nil"/>
              <w:tr2bl w:val="nil"/>
            </w:tcBorders>
            <w:tcMar>
              <w:top w:w="0" w:type="dxa"/>
              <w:left w:w="57" w:type="dxa"/>
              <w:bottom w:w="0" w:type="dxa"/>
              <w:right w:w="57" w:type="dxa"/>
            </w:tcMar>
            <w:vAlign w:val="center"/>
          </w:tcPr>
          <w:p w14:paraId="74E10F5B">
            <w:pPr>
              <w:pStyle w:val="19"/>
              <w:bidi w:val="0"/>
              <w:rPr>
                <w:rFonts w:hint="eastAsia"/>
                <w:sz w:val="21"/>
                <w:szCs w:val="21"/>
                <w:lang w:val="en-US" w:eastAsia="zh-CN"/>
              </w:rPr>
            </w:pPr>
          </w:p>
        </w:tc>
        <w:tc>
          <w:tcPr>
            <w:tcW w:w="2088" w:type="dxa"/>
            <w:tcBorders>
              <w:tl2br w:val="nil"/>
              <w:tr2bl w:val="nil"/>
            </w:tcBorders>
            <w:tcMar>
              <w:top w:w="0" w:type="dxa"/>
              <w:left w:w="57" w:type="dxa"/>
              <w:bottom w:w="0" w:type="dxa"/>
              <w:right w:w="57" w:type="dxa"/>
            </w:tcMar>
            <w:vAlign w:val="center"/>
          </w:tcPr>
          <w:p w14:paraId="4D70DAA5">
            <w:pPr>
              <w:pStyle w:val="19"/>
              <w:bidi w:val="0"/>
              <w:rPr>
                <w:rFonts w:hint="default" w:eastAsia="宋体"/>
                <w:sz w:val="21"/>
                <w:szCs w:val="21"/>
                <w:highlight w:val="none"/>
                <w:lang w:val="en-US" w:eastAsia="zh-CN"/>
              </w:rPr>
            </w:pPr>
            <w:r>
              <w:rPr>
                <w:rFonts w:hint="eastAsia"/>
                <w:sz w:val="21"/>
                <w:szCs w:val="21"/>
                <w:highlight w:val="none"/>
                <w:lang w:val="en-US" w:eastAsia="zh-CN"/>
              </w:rPr>
              <w:t>150</w:t>
            </w:r>
          </w:p>
        </w:tc>
        <w:tc>
          <w:tcPr>
            <w:tcW w:w="0" w:type="auto"/>
            <w:tcBorders>
              <w:tl2br w:val="nil"/>
              <w:tr2bl w:val="nil"/>
            </w:tcBorders>
            <w:tcMar>
              <w:top w:w="0" w:type="dxa"/>
              <w:left w:w="57" w:type="dxa"/>
              <w:bottom w:w="0" w:type="dxa"/>
              <w:right w:w="57" w:type="dxa"/>
            </w:tcMar>
            <w:vAlign w:val="center"/>
          </w:tcPr>
          <w:p w14:paraId="0993FB6F">
            <w:pPr>
              <w:pStyle w:val="19"/>
              <w:bidi w:val="0"/>
              <w:rPr>
                <w:rFonts w:hint="eastAsia" w:eastAsia="宋体"/>
                <w:sz w:val="21"/>
                <w:szCs w:val="21"/>
                <w:highlight w:val="none"/>
                <w:lang w:val="en-US" w:eastAsia="zh-CN"/>
              </w:rPr>
            </w:pPr>
            <w:r>
              <w:rPr>
                <w:rFonts w:hint="eastAsia"/>
                <w:sz w:val="21"/>
                <w:szCs w:val="21"/>
                <w:highlight w:val="none"/>
                <w:lang w:val="en-US" w:eastAsia="zh-CN"/>
              </w:rPr>
              <w:t>0</w:t>
            </w:r>
          </w:p>
        </w:tc>
      </w:tr>
      <w:tr w14:paraId="47BB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1B3E110D">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57B446D0">
            <w:pPr>
              <w:pStyle w:val="19"/>
              <w:bidi w:val="0"/>
              <w:rPr>
                <w:rFonts w:hint="default"/>
                <w:sz w:val="21"/>
                <w:szCs w:val="21"/>
              </w:rPr>
            </w:pPr>
          </w:p>
        </w:tc>
        <w:tc>
          <w:tcPr>
            <w:tcW w:w="1883" w:type="dxa"/>
            <w:gridSpan w:val="2"/>
            <w:tcBorders>
              <w:tl2br w:val="nil"/>
              <w:tr2bl w:val="nil"/>
            </w:tcBorders>
            <w:tcMar>
              <w:top w:w="0" w:type="dxa"/>
              <w:left w:w="57" w:type="dxa"/>
              <w:bottom w:w="0" w:type="dxa"/>
              <w:right w:w="57" w:type="dxa"/>
            </w:tcMar>
            <w:vAlign w:val="center"/>
          </w:tcPr>
          <w:p w14:paraId="534ED7EA">
            <w:pPr>
              <w:pStyle w:val="19"/>
              <w:bidi w:val="0"/>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1586" w:type="dxa"/>
            <w:tcBorders>
              <w:tl2br w:val="nil"/>
              <w:tr2bl w:val="nil"/>
            </w:tcBorders>
            <w:tcMar>
              <w:top w:w="0" w:type="dxa"/>
              <w:left w:w="57" w:type="dxa"/>
              <w:bottom w:w="0" w:type="dxa"/>
              <w:right w:w="57" w:type="dxa"/>
            </w:tcMar>
            <w:vAlign w:val="center"/>
          </w:tcPr>
          <w:p w14:paraId="70273E12">
            <w:pPr>
              <w:pStyle w:val="19"/>
              <w:bidi w:val="0"/>
              <w:rPr>
                <w:rFonts w:hint="default"/>
                <w:sz w:val="21"/>
                <w:szCs w:val="21"/>
                <w:lang w:val="en-US" w:eastAsia="zh-CN"/>
              </w:rPr>
            </w:pPr>
            <w:r>
              <w:rPr>
                <w:rFonts w:hint="eastAsia"/>
                <w:sz w:val="21"/>
                <w:szCs w:val="21"/>
                <w:lang w:val="en-US" w:eastAsia="zh-CN"/>
              </w:rPr>
              <w:t>249.02mg/L</w:t>
            </w:r>
          </w:p>
        </w:tc>
        <w:tc>
          <w:tcPr>
            <w:tcW w:w="1437" w:type="dxa"/>
            <w:tcBorders>
              <w:tl2br w:val="nil"/>
              <w:tr2bl w:val="nil"/>
            </w:tcBorders>
            <w:tcMar>
              <w:top w:w="0" w:type="dxa"/>
              <w:left w:w="57" w:type="dxa"/>
              <w:bottom w:w="0" w:type="dxa"/>
              <w:right w:w="57" w:type="dxa"/>
            </w:tcMar>
            <w:vAlign w:val="center"/>
          </w:tcPr>
          <w:p w14:paraId="3AD29769">
            <w:pPr>
              <w:pStyle w:val="19"/>
              <w:bidi w:val="0"/>
              <w:rPr>
                <w:rFonts w:hint="default"/>
                <w:sz w:val="21"/>
                <w:szCs w:val="21"/>
              </w:rPr>
            </w:pPr>
            <w:r>
              <w:rPr>
                <w:rFonts w:hint="eastAsia"/>
                <w:sz w:val="21"/>
                <w:szCs w:val="21"/>
                <w:lang w:val="en-US" w:eastAsia="zh-CN"/>
              </w:rPr>
              <w:t>16.05</w:t>
            </w:r>
            <w:r>
              <w:rPr>
                <w:rFonts w:hint="default"/>
                <w:sz w:val="21"/>
                <w:szCs w:val="21"/>
              </w:rPr>
              <w:t>t/a</w:t>
            </w:r>
          </w:p>
        </w:tc>
        <w:tc>
          <w:tcPr>
            <w:tcW w:w="4049" w:type="dxa"/>
            <w:vMerge w:val="continue"/>
            <w:tcBorders>
              <w:tl2br w:val="nil"/>
              <w:tr2bl w:val="nil"/>
            </w:tcBorders>
            <w:tcMar>
              <w:top w:w="0" w:type="dxa"/>
              <w:left w:w="57" w:type="dxa"/>
              <w:bottom w:w="0" w:type="dxa"/>
              <w:right w:w="57" w:type="dxa"/>
            </w:tcMar>
            <w:vAlign w:val="center"/>
          </w:tcPr>
          <w:p w14:paraId="57F0912E">
            <w:pPr>
              <w:pStyle w:val="19"/>
              <w:bidi w:val="0"/>
              <w:rPr>
                <w:rFonts w:hint="eastAsia"/>
                <w:sz w:val="21"/>
                <w:szCs w:val="21"/>
                <w:lang w:val="en-US" w:eastAsia="zh-CN"/>
              </w:rPr>
            </w:pPr>
          </w:p>
        </w:tc>
        <w:tc>
          <w:tcPr>
            <w:tcW w:w="2088" w:type="dxa"/>
            <w:tcBorders>
              <w:tl2br w:val="nil"/>
              <w:tr2bl w:val="nil"/>
            </w:tcBorders>
            <w:tcMar>
              <w:top w:w="0" w:type="dxa"/>
              <w:left w:w="57" w:type="dxa"/>
              <w:bottom w:w="0" w:type="dxa"/>
              <w:right w:w="57" w:type="dxa"/>
            </w:tcMar>
            <w:vAlign w:val="center"/>
          </w:tcPr>
          <w:p w14:paraId="235C4CEF">
            <w:pPr>
              <w:pStyle w:val="19"/>
              <w:bidi w:val="0"/>
              <w:rPr>
                <w:rFonts w:hint="default" w:eastAsia="宋体"/>
                <w:sz w:val="21"/>
                <w:szCs w:val="21"/>
                <w:lang w:val="en-US" w:eastAsia="zh-CN"/>
              </w:rPr>
            </w:pPr>
            <w:r>
              <w:rPr>
                <w:rFonts w:hint="eastAsia"/>
                <w:sz w:val="21"/>
                <w:szCs w:val="21"/>
                <w:lang w:val="en-US" w:eastAsia="zh-CN"/>
              </w:rPr>
              <w:t>200</w:t>
            </w:r>
          </w:p>
        </w:tc>
        <w:tc>
          <w:tcPr>
            <w:tcW w:w="0" w:type="auto"/>
            <w:tcBorders>
              <w:tl2br w:val="nil"/>
              <w:tr2bl w:val="nil"/>
            </w:tcBorders>
            <w:tcMar>
              <w:top w:w="0" w:type="dxa"/>
              <w:left w:w="57" w:type="dxa"/>
              <w:bottom w:w="0" w:type="dxa"/>
              <w:right w:w="57" w:type="dxa"/>
            </w:tcMar>
            <w:vAlign w:val="center"/>
          </w:tcPr>
          <w:p w14:paraId="709CD4A7">
            <w:pPr>
              <w:pStyle w:val="19"/>
              <w:bidi w:val="0"/>
              <w:rPr>
                <w:rFonts w:hint="eastAsia" w:eastAsia="宋体"/>
                <w:sz w:val="21"/>
                <w:szCs w:val="21"/>
                <w:lang w:val="en-US" w:eastAsia="zh-CN"/>
              </w:rPr>
            </w:pPr>
            <w:r>
              <w:rPr>
                <w:rFonts w:hint="eastAsia"/>
                <w:sz w:val="21"/>
                <w:szCs w:val="21"/>
                <w:lang w:val="en-US" w:eastAsia="zh-CN"/>
              </w:rPr>
              <w:t>0</w:t>
            </w:r>
          </w:p>
        </w:tc>
      </w:tr>
      <w:tr w14:paraId="4BC9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4A04BF09">
            <w:pPr>
              <w:pStyle w:val="19"/>
              <w:bidi w:val="0"/>
              <w:rPr>
                <w:rFonts w:hint="default"/>
                <w:sz w:val="21"/>
                <w:szCs w:val="21"/>
              </w:rPr>
            </w:pPr>
          </w:p>
        </w:tc>
        <w:tc>
          <w:tcPr>
            <w:tcW w:w="1116" w:type="dxa"/>
            <w:vMerge w:val="continue"/>
            <w:tcBorders>
              <w:tl2br w:val="nil"/>
              <w:tr2bl w:val="nil"/>
            </w:tcBorders>
            <w:tcMar>
              <w:top w:w="0" w:type="dxa"/>
              <w:left w:w="57" w:type="dxa"/>
              <w:bottom w:w="0" w:type="dxa"/>
              <w:right w:w="57" w:type="dxa"/>
            </w:tcMar>
            <w:vAlign w:val="center"/>
          </w:tcPr>
          <w:p w14:paraId="053F00AE">
            <w:pPr>
              <w:pStyle w:val="19"/>
              <w:bidi w:val="0"/>
              <w:rPr>
                <w:rFonts w:hint="default"/>
                <w:sz w:val="21"/>
                <w:szCs w:val="21"/>
              </w:rPr>
            </w:pPr>
          </w:p>
        </w:tc>
        <w:tc>
          <w:tcPr>
            <w:tcW w:w="1883" w:type="dxa"/>
            <w:gridSpan w:val="2"/>
            <w:tcBorders>
              <w:tl2br w:val="nil"/>
              <w:tr2bl w:val="nil"/>
            </w:tcBorders>
            <w:tcMar>
              <w:top w:w="0" w:type="dxa"/>
              <w:left w:w="57" w:type="dxa"/>
              <w:bottom w:w="0" w:type="dxa"/>
              <w:right w:w="57" w:type="dxa"/>
            </w:tcMar>
            <w:vAlign w:val="center"/>
          </w:tcPr>
          <w:p w14:paraId="786106C8">
            <w:pPr>
              <w:pStyle w:val="19"/>
              <w:bidi w:val="0"/>
              <w:rPr>
                <w:rFonts w:hint="default"/>
                <w:sz w:val="21"/>
                <w:szCs w:val="21"/>
              </w:rPr>
            </w:pPr>
            <w:r>
              <w:rPr>
                <w:rFonts w:hint="default"/>
                <w:sz w:val="21"/>
                <w:szCs w:val="21"/>
              </w:rPr>
              <w:t>SS</w:t>
            </w:r>
          </w:p>
        </w:tc>
        <w:tc>
          <w:tcPr>
            <w:tcW w:w="1586" w:type="dxa"/>
            <w:tcBorders>
              <w:tl2br w:val="nil"/>
              <w:tr2bl w:val="nil"/>
            </w:tcBorders>
            <w:tcMar>
              <w:top w:w="0" w:type="dxa"/>
              <w:left w:w="57" w:type="dxa"/>
              <w:bottom w:w="0" w:type="dxa"/>
              <w:right w:w="57" w:type="dxa"/>
            </w:tcMar>
            <w:vAlign w:val="center"/>
          </w:tcPr>
          <w:p w14:paraId="16143A36">
            <w:pPr>
              <w:pStyle w:val="19"/>
              <w:bidi w:val="0"/>
              <w:rPr>
                <w:rFonts w:hint="default"/>
                <w:sz w:val="21"/>
                <w:szCs w:val="21"/>
                <w:lang w:val="en-US" w:eastAsia="zh-CN"/>
              </w:rPr>
            </w:pPr>
            <w:r>
              <w:rPr>
                <w:rFonts w:hint="eastAsia"/>
                <w:sz w:val="21"/>
                <w:szCs w:val="21"/>
                <w:lang w:val="en-US" w:eastAsia="zh-CN"/>
              </w:rPr>
              <w:t>765.44mg/L</w:t>
            </w:r>
          </w:p>
        </w:tc>
        <w:tc>
          <w:tcPr>
            <w:tcW w:w="1437" w:type="dxa"/>
            <w:tcBorders>
              <w:tl2br w:val="nil"/>
              <w:tr2bl w:val="nil"/>
            </w:tcBorders>
            <w:tcMar>
              <w:top w:w="0" w:type="dxa"/>
              <w:left w:w="57" w:type="dxa"/>
              <w:bottom w:w="0" w:type="dxa"/>
              <w:right w:w="57" w:type="dxa"/>
            </w:tcMar>
            <w:vAlign w:val="center"/>
          </w:tcPr>
          <w:p w14:paraId="256C69C4">
            <w:pPr>
              <w:pStyle w:val="19"/>
              <w:bidi w:val="0"/>
              <w:rPr>
                <w:rFonts w:hint="default"/>
                <w:sz w:val="21"/>
                <w:szCs w:val="21"/>
              </w:rPr>
            </w:pPr>
            <w:r>
              <w:rPr>
                <w:rFonts w:hint="eastAsia"/>
                <w:sz w:val="21"/>
                <w:szCs w:val="21"/>
                <w:lang w:val="en-US" w:eastAsia="zh-CN"/>
              </w:rPr>
              <w:t>49.31</w:t>
            </w:r>
            <w:r>
              <w:rPr>
                <w:rFonts w:hint="default"/>
                <w:sz w:val="21"/>
                <w:szCs w:val="21"/>
                <w:lang w:val="en-US" w:eastAsia="zh-CN"/>
              </w:rPr>
              <w:t>t</w:t>
            </w:r>
            <w:r>
              <w:rPr>
                <w:rFonts w:hint="default"/>
                <w:sz w:val="21"/>
                <w:szCs w:val="21"/>
              </w:rPr>
              <w:t>/a</w:t>
            </w:r>
          </w:p>
        </w:tc>
        <w:tc>
          <w:tcPr>
            <w:tcW w:w="4049" w:type="dxa"/>
            <w:vMerge w:val="continue"/>
            <w:tcBorders>
              <w:tl2br w:val="nil"/>
              <w:tr2bl w:val="nil"/>
            </w:tcBorders>
            <w:tcMar>
              <w:top w:w="0" w:type="dxa"/>
              <w:left w:w="57" w:type="dxa"/>
              <w:bottom w:w="0" w:type="dxa"/>
              <w:right w:w="57" w:type="dxa"/>
            </w:tcMar>
            <w:vAlign w:val="center"/>
          </w:tcPr>
          <w:p w14:paraId="42B60774">
            <w:pPr>
              <w:pStyle w:val="19"/>
              <w:bidi w:val="0"/>
              <w:rPr>
                <w:rFonts w:hint="eastAsia"/>
                <w:sz w:val="21"/>
                <w:szCs w:val="21"/>
                <w:lang w:val="en-US" w:eastAsia="zh-CN"/>
              </w:rPr>
            </w:pPr>
          </w:p>
        </w:tc>
        <w:tc>
          <w:tcPr>
            <w:tcW w:w="2088" w:type="dxa"/>
            <w:tcBorders>
              <w:tl2br w:val="nil"/>
              <w:tr2bl w:val="nil"/>
            </w:tcBorders>
            <w:tcMar>
              <w:top w:w="0" w:type="dxa"/>
              <w:left w:w="57" w:type="dxa"/>
              <w:bottom w:w="0" w:type="dxa"/>
              <w:right w:w="57" w:type="dxa"/>
            </w:tcMar>
            <w:vAlign w:val="center"/>
          </w:tcPr>
          <w:p w14:paraId="05E3BF7C">
            <w:pPr>
              <w:pStyle w:val="19"/>
              <w:bidi w:val="0"/>
              <w:rPr>
                <w:rFonts w:hint="default" w:eastAsia="宋体"/>
                <w:sz w:val="21"/>
                <w:szCs w:val="21"/>
                <w:lang w:val="en-US" w:eastAsia="zh-CN"/>
              </w:rPr>
            </w:pPr>
            <w:r>
              <w:rPr>
                <w:rFonts w:hint="eastAsia"/>
                <w:sz w:val="21"/>
                <w:szCs w:val="21"/>
                <w:lang w:val="en-US" w:eastAsia="zh-CN"/>
              </w:rPr>
              <w:t>200</w:t>
            </w:r>
          </w:p>
        </w:tc>
        <w:tc>
          <w:tcPr>
            <w:tcW w:w="0" w:type="auto"/>
            <w:tcBorders>
              <w:tl2br w:val="nil"/>
              <w:tr2bl w:val="nil"/>
            </w:tcBorders>
            <w:tcMar>
              <w:top w:w="0" w:type="dxa"/>
              <w:left w:w="57" w:type="dxa"/>
              <w:bottom w:w="0" w:type="dxa"/>
              <w:right w:w="57" w:type="dxa"/>
            </w:tcMar>
            <w:vAlign w:val="center"/>
          </w:tcPr>
          <w:p w14:paraId="7E01AB12">
            <w:pPr>
              <w:pStyle w:val="19"/>
              <w:bidi w:val="0"/>
              <w:rPr>
                <w:rFonts w:hint="eastAsia" w:eastAsia="宋体"/>
                <w:sz w:val="21"/>
                <w:szCs w:val="21"/>
                <w:lang w:val="en-US" w:eastAsia="zh-CN"/>
              </w:rPr>
            </w:pPr>
            <w:r>
              <w:rPr>
                <w:rFonts w:hint="eastAsia"/>
                <w:sz w:val="21"/>
                <w:szCs w:val="21"/>
                <w:lang w:val="en-US" w:eastAsia="zh-CN"/>
              </w:rPr>
              <w:t>0</w:t>
            </w:r>
          </w:p>
        </w:tc>
      </w:tr>
      <w:tr w14:paraId="1854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tcBorders>
              <w:tl2br w:val="nil"/>
              <w:tr2bl w:val="nil"/>
            </w:tcBorders>
            <w:tcMar>
              <w:top w:w="0" w:type="dxa"/>
              <w:left w:w="57" w:type="dxa"/>
              <w:bottom w:w="0" w:type="dxa"/>
              <w:right w:w="57" w:type="dxa"/>
            </w:tcMar>
            <w:vAlign w:val="center"/>
          </w:tcPr>
          <w:p w14:paraId="5E001A92">
            <w:pPr>
              <w:pStyle w:val="19"/>
              <w:bidi w:val="0"/>
              <w:rPr>
                <w:rFonts w:hint="default"/>
                <w:sz w:val="21"/>
                <w:szCs w:val="21"/>
              </w:rPr>
            </w:pPr>
            <w:r>
              <w:rPr>
                <w:rFonts w:hint="default"/>
                <w:sz w:val="21"/>
                <w:szCs w:val="21"/>
              </w:rPr>
              <w:t>噪声</w:t>
            </w:r>
          </w:p>
        </w:tc>
        <w:tc>
          <w:tcPr>
            <w:tcW w:w="2999" w:type="dxa"/>
            <w:gridSpan w:val="3"/>
            <w:tcBorders>
              <w:tl2br w:val="nil"/>
              <w:tr2bl w:val="nil"/>
            </w:tcBorders>
            <w:tcMar>
              <w:top w:w="0" w:type="dxa"/>
              <w:left w:w="57" w:type="dxa"/>
              <w:bottom w:w="0" w:type="dxa"/>
              <w:right w:w="57" w:type="dxa"/>
            </w:tcMar>
            <w:vAlign w:val="center"/>
          </w:tcPr>
          <w:p w14:paraId="69F2C921">
            <w:pPr>
              <w:pStyle w:val="19"/>
              <w:bidi w:val="0"/>
              <w:rPr>
                <w:rFonts w:hint="default"/>
                <w:sz w:val="21"/>
                <w:szCs w:val="21"/>
              </w:rPr>
            </w:pPr>
            <w:r>
              <w:rPr>
                <w:rFonts w:hint="default"/>
                <w:sz w:val="21"/>
                <w:szCs w:val="21"/>
              </w:rPr>
              <w:t>设备噪声、车辆噪声、猪只叫声</w:t>
            </w:r>
          </w:p>
        </w:tc>
        <w:tc>
          <w:tcPr>
            <w:tcW w:w="3023" w:type="dxa"/>
            <w:gridSpan w:val="2"/>
            <w:tcBorders>
              <w:tl2br w:val="nil"/>
              <w:tr2bl w:val="nil"/>
            </w:tcBorders>
            <w:tcMar>
              <w:top w:w="0" w:type="dxa"/>
              <w:left w:w="57" w:type="dxa"/>
              <w:bottom w:w="0" w:type="dxa"/>
              <w:right w:w="57" w:type="dxa"/>
            </w:tcMar>
            <w:vAlign w:val="center"/>
          </w:tcPr>
          <w:p w14:paraId="4CB9FCEE">
            <w:pPr>
              <w:pStyle w:val="19"/>
              <w:bidi w:val="0"/>
              <w:rPr>
                <w:rFonts w:hint="default"/>
                <w:sz w:val="21"/>
                <w:szCs w:val="21"/>
              </w:rPr>
            </w:pPr>
            <w:r>
              <w:rPr>
                <w:rFonts w:hint="eastAsia"/>
                <w:sz w:val="21"/>
                <w:szCs w:val="21"/>
                <w:lang w:val="en-US" w:eastAsia="zh-CN"/>
              </w:rPr>
              <w:t>60</w:t>
            </w:r>
            <w:r>
              <w:rPr>
                <w:rFonts w:hint="default"/>
                <w:sz w:val="21"/>
                <w:szCs w:val="21"/>
              </w:rPr>
              <w:t>～85dB（A）</w:t>
            </w:r>
          </w:p>
        </w:tc>
        <w:tc>
          <w:tcPr>
            <w:tcW w:w="4049" w:type="dxa"/>
            <w:tcBorders>
              <w:tl2br w:val="nil"/>
              <w:tr2bl w:val="nil"/>
            </w:tcBorders>
            <w:tcMar>
              <w:top w:w="0" w:type="dxa"/>
              <w:left w:w="57" w:type="dxa"/>
              <w:bottom w:w="0" w:type="dxa"/>
              <w:right w:w="57" w:type="dxa"/>
            </w:tcMar>
            <w:vAlign w:val="center"/>
          </w:tcPr>
          <w:p w14:paraId="26572823">
            <w:pPr>
              <w:pStyle w:val="19"/>
              <w:bidi w:val="0"/>
              <w:rPr>
                <w:rFonts w:hint="default"/>
                <w:sz w:val="21"/>
                <w:szCs w:val="21"/>
              </w:rPr>
            </w:pPr>
            <w:r>
              <w:rPr>
                <w:rFonts w:hint="default"/>
                <w:sz w:val="21"/>
                <w:szCs w:val="21"/>
              </w:rPr>
              <w:t>隔声</w:t>
            </w:r>
            <w:r>
              <w:rPr>
                <w:rFonts w:hint="default"/>
                <w:sz w:val="21"/>
                <w:szCs w:val="21"/>
                <w:lang w:eastAsia="zh-CN"/>
              </w:rPr>
              <w:t>、</w:t>
            </w:r>
            <w:r>
              <w:rPr>
                <w:rFonts w:hint="default"/>
                <w:sz w:val="21"/>
                <w:szCs w:val="21"/>
                <w:lang w:val="en-US" w:eastAsia="zh-CN"/>
              </w:rPr>
              <w:t>减震</w:t>
            </w:r>
          </w:p>
        </w:tc>
        <w:tc>
          <w:tcPr>
            <w:tcW w:w="3429" w:type="dxa"/>
            <w:gridSpan w:val="2"/>
            <w:tcBorders>
              <w:tl2br w:val="nil"/>
              <w:tr2bl w:val="nil"/>
            </w:tcBorders>
            <w:tcMar>
              <w:top w:w="0" w:type="dxa"/>
              <w:left w:w="57" w:type="dxa"/>
              <w:bottom w:w="0" w:type="dxa"/>
              <w:right w:w="57" w:type="dxa"/>
            </w:tcMar>
            <w:vAlign w:val="center"/>
          </w:tcPr>
          <w:p w14:paraId="382347F0">
            <w:pPr>
              <w:pStyle w:val="19"/>
              <w:bidi w:val="0"/>
              <w:rPr>
                <w:rFonts w:hint="default"/>
                <w:sz w:val="21"/>
                <w:szCs w:val="21"/>
              </w:rPr>
            </w:pPr>
            <w:r>
              <w:rPr>
                <w:rFonts w:hint="eastAsia"/>
                <w:sz w:val="21"/>
                <w:szCs w:val="21"/>
                <w:lang w:val="en-US" w:eastAsia="zh-CN"/>
              </w:rPr>
              <w:t>55</w:t>
            </w:r>
            <w:r>
              <w:rPr>
                <w:rFonts w:hint="default"/>
                <w:sz w:val="21"/>
                <w:szCs w:val="21"/>
              </w:rPr>
              <w:t>～</w:t>
            </w:r>
            <w:r>
              <w:rPr>
                <w:rFonts w:hint="eastAsia"/>
                <w:sz w:val="21"/>
                <w:szCs w:val="21"/>
                <w:lang w:val="en-US" w:eastAsia="zh-CN"/>
              </w:rPr>
              <w:t>65</w:t>
            </w:r>
            <w:r>
              <w:rPr>
                <w:rFonts w:hint="default"/>
                <w:sz w:val="21"/>
                <w:szCs w:val="21"/>
              </w:rPr>
              <w:t>dB（A）</w:t>
            </w:r>
          </w:p>
        </w:tc>
      </w:tr>
      <w:tr w14:paraId="45BC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restart"/>
            <w:tcBorders>
              <w:tl2br w:val="nil"/>
              <w:tr2bl w:val="nil"/>
            </w:tcBorders>
            <w:tcMar>
              <w:top w:w="0" w:type="dxa"/>
              <w:left w:w="57" w:type="dxa"/>
              <w:bottom w:w="0" w:type="dxa"/>
              <w:right w:w="57" w:type="dxa"/>
            </w:tcMar>
            <w:vAlign w:val="center"/>
          </w:tcPr>
          <w:p w14:paraId="2A7E802F">
            <w:pPr>
              <w:pStyle w:val="19"/>
              <w:bidi w:val="0"/>
              <w:rPr>
                <w:rFonts w:hint="default"/>
                <w:sz w:val="21"/>
                <w:szCs w:val="21"/>
              </w:rPr>
            </w:pPr>
            <w:r>
              <w:rPr>
                <w:rFonts w:hint="default"/>
                <w:sz w:val="21"/>
                <w:szCs w:val="21"/>
              </w:rPr>
              <w:t>固体废弃物</w:t>
            </w:r>
          </w:p>
        </w:tc>
        <w:tc>
          <w:tcPr>
            <w:tcW w:w="2999" w:type="dxa"/>
            <w:gridSpan w:val="3"/>
            <w:tcBorders>
              <w:tl2br w:val="nil"/>
              <w:tr2bl w:val="nil"/>
            </w:tcBorders>
            <w:tcMar>
              <w:top w:w="0" w:type="dxa"/>
              <w:left w:w="57" w:type="dxa"/>
              <w:bottom w:w="0" w:type="dxa"/>
              <w:right w:w="57" w:type="dxa"/>
            </w:tcMar>
            <w:vAlign w:val="center"/>
          </w:tcPr>
          <w:p w14:paraId="5985596B">
            <w:pPr>
              <w:pStyle w:val="19"/>
              <w:bidi w:val="0"/>
              <w:rPr>
                <w:rFonts w:hint="default"/>
                <w:sz w:val="21"/>
                <w:szCs w:val="21"/>
              </w:rPr>
            </w:pPr>
            <w:r>
              <w:rPr>
                <w:rFonts w:hint="default"/>
                <w:sz w:val="21"/>
                <w:szCs w:val="21"/>
              </w:rPr>
              <w:t>猪粪</w:t>
            </w:r>
          </w:p>
        </w:tc>
        <w:tc>
          <w:tcPr>
            <w:tcW w:w="3023" w:type="dxa"/>
            <w:gridSpan w:val="2"/>
            <w:tcBorders>
              <w:tl2br w:val="nil"/>
              <w:tr2bl w:val="nil"/>
            </w:tcBorders>
            <w:tcMar>
              <w:top w:w="0" w:type="dxa"/>
              <w:left w:w="57" w:type="dxa"/>
              <w:bottom w:w="0" w:type="dxa"/>
              <w:right w:w="57" w:type="dxa"/>
            </w:tcMar>
            <w:vAlign w:val="center"/>
          </w:tcPr>
          <w:p w14:paraId="77ADDAEA">
            <w:pPr>
              <w:pStyle w:val="19"/>
              <w:bidi w:val="0"/>
              <w:rPr>
                <w:rFonts w:hint="default"/>
                <w:sz w:val="21"/>
                <w:szCs w:val="21"/>
              </w:rPr>
            </w:pPr>
            <w:r>
              <w:rPr>
                <w:rFonts w:hint="eastAsia"/>
                <w:sz w:val="21"/>
                <w:szCs w:val="21"/>
                <w:lang w:val="en-US" w:eastAsia="zh-CN"/>
              </w:rPr>
              <w:t>23287</w:t>
            </w:r>
            <w:r>
              <w:rPr>
                <w:rFonts w:hint="default"/>
                <w:sz w:val="21"/>
                <w:szCs w:val="21"/>
                <w:lang w:val="en-US" w:eastAsia="zh-CN"/>
              </w:rPr>
              <w:t>t/a</w:t>
            </w:r>
          </w:p>
        </w:tc>
        <w:tc>
          <w:tcPr>
            <w:tcW w:w="4049" w:type="dxa"/>
            <w:vMerge w:val="restart"/>
            <w:tcBorders>
              <w:tl2br w:val="nil"/>
              <w:tr2bl w:val="nil"/>
            </w:tcBorders>
            <w:tcMar>
              <w:top w:w="0" w:type="dxa"/>
              <w:left w:w="57" w:type="dxa"/>
              <w:bottom w:w="0" w:type="dxa"/>
              <w:right w:w="57" w:type="dxa"/>
            </w:tcMar>
            <w:vAlign w:val="center"/>
          </w:tcPr>
          <w:p w14:paraId="64313D67">
            <w:pPr>
              <w:pStyle w:val="19"/>
              <w:bidi w:val="0"/>
              <w:rPr>
                <w:rFonts w:hint="default"/>
                <w:sz w:val="21"/>
                <w:szCs w:val="21"/>
                <w:lang w:val="en-US" w:eastAsia="zh-CN"/>
              </w:rPr>
            </w:pPr>
            <w:r>
              <w:rPr>
                <w:rFonts w:hint="eastAsia"/>
                <w:sz w:val="21"/>
                <w:szCs w:val="21"/>
                <w:lang w:val="en-US" w:eastAsia="zh-CN"/>
              </w:rPr>
              <w:t>堆肥场</w:t>
            </w:r>
            <w:r>
              <w:rPr>
                <w:rFonts w:hint="default"/>
                <w:sz w:val="21"/>
                <w:szCs w:val="21"/>
                <w:lang w:val="en-US" w:eastAsia="zh-CN"/>
              </w:rPr>
              <w:t>发酵后</w:t>
            </w:r>
            <w:r>
              <w:rPr>
                <w:rFonts w:hint="eastAsia"/>
                <w:lang w:val="en-US" w:eastAsia="zh-CN"/>
              </w:rPr>
              <w:t>作为粪肥还田利用</w:t>
            </w:r>
          </w:p>
        </w:tc>
        <w:tc>
          <w:tcPr>
            <w:tcW w:w="3429" w:type="dxa"/>
            <w:gridSpan w:val="2"/>
            <w:tcBorders>
              <w:tl2br w:val="nil"/>
              <w:tr2bl w:val="nil"/>
            </w:tcBorders>
            <w:tcMar>
              <w:top w:w="0" w:type="dxa"/>
              <w:left w:w="57" w:type="dxa"/>
              <w:bottom w:w="0" w:type="dxa"/>
              <w:right w:w="57" w:type="dxa"/>
            </w:tcMar>
            <w:vAlign w:val="center"/>
          </w:tcPr>
          <w:p w14:paraId="5CE483D3">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23287</w:t>
            </w:r>
            <w:r>
              <w:rPr>
                <w:rFonts w:hint="default"/>
                <w:sz w:val="21"/>
                <w:szCs w:val="21"/>
                <w:lang w:val="en-US" w:eastAsia="zh-CN"/>
              </w:rPr>
              <w:t>t/a</w:t>
            </w:r>
          </w:p>
        </w:tc>
      </w:tr>
      <w:tr w14:paraId="7B1C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6AABCC86">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6BF01E5A">
            <w:pPr>
              <w:pStyle w:val="19"/>
              <w:bidi w:val="0"/>
              <w:rPr>
                <w:rFonts w:hint="default"/>
                <w:sz w:val="21"/>
                <w:szCs w:val="21"/>
              </w:rPr>
            </w:pPr>
            <w:r>
              <w:rPr>
                <w:rFonts w:hint="default"/>
              </w:rPr>
              <w:t>沼渣</w:t>
            </w:r>
            <w:r>
              <w:rPr>
                <w:rFonts w:hint="eastAsia"/>
                <w:lang w:val="en-US" w:eastAsia="zh-CN"/>
              </w:rPr>
              <w:t>/污泥</w:t>
            </w:r>
          </w:p>
        </w:tc>
        <w:tc>
          <w:tcPr>
            <w:tcW w:w="3023" w:type="dxa"/>
            <w:gridSpan w:val="2"/>
            <w:tcBorders>
              <w:tl2br w:val="nil"/>
              <w:tr2bl w:val="nil"/>
            </w:tcBorders>
            <w:tcMar>
              <w:top w:w="0" w:type="dxa"/>
              <w:left w:w="57" w:type="dxa"/>
              <w:bottom w:w="0" w:type="dxa"/>
              <w:right w:w="57" w:type="dxa"/>
            </w:tcMar>
            <w:vAlign w:val="center"/>
          </w:tcPr>
          <w:p w14:paraId="0D9777FD">
            <w:pPr>
              <w:pStyle w:val="19"/>
              <w:bidi w:val="0"/>
              <w:rPr>
                <w:rFonts w:hint="default"/>
                <w:sz w:val="21"/>
                <w:szCs w:val="21"/>
                <w:lang w:val="en-US" w:eastAsia="zh-CN"/>
              </w:rPr>
            </w:pPr>
            <w:r>
              <w:rPr>
                <w:rFonts w:hint="eastAsia"/>
                <w:sz w:val="21"/>
                <w:szCs w:val="21"/>
                <w:lang w:val="en-US" w:eastAsia="zh-CN"/>
              </w:rPr>
              <w:t>7.61t/a</w:t>
            </w:r>
          </w:p>
        </w:tc>
        <w:tc>
          <w:tcPr>
            <w:tcW w:w="4049" w:type="dxa"/>
            <w:vMerge w:val="continue"/>
            <w:tcBorders>
              <w:tl2br w:val="nil"/>
              <w:tr2bl w:val="nil"/>
            </w:tcBorders>
            <w:tcMar>
              <w:top w:w="0" w:type="dxa"/>
              <w:left w:w="57" w:type="dxa"/>
              <w:bottom w:w="0" w:type="dxa"/>
              <w:right w:w="57" w:type="dxa"/>
            </w:tcMar>
            <w:vAlign w:val="center"/>
          </w:tcPr>
          <w:p w14:paraId="0A6D4FC2">
            <w:pPr>
              <w:pStyle w:val="19"/>
              <w:bidi w:val="0"/>
              <w:rPr>
                <w:rFonts w:hint="eastAsia"/>
                <w:sz w:val="21"/>
                <w:szCs w:val="21"/>
                <w:lang w:val="en-US" w:eastAsia="zh-CN"/>
              </w:rPr>
            </w:pPr>
          </w:p>
        </w:tc>
        <w:tc>
          <w:tcPr>
            <w:tcW w:w="3429" w:type="dxa"/>
            <w:gridSpan w:val="2"/>
            <w:tcBorders>
              <w:tl2br w:val="nil"/>
              <w:tr2bl w:val="nil"/>
            </w:tcBorders>
            <w:tcMar>
              <w:top w:w="0" w:type="dxa"/>
              <w:left w:w="57" w:type="dxa"/>
              <w:bottom w:w="0" w:type="dxa"/>
              <w:right w:w="57" w:type="dxa"/>
            </w:tcMar>
            <w:vAlign w:val="center"/>
          </w:tcPr>
          <w:p w14:paraId="588F02FF">
            <w:pPr>
              <w:pStyle w:val="19"/>
              <w:bidi w:val="0"/>
              <w:ind w:firstLine="0" w:firstLineChars="0"/>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7.61t/a</w:t>
            </w:r>
          </w:p>
        </w:tc>
      </w:tr>
      <w:tr w14:paraId="251B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41140E65">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77AE1980">
            <w:pPr>
              <w:pStyle w:val="19"/>
              <w:bidi w:val="0"/>
              <w:ind w:firstLine="0" w:firstLineChars="0"/>
              <w:rPr>
                <w:rFonts w:hint="default" w:ascii="Times New Roman" w:hAnsi="Times New Roman" w:eastAsia="宋体" w:cs="Times New Roman"/>
                <w:kern w:val="2"/>
                <w:sz w:val="21"/>
                <w:szCs w:val="21"/>
                <w:lang w:val="en-US" w:eastAsia="zh-CN" w:bidi="ar-SA"/>
              </w:rPr>
            </w:pPr>
            <w:r>
              <w:rPr>
                <w:rFonts w:hint="default"/>
                <w:sz w:val="21"/>
                <w:szCs w:val="21"/>
              </w:rPr>
              <w:t>病死猪尸体</w:t>
            </w:r>
          </w:p>
        </w:tc>
        <w:tc>
          <w:tcPr>
            <w:tcW w:w="3023" w:type="dxa"/>
            <w:gridSpan w:val="2"/>
            <w:tcBorders>
              <w:tl2br w:val="nil"/>
              <w:tr2bl w:val="nil"/>
            </w:tcBorders>
            <w:tcMar>
              <w:top w:w="0" w:type="dxa"/>
              <w:left w:w="57" w:type="dxa"/>
              <w:bottom w:w="0" w:type="dxa"/>
              <w:right w:w="57" w:type="dxa"/>
            </w:tcMar>
            <w:vAlign w:val="center"/>
          </w:tcPr>
          <w:p w14:paraId="084995C6">
            <w:pPr>
              <w:pStyle w:val="19"/>
              <w:bidi w:val="0"/>
              <w:ind w:firstLine="0" w:firstLineChars="0"/>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35</w:t>
            </w:r>
            <w:r>
              <w:rPr>
                <w:rFonts w:hint="default"/>
                <w:sz w:val="21"/>
                <w:szCs w:val="21"/>
              </w:rPr>
              <w:t>t/a</w:t>
            </w:r>
          </w:p>
        </w:tc>
        <w:tc>
          <w:tcPr>
            <w:tcW w:w="4049" w:type="dxa"/>
            <w:tcBorders>
              <w:tl2br w:val="nil"/>
              <w:tr2bl w:val="nil"/>
            </w:tcBorders>
            <w:tcMar>
              <w:top w:w="0" w:type="dxa"/>
              <w:left w:w="57" w:type="dxa"/>
              <w:bottom w:w="0" w:type="dxa"/>
              <w:right w:w="57" w:type="dxa"/>
            </w:tcMar>
            <w:vAlign w:val="center"/>
          </w:tcPr>
          <w:p w14:paraId="77763179">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委托</w:t>
            </w:r>
            <w:r>
              <w:rPr>
                <w:rFonts w:hint="default"/>
                <w:sz w:val="21"/>
                <w:szCs w:val="21"/>
                <w:lang w:val="en-US" w:eastAsia="zh-CN"/>
              </w:rPr>
              <w:t>有资质的单位</w:t>
            </w:r>
            <w:r>
              <w:rPr>
                <w:rFonts w:hint="eastAsia"/>
                <w:sz w:val="21"/>
                <w:szCs w:val="21"/>
                <w:lang w:val="en-US" w:eastAsia="zh-CN"/>
              </w:rPr>
              <w:t>无害化处置（暂定为123团病死畜禽无害化处置中心）</w:t>
            </w:r>
          </w:p>
        </w:tc>
        <w:tc>
          <w:tcPr>
            <w:tcW w:w="3429" w:type="dxa"/>
            <w:gridSpan w:val="2"/>
            <w:tcBorders>
              <w:tl2br w:val="nil"/>
              <w:tr2bl w:val="nil"/>
            </w:tcBorders>
            <w:tcMar>
              <w:top w:w="0" w:type="dxa"/>
              <w:left w:w="57" w:type="dxa"/>
              <w:bottom w:w="0" w:type="dxa"/>
              <w:right w:w="57" w:type="dxa"/>
            </w:tcMar>
            <w:vAlign w:val="center"/>
          </w:tcPr>
          <w:p w14:paraId="57E82210">
            <w:pPr>
              <w:pStyle w:val="19"/>
              <w:bidi w:val="0"/>
              <w:rPr>
                <w:rFonts w:hint="eastAsia" w:eastAsia="宋体"/>
                <w:sz w:val="21"/>
                <w:szCs w:val="21"/>
                <w:lang w:val="en-US" w:eastAsia="zh-CN"/>
              </w:rPr>
            </w:pPr>
            <w:r>
              <w:rPr>
                <w:rFonts w:hint="eastAsia"/>
                <w:sz w:val="21"/>
                <w:szCs w:val="21"/>
                <w:lang w:val="en-US" w:eastAsia="zh-CN"/>
              </w:rPr>
              <w:t>0</w:t>
            </w:r>
          </w:p>
        </w:tc>
      </w:tr>
      <w:tr w14:paraId="56EB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2899A820">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66F656F2">
            <w:pPr>
              <w:pStyle w:val="19"/>
              <w:bidi w:val="0"/>
              <w:rPr>
                <w:rFonts w:hint="default"/>
                <w:sz w:val="21"/>
                <w:szCs w:val="21"/>
              </w:rPr>
            </w:pPr>
            <w:r>
              <w:rPr>
                <w:rFonts w:hint="eastAsia"/>
                <w:lang w:val="en-US" w:eastAsia="zh-CN"/>
              </w:rPr>
              <w:t>废饲料包装袋</w:t>
            </w:r>
          </w:p>
        </w:tc>
        <w:tc>
          <w:tcPr>
            <w:tcW w:w="3023" w:type="dxa"/>
            <w:gridSpan w:val="2"/>
            <w:tcBorders>
              <w:tl2br w:val="nil"/>
              <w:tr2bl w:val="nil"/>
            </w:tcBorders>
            <w:tcMar>
              <w:top w:w="0" w:type="dxa"/>
              <w:left w:w="57" w:type="dxa"/>
              <w:bottom w:w="0" w:type="dxa"/>
              <w:right w:w="57" w:type="dxa"/>
            </w:tcMar>
            <w:vAlign w:val="center"/>
          </w:tcPr>
          <w:p w14:paraId="0C772776">
            <w:pPr>
              <w:pStyle w:val="19"/>
              <w:bidi w:val="0"/>
              <w:rPr>
                <w:rFonts w:hint="default"/>
                <w:sz w:val="21"/>
                <w:szCs w:val="21"/>
                <w:lang w:val="en-US" w:eastAsia="zh-CN"/>
              </w:rPr>
            </w:pPr>
            <w:r>
              <w:rPr>
                <w:rFonts w:hint="eastAsia"/>
                <w:sz w:val="21"/>
                <w:szCs w:val="21"/>
                <w:lang w:val="en-US" w:eastAsia="zh-CN"/>
              </w:rPr>
              <w:t>2t/a</w:t>
            </w:r>
          </w:p>
        </w:tc>
        <w:tc>
          <w:tcPr>
            <w:tcW w:w="4049" w:type="dxa"/>
            <w:tcBorders>
              <w:tl2br w:val="nil"/>
              <w:tr2bl w:val="nil"/>
            </w:tcBorders>
            <w:tcMar>
              <w:top w:w="0" w:type="dxa"/>
              <w:left w:w="57" w:type="dxa"/>
              <w:bottom w:w="0" w:type="dxa"/>
              <w:right w:w="57" w:type="dxa"/>
            </w:tcMar>
            <w:vAlign w:val="center"/>
          </w:tcPr>
          <w:p w14:paraId="1A5EAEBA">
            <w:pPr>
              <w:pStyle w:val="19"/>
              <w:bidi w:val="0"/>
              <w:rPr>
                <w:rFonts w:hint="eastAsia"/>
                <w:sz w:val="21"/>
                <w:szCs w:val="21"/>
                <w:lang w:val="en-US" w:eastAsia="zh-CN"/>
              </w:rPr>
            </w:pPr>
            <w:r>
              <w:rPr>
                <w:rFonts w:hint="eastAsia"/>
                <w:lang w:val="en-US" w:eastAsia="zh-CN"/>
              </w:rPr>
              <w:t>外售给废品回收站</w:t>
            </w:r>
          </w:p>
        </w:tc>
        <w:tc>
          <w:tcPr>
            <w:tcW w:w="3429" w:type="dxa"/>
            <w:gridSpan w:val="2"/>
            <w:tcBorders>
              <w:tl2br w:val="nil"/>
              <w:tr2bl w:val="nil"/>
            </w:tcBorders>
            <w:tcMar>
              <w:top w:w="0" w:type="dxa"/>
              <w:left w:w="57" w:type="dxa"/>
              <w:bottom w:w="0" w:type="dxa"/>
              <w:right w:w="57" w:type="dxa"/>
            </w:tcMar>
            <w:vAlign w:val="center"/>
          </w:tcPr>
          <w:p w14:paraId="7C2AE9B4">
            <w:pPr>
              <w:pStyle w:val="19"/>
              <w:bidi w:val="0"/>
              <w:rPr>
                <w:rFonts w:hint="eastAsia" w:eastAsia="宋体"/>
                <w:sz w:val="21"/>
                <w:szCs w:val="21"/>
                <w:lang w:val="en-US" w:eastAsia="zh-CN"/>
              </w:rPr>
            </w:pPr>
            <w:r>
              <w:rPr>
                <w:rFonts w:hint="eastAsia"/>
                <w:sz w:val="21"/>
                <w:szCs w:val="21"/>
                <w:lang w:val="en-US" w:eastAsia="zh-CN"/>
              </w:rPr>
              <w:t>0</w:t>
            </w:r>
          </w:p>
        </w:tc>
      </w:tr>
      <w:tr w14:paraId="490A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6C314D1C">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036EE851">
            <w:pPr>
              <w:pStyle w:val="19"/>
              <w:bidi w:val="0"/>
              <w:rPr>
                <w:rFonts w:hint="eastAsia" w:eastAsia="宋体"/>
                <w:sz w:val="21"/>
                <w:szCs w:val="21"/>
                <w:lang w:val="en-US" w:eastAsia="zh-CN"/>
              </w:rPr>
            </w:pPr>
            <w:r>
              <w:rPr>
                <w:rFonts w:hint="eastAsia"/>
                <w:sz w:val="21"/>
                <w:szCs w:val="21"/>
                <w:lang w:val="en-US" w:eastAsia="zh-CN"/>
              </w:rPr>
              <w:t>废脱硫剂</w:t>
            </w:r>
          </w:p>
        </w:tc>
        <w:tc>
          <w:tcPr>
            <w:tcW w:w="3023" w:type="dxa"/>
            <w:gridSpan w:val="2"/>
            <w:tcBorders>
              <w:tl2br w:val="nil"/>
              <w:tr2bl w:val="nil"/>
            </w:tcBorders>
            <w:tcMar>
              <w:top w:w="0" w:type="dxa"/>
              <w:left w:w="57" w:type="dxa"/>
              <w:bottom w:w="0" w:type="dxa"/>
              <w:right w:w="57" w:type="dxa"/>
            </w:tcMar>
            <w:vAlign w:val="center"/>
          </w:tcPr>
          <w:p w14:paraId="14CA86E9">
            <w:pPr>
              <w:pStyle w:val="19"/>
              <w:bidi w:val="0"/>
              <w:rPr>
                <w:rFonts w:hint="default"/>
                <w:sz w:val="21"/>
                <w:szCs w:val="21"/>
                <w:lang w:val="en-US" w:eastAsia="zh-CN"/>
              </w:rPr>
            </w:pPr>
            <w:r>
              <w:rPr>
                <w:rFonts w:hint="eastAsia"/>
                <w:sz w:val="21"/>
                <w:szCs w:val="21"/>
                <w:lang w:val="en-US" w:eastAsia="zh-CN"/>
              </w:rPr>
              <w:t>0.06t/a</w:t>
            </w:r>
          </w:p>
        </w:tc>
        <w:tc>
          <w:tcPr>
            <w:tcW w:w="4049" w:type="dxa"/>
            <w:tcBorders>
              <w:tl2br w:val="nil"/>
              <w:tr2bl w:val="nil"/>
            </w:tcBorders>
            <w:tcMar>
              <w:top w:w="0" w:type="dxa"/>
              <w:left w:w="57" w:type="dxa"/>
              <w:bottom w:w="0" w:type="dxa"/>
              <w:right w:w="57" w:type="dxa"/>
            </w:tcMar>
            <w:vAlign w:val="center"/>
          </w:tcPr>
          <w:p w14:paraId="016A9381">
            <w:pPr>
              <w:pStyle w:val="19"/>
              <w:bidi w:val="0"/>
              <w:rPr>
                <w:rFonts w:hint="eastAsia"/>
                <w:sz w:val="21"/>
                <w:szCs w:val="21"/>
                <w:lang w:val="en-US" w:eastAsia="zh-CN"/>
              </w:rPr>
            </w:pPr>
            <w:r>
              <w:rPr>
                <w:rFonts w:hint="eastAsia"/>
                <w:lang w:val="en-US" w:eastAsia="zh-CN"/>
              </w:rPr>
              <w:t>供应商回收</w:t>
            </w:r>
          </w:p>
        </w:tc>
        <w:tc>
          <w:tcPr>
            <w:tcW w:w="3429" w:type="dxa"/>
            <w:gridSpan w:val="2"/>
            <w:tcBorders>
              <w:tl2br w:val="nil"/>
              <w:tr2bl w:val="nil"/>
            </w:tcBorders>
            <w:tcMar>
              <w:top w:w="0" w:type="dxa"/>
              <w:left w:w="57" w:type="dxa"/>
              <w:bottom w:w="0" w:type="dxa"/>
              <w:right w:w="57" w:type="dxa"/>
            </w:tcMar>
            <w:vAlign w:val="center"/>
          </w:tcPr>
          <w:p w14:paraId="759E634C">
            <w:pPr>
              <w:pStyle w:val="19"/>
              <w:bidi w:val="0"/>
              <w:rPr>
                <w:rFonts w:hint="eastAsia" w:eastAsia="宋体"/>
                <w:sz w:val="21"/>
                <w:szCs w:val="21"/>
                <w:lang w:val="en-US" w:eastAsia="zh-CN"/>
              </w:rPr>
            </w:pPr>
            <w:r>
              <w:rPr>
                <w:rFonts w:hint="eastAsia"/>
                <w:sz w:val="21"/>
                <w:szCs w:val="21"/>
                <w:lang w:val="en-US" w:eastAsia="zh-CN"/>
              </w:rPr>
              <w:t>0</w:t>
            </w:r>
          </w:p>
        </w:tc>
      </w:tr>
      <w:tr w14:paraId="44F0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55E3331D">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1882F776">
            <w:pPr>
              <w:pStyle w:val="19"/>
              <w:bidi w:val="0"/>
              <w:ind w:firstLine="0" w:firstLineChars="0"/>
              <w:rPr>
                <w:rFonts w:hint="default" w:ascii="Times New Roman" w:hAnsi="Times New Roman" w:eastAsia="宋体" w:cs="Times New Roman"/>
                <w:kern w:val="2"/>
                <w:sz w:val="21"/>
                <w:szCs w:val="21"/>
                <w:lang w:val="en-US" w:eastAsia="zh-CN" w:bidi="ar-SA"/>
              </w:rPr>
            </w:pPr>
            <w:r>
              <w:rPr>
                <w:rFonts w:hint="default"/>
                <w:sz w:val="21"/>
                <w:szCs w:val="21"/>
              </w:rPr>
              <w:t>生活垃圾</w:t>
            </w:r>
          </w:p>
        </w:tc>
        <w:tc>
          <w:tcPr>
            <w:tcW w:w="3023" w:type="dxa"/>
            <w:gridSpan w:val="2"/>
            <w:tcBorders>
              <w:tl2br w:val="nil"/>
              <w:tr2bl w:val="nil"/>
            </w:tcBorders>
            <w:tcMar>
              <w:top w:w="0" w:type="dxa"/>
              <w:left w:w="57" w:type="dxa"/>
              <w:bottom w:w="0" w:type="dxa"/>
              <w:right w:w="57" w:type="dxa"/>
            </w:tcMar>
            <w:vAlign w:val="center"/>
          </w:tcPr>
          <w:p w14:paraId="4EFB291A">
            <w:pPr>
              <w:pStyle w:val="19"/>
              <w:bidi w:val="0"/>
              <w:ind w:firstLine="0" w:firstLineChars="0"/>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4.5</w:t>
            </w:r>
            <w:r>
              <w:rPr>
                <w:rFonts w:hint="default"/>
                <w:sz w:val="21"/>
                <w:szCs w:val="21"/>
              </w:rPr>
              <w:t>t/a</w:t>
            </w:r>
          </w:p>
        </w:tc>
        <w:tc>
          <w:tcPr>
            <w:tcW w:w="4049" w:type="dxa"/>
            <w:tcBorders>
              <w:tl2br w:val="nil"/>
              <w:tr2bl w:val="nil"/>
            </w:tcBorders>
            <w:tcMar>
              <w:top w:w="0" w:type="dxa"/>
              <w:left w:w="57" w:type="dxa"/>
              <w:bottom w:w="0" w:type="dxa"/>
              <w:right w:w="57" w:type="dxa"/>
            </w:tcMar>
            <w:vAlign w:val="center"/>
          </w:tcPr>
          <w:p w14:paraId="3F60B62F">
            <w:pPr>
              <w:pStyle w:val="19"/>
              <w:bidi w:val="0"/>
              <w:ind w:firstLine="0" w:firstLineChars="0"/>
              <w:rPr>
                <w:rFonts w:hint="eastAsia" w:ascii="Times New Roman" w:hAnsi="Times New Roman" w:eastAsia="宋体" w:cs="Times New Roman"/>
                <w:kern w:val="2"/>
                <w:sz w:val="21"/>
                <w:szCs w:val="21"/>
                <w:lang w:val="en-US" w:eastAsia="zh-CN" w:bidi="ar-SA"/>
              </w:rPr>
            </w:pPr>
            <w:r>
              <w:rPr>
                <w:rFonts w:hint="default"/>
                <w:sz w:val="21"/>
                <w:szCs w:val="21"/>
              </w:rPr>
              <w:t>集中收集后定期委托环卫部门统一清运</w:t>
            </w:r>
          </w:p>
        </w:tc>
        <w:tc>
          <w:tcPr>
            <w:tcW w:w="3429" w:type="dxa"/>
            <w:gridSpan w:val="2"/>
            <w:tcBorders>
              <w:tl2br w:val="nil"/>
              <w:tr2bl w:val="nil"/>
            </w:tcBorders>
            <w:tcMar>
              <w:top w:w="0" w:type="dxa"/>
              <w:left w:w="57" w:type="dxa"/>
              <w:bottom w:w="0" w:type="dxa"/>
              <w:right w:w="57" w:type="dxa"/>
            </w:tcMar>
            <w:vAlign w:val="center"/>
          </w:tcPr>
          <w:p w14:paraId="26A66620">
            <w:pPr>
              <w:pStyle w:val="19"/>
              <w:bidi w:val="0"/>
              <w:ind w:firstLine="0" w:firstLineChars="0"/>
              <w:rPr>
                <w:rFonts w:hint="default" w:ascii="Times New Roman" w:hAnsi="Times New Roman" w:eastAsia="宋体" w:cs="Times New Roman"/>
                <w:kern w:val="2"/>
                <w:sz w:val="21"/>
                <w:szCs w:val="21"/>
                <w:lang w:val="en-US" w:eastAsia="zh-CN" w:bidi="ar-SA"/>
              </w:rPr>
            </w:pPr>
            <w:r>
              <w:rPr>
                <w:rFonts w:hint="default"/>
                <w:sz w:val="21"/>
                <w:szCs w:val="21"/>
              </w:rPr>
              <w:t>0</w:t>
            </w:r>
          </w:p>
        </w:tc>
      </w:tr>
      <w:tr w14:paraId="37C2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4606180A">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3C6C9139">
            <w:pPr>
              <w:pStyle w:val="19"/>
              <w:bidi w:val="0"/>
              <w:rPr>
                <w:rFonts w:hint="default" w:eastAsia="宋体"/>
                <w:sz w:val="21"/>
                <w:szCs w:val="21"/>
                <w:lang w:val="en-US" w:eastAsia="zh-CN"/>
              </w:rPr>
            </w:pPr>
            <w:r>
              <w:rPr>
                <w:rFonts w:hint="eastAsia" w:eastAsia="宋体"/>
                <w:lang w:val="en-US" w:eastAsia="zh-CN"/>
              </w:rPr>
              <w:t>废离子交换树脂</w:t>
            </w:r>
          </w:p>
        </w:tc>
        <w:tc>
          <w:tcPr>
            <w:tcW w:w="3023" w:type="dxa"/>
            <w:gridSpan w:val="2"/>
            <w:tcBorders>
              <w:tl2br w:val="nil"/>
              <w:tr2bl w:val="nil"/>
            </w:tcBorders>
            <w:tcMar>
              <w:top w:w="0" w:type="dxa"/>
              <w:left w:w="57" w:type="dxa"/>
              <w:bottom w:w="0" w:type="dxa"/>
              <w:right w:w="57" w:type="dxa"/>
            </w:tcMar>
            <w:vAlign w:val="center"/>
          </w:tcPr>
          <w:p w14:paraId="5877D904">
            <w:pPr>
              <w:pStyle w:val="19"/>
              <w:bidi w:val="0"/>
              <w:rPr>
                <w:rFonts w:hint="default" w:eastAsia="宋体"/>
                <w:sz w:val="21"/>
                <w:szCs w:val="21"/>
                <w:lang w:val="en-US" w:eastAsia="zh-CN"/>
              </w:rPr>
            </w:pPr>
            <w:r>
              <w:rPr>
                <w:rFonts w:hint="eastAsia"/>
                <w:sz w:val="21"/>
                <w:szCs w:val="21"/>
                <w:lang w:val="en-US" w:eastAsia="zh-CN"/>
              </w:rPr>
              <w:t>0.1t/a</w:t>
            </w:r>
          </w:p>
        </w:tc>
        <w:tc>
          <w:tcPr>
            <w:tcW w:w="4049" w:type="dxa"/>
            <w:tcBorders>
              <w:tl2br w:val="nil"/>
              <w:tr2bl w:val="nil"/>
            </w:tcBorders>
            <w:tcMar>
              <w:top w:w="0" w:type="dxa"/>
              <w:left w:w="57" w:type="dxa"/>
              <w:bottom w:w="0" w:type="dxa"/>
              <w:right w:w="57" w:type="dxa"/>
            </w:tcMar>
            <w:vAlign w:val="center"/>
          </w:tcPr>
          <w:p w14:paraId="3FDA4D2E">
            <w:pPr>
              <w:pStyle w:val="19"/>
              <w:bidi w:val="0"/>
              <w:rPr>
                <w:rFonts w:hint="eastAsia"/>
                <w:sz w:val="21"/>
                <w:szCs w:val="21"/>
                <w:lang w:val="en-US" w:eastAsia="zh-CN"/>
              </w:rPr>
            </w:pPr>
            <w:r>
              <w:rPr>
                <w:rFonts w:hint="eastAsia"/>
                <w:lang w:val="en-US" w:eastAsia="zh-CN"/>
              </w:rPr>
              <w:t>供应商回收</w:t>
            </w:r>
          </w:p>
        </w:tc>
        <w:tc>
          <w:tcPr>
            <w:tcW w:w="3429" w:type="dxa"/>
            <w:gridSpan w:val="2"/>
            <w:tcBorders>
              <w:tl2br w:val="nil"/>
              <w:tr2bl w:val="nil"/>
            </w:tcBorders>
            <w:tcMar>
              <w:top w:w="0" w:type="dxa"/>
              <w:left w:w="57" w:type="dxa"/>
              <w:bottom w:w="0" w:type="dxa"/>
              <w:right w:w="57" w:type="dxa"/>
            </w:tcMar>
            <w:vAlign w:val="center"/>
          </w:tcPr>
          <w:p w14:paraId="6B13CAC6">
            <w:pPr>
              <w:pStyle w:val="19"/>
              <w:bidi w:val="0"/>
              <w:rPr>
                <w:rFonts w:hint="default"/>
                <w:sz w:val="21"/>
                <w:szCs w:val="21"/>
              </w:rPr>
            </w:pPr>
            <w:r>
              <w:rPr>
                <w:rFonts w:hint="default"/>
                <w:sz w:val="21"/>
                <w:szCs w:val="21"/>
              </w:rPr>
              <w:t>0</w:t>
            </w:r>
          </w:p>
        </w:tc>
      </w:tr>
      <w:tr w14:paraId="2FF9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5805BF22">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153C8DAE">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锅炉灰渣</w:t>
            </w:r>
          </w:p>
        </w:tc>
        <w:tc>
          <w:tcPr>
            <w:tcW w:w="3023" w:type="dxa"/>
            <w:gridSpan w:val="2"/>
            <w:tcBorders>
              <w:tl2br w:val="nil"/>
              <w:tr2bl w:val="nil"/>
            </w:tcBorders>
            <w:tcMar>
              <w:top w:w="0" w:type="dxa"/>
              <w:left w:w="57" w:type="dxa"/>
              <w:bottom w:w="0" w:type="dxa"/>
              <w:right w:w="57" w:type="dxa"/>
            </w:tcMar>
            <w:vAlign w:val="center"/>
          </w:tcPr>
          <w:p w14:paraId="2F2A374B">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83.09t/a</w:t>
            </w:r>
          </w:p>
        </w:tc>
        <w:tc>
          <w:tcPr>
            <w:tcW w:w="4049" w:type="dxa"/>
            <w:tcBorders>
              <w:tl2br w:val="nil"/>
              <w:tr2bl w:val="nil"/>
            </w:tcBorders>
            <w:tcMar>
              <w:top w:w="0" w:type="dxa"/>
              <w:left w:w="57" w:type="dxa"/>
              <w:bottom w:w="0" w:type="dxa"/>
              <w:right w:w="57" w:type="dxa"/>
            </w:tcMar>
            <w:vAlign w:val="center"/>
          </w:tcPr>
          <w:p w14:paraId="7FE42CB9">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收集外售</w:t>
            </w:r>
          </w:p>
        </w:tc>
        <w:tc>
          <w:tcPr>
            <w:tcW w:w="3429" w:type="dxa"/>
            <w:gridSpan w:val="2"/>
            <w:tcBorders>
              <w:tl2br w:val="nil"/>
              <w:tr2bl w:val="nil"/>
            </w:tcBorders>
            <w:tcMar>
              <w:top w:w="0" w:type="dxa"/>
              <w:left w:w="57" w:type="dxa"/>
              <w:bottom w:w="0" w:type="dxa"/>
              <w:right w:w="57" w:type="dxa"/>
            </w:tcMar>
            <w:vAlign w:val="center"/>
          </w:tcPr>
          <w:p w14:paraId="3B70F3C9">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w:t>
            </w:r>
          </w:p>
        </w:tc>
      </w:tr>
      <w:tr w14:paraId="653B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18C3BE8D">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38933E43">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除尘灰</w:t>
            </w:r>
          </w:p>
        </w:tc>
        <w:tc>
          <w:tcPr>
            <w:tcW w:w="3023" w:type="dxa"/>
            <w:gridSpan w:val="2"/>
            <w:tcBorders>
              <w:tl2br w:val="nil"/>
              <w:tr2bl w:val="nil"/>
            </w:tcBorders>
            <w:tcMar>
              <w:top w:w="0" w:type="dxa"/>
              <w:left w:w="57" w:type="dxa"/>
              <w:bottom w:w="0" w:type="dxa"/>
              <w:right w:w="57" w:type="dxa"/>
            </w:tcMar>
            <w:vAlign w:val="center"/>
          </w:tcPr>
          <w:p w14:paraId="1549B481">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2.82t/a</w:t>
            </w:r>
          </w:p>
        </w:tc>
        <w:tc>
          <w:tcPr>
            <w:tcW w:w="4049" w:type="dxa"/>
            <w:tcBorders>
              <w:tl2br w:val="nil"/>
              <w:tr2bl w:val="nil"/>
            </w:tcBorders>
            <w:tcMar>
              <w:top w:w="0" w:type="dxa"/>
              <w:left w:w="57" w:type="dxa"/>
              <w:bottom w:w="0" w:type="dxa"/>
              <w:right w:w="57" w:type="dxa"/>
            </w:tcMar>
            <w:vAlign w:val="center"/>
          </w:tcPr>
          <w:p w14:paraId="25F9AF7D">
            <w:pPr>
              <w:pStyle w:val="19"/>
              <w:bidi w:val="0"/>
              <w:ind w:firstLine="0" w:firstLineChars="0"/>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收集外售</w:t>
            </w:r>
          </w:p>
        </w:tc>
        <w:tc>
          <w:tcPr>
            <w:tcW w:w="3429" w:type="dxa"/>
            <w:gridSpan w:val="2"/>
            <w:tcBorders>
              <w:tl2br w:val="nil"/>
              <w:tr2bl w:val="nil"/>
            </w:tcBorders>
            <w:tcMar>
              <w:top w:w="0" w:type="dxa"/>
              <w:left w:w="57" w:type="dxa"/>
              <w:bottom w:w="0" w:type="dxa"/>
              <w:right w:w="57" w:type="dxa"/>
            </w:tcMar>
            <w:vAlign w:val="center"/>
          </w:tcPr>
          <w:p w14:paraId="449CEF91">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w:t>
            </w:r>
          </w:p>
        </w:tc>
      </w:tr>
      <w:tr w14:paraId="34F0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72" w:type="dxa"/>
            <w:vMerge w:val="continue"/>
            <w:tcBorders>
              <w:tl2br w:val="nil"/>
              <w:tr2bl w:val="nil"/>
            </w:tcBorders>
            <w:tcMar>
              <w:top w:w="0" w:type="dxa"/>
              <w:left w:w="57" w:type="dxa"/>
              <w:bottom w:w="0" w:type="dxa"/>
              <w:right w:w="57" w:type="dxa"/>
            </w:tcMar>
            <w:vAlign w:val="center"/>
          </w:tcPr>
          <w:p w14:paraId="38D5CBA7">
            <w:pPr>
              <w:pStyle w:val="19"/>
              <w:bidi w:val="0"/>
              <w:rPr>
                <w:rFonts w:hint="default"/>
                <w:sz w:val="21"/>
                <w:szCs w:val="21"/>
              </w:rPr>
            </w:pPr>
          </w:p>
        </w:tc>
        <w:tc>
          <w:tcPr>
            <w:tcW w:w="2999" w:type="dxa"/>
            <w:gridSpan w:val="3"/>
            <w:tcBorders>
              <w:tl2br w:val="nil"/>
              <w:tr2bl w:val="nil"/>
            </w:tcBorders>
            <w:tcMar>
              <w:top w:w="0" w:type="dxa"/>
              <w:left w:w="57" w:type="dxa"/>
              <w:bottom w:w="0" w:type="dxa"/>
              <w:right w:w="57" w:type="dxa"/>
            </w:tcMar>
            <w:vAlign w:val="center"/>
          </w:tcPr>
          <w:p w14:paraId="0DFDCA92">
            <w:pPr>
              <w:pStyle w:val="19"/>
              <w:bidi w:val="0"/>
              <w:ind w:firstLine="0" w:firstLineChars="0"/>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医疗废物</w:t>
            </w:r>
          </w:p>
        </w:tc>
        <w:tc>
          <w:tcPr>
            <w:tcW w:w="3023" w:type="dxa"/>
            <w:gridSpan w:val="2"/>
            <w:tcBorders>
              <w:tl2br w:val="nil"/>
              <w:tr2bl w:val="nil"/>
            </w:tcBorders>
            <w:tcMar>
              <w:top w:w="0" w:type="dxa"/>
              <w:left w:w="57" w:type="dxa"/>
              <w:bottom w:w="0" w:type="dxa"/>
              <w:right w:w="57" w:type="dxa"/>
            </w:tcMar>
            <w:vAlign w:val="center"/>
          </w:tcPr>
          <w:p w14:paraId="129D5A92">
            <w:pPr>
              <w:pStyle w:val="19"/>
              <w:bidi w:val="0"/>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w:t>
            </w:r>
            <w:r>
              <w:rPr>
                <w:rFonts w:hint="default"/>
                <w:sz w:val="21"/>
                <w:szCs w:val="21"/>
              </w:rPr>
              <w:t>t/a</w:t>
            </w:r>
          </w:p>
        </w:tc>
        <w:tc>
          <w:tcPr>
            <w:tcW w:w="4049" w:type="dxa"/>
            <w:tcBorders>
              <w:tl2br w:val="nil"/>
              <w:tr2bl w:val="nil"/>
            </w:tcBorders>
            <w:tcMar>
              <w:top w:w="0" w:type="dxa"/>
              <w:left w:w="57" w:type="dxa"/>
              <w:bottom w:w="0" w:type="dxa"/>
              <w:right w:w="57" w:type="dxa"/>
            </w:tcMar>
            <w:vAlign w:val="center"/>
          </w:tcPr>
          <w:p w14:paraId="77DA3BB7">
            <w:pPr>
              <w:pStyle w:val="19"/>
              <w:bidi w:val="0"/>
              <w:ind w:firstLine="0" w:firstLineChars="0"/>
              <w:rPr>
                <w:rFonts w:hint="eastAsia" w:ascii="Times New Roman" w:hAnsi="Times New Roman" w:eastAsia="宋体" w:cs="Times New Roman"/>
                <w:kern w:val="2"/>
                <w:sz w:val="21"/>
                <w:szCs w:val="21"/>
                <w:lang w:val="en-US" w:eastAsia="zh-CN" w:bidi="ar-SA"/>
              </w:rPr>
            </w:pPr>
            <w:r>
              <w:rPr>
                <w:rFonts w:hint="default"/>
                <w:sz w:val="21"/>
                <w:szCs w:val="21"/>
              </w:rPr>
              <w:t>设置</w:t>
            </w:r>
            <w:r>
              <w:rPr>
                <w:rFonts w:hint="eastAsia"/>
                <w:sz w:val="21"/>
                <w:szCs w:val="21"/>
                <w:lang w:eastAsia="zh-CN"/>
              </w:rPr>
              <w:t>危废暂存间</w:t>
            </w:r>
            <w:r>
              <w:rPr>
                <w:rFonts w:hint="default"/>
                <w:sz w:val="21"/>
                <w:szCs w:val="21"/>
              </w:rPr>
              <w:t>，定期交由有资质单位处置。</w:t>
            </w:r>
          </w:p>
        </w:tc>
        <w:tc>
          <w:tcPr>
            <w:tcW w:w="3429" w:type="dxa"/>
            <w:gridSpan w:val="2"/>
            <w:tcBorders>
              <w:tl2br w:val="nil"/>
              <w:tr2bl w:val="nil"/>
            </w:tcBorders>
            <w:tcMar>
              <w:top w:w="0" w:type="dxa"/>
              <w:left w:w="57" w:type="dxa"/>
              <w:bottom w:w="0" w:type="dxa"/>
              <w:right w:w="57" w:type="dxa"/>
            </w:tcMar>
            <w:vAlign w:val="center"/>
          </w:tcPr>
          <w:p w14:paraId="2FB26C61">
            <w:pPr>
              <w:pStyle w:val="19"/>
              <w:bidi w:val="0"/>
              <w:ind w:firstLine="0" w:firstLineChars="0"/>
              <w:rPr>
                <w:rFonts w:hint="default" w:ascii="Times New Roman" w:hAnsi="Times New Roman" w:eastAsia="宋体" w:cs="Times New Roman"/>
                <w:kern w:val="2"/>
                <w:sz w:val="21"/>
                <w:szCs w:val="21"/>
                <w:lang w:val="en-US" w:eastAsia="zh-CN" w:bidi="ar-SA"/>
              </w:rPr>
            </w:pPr>
            <w:r>
              <w:rPr>
                <w:rFonts w:hint="default"/>
                <w:sz w:val="21"/>
                <w:szCs w:val="21"/>
              </w:rPr>
              <w:t>0</w:t>
            </w:r>
          </w:p>
        </w:tc>
      </w:tr>
    </w:tbl>
    <w:p w14:paraId="39E9BF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val="en-US" w:eastAsia="zh-CN"/>
        </w:rPr>
      </w:pPr>
    </w:p>
    <w:p w14:paraId="41AA00E2">
      <w:pPr>
        <w:bidi w:val="0"/>
        <w:rPr>
          <w:rFonts w:hint="eastAsia"/>
          <w:lang w:val="en-US" w:eastAsia="zh-CN"/>
        </w:rPr>
        <w:sectPr>
          <w:pgSz w:w="16838" w:h="11906" w:orient="landscape"/>
          <w:pgMar w:top="1191" w:right="1440" w:bottom="1020" w:left="1440" w:header="624" w:footer="624" w:gutter="0"/>
          <w:pgBorders>
            <w:top w:val="none" w:sz="0" w:space="0"/>
            <w:left w:val="none" w:sz="0" w:space="0"/>
            <w:bottom w:val="none" w:sz="0" w:space="0"/>
            <w:right w:val="none" w:sz="0" w:space="0"/>
          </w:pgBorders>
          <w:pgNumType w:fmt="numberInDash"/>
          <w:cols w:space="720" w:num="1"/>
          <w:docGrid w:type="lines" w:linePitch="312" w:charSpace="0"/>
        </w:sectPr>
      </w:pPr>
    </w:p>
    <w:p w14:paraId="7CE6C145">
      <w:pPr>
        <w:pStyle w:val="26"/>
        <w:bidi w:val="0"/>
        <w:rPr>
          <w:rFonts w:hint="default"/>
          <w:lang w:val="en-US" w:eastAsia="zh-CN"/>
        </w:rPr>
      </w:pPr>
      <w:bookmarkStart w:id="23" w:name="_Toc6978"/>
      <w:r>
        <w:rPr>
          <w:rFonts w:hint="eastAsia"/>
          <w:lang w:val="en-US" w:eastAsia="zh-CN"/>
        </w:rPr>
        <w:t>清洁生产分析</w:t>
      </w:r>
      <w:bookmarkEnd w:id="23"/>
    </w:p>
    <w:p w14:paraId="38EBDF68">
      <w:pPr>
        <w:pStyle w:val="27"/>
        <w:bidi w:val="0"/>
        <w:rPr>
          <w:rFonts w:hint="default"/>
          <w:lang w:val="en-US" w:eastAsia="zh-CN"/>
        </w:rPr>
      </w:pPr>
      <w:r>
        <w:rPr>
          <w:rFonts w:hint="eastAsia"/>
          <w:lang w:val="en-US" w:eastAsia="zh-CN"/>
        </w:rPr>
        <w:t>概念与要求</w:t>
      </w:r>
    </w:p>
    <w:p w14:paraId="5D53696B">
      <w:pPr>
        <w:bidi w:val="0"/>
        <w:rPr>
          <w:rFonts w:hint="eastAsia"/>
          <w:lang w:val="en-US" w:eastAsia="zh-CN"/>
        </w:rPr>
      </w:pPr>
      <w:r>
        <w:rPr>
          <w:rFonts w:hint="eastAsia"/>
          <w:lang w:val="en-US" w:eastAsia="zh-CN"/>
        </w:rPr>
        <w:t>清洁生产是将污染预防的战略持续应用于生产过程、产品和服务中，以减少人类的风险。因此，将清洁生产纳入环境影响评价制度后，使得环评制度更加完善，在预防和控制污染方面也发挥了更大的作用。</w:t>
      </w:r>
    </w:p>
    <w:p w14:paraId="7FD9C459">
      <w:pPr>
        <w:bidi w:val="0"/>
        <w:rPr>
          <w:rFonts w:hint="eastAsia"/>
          <w:lang w:val="en-US" w:eastAsia="zh-CN"/>
        </w:rPr>
      </w:pPr>
      <w:r>
        <w:rPr>
          <w:rFonts w:hint="eastAsia"/>
          <w:lang w:val="en-US" w:eastAsia="zh-CN"/>
        </w:rPr>
        <w:t>清洁生产追求的目标是产品设计、开发、生产以及服务过程充分提高效率、减少污染物的产生，从而达到环境效益和经济效益统一的环保目标。那些技术工艺落后、设备陈旧、高污染、高耗能的项目因不符合清洁生产的要求而被否定。</w:t>
      </w:r>
    </w:p>
    <w:p w14:paraId="5FCB76EA">
      <w:pPr>
        <w:bidi w:val="0"/>
        <w:rPr>
          <w:rFonts w:hint="eastAsia"/>
          <w:lang w:val="en-US" w:eastAsia="zh-CN"/>
        </w:rPr>
      </w:pPr>
      <w:r>
        <w:rPr>
          <w:rFonts w:hint="eastAsia"/>
          <w:lang w:val="en-US" w:eastAsia="zh-CN"/>
        </w:rPr>
        <w:t>将清洁生产的思想引入环评工作，以此强化工程分析，可提高环境影响评价质量。对于建设项目而言，可以减轻建设项目的末端处理负担，提高建设项目的环境可靠性，提高建设项目的市场竞争力以及降低建设项目的环境责任风险。</w:t>
      </w:r>
    </w:p>
    <w:p w14:paraId="6E65A51F">
      <w:pPr>
        <w:pStyle w:val="27"/>
        <w:bidi w:val="0"/>
        <w:rPr>
          <w:rFonts w:hint="default"/>
          <w:lang w:val="en-US" w:eastAsia="zh-CN"/>
        </w:rPr>
      </w:pPr>
      <w:r>
        <w:rPr>
          <w:rFonts w:hint="eastAsia"/>
          <w:lang w:val="en-US" w:eastAsia="zh-CN"/>
        </w:rPr>
        <w:t>清洁生产分析</w:t>
      </w:r>
    </w:p>
    <w:p w14:paraId="525D9360">
      <w:pPr>
        <w:bidi w:val="0"/>
        <w:rPr>
          <w:rFonts w:hint="eastAsia"/>
          <w:lang w:val="en-US" w:eastAsia="zh-CN"/>
        </w:rPr>
      </w:pPr>
      <w:r>
        <w:rPr>
          <w:rFonts w:hint="eastAsia"/>
          <w:lang w:val="en-US" w:eastAsia="zh-CN"/>
        </w:rPr>
        <w:t>本项目属禽畜养殖项目，目前国家尚未发布相关的清洁生产标准，只结合本行业及项目特点，从原辅材料及产品的清洁性、养殖工艺与设备先进性、资源能源利用指标、污染物产生指标、废物回收利用指标、环境管理要求等方面定性分析本项目的清洁生产水平，并提出清洁生产要求或建议。</w:t>
      </w:r>
    </w:p>
    <w:p w14:paraId="38040A20">
      <w:pPr>
        <w:bidi w:val="0"/>
        <w:rPr>
          <w:rFonts w:hint="eastAsia"/>
          <w:lang w:val="en-US" w:eastAsia="zh-CN"/>
        </w:rPr>
      </w:pPr>
      <w:r>
        <w:rPr>
          <w:rFonts w:hint="eastAsia"/>
          <w:lang w:val="en-US" w:eastAsia="zh-CN"/>
        </w:rPr>
        <w:t>（1）原辅材料和能源</w:t>
      </w:r>
    </w:p>
    <w:p w14:paraId="416F00F5">
      <w:pPr>
        <w:bidi w:val="0"/>
        <w:rPr>
          <w:rFonts w:hint="eastAsia"/>
          <w:lang w:val="en-US" w:eastAsia="zh-CN"/>
        </w:rPr>
      </w:pPr>
      <w:r>
        <w:rPr>
          <w:rFonts w:hint="eastAsia"/>
          <w:lang w:val="en-US" w:eastAsia="zh-CN"/>
        </w:rPr>
        <w:t>本项目周围自然条件良好，拥有充足的原料资源优势，在饲料中不添加兴奋剂、镇静剂、激素类、砷制剂等添加剂；选用的种猪品种优良，适合本地气候、环境，可保证仔猪质量及商品猪质量，本项目能源使用主要为电能、生物质燃料及沼气，均属于清洁能源。本项目使用饲料中重金属含量符合《饲料卫生标准》（GB13078-2017）标准要求，不得检出抗生素、生长激素、黄曲霉毒素等，因此，本项目可以保证原料的清洁性，保障猪只的质量。</w:t>
      </w:r>
    </w:p>
    <w:p w14:paraId="5EC226E4">
      <w:pPr>
        <w:bidi w:val="0"/>
        <w:rPr>
          <w:rFonts w:hint="eastAsia"/>
          <w:lang w:val="en-US" w:eastAsia="zh-CN"/>
        </w:rPr>
      </w:pPr>
      <w:r>
        <w:rPr>
          <w:rFonts w:hint="eastAsia"/>
          <w:lang w:val="en-US" w:eastAsia="zh-CN"/>
        </w:rPr>
        <w:t>（2）养殖工艺与设备先进性</w:t>
      </w:r>
    </w:p>
    <w:p w14:paraId="5BB2EA8D">
      <w:pPr>
        <w:bidi w:val="0"/>
        <w:rPr>
          <w:rFonts w:hint="eastAsia"/>
          <w:lang w:val="en-US" w:eastAsia="zh-CN"/>
        </w:rPr>
      </w:pPr>
      <w:r>
        <w:rPr>
          <w:rFonts w:hint="eastAsia"/>
          <w:lang w:val="en-US" w:eastAsia="zh-CN"/>
        </w:rPr>
        <w:t>①养殖工艺先进性</w:t>
      </w:r>
    </w:p>
    <w:p w14:paraId="3D0526EE">
      <w:pPr>
        <w:bidi w:val="0"/>
        <w:rPr>
          <w:rFonts w:hint="eastAsia"/>
          <w:lang w:val="en-US" w:eastAsia="zh-CN"/>
        </w:rPr>
      </w:pPr>
      <w:r>
        <w:rPr>
          <w:rFonts w:hint="eastAsia"/>
          <w:lang w:val="en-US" w:eastAsia="zh-CN"/>
        </w:rPr>
        <w:t>目前，大中型养殖场传统的清粪工艺主要为水冲粪、水泡粪和干清粪三种类型。各种工艺比较见表3.5-1。三种工艺水耗和水质情况见表3.5-2。</w:t>
      </w:r>
    </w:p>
    <w:p w14:paraId="00EC5435">
      <w:pPr>
        <w:pStyle w:val="30"/>
        <w:bidi w:val="0"/>
      </w:pPr>
      <w:r>
        <w:t>表</w:t>
      </w:r>
      <w:r>
        <w:rPr>
          <w:rFonts w:hint="eastAsia"/>
        </w:rPr>
        <w:t>3</w:t>
      </w:r>
      <w:r>
        <w:rPr>
          <w:rFonts w:hint="eastAsia"/>
          <w:lang w:val="en-US" w:eastAsia="zh-CN"/>
        </w:rPr>
        <w:t xml:space="preserve">.5-1 </w:t>
      </w:r>
      <w:r>
        <w:t xml:space="preserve"> </w:t>
      </w:r>
      <w:r>
        <w:rPr>
          <w:rFonts w:hint="eastAsia"/>
          <w:lang w:val="en-US" w:eastAsia="zh-CN"/>
        </w:rPr>
        <w:t xml:space="preserve"> </w:t>
      </w:r>
      <w:r>
        <w:t>各种清粪工艺比较</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2235"/>
        <w:gridCol w:w="2471"/>
        <w:gridCol w:w="3162"/>
      </w:tblGrid>
      <w:tr w14:paraId="396A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5C5F6B">
            <w:pPr>
              <w:pStyle w:val="19"/>
              <w:bidi w:val="0"/>
            </w:pPr>
            <w:r>
              <w:rPr>
                <w:rFonts w:hint="eastAsia"/>
              </w:rPr>
              <w:t>项目</w:t>
            </w:r>
          </w:p>
        </w:tc>
        <w:tc>
          <w:tcPr>
            <w:tcW w:w="132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E3E586C">
            <w:pPr>
              <w:pStyle w:val="19"/>
              <w:bidi w:val="0"/>
            </w:pPr>
            <w:r>
              <w:rPr>
                <w:rFonts w:hint="eastAsia"/>
              </w:rPr>
              <w:t>水冲粪</w:t>
            </w:r>
          </w:p>
        </w:tc>
        <w:tc>
          <w:tcPr>
            <w:tcW w:w="146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D2E32C">
            <w:pPr>
              <w:pStyle w:val="19"/>
              <w:bidi w:val="0"/>
            </w:pPr>
            <w:r>
              <w:rPr>
                <w:rFonts w:hint="eastAsia"/>
              </w:rPr>
              <w:t>水泡粪</w:t>
            </w:r>
          </w:p>
        </w:tc>
        <w:tc>
          <w:tcPr>
            <w:tcW w:w="187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8AEE677">
            <w:pPr>
              <w:pStyle w:val="19"/>
              <w:bidi w:val="0"/>
            </w:pPr>
            <w:r>
              <w:rPr>
                <w:rFonts w:hint="eastAsia"/>
              </w:rPr>
              <w:t>干清粪</w:t>
            </w:r>
          </w:p>
        </w:tc>
      </w:tr>
      <w:tr w14:paraId="15B9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2BDF04F">
            <w:pPr>
              <w:pStyle w:val="19"/>
              <w:bidi w:val="0"/>
            </w:pPr>
            <w:r>
              <w:rPr>
                <w:rFonts w:hint="eastAsia"/>
              </w:rPr>
              <w:t>清粪</w:t>
            </w:r>
          </w:p>
          <w:p w14:paraId="3EF1C5E2">
            <w:pPr>
              <w:pStyle w:val="19"/>
              <w:bidi w:val="0"/>
            </w:pPr>
            <w:r>
              <w:rPr>
                <w:rFonts w:hint="eastAsia"/>
              </w:rPr>
              <w:t>方法</w:t>
            </w:r>
          </w:p>
        </w:tc>
        <w:tc>
          <w:tcPr>
            <w:tcW w:w="132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096F42D">
            <w:pPr>
              <w:pStyle w:val="19"/>
              <w:bidi w:val="0"/>
              <w:rPr>
                <w:rFonts w:hint="eastAsia" w:eastAsia="宋体"/>
                <w:lang w:eastAsia="zh-CN"/>
              </w:rPr>
            </w:pPr>
            <w:r>
              <w:rPr>
                <w:rFonts w:hint="eastAsia"/>
              </w:rPr>
              <w:t>粪尿污水混合进入缝隙地板下的粪沟，每天数次从沟端的水喷头放水冲洗。粪水顺粪沟流入粪便主干沟，进入地下贮粪池或用泵抽吸到地面贮粪池</w:t>
            </w:r>
            <w:r>
              <w:rPr>
                <w:rFonts w:hint="eastAsia"/>
                <w:lang w:eastAsia="zh-CN"/>
              </w:rPr>
              <w:t>。</w:t>
            </w:r>
          </w:p>
        </w:tc>
        <w:tc>
          <w:tcPr>
            <w:tcW w:w="146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D90859">
            <w:pPr>
              <w:pStyle w:val="19"/>
              <w:bidi w:val="0"/>
              <w:rPr>
                <w:rFonts w:hint="eastAsia"/>
              </w:rPr>
            </w:pPr>
            <w:r>
              <w:rPr>
                <w:rFonts w:hint="eastAsia"/>
              </w:rPr>
              <w:t>在畜禽舍内的排粪沟中注入一定量的水，将粪、尿、冲洗和饲养管理用水一并排放至漏缝地板下的粪沟中，贮存一定时间（一般为1～2个月）、待粪沟填满后，打开出口闸门，沟中的粪水顺粪沟流入粪便主干沟后排出的清粪工艺</w:t>
            </w:r>
          </w:p>
        </w:tc>
        <w:tc>
          <w:tcPr>
            <w:tcW w:w="187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859AC9">
            <w:pPr>
              <w:pStyle w:val="19"/>
              <w:bidi w:val="0"/>
              <w:rPr>
                <w:rFonts w:hint="eastAsia"/>
              </w:rPr>
            </w:pPr>
            <w:r>
              <w:rPr>
                <w:rFonts w:hint="eastAsia"/>
              </w:rPr>
              <w:t>将猪舍设计为漏缝地板，栏舍底下建有1m高的</w:t>
            </w:r>
            <w:r>
              <w:rPr>
                <w:rFonts w:hint="eastAsia"/>
                <w:lang w:eastAsia="zh-CN"/>
              </w:rPr>
              <w:t>堆粪池</w:t>
            </w:r>
            <w:r>
              <w:rPr>
                <w:rFonts w:hint="eastAsia"/>
              </w:rPr>
              <w:t>，圈舍地面采用“漏缝”干清粪工艺</w:t>
            </w:r>
            <w:r>
              <w:rPr>
                <w:rFonts w:hint="eastAsia"/>
                <w:lang w:eastAsia="zh-CN"/>
              </w:rPr>
              <w:t>。</w:t>
            </w:r>
            <w:r>
              <w:rPr>
                <w:rFonts w:hint="eastAsia"/>
              </w:rPr>
              <w:t>猪生活在漏缝地板上，产生的粪尿从漏缝地板掉落到猪舍下部的</w:t>
            </w:r>
            <w:r>
              <w:rPr>
                <w:rFonts w:hint="eastAsia"/>
                <w:lang w:eastAsia="zh-CN"/>
              </w:rPr>
              <w:t>堆粪池</w:t>
            </w:r>
            <w:r>
              <w:rPr>
                <w:rFonts w:hint="eastAsia"/>
              </w:rPr>
              <w:t>，集粪池中储存的粪尿达到一定高度后上层尿液通过虹吸管道输送至</w:t>
            </w:r>
            <w:r>
              <w:rPr>
                <w:rFonts w:hint="eastAsia"/>
                <w:lang w:val="en-US" w:eastAsia="zh-CN"/>
              </w:rPr>
              <w:t>污水处理系统</w:t>
            </w:r>
            <w:r>
              <w:rPr>
                <w:rFonts w:hint="eastAsia"/>
              </w:rPr>
              <w:t>处理，</w:t>
            </w:r>
            <w:r>
              <w:rPr>
                <w:rFonts w:hint="eastAsia"/>
                <w:lang w:eastAsia="zh-CN"/>
              </w:rPr>
              <w:t>堆粪池</w:t>
            </w:r>
            <w:r>
              <w:rPr>
                <w:rFonts w:hint="eastAsia"/>
              </w:rPr>
              <w:t>中粪尿全部排出，经固液分离机进行分离，分离后的尿液进入</w:t>
            </w:r>
            <w:r>
              <w:rPr>
                <w:rFonts w:hint="eastAsia"/>
                <w:lang w:val="en-US" w:eastAsia="zh-CN"/>
              </w:rPr>
              <w:t>污水处理系统处理</w:t>
            </w:r>
            <w:r>
              <w:rPr>
                <w:rFonts w:hint="eastAsia"/>
              </w:rPr>
              <w:t>，干粪进入堆</w:t>
            </w:r>
            <w:r>
              <w:rPr>
                <w:rFonts w:hint="eastAsia"/>
                <w:lang w:val="en-US" w:eastAsia="zh-CN"/>
              </w:rPr>
              <w:t>肥</w:t>
            </w:r>
            <w:r>
              <w:rPr>
                <w:rFonts w:hint="eastAsia"/>
              </w:rPr>
              <w:t>场。</w:t>
            </w:r>
          </w:p>
        </w:tc>
      </w:tr>
      <w:tr w14:paraId="1733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9BA5E9">
            <w:pPr>
              <w:pStyle w:val="19"/>
              <w:bidi w:val="0"/>
              <w:rPr>
                <w:rFonts w:hint="eastAsia"/>
              </w:rPr>
            </w:pPr>
            <w:r>
              <w:t>目的</w:t>
            </w:r>
          </w:p>
        </w:tc>
        <w:tc>
          <w:tcPr>
            <w:tcW w:w="132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113EB78">
            <w:pPr>
              <w:pStyle w:val="19"/>
              <w:bidi w:val="0"/>
              <w:rPr>
                <w:rFonts w:hint="eastAsia" w:eastAsia="宋体"/>
                <w:lang w:eastAsia="zh-CN"/>
              </w:rPr>
            </w:pPr>
            <w:r>
              <w:t>及时、有效地清除畜舍内的粪便、尿液，保持畜舍环境卫生，减少粪污清理过程中的劳动力投入，提高养殖场自动化管理水平</w:t>
            </w:r>
            <w:r>
              <w:rPr>
                <w:rFonts w:hint="eastAsia"/>
                <w:lang w:eastAsia="zh-CN"/>
              </w:rPr>
              <w:t>。</w:t>
            </w:r>
          </w:p>
        </w:tc>
        <w:tc>
          <w:tcPr>
            <w:tcW w:w="146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C7F7BEC">
            <w:pPr>
              <w:pStyle w:val="19"/>
              <w:bidi w:val="0"/>
              <w:rPr>
                <w:rFonts w:hint="eastAsia"/>
              </w:rPr>
            </w:pPr>
            <w:r>
              <w:t>定时、有效地清除畜舍内的粪便、尿液，减少粪污清理过程中的劳动力投入，减少冲洗用水，提高养殖场自动化管理水平。水泡粪清粪工艺是在水冲粪工艺的基础上改造而来</w:t>
            </w:r>
          </w:p>
        </w:tc>
        <w:tc>
          <w:tcPr>
            <w:tcW w:w="187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2A4C0F4">
            <w:pPr>
              <w:pStyle w:val="19"/>
              <w:bidi w:val="0"/>
              <w:rPr>
                <w:rFonts w:hint="eastAsia" w:eastAsia="宋体"/>
                <w:lang w:eastAsia="zh-CN"/>
              </w:rPr>
            </w:pPr>
            <w:r>
              <w:t>及时、有效地清除畜舍内的粪便，保持畜舍环境卫生，充分利用劳动力资源丰富的优势，减少粪污清理过程中的用水、用电，保持固体粪便的营养物，提高有机肥肥效，降低后续粪尿处理的成本</w:t>
            </w:r>
            <w:r>
              <w:rPr>
                <w:rFonts w:hint="eastAsia"/>
                <w:lang w:eastAsia="zh-CN"/>
              </w:rPr>
              <w:t>。</w:t>
            </w:r>
          </w:p>
        </w:tc>
      </w:tr>
      <w:tr w14:paraId="2B9A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F72784">
            <w:pPr>
              <w:pStyle w:val="19"/>
              <w:bidi w:val="0"/>
              <w:rPr>
                <w:rFonts w:hint="eastAsia"/>
              </w:rPr>
            </w:pPr>
            <w:r>
              <w:t>优点</w:t>
            </w:r>
          </w:p>
        </w:tc>
        <w:tc>
          <w:tcPr>
            <w:tcW w:w="132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97FBD0">
            <w:pPr>
              <w:pStyle w:val="19"/>
              <w:bidi w:val="0"/>
              <w:rPr>
                <w:rFonts w:hint="eastAsia" w:eastAsia="宋体"/>
                <w:lang w:eastAsia="zh-CN"/>
              </w:rPr>
            </w:pPr>
            <w:r>
              <w:t>水冲粪方式可保持畜舍内的环境清洁，有利于动物健康</w:t>
            </w:r>
            <w:r>
              <w:rPr>
                <w:rFonts w:hint="eastAsia"/>
                <w:lang w:eastAsia="zh-CN"/>
              </w:rPr>
              <w:t>。</w:t>
            </w:r>
          </w:p>
        </w:tc>
        <w:tc>
          <w:tcPr>
            <w:tcW w:w="146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AC3214D">
            <w:pPr>
              <w:pStyle w:val="19"/>
              <w:bidi w:val="0"/>
              <w:rPr>
                <w:rFonts w:hint="eastAsia" w:eastAsia="宋体"/>
                <w:lang w:eastAsia="zh-CN"/>
              </w:rPr>
            </w:pPr>
            <w:r>
              <w:t>比水冲粪工艺节省用水，相对需要的人工少</w:t>
            </w:r>
            <w:r>
              <w:rPr>
                <w:rFonts w:hint="eastAsia"/>
                <w:lang w:eastAsia="zh-CN"/>
              </w:rPr>
              <w:t>。</w:t>
            </w:r>
          </w:p>
        </w:tc>
        <w:tc>
          <w:tcPr>
            <w:tcW w:w="187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2EEBA3">
            <w:pPr>
              <w:pStyle w:val="19"/>
              <w:bidi w:val="0"/>
              <w:rPr>
                <w:rFonts w:hint="eastAsia" w:eastAsia="宋体"/>
                <w:lang w:eastAsia="zh-CN"/>
              </w:rPr>
            </w:pPr>
            <w:r>
              <w:rPr>
                <w:rFonts w:hint="eastAsia"/>
              </w:rPr>
              <w:t>养殖圈舍不注入清水，也不将清水用于圈舍粪尿日常清理，大大减少了粪污产生量。养殖舍内粪尿产生即依靠重力经漏缝地板离开猪舍进入猪舍下部</w:t>
            </w:r>
            <w:r>
              <w:rPr>
                <w:rFonts w:hint="eastAsia"/>
                <w:lang w:eastAsia="zh-CN"/>
              </w:rPr>
              <w:t>堆粪池</w:t>
            </w:r>
            <w:r>
              <w:rPr>
                <w:rFonts w:hint="eastAsia"/>
              </w:rPr>
              <w:t>，粪污在</w:t>
            </w:r>
            <w:r>
              <w:rPr>
                <w:rFonts w:hint="eastAsia"/>
                <w:lang w:eastAsia="zh-CN"/>
              </w:rPr>
              <w:t>堆粪池</w:t>
            </w:r>
            <w:r>
              <w:rPr>
                <w:rFonts w:hint="eastAsia"/>
              </w:rPr>
              <w:t>内可做到充分的厌氧杀菌、适度降低有机物浓度，避免在施用农田过程中出现二次发酵的现象</w:t>
            </w:r>
            <w:r>
              <w:rPr>
                <w:rFonts w:hint="eastAsia"/>
                <w:lang w:eastAsia="zh-CN"/>
              </w:rPr>
              <w:t>。</w:t>
            </w:r>
          </w:p>
        </w:tc>
      </w:tr>
      <w:tr w14:paraId="1E0B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F48B9F">
            <w:pPr>
              <w:pStyle w:val="19"/>
              <w:bidi w:val="0"/>
            </w:pPr>
            <w:r>
              <w:t>缺点</w:t>
            </w:r>
          </w:p>
        </w:tc>
        <w:tc>
          <w:tcPr>
            <w:tcW w:w="132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1E294D">
            <w:pPr>
              <w:pStyle w:val="19"/>
              <w:bidi w:val="0"/>
            </w:pPr>
            <w:r>
              <w:t>耗水量大，污染物浓度高，固液分离后，大部分可溶性有机质及微量元素等留在污水中，污水中的污染物浓度仍然很高，而分离出的固体物养分含量低，肥料价值低。该工艺技术上不复杂，不受气候变化影响，但污水处理部分基建投资及动力消耗很高</w:t>
            </w:r>
          </w:p>
        </w:tc>
        <w:tc>
          <w:tcPr>
            <w:tcW w:w="146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C92A39">
            <w:pPr>
              <w:pStyle w:val="19"/>
              <w:bidi w:val="0"/>
            </w:pPr>
            <w:r>
              <w:t>畜舍氨气污染浓</w:t>
            </w:r>
            <w:r>
              <w:rPr>
                <w:rFonts w:hint="eastAsia"/>
                <w:lang w:val="en-US" w:eastAsia="zh-CN"/>
              </w:rPr>
              <w:t>度</w:t>
            </w:r>
            <w:r>
              <w:t>重及污水处理后期难度大</w:t>
            </w:r>
          </w:p>
        </w:tc>
        <w:tc>
          <w:tcPr>
            <w:tcW w:w="1877"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84272DB">
            <w:pPr>
              <w:pStyle w:val="19"/>
              <w:bidi w:val="0"/>
            </w:pPr>
            <w:r>
              <w:t>畜舍氨气污染浓</w:t>
            </w:r>
            <w:r>
              <w:rPr>
                <w:rFonts w:hint="eastAsia"/>
                <w:lang w:val="en-US" w:eastAsia="zh-CN"/>
              </w:rPr>
              <w:t>度较</w:t>
            </w:r>
            <w:r>
              <w:t>重</w:t>
            </w:r>
          </w:p>
        </w:tc>
      </w:tr>
    </w:tbl>
    <w:p w14:paraId="1487A4D7">
      <w:pPr>
        <w:pStyle w:val="30"/>
        <w:bidi w:val="0"/>
      </w:pPr>
      <w:r>
        <w:t>表</w:t>
      </w:r>
      <w:r>
        <w:rPr>
          <w:rFonts w:hint="eastAsia"/>
        </w:rPr>
        <w:t>3</w:t>
      </w:r>
      <w:r>
        <w:t>.</w:t>
      </w:r>
      <w:r>
        <w:rPr>
          <w:rFonts w:hint="eastAsia"/>
          <w:lang w:val="en-US" w:eastAsia="zh-CN"/>
        </w:rPr>
        <w:t>5</w:t>
      </w:r>
      <w:r>
        <w:t xml:space="preserve">-2 </w:t>
      </w:r>
      <w:r>
        <w:rPr>
          <w:rFonts w:hint="eastAsia"/>
          <w:lang w:val="en-US" w:eastAsia="zh-CN"/>
        </w:rPr>
        <w:t xml:space="preserve">  </w:t>
      </w:r>
      <w:r>
        <w:t>清粪工艺水量消耗和水质情况一览表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543"/>
        <w:gridCol w:w="1657"/>
        <w:gridCol w:w="1657"/>
        <w:gridCol w:w="1234"/>
      </w:tblGrid>
      <w:tr w14:paraId="6633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98" w:type="pct"/>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094B169">
            <w:pPr>
              <w:pStyle w:val="19"/>
              <w:bidi w:val="0"/>
            </w:pPr>
            <w:r>
              <w:rPr>
                <w:rFonts w:hint="eastAsia"/>
              </w:rPr>
              <w:t>项目</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C050E02">
            <w:pPr>
              <w:pStyle w:val="19"/>
              <w:bidi w:val="0"/>
            </w:pPr>
            <w:r>
              <w:rPr>
                <w:rFonts w:hint="eastAsia"/>
              </w:rPr>
              <w:t>水冲粪</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310444">
            <w:pPr>
              <w:pStyle w:val="19"/>
              <w:bidi w:val="0"/>
            </w:pPr>
            <w:r>
              <w:rPr>
                <w:rFonts w:hint="eastAsia"/>
              </w:rPr>
              <w:t>水泡粪</w:t>
            </w:r>
          </w:p>
        </w:tc>
        <w:tc>
          <w:tcPr>
            <w:tcW w:w="732"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64334E0">
            <w:pPr>
              <w:pStyle w:val="19"/>
              <w:bidi w:val="0"/>
            </w:pPr>
            <w:r>
              <w:rPr>
                <w:rFonts w:hint="eastAsia"/>
              </w:rPr>
              <w:t>干清粪</w:t>
            </w:r>
          </w:p>
        </w:tc>
      </w:tr>
      <w:tr w14:paraId="1067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D35B88B">
            <w:pPr>
              <w:pStyle w:val="19"/>
              <w:bidi w:val="0"/>
            </w:pPr>
            <w:r>
              <w:rPr>
                <w:rFonts w:hint="eastAsia"/>
              </w:rPr>
              <w:t>水量</w:t>
            </w:r>
          </w:p>
        </w:tc>
        <w:tc>
          <w:tcPr>
            <w:tcW w:w="1510"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7DA7C04">
            <w:pPr>
              <w:pStyle w:val="19"/>
              <w:bidi w:val="0"/>
            </w:pPr>
            <w:r>
              <w:rPr>
                <w:rFonts w:hint="eastAsia"/>
              </w:rPr>
              <w:t>×10</w:t>
            </w:r>
            <w:r>
              <w:rPr>
                <w:rFonts w:hint="eastAsia"/>
                <w:vertAlign w:val="superscript"/>
              </w:rPr>
              <w:t>4</w:t>
            </w:r>
            <w:r>
              <w:rPr>
                <w:rFonts w:hint="eastAsia"/>
              </w:rPr>
              <w:t>头猪场(m</w:t>
            </w:r>
            <w:r>
              <w:rPr>
                <w:rFonts w:hint="eastAsia"/>
                <w:vertAlign w:val="superscript"/>
              </w:rPr>
              <w:t>3</w:t>
            </w:r>
            <w:r>
              <w:rPr>
                <w:rFonts w:hint="eastAsia"/>
              </w:rPr>
              <w:t>/d)</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143463">
            <w:pPr>
              <w:pStyle w:val="19"/>
              <w:bidi w:val="0"/>
            </w:pPr>
            <w:r>
              <w:rPr>
                <w:rFonts w:hint="eastAsia"/>
              </w:rPr>
              <w:t>210-240</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555B4E6">
            <w:pPr>
              <w:pStyle w:val="19"/>
              <w:bidi w:val="0"/>
            </w:pPr>
            <w:r>
              <w:rPr>
                <w:rFonts w:hint="eastAsia"/>
              </w:rPr>
              <w:t>120-150</w:t>
            </w:r>
          </w:p>
        </w:tc>
        <w:tc>
          <w:tcPr>
            <w:tcW w:w="732"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F55F2A2">
            <w:pPr>
              <w:pStyle w:val="19"/>
              <w:bidi w:val="0"/>
            </w:pPr>
            <w:r>
              <w:rPr>
                <w:rFonts w:hint="eastAsia"/>
              </w:rPr>
              <w:t>60-90</w:t>
            </w:r>
          </w:p>
        </w:tc>
      </w:tr>
      <w:tr w14:paraId="5A90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pct"/>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F7DB0A5">
            <w:pPr>
              <w:pStyle w:val="19"/>
              <w:bidi w:val="0"/>
            </w:pPr>
            <w:r>
              <w:rPr>
                <w:rFonts w:hint="eastAsia"/>
              </w:rPr>
              <w:t>水质指标</w:t>
            </w:r>
          </w:p>
          <w:p w14:paraId="7F20BC0F">
            <w:pPr>
              <w:pStyle w:val="19"/>
              <w:bidi w:val="0"/>
            </w:pPr>
            <w:r>
              <w:rPr>
                <w:rFonts w:hint="eastAsia"/>
              </w:rPr>
              <w:t>（mg/L）</w:t>
            </w:r>
          </w:p>
        </w:tc>
        <w:tc>
          <w:tcPr>
            <w:tcW w:w="1510"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9DD42C">
            <w:pPr>
              <w:pStyle w:val="19"/>
              <w:bidi w:val="0"/>
            </w:pPr>
            <w:r>
              <w:rPr>
                <w:rFonts w:hint="eastAsia"/>
              </w:rPr>
              <w:t>BOD</w:t>
            </w:r>
            <w:r>
              <w:rPr>
                <w:rFonts w:hint="eastAsia"/>
                <w:vertAlign w:val="subscript"/>
              </w:rPr>
              <w:t>5</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12F0AD7">
            <w:pPr>
              <w:pStyle w:val="19"/>
              <w:bidi w:val="0"/>
            </w:pPr>
            <w:r>
              <w:rPr>
                <w:rFonts w:hint="eastAsia"/>
              </w:rPr>
              <w:t>5000-6000</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45BD857">
            <w:pPr>
              <w:pStyle w:val="19"/>
              <w:bidi w:val="0"/>
            </w:pPr>
            <w:r>
              <w:rPr>
                <w:rFonts w:hint="eastAsia"/>
              </w:rPr>
              <w:t>8000-10000</w:t>
            </w:r>
          </w:p>
        </w:tc>
        <w:tc>
          <w:tcPr>
            <w:tcW w:w="732"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6FFC45">
            <w:pPr>
              <w:pStyle w:val="19"/>
              <w:bidi w:val="0"/>
            </w:pPr>
            <w:r>
              <w:rPr>
                <w:rFonts w:hint="eastAsia"/>
              </w:rPr>
              <w:t>302-1000</w:t>
            </w:r>
          </w:p>
        </w:tc>
      </w:tr>
      <w:tr w14:paraId="328B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pct"/>
            <w:vMerge w:val="continue"/>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6991DF">
            <w:pPr>
              <w:pStyle w:val="19"/>
              <w:bidi w:val="0"/>
            </w:pPr>
          </w:p>
        </w:tc>
        <w:tc>
          <w:tcPr>
            <w:tcW w:w="1510"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56EC62">
            <w:pPr>
              <w:pStyle w:val="19"/>
              <w:bidi w:val="0"/>
            </w:pPr>
            <w:r>
              <w:rPr>
                <w:rFonts w:hint="eastAsia"/>
              </w:rPr>
              <w:t>COD</w:t>
            </w:r>
            <w:r>
              <w:rPr>
                <w:rFonts w:hint="eastAsia"/>
                <w:vertAlign w:val="subscript"/>
              </w:rPr>
              <w:t>Cr</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64795B">
            <w:pPr>
              <w:pStyle w:val="19"/>
              <w:bidi w:val="0"/>
            </w:pPr>
            <w:r>
              <w:rPr>
                <w:rFonts w:hint="eastAsia"/>
              </w:rPr>
              <w:t>11000-13000</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B170697">
            <w:pPr>
              <w:pStyle w:val="19"/>
              <w:bidi w:val="0"/>
            </w:pPr>
            <w:r>
              <w:rPr>
                <w:rFonts w:hint="eastAsia"/>
              </w:rPr>
              <w:t>8000-24000</w:t>
            </w:r>
          </w:p>
        </w:tc>
        <w:tc>
          <w:tcPr>
            <w:tcW w:w="732"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FCED35D">
            <w:pPr>
              <w:pStyle w:val="19"/>
              <w:bidi w:val="0"/>
            </w:pPr>
            <w:r>
              <w:rPr>
                <w:rFonts w:hint="eastAsia"/>
              </w:rPr>
              <w:t>989-1255</w:t>
            </w:r>
          </w:p>
        </w:tc>
      </w:tr>
      <w:tr w14:paraId="1BED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pct"/>
            <w:vMerge w:val="continue"/>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CDD97A8">
            <w:pPr>
              <w:pStyle w:val="19"/>
              <w:bidi w:val="0"/>
            </w:pPr>
          </w:p>
        </w:tc>
        <w:tc>
          <w:tcPr>
            <w:tcW w:w="1510"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7D4E06">
            <w:pPr>
              <w:pStyle w:val="19"/>
              <w:bidi w:val="0"/>
            </w:pPr>
            <w:r>
              <w:rPr>
                <w:rFonts w:hint="eastAsia"/>
              </w:rPr>
              <w:t>SS</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4262E1">
            <w:pPr>
              <w:pStyle w:val="19"/>
              <w:bidi w:val="0"/>
            </w:pPr>
            <w:r>
              <w:rPr>
                <w:rFonts w:hint="eastAsia"/>
              </w:rPr>
              <w:t>17000-20000</w:t>
            </w:r>
          </w:p>
        </w:tc>
        <w:tc>
          <w:tcPr>
            <w:tcW w:w="984"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7026D8">
            <w:pPr>
              <w:pStyle w:val="19"/>
              <w:bidi w:val="0"/>
            </w:pPr>
            <w:r>
              <w:rPr>
                <w:rFonts w:hint="eastAsia"/>
              </w:rPr>
              <w:t>28000-35000</w:t>
            </w:r>
          </w:p>
        </w:tc>
        <w:tc>
          <w:tcPr>
            <w:tcW w:w="732"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59897C7">
            <w:pPr>
              <w:pStyle w:val="19"/>
              <w:bidi w:val="0"/>
            </w:pPr>
            <w:r>
              <w:rPr>
                <w:rFonts w:hint="eastAsia"/>
              </w:rPr>
              <w:t>340-1320</w:t>
            </w:r>
          </w:p>
        </w:tc>
      </w:tr>
    </w:tbl>
    <w:p w14:paraId="6A4DD0DB">
      <w:pPr>
        <w:bidi w:val="0"/>
        <w:rPr>
          <w:rFonts w:hint="eastAsia"/>
          <w:lang w:val="en-US" w:eastAsia="zh-CN"/>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综上，本项目采用的</w:t>
      </w:r>
      <w:r>
        <w:rPr>
          <w:rFonts w:hint="eastAsia"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干清粪</w:t>
      </w: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工艺近年来在我国大中型集中式养殖场有着广泛的应用，其特点是可以定时、有效地清除畜舍内的粪便、尿液，减少粪污清理过程中的劳动力投入，减少猪舍恶臭的产生量，减少冲洗用水，提高养殖场自动化管理水平。从总体来说，该工艺具有一定的优越性。</w:t>
      </w:r>
    </w:p>
    <w:p w14:paraId="5DDC47AC">
      <w:pPr>
        <w:bidi w:val="0"/>
        <w:rPr>
          <w:rFonts w:hint="eastAsia"/>
          <w:lang w:val="en-US" w:eastAsia="zh-CN"/>
        </w:rPr>
      </w:pPr>
      <w:r>
        <w:rPr>
          <w:rFonts w:hint="eastAsia"/>
          <w:lang w:val="en-US" w:eastAsia="zh-CN"/>
        </w:rPr>
        <w:t>②设备先进性</w:t>
      </w:r>
    </w:p>
    <w:p w14:paraId="7B2AC29A">
      <w:pPr>
        <w:bidi w:val="0"/>
        <w:rPr>
          <w:rFonts w:hint="eastAsia"/>
          <w:lang w:val="en-US" w:eastAsia="zh-CN"/>
        </w:rPr>
      </w:pPr>
      <w:r>
        <w:rPr>
          <w:rFonts w:hint="eastAsia"/>
          <w:lang w:val="en-US" w:eastAsia="zh-CN"/>
        </w:rPr>
        <w:t>整个生产过程中，最大限度使用机械设备输送物料，减少劳动强度、提高生产效率，减少人为操作失误造成的安全事故及能源浪费。</w:t>
      </w:r>
    </w:p>
    <w:p w14:paraId="50A61C6C">
      <w:pPr>
        <w:bidi w:val="0"/>
        <w:rPr>
          <w:rFonts w:hint="eastAsia"/>
          <w:lang w:val="en-US" w:eastAsia="zh-CN"/>
        </w:rPr>
      </w:pPr>
      <w:r>
        <w:rPr>
          <w:rFonts w:hint="eastAsia"/>
          <w:lang w:val="en-US" w:eastAsia="zh-CN"/>
        </w:rPr>
        <w:t>选用节能电机，对水泵等机电产品、食槽等养殖设备的选型上，力求先进合理，选用效率高、能耗低的新型产品，同时，在满足生产工艺要求的条件下，尽量选用功率小的节能型电气设备，电机采用变频节电型等。</w:t>
      </w:r>
    </w:p>
    <w:p w14:paraId="61FABE23">
      <w:pPr>
        <w:bidi w:val="0"/>
        <w:rPr>
          <w:rFonts w:hint="eastAsia"/>
          <w:lang w:val="en-US" w:eastAsia="zh-CN"/>
        </w:rPr>
      </w:pPr>
      <w:r>
        <w:rPr>
          <w:rFonts w:hint="eastAsia"/>
          <w:lang w:val="en-US" w:eastAsia="zh-CN"/>
        </w:rPr>
        <w:t>本项目采用的技术设备较为先进，符合清洁生产要求。</w:t>
      </w:r>
    </w:p>
    <w:p w14:paraId="2D2F2C9F">
      <w:pPr>
        <w:bidi w:val="0"/>
        <w:rPr>
          <w:rFonts w:hint="eastAsia"/>
          <w:lang w:val="en-US" w:eastAsia="zh-CN"/>
        </w:rPr>
      </w:pPr>
      <w:r>
        <w:rPr>
          <w:rFonts w:hint="eastAsia"/>
          <w:lang w:val="en-US" w:eastAsia="zh-CN"/>
        </w:rPr>
        <w:t>（3）资源能源利用指标</w:t>
      </w:r>
    </w:p>
    <w:p w14:paraId="03B34133">
      <w:pPr>
        <w:bidi w:val="0"/>
        <w:rPr>
          <w:rFonts w:hint="eastAsia"/>
          <w:lang w:val="en-US" w:eastAsia="zh-CN"/>
        </w:rPr>
      </w:pPr>
      <w:r>
        <w:rPr>
          <w:rFonts w:hint="eastAsia"/>
          <w:lang w:val="en-US" w:eastAsia="zh-CN"/>
        </w:rPr>
        <w:t>本项目采用干清粪工艺，用水、电、物料消耗均小于其他传统工艺。</w:t>
      </w:r>
    </w:p>
    <w:p w14:paraId="6EED7EA6">
      <w:pPr>
        <w:bidi w:val="0"/>
        <w:rPr>
          <w:rFonts w:hint="eastAsia"/>
          <w:lang w:val="en-US" w:eastAsia="zh-CN"/>
        </w:rPr>
      </w:pPr>
      <w:r>
        <w:rPr>
          <w:rFonts w:hint="eastAsia"/>
          <w:lang w:val="en-US" w:eastAsia="zh-CN"/>
        </w:rPr>
        <w:t>本项目严格采购符合国家标准的药物、饲料，正常生产过程中几乎不使用抗生素药物、饲料，确保猪粪中抗生素含量低于相关标准要求。</w:t>
      </w:r>
    </w:p>
    <w:p w14:paraId="70402076">
      <w:pPr>
        <w:bidi w:val="0"/>
        <w:rPr>
          <w:rFonts w:hint="eastAsia"/>
          <w:lang w:val="en-US" w:eastAsia="zh-CN"/>
        </w:rPr>
      </w:pPr>
      <w:r>
        <w:rPr>
          <w:rFonts w:hint="eastAsia"/>
          <w:lang w:val="en-US" w:eastAsia="zh-CN"/>
        </w:rPr>
        <w:t>（4）污染物产生指标</w:t>
      </w:r>
    </w:p>
    <w:p w14:paraId="0BD03465">
      <w:pPr>
        <w:bidi w:val="0"/>
        <w:rPr>
          <w:rFonts w:hint="eastAsia"/>
          <w:lang w:val="en-US" w:eastAsia="zh-CN"/>
        </w:rPr>
      </w:pPr>
      <w:r>
        <w:rPr>
          <w:rFonts w:hint="eastAsia"/>
          <w:lang w:val="en-US" w:eastAsia="zh-CN"/>
        </w:rPr>
        <w:t>本项目养殖废水和生活污水全部进入污水处理系统处理达标后委托129团农业发展中心定期清运处置。</w:t>
      </w:r>
    </w:p>
    <w:p w14:paraId="70AC85F0">
      <w:pPr>
        <w:bidi w:val="0"/>
        <w:rPr>
          <w:rFonts w:hint="eastAsia"/>
          <w:lang w:val="en-US" w:eastAsia="zh-CN"/>
        </w:rPr>
      </w:pPr>
      <w:r>
        <w:rPr>
          <w:rFonts w:hint="eastAsia"/>
          <w:lang w:val="en-US" w:eastAsia="zh-CN"/>
        </w:rPr>
        <w:t>本项目运行过程中产生的废气主要为猪舍、污水处理系统、堆肥场等在运行过程中产生恶臭气体以及锅炉房烟气，经采取相应控制措施后均可达标排放。</w:t>
      </w:r>
    </w:p>
    <w:p w14:paraId="73DAF4FB">
      <w:pPr>
        <w:bidi w:val="0"/>
        <w:rPr>
          <w:rFonts w:hint="eastAsia"/>
          <w:lang w:val="en-US" w:eastAsia="zh-CN"/>
        </w:rPr>
      </w:pPr>
      <w:r>
        <w:rPr>
          <w:rFonts w:hint="eastAsia"/>
          <w:lang w:val="en-US" w:eastAsia="zh-CN"/>
        </w:rPr>
        <w:t>本项目产生的固体废物主要包括猪粪、病死猪、沼渣及污泥、废离子交换树脂、废包装袋、废脱硫剂、治疗医废和生活垃圾。其中猪粪、沼渣及污泥进入堆肥场堆肥发酵处理后作为粪肥还田利用；病死猪尸体委托有资质单位进行处置；生活垃圾由环卫部门统一收集送垃圾填埋厂处置；治疗医废集中收集，暂存于危废暂存间，定期交由有资质单位处置。</w:t>
      </w:r>
    </w:p>
    <w:p w14:paraId="47B90695">
      <w:pPr>
        <w:bidi w:val="0"/>
        <w:rPr>
          <w:rFonts w:hint="eastAsia"/>
          <w:lang w:val="en-US" w:eastAsia="zh-CN"/>
        </w:rPr>
      </w:pPr>
      <w:r>
        <w:rPr>
          <w:rFonts w:hint="eastAsia"/>
          <w:lang w:val="en-US" w:eastAsia="zh-CN"/>
        </w:rPr>
        <w:t>（5）废物回收利用指标</w:t>
      </w:r>
    </w:p>
    <w:p w14:paraId="455236A3">
      <w:pPr>
        <w:bidi w:val="0"/>
        <w:rPr>
          <w:rFonts w:hint="eastAsia"/>
          <w:lang w:val="en-US" w:eastAsia="zh-CN"/>
        </w:rPr>
      </w:pPr>
      <w:r>
        <w:rPr>
          <w:rFonts w:hint="eastAsia"/>
          <w:lang w:val="en-US" w:eastAsia="zh-CN"/>
        </w:rPr>
        <w:t>本项目废水最终全部经污水处理系统处理后委托129团农业发展中心清运，不外排，厂区不设置废水排放口。猪粪、沼渣及污泥采用好氧堆肥进行发酵堆肥最终成为有机肥料。</w:t>
      </w:r>
    </w:p>
    <w:p w14:paraId="345EFACB">
      <w:pPr>
        <w:bidi w:val="0"/>
        <w:rPr>
          <w:rFonts w:hint="eastAsia"/>
          <w:lang w:val="en-US" w:eastAsia="zh-CN"/>
        </w:rPr>
      </w:pPr>
      <w:r>
        <w:rPr>
          <w:rFonts w:hint="eastAsia"/>
          <w:lang w:val="en-US" w:eastAsia="zh-CN"/>
        </w:rPr>
        <w:t>（6）环境管理要求</w:t>
      </w:r>
    </w:p>
    <w:p w14:paraId="541697B5">
      <w:pPr>
        <w:bidi w:val="0"/>
        <w:rPr>
          <w:rFonts w:hint="eastAsia"/>
          <w:lang w:val="en-US" w:eastAsia="zh-CN"/>
        </w:rPr>
      </w:pPr>
      <w:r>
        <w:rPr>
          <w:rFonts w:hint="eastAsia"/>
          <w:lang w:val="en-US" w:eastAsia="zh-CN"/>
        </w:rPr>
        <w:t>环境管理是企业管理中的重要环节之一。在企业中，建立健全环保机构，加强环保管理工作，并把环保工作纳入生产管理，对于减少企业内污染物排放，促进资源的合理利用与回收，提高经济效益和环境效益有着重要意义。</w:t>
      </w:r>
    </w:p>
    <w:p w14:paraId="40579BD0">
      <w:pPr>
        <w:pStyle w:val="27"/>
        <w:bidi w:val="0"/>
        <w:rPr>
          <w:rFonts w:hint="default"/>
          <w:lang w:val="en-US" w:eastAsia="zh-CN"/>
        </w:rPr>
      </w:pPr>
      <w:r>
        <w:rPr>
          <w:rFonts w:hint="eastAsia"/>
          <w:lang w:val="en-US" w:eastAsia="zh-CN"/>
        </w:rPr>
        <w:t>清洁生产建议</w:t>
      </w:r>
    </w:p>
    <w:p w14:paraId="0F7B09C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清洁生产是一个相对概念，相对原工艺使用能源或产品使用过程中只要能减少污染，节约能源的都称为清洁生产。因此，推行清洁生产是一个不间断的过程。</w:t>
      </w:r>
    </w:p>
    <w:p w14:paraId="10C29A60">
      <w:pPr>
        <w:bidi w:val="0"/>
        <w:rPr>
          <w:rFonts w:hint="eastAsia"/>
          <w:lang w:val="en-US" w:eastAsia="zh-CN"/>
        </w:rPr>
      </w:pPr>
      <w:r>
        <w:rPr>
          <w:rFonts w:hint="eastAsia"/>
          <w:color w:val="000000" w:themeColor="text1"/>
          <w:highlight w:val="none"/>
          <w14:textFill>
            <w14:solidFill>
              <w14:schemeClr w14:val="tx1"/>
            </w14:solidFill>
          </w14:textFill>
        </w:rPr>
        <w:t>为减轻项目环境污染，本评价建议企业环境管理机构在工程的建设施工和生产运营中，进一步制定相应的预防污染计划，根据工程情况有组织、有计划的安排与协调，有序地推行清洁生产。</w:t>
      </w:r>
    </w:p>
    <w:p w14:paraId="6C7B6D33">
      <w:pPr>
        <w:pStyle w:val="27"/>
        <w:bidi w:val="0"/>
        <w:rPr>
          <w:rFonts w:hint="default"/>
          <w:lang w:val="en-US" w:eastAsia="zh-CN"/>
        </w:rPr>
      </w:pPr>
      <w:r>
        <w:rPr>
          <w:rFonts w:hint="eastAsia"/>
          <w:lang w:val="en-US" w:eastAsia="zh-CN"/>
        </w:rPr>
        <w:t>小结</w:t>
      </w:r>
    </w:p>
    <w:p w14:paraId="1AEADAFB">
      <w:pPr>
        <w:bidi w:val="0"/>
        <w:rPr>
          <w:rFonts w:hint="eastAsia"/>
          <w:lang w:val="en-US" w:eastAsia="zh-CN"/>
        </w:rPr>
      </w:pPr>
      <w:r>
        <w:rPr>
          <w:rFonts w:hint="eastAsia"/>
          <w:lang w:val="en-US" w:eastAsia="zh-CN"/>
        </w:rPr>
        <w:t>通过对本项目各项清洁生产指标分析，本项目从工艺水平、技术路线来讲，清洁生产水平较高，从清洁生产角度，该项目建设是可行的。</w:t>
      </w:r>
    </w:p>
    <w:p w14:paraId="7F35FCF2">
      <w:pPr>
        <w:pStyle w:val="2"/>
        <w:rPr>
          <w:rFonts w:hint="eastAsia"/>
          <w:lang w:val="en-US" w:eastAsia="zh-CN"/>
        </w:rPr>
      </w:pPr>
    </w:p>
    <w:p w14:paraId="419E31BA">
      <w:pPr>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370297F1">
      <w:pPr>
        <w:pStyle w:val="25"/>
        <w:bidi w:val="0"/>
        <w:rPr>
          <w:rFonts w:hint="default"/>
          <w:lang w:val="en-US" w:eastAsia="zh-CN"/>
        </w:rPr>
      </w:pPr>
      <w:bookmarkStart w:id="24" w:name="_Toc168"/>
      <w:r>
        <w:rPr>
          <w:rFonts w:hint="eastAsia"/>
          <w:lang w:val="en-US" w:eastAsia="zh-CN"/>
        </w:rPr>
        <w:t>环境现状调查与评价</w:t>
      </w:r>
      <w:bookmarkEnd w:id="24"/>
    </w:p>
    <w:p w14:paraId="3776D584">
      <w:pPr>
        <w:pStyle w:val="26"/>
        <w:bidi w:val="0"/>
        <w:rPr>
          <w:rFonts w:hint="default"/>
          <w:lang w:val="en-US" w:eastAsia="zh-CN"/>
        </w:rPr>
      </w:pPr>
      <w:bookmarkStart w:id="25" w:name="_Toc32625"/>
      <w:r>
        <w:rPr>
          <w:rFonts w:hint="eastAsia"/>
          <w:lang w:val="en-US" w:eastAsia="zh-CN"/>
        </w:rPr>
        <w:t>自然环境概况</w:t>
      </w:r>
      <w:bookmarkEnd w:id="25"/>
    </w:p>
    <w:p w14:paraId="69E87BF9">
      <w:pPr>
        <w:pStyle w:val="27"/>
        <w:bidi w:val="0"/>
        <w:rPr>
          <w:rFonts w:hint="default"/>
          <w:lang w:val="en-US" w:eastAsia="zh-CN"/>
        </w:rPr>
      </w:pPr>
      <w:r>
        <w:rPr>
          <w:rFonts w:hint="eastAsia"/>
          <w:lang w:val="en-US" w:eastAsia="zh-CN"/>
        </w:rPr>
        <w:t>地理位置</w:t>
      </w:r>
    </w:p>
    <w:p w14:paraId="69FA0057">
      <w:pPr>
        <w:bidi w:val="0"/>
        <w:rPr>
          <w:rFonts w:hint="eastAsia"/>
          <w:lang w:val="en-US" w:eastAsia="zh-CN"/>
        </w:rPr>
      </w:pPr>
      <w:r>
        <w:rPr>
          <w:rFonts w:hint="eastAsia"/>
          <w:lang w:val="en-US" w:eastAsia="zh-CN"/>
        </w:rPr>
        <w:t>第七师位于准噶尔盆地西南部的奎屯河流域，南面天山，北接库尔班通古特沙漠。第七师境域分布在新疆维吾尔自治区的奎屯市、乌苏市、克拉玛依市及沙湾县、和布克赛尔蒙古自治县境内。亚欧大陆桥的北疆铁路、乌奎高速公路、312国道乌伊公路横越境内，217国道独阿公路纵贯全境，纵横路交于奎屯。地理坐标在北纬44°20ˊ—47°04ˊ，东经83°51ˊ—85°51ˊ之间。</w:t>
      </w:r>
    </w:p>
    <w:p w14:paraId="477AF303">
      <w:pPr>
        <w:bidi w:val="0"/>
        <w:rPr>
          <w:rFonts w:hint="eastAsia"/>
          <w:lang w:val="en-US" w:eastAsia="zh-CN"/>
        </w:rPr>
      </w:pPr>
      <w:r>
        <w:rPr>
          <w:rFonts w:hint="eastAsia"/>
          <w:lang w:val="en-US" w:eastAsia="zh-CN"/>
        </w:rPr>
        <w:t>本项目位于第七师129团13连东北偏北方向3.5km处的未利用地，项目区中心坐标：经度84°46'7.13"，纬度45°0'5.18"，项目区四周均为耕地，西北方向1.6km处为129团10连，北侧3.1km为奎阿高速（G3014），西南方向4.7km处129团16连。</w:t>
      </w:r>
    </w:p>
    <w:p w14:paraId="5A7E4E03">
      <w:pPr>
        <w:bidi w:val="0"/>
        <w:rPr>
          <w:rFonts w:hint="default"/>
          <w:lang w:val="en-US" w:eastAsia="zh-CN"/>
        </w:rPr>
      </w:pPr>
      <w:r>
        <w:rPr>
          <w:rFonts w:hint="eastAsia"/>
          <w:lang w:val="en-US" w:eastAsia="zh-CN"/>
        </w:rPr>
        <w:t>本项目的具体地理位置见图4.1-1。</w:t>
      </w:r>
    </w:p>
    <w:p w14:paraId="23E85856">
      <w:pPr>
        <w:pStyle w:val="27"/>
        <w:bidi w:val="0"/>
        <w:rPr>
          <w:rFonts w:hint="default"/>
          <w:lang w:val="en-US" w:eastAsia="zh-CN"/>
        </w:rPr>
      </w:pPr>
      <w:r>
        <w:rPr>
          <w:rFonts w:hint="eastAsia"/>
          <w:lang w:val="en-US" w:eastAsia="zh-CN"/>
        </w:rPr>
        <w:t>地形地貌</w:t>
      </w:r>
    </w:p>
    <w:p w14:paraId="2A069B61">
      <w:pPr>
        <w:bidi w:val="0"/>
        <w:rPr>
          <w:rFonts w:hint="eastAsia"/>
          <w:lang w:val="en-US" w:eastAsia="zh-CN"/>
        </w:rPr>
      </w:pPr>
      <w:r>
        <w:rPr>
          <w:rFonts w:hint="eastAsia"/>
          <w:lang w:val="en-US" w:eastAsia="zh-CN"/>
        </w:rPr>
        <w:t>新疆生产建设兵团第七师位于天山北麓中段、准噶尔盆地西南部，地貌的基本类型为山地和盆地。由南向北跨天山山区、准噶尔盆地西部区和萨乌尔山区三个大地貌区。地势南高北低。沙漠分布在129团13连东北部、9连的东北部以东，12连东部、二连的南、东、北部一带。沙漠中有少量平原，大部分地势凹凸不平，沙包为多，有少量土包。区域内干沟为南北走向。南起129团5连，北至11连，独斗渠首，总长15km。</w:t>
      </w:r>
    </w:p>
    <w:p w14:paraId="5CD1CC64">
      <w:pPr>
        <w:pStyle w:val="27"/>
        <w:bidi w:val="0"/>
        <w:rPr>
          <w:rFonts w:hint="default"/>
          <w:lang w:val="en-US" w:eastAsia="zh-CN"/>
        </w:rPr>
      </w:pPr>
      <w:r>
        <w:rPr>
          <w:rFonts w:hint="eastAsia"/>
          <w:lang w:val="en-US" w:eastAsia="zh-CN"/>
        </w:rPr>
        <w:t>气候气象</w:t>
      </w:r>
    </w:p>
    <w:p w14:paraId="302E402C">
      <w:pPr>
        <w:bidi w:val="0"/>
        <w:rPr>
          <w:rFonts w:hint="eastAsia"/>
          <w:lang w:val="en-US" w:eastAsia="zh-CN"/>
        </w:rPr>
      </w:pPr>
      <w:r>
        <w:rPr>
          <w:rFonts w:hint="eastAsia"/>
          <w:lang w:val="en-US" w:eastAsia="zh-CN"/>
        </w:rPr>
        <w:t>第七师境内为大陆性干旱气候，日照时间长，降水稀少，蒸发量大。年平均气温8.9℃，年变化十分明显。全年以一月最冷-40℃，七月最热43℃，年较差40℃。全年生长季节的4～9月日照时数2600小时，昼夜温差大，气温的日变化在11～18℃之间。降水稀少，蒸发量大，年平均降雨量169.88mm，年蒸发量为1758.7mm，蒸降比11:1。蒸发量最大值出现在7月，达400mm，日最大蒸发量6.6mm。冬季积雪为200mm，冻土深度1.5m。</w:t>
      </w:r>
    </w:p>
    <w:p w14:paraId="5C30990C">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lang w:val="en-US" w:eastAsia="zh-CN"/>
        </w:rPr>
      </w:pPr>
    </w:p>
    <w:p w14:paraId="4EC7E309">
      <w:pPr>
        <w:pStyle w:val="27"/>
        <w:bidi w:val="0"/>
        <w:rPr>
          <w:rFonts w:hint="default"/>
          <w:lang w:val="en-US" w:eastAsia="zh-CN"/>
        </w:rPr>
      </w:pPr>
      <w:r>
        <w:rPr>
          <w:rFonts w:hint="eastAsia"/>
          <w:lang w:val="en-US" w:eastAsia="zh-CN"/>
        </w:rPr>
        <w:t>工程地质</w:t>
      </w:r>
    </w:p>
    <w:p w14:paraId="2B13FDBB">
      <w:pPr>
        <w:bidi w:val="0"/>
        <w:rPr>
          <w:rFonts w:hint="eastAsia"/>
          <w:lang w:val="en-US" w:eastAsia="zh-CN"/>
        </w:rPr>
      </w:pPr>
      <w:r>
        <w:rPr>
          <w:rFonts w:hint="eastAsia"/>
          <w:lang w:val="en-US" w:eastAsia="zh-CN"/>
        </w:rPr>
        <w:t>第七师所属区域为奎屯河流域，其自古生代以来的漫长历史时期经受了多次构造运动，形成了天山E—W向、北山“多”字型和NW向构造体系。在三大构造体系的控制下，发育形成了今日的地貌景观。中生代时期，盆地南、西、北三面断续上升为山地，其间相对下降为盆地，同时在天山山前形成明显的坳陷带，并接受来自山地的巨厚的陆相堆积。第三纪时期，在喜玛拉雅运动的影响下，山地与盆地间断块式的升降运动增强，使中生代地层产生断裂和褶皱，山前坳陷也随着北迁西移，到新近纪时形成了以乌苏—奎屯为中心的沉积区，再次接受新的堆积；此期，在四棵树河以东主要表现为坳褶，在四棵树河以西主要表现为断块陷落。</w:t>
      </w:r>
    </w:p>
    <w:p w14:paraId="25CA4C45">
      <w:pPr>
        <w:bidi w:val="0"/>
        <w:rPr>
          <w:rFonts w:hint="eastAsia"/>
          <w:lang w:val="en-US" w:eastAsia="zh-CN"/>
        </w:rPr>
      </w:pPr>
      <w:r>
        <w:rPr>
          <w:rFonts w:hint="eastAsia"/>
          <w:lang w:val="en-US" w:eastAsia="zh-CN"/>
        </w:rPr>
        <w:t>第四纪以来，新构造运动仍很强烈，地壳的变动以垂直升降运动为主，其跳跃性和幅度的不均一性甚为明显。在山前带，上升运动使河流下蚀作用增强，形成深谷，下切深度达15～20m，河谷两侧形成时代不同、高度不同的阶地，至冲洪积细土平原区（312国道以北）阶地基本消失。由此可以看出：从前山带到冲洪积平原中上部，新构造上升运动普遍存在，其上升幅度距山区越远幅度越小，平原区相对下降。</w:t>
      </w:r>
    </w:p>
    <w:p w14:paraId="3C2ECED4">
      <w:pPr>
        <w:bidi w:val="0"/>
        <w:rPr>
          <w:rFonts w:hint="default"/>
          <w:lang w:val="en-US" w:eastAsia="zh-CN"/>
        </w:rPr>
      </w:pPr>
      <w:r>
        <w:rPr>
          <w:rFonts w:hint="eastAsia"/>
          <w:lang w:val="en-US" w:eastAsia="zh-CN"/>
        </w:rPr>
        <w:t>（一）地层岩性</w:t>
      </w:r>
    </w:p>
    <w:p w14:paraId="43B4B1A3">
      <w:pPr>
        <w:bidi w:val="0"/>
        <w:rPr>
          <w:rFonts w:hint="eastAsia"/>
          <w:lang w:val="en-US" w:eastAsia="zh-CN"/>
        </w:rPr>
      </w:pPr>
      <w:r>
        <w:rPr>
          <w:rFonts w:hint="eastAsia"/>
          <w:lang w:val="en-US" w:eastAsia="zh-CN"/>
        </w:rPr>
        <w:t>本项目位于第七师129团13连东北偏北方向3.5km处，地层岩性属于区域第四系全新统冲洪积物（Q4al+pl）和全新统风积物（Q4eol）。</w:t>
      </w:r>
    </w:p>
    <w:p w14:paraId="1F2890FD">
      <w:pPr>
        <w:bidi w:val="0"/>
        <w:rPr>
          <w:rFonts w:hint="eastAsia"/>
          <w:lang w:val="en-US" w:eastAsia="zh-CN"/>
        </w:rPr>
      </w:pPr>
      <w:r>
        <w:rPr>
          <w:rFonts w:hint="eastAsia"/>
          <w:lang w:val="en-US" w:eastAsia="zh-CN"/>
        </w:rPr>
        <w:t>（1）全新统冲洪积物（Q4al+pl）</w:t>
      </w:r>
    </w:p>
    <w:p w14:paraId="011F8CAE">
      <w:pPr>
        <w:bidi w:val="0"/>
        <w:rPr>
          <w:rFonts w:hint="eastAsia"/>
          <w:lang w:val="en-US" w:eastAsia="zh-CN"/>
        </w:rPr>
      </w:pPr>
      <w:r>
        <w:rPr>
          <w:rFonts w:hint="eastAsia"/>
          <w:lang w:val="en-US" w:eastAsia="zh-CN"/>
        </w:rPr>
        <w:t>广泛分布在冲洪积细土平原区。130团、129团主要以此地层为主。主要地层为粘土、粉质粘土、粉土、砂土互层分布。地层分布特点决定了平原区潜水、承压水分布特征。最大沉积厚度超过500m。</w:t>
      </w:r>
    </w:p>
    <w:p w14:paraId="6C90343A">
      <w:pPr>
        <w:bidi w:val="0"/>
        <w:rPr>
          <w:rFonts w:hint="eastAsia"/>
          <w:lang w:val="en-US" w:eastAsia="zh-CN"/>
        </w:rPr>
      </w:pPr>
      <w:r>
        <w:rPr>
          <w:rFonts w:hint="eastAsia"/>
          <w:lang w:val="en-US" w:eastAsia="zh-CN"/>
        </w:rPr>
        <w:t>（2）全新统风积物（Q4eol）</w:t>
      </w:r>
    </w:p>
    <w:p w14:paraId="0C7D2768">
      <w:pPr>
        <w:bidi w:val="0"/>
        <w:rPr>
          <w:rFonts w:hint="eastAsia"/>
          <w:lang w:val="en-US" w:eastAsia="zh-CN"/>
        </w:rPr>
      </w:pPr>
      <w:r>
        <w:rPr>
          <w:rFonts w:hint="eastAsia"/>
          <w:lang w:val="en-US" w:eastAsia="zh-CN"/>
        </w:rPr>
        <w:t>主要分布在129团东部，隶属古尔班通古特沙漠，地貌上表现为低矮沙丘。岩性为风积粉细砂。</w:t>
      </w:r>
    </w:p>
    <w:p w14:paraId="53CEC294">
      <w:pPr>
        <w:bidi w:val="0"/>
        <w:rPr>
          <w:rFonts w:hint="default"/>
          <w:lang w:val="en-US" w:eastAsia="zh-CN"/>
        </w:rPr>
      </w:pPr>
      <w:r>
        <w:rPr>
          <w:rFonts w:hint="eastAsia"/>
          <w:lang w:val="en-US" w:eastAsia="zh-CN"/>
        </w:rPr>
        <w:t>（二）地质构造</w:t>
      </w:r>
    </w:p>
    <w:p w14:paraId="5A5A904D">
      <w:pPr>
        <w:bidi w:val="0"/>
        <w:rPr>
          <w:rFonts w:hint="eastAsia"/>
          <w:lang w:val="en-US" w:eastAsia="zh-CN"/>
        </w:rPr>
      </w:pPr>
      <w:r>
        <w:rPr>
          <w:rFonts w:hint="eastAsia"/>
          <w:lang w:val="en-US" w:eastAsia="zh-CN"/>
        </w:rPr>
        <w:t>本项目所在区域在大地构造上位于哈萨克斯坦～准噶尔板块南部边缘，区域新构造运动强烈，区域内发育多条活动断裂。近本区构造主要有：独山子～安集海断裂（F4）、霍尔果斯断裂（F6）、清水河子断裂（F10），属北天山推覆构造前部滑脱楔上第二排与第三排新生代断裂-褶皱带，全新世以来有过多次显著活动。</w:t>
      </w:r>
    </w:p>
    <w:p w14:paraId="4B3EC773">
      <w:pPr>
        <w:bidi w:val="0"/>
        <w:rPr>
          <w:rFonts w:hint="eastAsia"/>
          <w:lang w:val="en-US" w:eastAsia="zh-CN"/>
        </w:rPr>
      </w:pPr>
      <w:r>
        <w:rPr>
          <w:rFonts w:hint="eastAsia"/>
          <w:lang w:val="en-US" w:eastAsia="zh-CN"/>
        </w:rPr>
        <w:t>霍尔果斯断裂（F6）：断裂分布于霍尔果斯背斜核部和北翼，总体走向近EW向，长70km，为断面南倾的逆断裂，断裂与中段的玛纳斯断裂呈左阶排列。该断裂由三条近平行断裂组成，距离本项目选址最近的为F2断裂。F2断裂位于霍尔果斯背斜北翼，全长19km，断裂主体倾向南，局部为逆走滑，在大部分地段引起北侧地层倒转，倾向165°～195°，倾角60°左右，破碎带宽10～30m。在金沟河口一带，断裂错断了</w:t>
      </w:r>
      <w:r>
        <w:rPr>
          <w:rFonts w:hint="default" w:ascii="Times New Roman" w:hAnsi="Times New Roman" w:cs="Times New Roman"/>
          <w:lang w:val="en-US" w:eastAsia="zh-CN"/>
        </w:rPr>
        <w:t>Ⅰ～Ⅲ</w:t>
      </w:r>
      <w:r>
        <w:rPr>
          <w:rFonts w:hint="eastAsia"/>
          <w:lang w:val="en-US" w:eastAsia="zh-CN"/>
        </w:rPr>
        <w:t>级阶地，形成断层陡坎，阶地越高陡坎越高，说明断裂有过多次活动，全新世以来仍有活动。据国家地震局的有关文件，区域地震动峰值加速度为0.10g，反应谱特征周期值0.65s，对应地震烈度为</w:t>
      </w:r>
      <w:r>
        <w:rPr>
          <w:rFonts w:hint="default" w:ascii="Times New Roman" w:hAnsi="Times New Roman" w:cs="Times New Roman"/>
          <w:lang w:val="en-US" w:eastAsia="zh-CN"/>
        </w:rPr>
        <w:t>Ⅶ</w:t>
      </w:r>
      <w:r>
        <w:rPr>
          <w:rFonts w:hint="eastAsia"/>
          <w:lang w:val="en-US" w:eastAsia="zh-CN"/>
        </w:rPr>
        <w:t>度。</w:t>
      </w:r>
    </w:p>
    <w:p w14:paraId="21F83D90">
      <w:pPr>
        <w:bidi w:val="0"/>
        <w:rPr>
          <w:rFonts w:hint="default"/>
          <w:lang w:val="en-US" w:eastAsia="zh-CN"/>
        </w:rPr>
      </w:pPr>
      <w:r>
        <w:rPr>
          <w:rFonts w:hint="eastAsia"/>
          <w:lang w:val="en-US" w:eastAsia="zh-CN"/>
        </w:rPr>
        <w:t>本项目所在区域的地质构造见图4.1-2。</w:t>
      </w:r>
    </w:p>
    <w:p w14:paraId="6B199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4D412DEB">
      <w:pPr>
        <w:rPr>
          <w:rFonts w:hint="eastAsia"/>
          <w:lang w:val="en-US" w:eastAsia="zh-CN"/>
        </w:rPr>
      </w:pPr>
    </w:p>
    <w:p w14:paraId="7A3818E4">
      <w:pPr>
        <w:pStyle w:val="2"/>
        <w:rPr>
          <w:rFonts w:hint="default"/>
          <w:lang w:val="en-US" w:eastAsia="zh-CN"/>
        </w:rPr>
      </w:pPr>
    </w:p>
    <w:p w14:paraId="6F3AD026">
      <w:pPr>
        <w:pStyle w:val="27"/>
        <w:bidi w:val="0"/>
        <w:rPr>
          <w:rFonts w:hint="default"/>
          <w:lang w:val="en-US" w:eastAsia="zh-CN"/>
        </w:rPr>
      </w:pPr>
      <w:r>
        <w:rPr>
          <w:rFonts w:hint="eastAsia"/>
          <w:lang w:val="en-US" w:eastAsia="zh-CN"/>
        </w:rPr>
        <w:t>水文</w:t>
      </w:r>
    </w:p>
    <w:p w14:paraId="6DE5F1FE">
      <w:pPr>
        <w:pStyle w:val="28"/>
        <w:bidi w:val="0"/>
        <w:rPr>
          <w:rFonts w:hint="default"/>
          <w:lang w:val="en-US" w:eastAsia="zh-CN"/>
        </w:rPr>
      </w:pPr>
      <w:r>
        <w:rPr>
          <w:rFonts w:hint="eastAsia"/>
          <w:lang w:val="en-US" w:eastAsia="zh-CN"/>
        </w:rPr>
        <w:t>地表水</w:t>
      </w:r>
    </w:p>
    <w:p w14:paraId="2AA4545E">
      <w:pPr>
        <w:bidi w:val="0"/>
        <w:rPr>
          <w:rFonts w:hint="eastAsia"/>
          <w:lang w:val="en-US" w:eastAsia="zh-CN"/>
        </w:rPr>
      </w:pPr>
      <w:r>
        <w:rPr>
          <w:rFonts w:hint="eastAsia"/>
          <w:lang w:val="en-US" w:eastAsia="zh-CN"/>
        </w:rPr>
        <w:t>第七师地表水资源主要来自奎屯河、四棵树河、古尔图河等三条河流。河流发源于天山，属高山融雪及降水补给类型的内陆河流，其特点是河流水量随气温的高低而涨落，冬季水小，夏季水大。多年三河平均来水量12.56亿m</w:t>
      </w:r>
      <w:r>
        <w:rPr>
          <w:rFonts w:hint="eastAsia"/>
          <w:vertAlign w:val="superscript"/>
          <w:lang w:val="en-US" w:eastAsia="zh-CN"/>
        </w:rPr>
        <w:t>3</w:t>
      </w:r>
      <w:r>
        <w:rPr>
          <w:rFonts w:hint="eastAsia"/>
          <w:lang w:val="en-US" w:eastAsia="zh-CN"/>
        </w:rPr>
        <w:t>，最高年份来水量15.08亿m</w:t>
      </w:r>
      <w:r>
        <w:rPr>
          <w:rFonts w:hint="eastAsia"/>
          <w:vertAlign w:val="superscript"/>
          <w:lang w:val="en-US" w:eastAsia="zh-CN"/>
        </w:rPr>
        <w:t>3</w:t>
      </w:r>
      <w:r>
        <w:rPr>
          <w:rFonts w:hint="eastAsia"/>
          <w:lang w:val="en-US" w:eastAsia="zh-CN"/>
        </w:rPr>
        <w:t>，最小年份来水量10.2亿m</w:t>
      </w:r>
      <w:r>
        <w:rPr>
          <w:rFonts w:hint="eastAsia"/>
          <w:vertAlign w:val="superscript"/>
          <w:lang w:val="en-US" w:eastAsia="zh-CN"/>
        </w:rPr>
        <w:t>3</w:t>
      </w:r>
      <w:r>
        <w:rPr>
          <w:rFonts w:hint="eastAsia"/>
          <w:lang w:val="en-US" w:eastAsia="zh-CN"/>
        </w:rPr>
        <w:t>。春水约占年总水量的20%，夏水占50%，秋水占20%，冬水占10%。流域内水量依据历史协议按比例分配，供七师、乌苏市、奎屯市和独山子区工农业用水。</w:t>
      </w:r>
    </w:p>
    <w:p w14:paraId="48BE4EC3">
      <w:pPr>
        <w:bidi w:val="0"/>
        <w:rPr>
          <w:rFonts w:hint="eastAsia"/>
          <w:lang w:val="en-US" w:eastAsia="zh-CN"/>
        </w:rPr>
      </w:pPr>
      <w:r>
        <w:rPr>
          <w:rFonts w:hint="eastAsia"/>
          <w:lang w:val="en-US" w:eastAsia="zh-CN"/>
        </w:rPr>
        <w:t>距本项目最近河流为奎屯河，奎屯河发源于依连哈比尔尕山北坡海拔2800～3600m的山区，以冰川、积雪融水、降水及沿程地下水补给为主。由南向北经131团山区牧场，乌苏县巴音沟牧场，36145部队，在独山子矿区出山后流入准噶尔盆地区，在乌伊公路奎屯河大桥处沿131团西缘向北流，经乌苏良种场、九间楼和皇宫乡、头台乡，沿130团西北流入奎屯水库，再沿125团东缘向北，经乌苏车排子乡向西北，沿123团和127团西南缘及126团南缘向西流经乌苏县石桥乡甘家湖林场，甘家湖牧场，在五道泉处进入精河县东北经散德克库木大沙漠流入艾比湖。全长359.6km，其中流经七师垦区河长84.0km（不包括天山区草牧场的河道），是七师辖区内最长的河流。</w:t>
      </w:r>
    </w:p>
    <w:p w14:paraId="3FE38A04">
      <w:pPr>
        <w:pStyle w:val="28"/>
        <w:bidi w:val="0"/>
        <w:rPr>
          <w:rFonts w:hint="default"/>
          <w:lang w:val="en-US" w:eastAsia="zh-CN"/>
        </w:rPr>
      </w:pPr>
      <w:r>
        <w:rPr>
          <w:rFonts w:hint="eastAsia"/>
          <w:lang w:val="en-US" w:eastAsia="zh-CN"/>
        </w:rPr>
        <w:t>地下水</w:t>
      </w:r>
    </w:p>
    <w:p w14:paraId="53E98E01">
      <w:pPr>
        <w:bidi w:val="0"/>
        <w:rPr>
          <w:rFonts w:hint="eastAsia"/>
          <w:lang w:val="en-US" w:eastAsia="zh-CN"/>
        </w:rPr>
      </w:pPr>
      <w:r>
        <w:rPr>
          <w:rFonts w:hint="eastAsia"/>
          <w:lang w:val="en-US" w:eastAsia="zh-CN"/>
        </w:rPr>
        <w:t>第七师沿天山北麓冲积扇扇缘地带有众多泉水溢出，泉水年来水量为1.82亿m</w:t>
      </w:r>
      <w:r>
        <w:rPr>
          <w:rFonts w:hint="eastAsia"/>
          <w:vertAlign w:val="superscript"/>
          <w:lang w:val="en-US" w:eastAsia="zh-CN"/>
        </w:rPr>
        <w:t>3</w:t>
      </w:r>
      <w:r>
        <w:rPr>
          <w:rFonts w:hint="eastAsia"/>
          <w:lang w:val="en-US" w:eastAsia="zh-CN"/>
        </w:rPr>
        <w:t>，七师拥有泉水资源量1.16亿m</w:t>
      </w:r>
      <w:r>
        <w:rPr>
          <w:rFonts w:hint="eastAsia"/>
          <w:vertAlign w:val="superscript"/>
          <w:lang w:val="en-US" w:eastAsia="zh-CN"/>
        </w:rPr>
        <w:t>3</w:t>
      </w:r>
      <w:r>
        <w:rPr>
          <w:rFonts w:hint="eastAsia"/>
          <w:lang w:val="en-US" w:eastAsia="zh-CN"/>
        </w:rPr>
        <w:t>。</w:t>
      </w:r>
    </w:p>
    <w:p w14:paraId="573F3C9A">
      <w:pPr>
        <w:bidi w:val="0"/>
        <w:rPr>
          <w:rFonts w:hint="eastAsia"/>
          <w:lang w:val="en-US" w:eastAsia="zh-CN"/>
        </w:rPr>
      </w:pPr>
      <w:r>
        <w:rPr>
          <w:rFonts w:hint="eastAsia"/>
          <w:lang w:val="en-US" w:eastAsia="zh-CN"/>
        </w:rPr>
        <w:t>第七师地下水总储量3.4亿m</w:t>
      </w:r>
      <w:r>
        <w:rPr>
          <w:rFonts w:hint="eastAsia"/>
          <w:vertAlign w:val="superscript"/>
          <w:lang w:val="en-US" w:eastAsia="zh-CN"/>
        </w:rPr>
        <w:t>3</w:t>
      </w:r>
      <w:r>
        <w:rPr>
          <w:rFonts w:hint="eastAsia"/>
          <w:lang w:val="en-US" w:eastAsia="zh-CN"/>
        </w:rPr>
        <w:t>，可采量为2.4亿m</w:t>
      </w:r>
      <w:r>
        <w:rPr>
          <w:rFonts w:hint="eastAsia"/>
          <w:vertAlign w:val="superscript"/>
          <w:lang w:val="en-US" w:eastAsia="zh-CN"/>
        </w:rPr>
        <w:t>3</w:t>
      </w:r>
      <w:r>
        <w:rPr>
          <w:rFonts w:hint="eastAsia"/>
          <w:lang w:val="en-US" w:eastAsia="zh-CN"/>
        </w:rPr>
        <w:t>。地下水资源量分布由南向北逐渐减少。适合于集中开采的有三大水源地，即奎屯水源地、达子庙水源地和高泉水源地。</w:t>
      </w:r>
    </w:p>
    <w:p w14:paraId="4E686E74">
      <w:pPr>
        <w:bidi w:val="0"/>
        <w:rPr>
          <w:rFonts w:hint="eastAsia"/>
          <w:lang w:val="en-US" w:eastAsia="zh-CN"/>
        </w:rPr>
      </w:pPr>
      <w:r>
        <w:rPr>
          <w:rFonts w:hint="eastAsia"/>
          <w:lang w:val="en-US" w:eastAsia="zh-CN"/>
        </w:rPr>
        <w:t>三大水源地下水动储量计1.93亿m</w:t>
      </w:r>
      <w:r>
        <w:rPr>
          <w:rFonts w:hint="eastAsia"/>
          <w:vertAlign w:val="superscript"/>
          <w:lang w:val="en-US" w:eastAsia="zh-CN"/>
        </w:rPr>
        <w:t>3</w:t>
      </w:r>
      <w:r>
        <w:rPr>
          <w:rFonts w:hint="eastAsia"/>
          <w:lang w:val="en-US" w:eastAsia="zh-CN"/>
        </w:rPr>
        <w:t>，可开采量1.4亿m</w:t>
      </w:r>
      <w:r>
        <w:rPr>
          <w:rFonts w:hint="eastAsia"/>
          <w:vertAlign w:val="superscript"/>
          <w:lang w:val="en-US" w:eastAsia="zh-CN"/>
        </w:rPr>
        <w:t>3</w:t>
      </w:r>
      <w:r>
        <w:rPr>
          <w:rFonts w:hint="eastAsia"/>
          <w:lang w:val="en-US" w:eastAsia="zh-CN"/>
        </w:rPr>
        <w:t>。另外柳沟、双河、黄沟地区分布有小片集中可采的地下水1.007亿m</w:t>
      </w:r>
      <w:r>
        <w:rPr>
          <w:rFonts w:hint="eastAsia"/>
          <w:vertAlign w:val="superscript"/>
          <w:lang w:val="en-US" w:eastAsia="zh-CN"/>
        </w:rPr>
        <w:t>3</w:t>
      </w:r>
      <w:r>
        <w:rPr>
          <w:rFonts w:hint="eastAsia"/>
          <w:lang w:val="en-US" w:eastAsia="zh-CN"/>
        </w:rPr>
        <w:t>。</w:t>
      </w:r>
    </w:p>
    <w:p w14:paraId="6528F6CD">
      <w:pPr>
        <w:bidi w:val="0"/>
        <w:rPr>
          <w:rFonts w:hint="eastAsia"/>
          <w:lang w:val="en-US" w:eastAsia="zh-CN"/>
        </w:rPr>
      </w:pPr>
      <w:r>
        <w:rPr>
          <w:rFonts w:hint="eastAsia"/>
          <w:lang w:val="en-US" w:eastAsia="zh-CN"/>
        </w:rPr>
        <w:t>本项目所在区域水系分布情况具体见图4.1-3。</w:t>
      </w:r>
    </w:p>
    <w:p w14:paraId="2891CE18">
      <w:pPr>
        <w:pStyle w:val="2"/>
        <w:rPr>
          <w:rFonts w:hint="default"/>
          <w:lang w:val="en-US" w:eastAsia="zh-CN"/>
        </w:rPr>
      </w:pPr>
    </w:p>
    <w:p w14:paraId="23DD2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2DD6C6D2">
      <w:pPr>
        <w:pStyle w:val="27"/>
        <w:bidi w:val="0"/>
        <w:rPr>
          <w:rFonts w:hint="default"/>
          <w:lang w:val="en-US" w:eastAsia="zh-CN"/>
        </w:rPr>
      </w:pPr>
      <w:r>
        <w:rPr>
          <w:rFonts w:hint="eastAsia"/>
          <w:lang w:val="en-US" w:eastAsia="zh-CN"/>
        </w:rPr>
        <w:t>水文地质条件</w:t>
      </w:r>
    </w:p>
    <w:p w14:paraId="72F89CC5">
      <w:pPr>
        <w:bidi w:val="0"/>
        <w:rPr>
          <w:rFonts w:hint="eastAsia"/>
          <w:lang w:val="en-US" w:eastAsia="zh-CN"/>
        </w:rPr>
      </w:pPr>
      <w:r>
        <w:rPr>
          <w:rFonts w:hint="eastAsia"/>
          <w:lang w:val="en-US" w:eastAsia="zh-CN"/>
        </w:rPr>
        <w:t>本项目所在区域地处天山北麓准噶尔盆地西南边缘、奎屯河冲积平原的中下部，区域上属奎屯河水文地质单元，区域地质地貌具一般山前冲洪积倾斜砾质平原及第四纪冲积细土平原共有特征，即由山前冲洪积扇区（山前冲洪积倾斜砾质平原区）、扇缘溢出带区、冲积平原区和下游排泄区组成。具相对独立性，为一个较完整的水文地质单元。</w:t>
      </w:r>
    </w:p>
    <w:p w14:paraId="4D112B6C">
      <w:pPr>
        <w:bidi w:val="0"/>
        <w:rPr>
          <w:rFonts w:hint="eastAsia"/>
          <w:lang w:val="en-US" w:eastAsia="zh-CN"/>
        </w:rPr>
      </w:pPr>
      <w:r>
        <w:rPr>
          <w:rFonts w:hint="eastAsia"/>
          <w:lang w:val="en-US" w:eastAsia="zh-CN"/>
        </w:rPr>
        <w:t>区域地下水的赋存以平原区第四系孔隙水广泛分布为特点，受第四纪松散堆积层的控制。据1/20万《区域水文地质普查报告》（新疆乌苏地区），第四纪松散堆积层厚度大于300m，其岩性主要为亚粘土、粘土与中细砂。评价区第四纪松散堆积层岩性以亚粘土、粘土为主，并夹砂砾石、粉土、粉质粘土。</w:t>
      </w:r>
    </w:p>
    <w:p w14:paraId="50E5AC10">
      <w:pPr>
        <w:bidi w:val="0"/>
        <w:rPr>
          <w:rFonts w:hint="eastAsia"/>
          <w:lang w:val="en-US" w:eastAsia="zh-CN"/>
        </w:rPr>
      </w:pPr>
      <w:r>
        <w:rPr>
          <w:rFonts w:hint="eastAsia"/>
          <w:lang w:val="en-US" w:eastAsia="zh-CN"/>
        </w:rPr>
        <w:t>区域位于奎屯河冲积平原中下游的地下水径流区，地下水的径流方向</w:t>
      </w:r>
      <w:r>
        <w:rPr>
          <w:rFonts w:hint="eastAsia"/>
          <w:highlight w:val="none"/>
          <w:lang w:val="en-US" w:eastAsia="zh-CN"/>
        </w:rPr>
        <w:t>由南向北，至黄沟一库处向北东向、北西向及正北方向呈散射状径流。</w:t>
      </w:r>
    </w:p>
    <w:p w14:paraId="11918A2B">
      <w:pPr>
        <w:bidi w:val="0"/>
        <w:rPr>
          <w:rFonts w:hint="eastAsia"/>
          <w:lang w:val="en-US" w:eastAsia="zh-CN"/>
        </w:rPr>
      </w:pPr>
      <w:r>
        <w:rPr>
          <w:rFonts w:hint="eastAsia"/>
          <w:lang w:val="en-US" w:eastAsia="zh-CN"/>
        </w:rPr>
        <w:t>（一）</w:t>
      </w:r>
      <w:r>
        <w:rPr>
          <w:rFonts w:ascii="Times New Roman" w:hAnsi="Times New Roman"/>
          <w:color w:val="000000"/>
          <w:kern w:val="0"/>
          <w:sz w:val="24"/>
          <w:szCs w:val="24"/>
        </w:rPr>
        <w:t>地下水类型及富水性</w:t>
      </w:r>
    </w:p>
    <w:p w14:paraId="2C63445F">
      <w:pPr>
        <w:bidi w:val="0"/>
        <w:rPr>
          <w:rFonts w:hint="default"/>
          <w:lang w:val="en-US" w:eastAsia="zh-CN"/>
        </w:rPr>
      </w:pPr>
      <w:r>
        <w:rPr>
          <w:rFonts w:hint="eastAsia"/>
          <w:lang w:val="en-US" w:eastAsia="zh-CN"/>
        </w:rPr>
        <w:t>（1）潜水含水层</w:t>
      </w:r>
    </w:p>
    <w:p w14:paraId="09E67A21">
      <w:pPr>
        <w:bidi w:val="0"/>
        <w:rPr>
          <w:rFonts w:hint="eastAsia"/>
          <w:lang w:val="en-US" w:eastAsia="zh-CN"/>
        </w:rPr>
      </w:pPr>
      <w:r>
        <w:rPr>
          <w:rFonts w:hint="eastAsia"/>
          <w:lang w:val="en-US" w:eastAsia="zh-CN"/>
        </w:rPr>
        <w:t>本项目所在区域潜水含水层主要分布在20～30m以下，含水砂层3～6层，岩性主要以粉细砂为主，总厚度约15～18m，中间夹厚度不等的粉土或粉质粘土弱透水层，潜水含水层底板埋深50～70m，在此深度之上无稳定隔水层。</w:t>
      </w:r>
    </w:p>
    <w:p w14:paraId="16349F81">
      <w:pPr>
        <w:bidi w:val="0"/>
        <w:rPr>
          <w:rFonts w:hint="eastAsia"/>
          <w:lang w:val="en-US" w:eastAsia="zh-CN"/>
        </w:rPr>
      </w:pPr>
      <w:r>
        <w:rPr>
          <w:rFonts w:hint="eastAsia"/>
          <w:lang w:val="en-US" w:eastAsia="zh-CN"/>
        </w:rPr>
        <w:t>矿化度除在西部129团、三角庄一带小于3g/L外，其他广大地区大于3g/L，水化学类型大部分为SO</w:t>
      </w:r>
      <w:r>
        <w:rPr>
          <w:rFonts w:hint="eastAsia"/>
          <w:vertAlign w:val="subscript"/>
          <w:lang w:val="en-US" w:eastAsia="zh-CN"/>
        </w:rPr>
        <w:t>4</w:t>
      </w:r>
      <w:r>
        <w:rPr>
          <w:rFonts w:hint="eastAsia"/>
          <w:lang w:val="en-US" w:eastAsia="zh-CN"/>
        </w:rPr>
        <w:t>·Cl-Na·Ca（或Ca·Na）型水，西部零星分布Cl·HCO</w:t>
      </w:r>
      <w:r>
        <w:rPr>
          <w:rFonts w:hint="eastAsia"/>
          <w:vertAlign w:val="subscript"/>
          <w:lang w:val="en-US" w:eastAsia="zh-CN"/>
        </w:rPr>
        <w:t>3</w:t>
      </w:r>
      <w:r>
        <w:rPr>
          <w:rFonts w:hint="eastAsia"/>
          <w:lang w:val="en-US" w:eastAsia="zh-CN"/>
        </w:rPr>
        <w:t>·SO</w:t>
      </w:r>
      <w:r>
        <w:rPr>
          <w:rFonts w:hint="eastAsia"/>
          <w:vertAlign w:val="subscript"/>
          <w:lang w:val="en-US" w:eastAsia="zh-CN"/>
        </w:rPr>
        <w:t>4-</w:t>
      </w:r>
      <w:r>
        <w:rPr>
          <w:rFonts w:hint="eastAsia"/>
          <w:lang w:val="en-US" w:eastAsia="zh-CN"/>
        </w:rPr>
        <w:t>Na或SO</w:t>
      </w:r>
      <w:r>
        <w:rPr>
          <w:rFonts w:hint="eastAsia"/>
          <w:vertAlign w:val="subscript"/>
          <w:lang w:val="en-US" w:eastAsia="zh-CN"/>
        </w:rPr>
        <w:t>4</w:t>
      </w:r>
      <w:r>
        <w:rPr>
          <w:rFonts w:hint="eastAsia"/>
          <w:lang w:val="en-US" w:eastAsia="zh-CN"/>
        </w:rPr>
        <w:t>·Cl-Na型水。</w:t>
      </w:r>
    </w:p>
    <w:p w14:paraId="250C9E1A">
      <w:pPr>
        <w:bidi w:val="0"/>
        <w:rPr>
          <w:rFonts w:hint="eastAsia"/>
          <w:lang w:val="en-US" w:eastAsia="zh-CN"/>
        </w:rPr>
      </w:pPr>
      <w:r>
        <w:rPr>
          <w:rFonts w:hint="eastAsia"/>
          <w:lang w:val="en-US" w:eastAsia="zh-CN"/>
        </w:rPr>
        <w:t>（2）承压含水层</w:t>
      </w:r>
    </w:p>
    <w:p w14:paraId="2928B709">
      <w:pPr>
        <w:bidi w:val="0"/>
        <w:rPr>
          <w:rFonts w:hint="eastAsia"/>
          <w:lang w:val="en-US" w:eastAsia="zh-CN"/>
        </w:rPr>
      </w:pPr>
      <w:r>
        <w:rPr>
          <w:rFonts w:hint="eastAsia"/>
          <w:lang w:val="en-US" w:eastAsia="zh-CN"/>
        </w:rPr>
        <w:t>本项目所在区域300m深度内可见承压含水层组三组。第一组承压含水层的隔水顶板埋深为60～77m，含水层厚度为53～70m，岩性以粉细砂为主，底板埋深为120～139m。第一组承压含水层的隔水底板亦为第二组承压含水层的隔水顶板，含水层厚度4～22m，含水层岩性为粉细砂，隔水底板埋深为183～193m，厚度为11～6m，岩性为粉质粘土。第二组承压含水层底板以下至300m之间为第三组承压含水层，含水层岩性为细砂及中细砂。</w:t>
      </w:r>
    </w:p>
    <w:p w14:paraId="055FE0D2">
      <w:pPr>
        <w:bidi w:val="0"/>
        <w:rPr>
          <w:rFonts w:hint="eastAsia"/>
          <w:lang w:val="en-US" w:eastAsia="zh-CN"/>
        </w:rPr>
      </w:pPr>
      <w:r>
        <w:rPr>
          <w:rFonts w:hint="eastAsia"/>
          <w:lang w:val="en-US" w:eastAsia="zh-CN"/>
        </w:rPr>
        <w:t>承压含水层单孔出水量为100～1000m</w:t>
      </w:r>
      <w:r>
        <w:rPr>
          <w:rFonts w:hint="eastAsia"/>
          <w:vertAlign w:val="superscript"/>
          <w:lang w:val="en-US" w:eastAsia="zh-CN"/>
        </w:rPr>
        <w:t>3</w:t>
      </w:r>
      <w:r>
        <w:rPr>
          <w:rFonts w:hint="eastAsia"/>
          <w:lang w:val="en-US" w:eastAsia="zh-CN"/>
        </w:rPr>
        <w:t>/d，单位涌水量为0.348～0.968L/m·s矿化度基本小于1.0g/L，但大部分氟离子含量超标，水化学类型为HCO</w:t>
      </w:r>
      <w:r>
        <w:rPr>
          <w:rFonts w:hint="eastAsia"/>
          <w:vertAlign w:val="subscript"/>
          <w:lang w:val="en-US" w:eastAsia="zh-CN"/>
        </w:rPr>
        <w:t>3</w:t>
      </w:r>
      <w:r>
        <w:rPr>
          <w:rFonts w:hint="eastAsia"/>
          <w:lang w:val="en-US" w:eastAsia="zh-CN"/>
        </w:rPr>
        <w:t>·SO</w:t>
      </w:r>
      <w:r>
        <w:rPr>
          <w:rFonts w:hint="eastAsia"/>
          <w:vertAlign w:val="subscript"/>
          <w:lang w:val="en-US" w:eastAsia="zh-CN"/>
        </w:rPr>
        <w:t>4</w:t>
      </w:r>
      <w:r>
        <w:rPr>
          <w:rFonts w:hint="eastAsia"/>
          <w:lang w:val="en-US" w:eastAsia="zh-CN"/>
        </w:rPr>
        <w:t>-Na或HCO</w:t>
      </w:r>
      <w:r>
        <w:rPr>
          <w:rFonts w:hint="eastAsia"/>
          <w:vertAlign w:val="subscript"/>
          <w:lang w:val="en-US" w:eastAsia="zh-CN"/>
        </w:rPr>
        <w:t>3</w:t>
      </w:r>
      <w:r>
        <w:rPr>
          <w:rFonts w:hint="eastAsia"/>
          <w:lang w:val="en-US" w:eastAsia="zh-CN"/>
        </w:rPr>
        <w:t>-Na型水。</w:t>
      </w:r>
    </w:p>
    <w:p w14:paraId="0FDD0C28">
      <w:pPr>
        <w:bidi w:val="0"/>
        <w:rPr>
          <w:rFonts w:hint="default"/>
          <w:lang w:val="en-US" w:eastAsia="zh-CN"/>
        </w:rPr>
      </w:pPr>
      <w:r>
        <w:rPr>
          <w:rFonts w:hint="eastAsia"/>
          <w:lang w:val="en-US" w:eastAsia="zh-CN"/>
        </w:rPr>
        <w:t>（二）地下水补、径、排特征</w:t>
      </w:r>
    </w:p>
    <w:p w14:paraId="47370EA3">
      <w:pPr>
        <w:bidi w:val="0"/>
        <w:rPr>
          <w:rFonts w:hint="eastAsia"/>
          <w:lang w:val="en-US" w:eastAsia="zh-CN"/>
        </w:rPr>
      </w:pPr>
      <w:r>
        <w:rPr>
          <w:rFonts w:hint="eastAsia"/>
          <w:lang w:val="en-US" w:eastAsia="zh-CN"/>
        </w:rPr>
        <w:t>（1）地下水的补给</w:t>
      </w:r>
    </w:p>
    <w:p w14:paraId="0388B3C1">
      <w:pPr>
        <w:bidi w:val="0"/>
        <w:rPr>
          <w:rFonts w:hint="eastAsia"/>
          <w:lang w:val="en-US" w:eastAsia="zh-CN"/>
        </w:rPr>
      </w:pPr>
      <w:r>
        <w:rPr>
          <w:rFonts w:hint="eastAsia"/>
          <w:lang w:val="en-US" w:eastAsia="zh-CN"/>
        </w:rPr>
        <w:t>本项目所在区域的地下水补给主要包括侧向径流补给、地表水的垂向入渗补给和大气降水渗入补给，其中地表水的垂向入渗补给包括渠道水和田间灌溉水渗入补给。</w:t>
      </w:r>
    </w:p>
    <w:p w14:paraId="1D363B6C">
      <w:pPr>
        <w:bidi w:val="0"/>
        <w:rPr>
          <w:rFonts w:hint="eastAsia"/>
          <w:lang w:val="en-US" w:eastAsia="zh-CN"/>
        </w:rPr>
      </w:pPr>
      <w:r>
        <w:rPr>
          <w:rFonts w:hint="eastAsia"/>
          <w:lang w:val="en-US" w:eastAsia="zh-CN"/>
        </w:rPr>
        <w:t>①地下水侧向流入补给</w:t>
      </w:r>
    </w:p>
    <w:p w14:paraId="41B51712">
      <w:pPr>
        <w:bidi w:val="0"/>
        <w:rPr>
          <w:rFonts w:hint="eastAsia"/>
          <w:lang w:val="en-US" w:eastAsia="zh-CN"/>
        </w:rPr>
      </w:pPr>
      <w:r>
        <w:rPr>
          <w:rFonts w:hint="eastAsia"/>
          <w:lang w:val="en-US" w:eastAsia="zh-CN"/>
        </w:rPr>
        <w:t>区域南界为地下水流入断面，断面以南为地貌上属冲洪积倾斜平原区的扇缘溢出带区。该地貌单元地层颗粒相对较粗，地层结构较为单一，渗透性较好。地下水在接受了大量补给后，受较大的水力坡度和较粗的含水层岩性的影响以径流形式侧向补给下游区。</w:t>
      </w:r>
    </w:p>
    <w:p w14:paraId="5050E3DA">
      <w:pPr>
        <w:bidi w:val="0"/>
        <w:rPr>
          <w:rFonts w:hint="eastAsia"/>
          <w:lang w:val="en-US" w:eastAsia="zh-CN"/>
        </w:rPr>
      </w:pPr>
      <w:r>
        <w:rPr>
          <w:rFonts w:hint="eastAsia"/>
          <w:lang w:val="en-US" w:eastAsia="zh-CN"/>
        </w:rPr>
        <w:t>②渠道水渗入补给</w:t>
      </w:r>
    </w:p>
    <w:p w14:paraId="2D6364FC">
      <w:pPr>
        <w:bidi w:val="0"/>
        <w:rPr>
          <w:rFonts w:hint="eastAsia"/>
          <w:lang w:val="en-US" w:eastAsia="zh-CN"/>
        </w:rPr>
      </w:pPr>
      <w:r>
        <w:rPr>
          <w:rFonts w:hint="eastAsia"/>
          <w:lang w:val="en-US" w:eastAsia="zh-CN"/>
        </w:rPr>
        <w:t>129团、一三零团一带，周边分布有耕地，另外还有三条输至下游水库及团场的大型过境引水干渠，由此形成测区各级渠道纵横交错的水系网，过境干渠及区内使用渠道总长度为数千公里。渠道防渗完好率仅占一半，干、支渠输水线路长，各渠床及渠堤土质多为粉土，各级渠系年引水量大，使渠道渗漏成为区内潜水及中浅微承压水主要的补给源。</w:t>
      </w:r>
    </w:p>
    <w:p w14:paraId="29911B6E">
      <w:pPr>
        <w:bidi w:val="0"/>
        <w:rPr>
          <w:rFonts w:hint="eastAsia"/>
          <w:lang w:val="en-US" w:eastAsia="zh-CN"/>
        </w:rPr>
      </w:pPr>
      <w:r>
        <w:rPr>
          <w:rFonts w:hint="eastAsia"/>
          <w:lang w:val="en-US" w:eastAsia="zh-CN"/>
        </w:rPr>
        <w:t>③田间灌溉水渗入补给</w:t>
      </w:r>
    </w:p>
    <w:p w14:paraId="2B0D6C15">
      <w:pPr>
        <w:bidi w:val="0"/>
        <w:rPr>
          <w:rFonts w:hint="eastAsia"/>
          <w:lang w:val="en-US" w:eastAsia="zh-CN"/>
        </w:rPr>
      </w:pPr>
      <w:r>
        <w:rPr>
          <w:rFonts w:hint="eastAsia"/>
          <w:lang w:val="en-US" w:eastAsia="zh-CN"/>
        </w:rPr>
        <w:t>区内耕作层多为粉土与粉细砂、粉质粘土交互沉积组成，渗透性较好。本区现状综合净灌定额相对较高，由此与耕作层及包气带良好的渗透性相结合，使田间灌溉水渗入条件较好，渗入量较为可观，成为地下水的主要补给源之一。</w:t>
      </w:r>
    </w:p>
    <w:p w14:paraId="1D6ABC58">
      <w:pPr>
        <w:bidi w:val="0"/>
        <w:rPr>
          <w:rFonts w:hint="eastAsia"/>
          <w:lang w:val="en-US" w:eastAsia="zh-CN"/>
        </w:rPr>
      </w:pPr>
      <w:r>
        <w:rPr>
          <w:rFonts w:hint="eastAsia"/>
          <w:lang w:val="en-US" w:eastAsia="zh-CN"/>
        </w:rPr>
        <w:t>④大气降水渗入补给</w:t>
      </w:r>
    </w:p>
    <w:p w14:paraId="22495604">
      <w:pPr>
        <w:bidi w:val="0"/>
        <w:rPr>
          <w:rFonts w:hint="eastAsia"/>
          <w:lang w:val="en-US" w:eastAsia="zh-CN"/>
        </w:rPr>
      </w:pPr>
      <w:r>
        <w:rPr>
          <w:rFonts w:hint="eastAsia"/>
          <w:lang w:val="en-US" w:eastAsia="zh-CN"/>
        </w:rPr>
        <w:t>区内地处内陆腹地，气候干旱，降水稀少，多年平均降水量仅为204.5mm，有效降雨量为135.3mm，虽对地下水有一定渗入补给，但补给量较少。</w:t>
      </w:r>
    </w:p>
    <w:p w14:paraId="3B7CBF16">
      <w:pPr>
        <w:bidi w:val="0"/>
        <w:rPr>
          <w:rFonts w:hint="eastAsia"/>
          <w:lang w:val="en-US" w:eastAsia="zh-CN"/>
        </w:rPr>
      </w:pPr>
      <w:r>
        <w:rPr>
          <w:rFonts w:hint="eastAsia"/>
          <w:lang w:val="en-US" w:eastAsia="zh-CN"/>
        </w:rPr>
        <w:t>（2）地下水径流</w:t>
      </w:r>
    </w:p>
    <w:p w14:paraId="32FF7148">
      <w:pPr>
        <w:bidi w:val="0"/>
        <w:rPr>
          <w:rFonts w:hint="eastAsia"/>
          <w:lang w:val="en-US" w:eastAsia="zh-CN"/>
        </w:rPr>
      </w:pPr>
      <w:r>
        <w:rPr>
          <w:rFonts w:hint="eastAsia"/>
          <w:lang w:val="en-US" w:eastAsia="zh-CN"/>
        </w:rPr>
        <w:t>地下水的径流条件主要受地形条件和含水层介质所控制。测区地形开阔，地势东南高、西北低，地形坡降1‰～2‰。含水介质以细砂和粉细砂为主，由南向北逐渐变细，但其总体在平面上径流条件相差不大。区内潜水和承压水主流方向基本一致，均为由南向北，稍偏西，总体来说区内地下水流场较为简单。</w:t>
      </w:r>
    </w:p>
    <w:p w14:paraId="5B1682E1">
      <w:pPr>
        <w:bidi w:val="0"/>
        <w:rPr>
          <w:rFonts w:hint="eastAsia"/>
          <w:lang w:val="en-US" w:eastAsia="zh-CN"/>
        </w:rPr>
      </w:pPr>
      <w:r>
        <w:rPr>
          <w:rFonts w:hint="eastAsia"/>
          <w:lang w:val="en-US" w:eastAsia="zh-CN"/>
        </w:rPr>
        <w:t>潜水由本区南部边界流入测区，南部水力坡度约为1‰，中东部由于受渠水、田灌水入渗及人工开采影响，地下水径流相对加强，水力坡度增大到2‰左右，至北部径流放缓，降为1‰左右。承压水径流因受开采强度影响，较潜水径流较快，但较为稳定，水力坡度平均为1.6‰。</w:t>
      </w:r>
    </w:p>
    <w:p w14:paraId="3DD3FE3C">
      <w:pPr>
        <w:bidi w:val="0"/>
        <w:rPr>
          <w:rFonts w:hint="eastAsia"/>
          <w:lang w:val="en-US" w:eastAsia="zh-CN"/>
        </w:rPr>
      </w:pPr>
      <w:r>
        <w:rPr>
          <w:rFonts w:hint="eastAsia"/>
          <w:lang w:val="en-US" w:eastAsia="zh-CN"/>
        </w:rPr>
        <w:t>（3）地下水的排泄</w:t>
      </w:r>
    </w:p>
    <w:p w14:paraId="00A52ABE">
      <w:pPr>
        <w:bidi w:val="0"/>
        <w:rPr>
          <w:rFonts w:hint="eastAsia"/>
          <w:lang w:val="en-US" w:eastAsia="zh-CN"/>
        </w:rPr>
      </w:pPr>
      <w:r>
        <w:rPr>
          <w:rFonts w:hint="eastAsia"/>
          <w:lang w:val="en-US" w:eastAsia="zh-CN"/>
        </w:rPr>
        <w:t>区内潜水的排泄方式有蒸发蒸腾、河沟排泄、排渠排泄、地下水侧向排泄及人工开采等，承压水则主要为地下水侧向排泄及人工开采。</w:t>
      </w:r>
    </w:p>
    <w:p w14:paraId="237B2CB1">
      <w:pPr>
        <w:bidi w:val="0"/>
        <w:rPr>
          <w:rFonts w:hint="eastAsia"/>
          <w:lang w:val="en-US" w:eastAsia="zh-CN"/>
        </w:rPr>
      </w:pPr>
      <w:r>
        <w:rPr>
          <w:rFonts w:hint="eastAsia"/>
          <w:lang w:val="en-US" w:eastAsia="zh-CN"/>
        </w:rPr>
        <w:t>本区水面多年蒸发量由奎屯气象站和车牌子气象站实测平均1758.7（E20）。区内部分地区潜水位埋深小于5m，因此，蒸发、蒸腾是本区地下水主要的排泄方式之一，同时，下游断面还存在地下侧向径流排泄。</w:t>
      </w:r>
    </w:p>
    <w:p w14:paraId="12956CD6">
      <w:pPr>
        <w:pStyle w:val="27"/>
        <w:bidi w:val="0"/>
        <w:rPr>
          <w:rFonts w:hint="default"/>
          <w:lang w:val="en-US" w:eastAsia="zh-CN"/>
        </w:rPr>
      </w:pPr>
      <w:r>
        <w:rPr>
          <w:rFonts w:hint="eastAsia"/>
          <w:lang w:val="en-US" w:eastAsia="zh-CN"/>
        </w:rPr>
        <w:t>土壤类型</w:t>
      </w:r>
    </w:p>
    <w:p w14:paraId="2D8F4646">
      <w:pPr>
        <w:bidi w:val="0"/>
        <w:rPr>
          <w:rFonts w:hint="eastAsia"/>
          <w:lang w:val="en-US" w:eastAsia="zh-CN"/>
        </w:rPr>
      </w:pPr>
      <w:r>
        <w:rPr>
          <w:rFonts w:hint="eastAsia"/>
          <w:lang w:val="en-US" w:eastAsia="zh-CN"/>
        </w:rPr>
        <w:t>第七师辖区内的土壤类型有潮土、草甸土、沼泽土、盐土、灰漠土、灰棕漠土、风沙土、土地草甸土、栗钙土、灰色森林土等，有10个土类、19个亚种、34个土属、68个土种。分布面积最大的为盐土，约占土地总面积的30%，其次是灰漠土，占17.9%，草甸土占15.71 %，潮土占12.04%，栗钙土占11.6%，其它类型所占比例较小。排水不畅的洪积冲击扇缘泉水溢出带的低洼处及爱兰湖畔主要为沼泽土；古尔图河洪积扇上部的砾质戈壁地段，多为灰棕漠土；海拔1800米以上的山地面积为土地草甸土。</w:t>
      </w:r>
    </w:p>
    <w:p w14:paraId="3F70401A">
      <w:pPr>
        <w:bidi w:val="0"/>
        <w:rPr>
          <w:rFonts w:hint="eastAsia"/>
          <w:lang w:val="en-US" w:eastAsia="zh-CN"/>
        </w:rPr>
      </w:pPr>
      <w:r>
        <w:rPr>
          <w:rFonts w:hint="eastAsia"/>
          <w:lang w:val="en-US" w:eastAsia="zh-CN"/>
        </w:rPr>
        <w:t>本项目所在区域的土壤类型主要为灰漠土、草甸土和盐土，土壤的有机质含量0.5-1%，全氮含量0.084-0.145%。土壤质地轻，宜耕性好，透水性适中，土层厚，自然肥力中等偏下，土壤容重一般在1.35g/cm</w:t>
      </w:r>
      <w:r>
        <w:rPr>
          <w:rFonts w:hint="eastAsia"/>
          <w:vertAlign w:val="superscript"/>
          <w:lang w:val="en-US" w:eastAsia="zh-CN"/>
        </w:rPr>
        <w:t>3</w:t>
      </w:r>
      <w:r>
        <w:rPr>
          <w:rFonts w:hint="eastAsia"/>
          <w:lang w:val="en-US" w:eastAsia="zh-CN"/>
        </w:rPr>
        <w:t>以上，松紧度在紧实以上，土壤结构差，板结严重，轻盐化土占87‰。</w:t>
      </w:r>
    </w:p>
    <w:p w14:paraId="5CE67A32">
      <w:pPr>
        <w:pStyle w:val="27"/>
        <w:bidi w:val="0"/>
        <w:rPr>
          <w:rFonts w:hint="default"/>
          <w:lang w:val="en-US" w:eastAsia="zh-CN"/>
        </w:rPr>
      </w:pPr>
      <w:r>
        <w:rPr>
          <w:rFonts w:hint="eastAsia"/>
          <w:lang w:val="en-US" w:eastAsia="zh-CN"/>
        </w:rPr>
        <w:t>动植物</w:t>
      </w:r>
    </w:p>
    <w:p w14:paraId="0C4B0749">
      <w:pPr>
        <w:bidi w:val="0"/>
        <w:rPr>
          <w:rFonts w:hint="default"/>
          <w:lang w:val="en-US" w:eastAsia="zh-CN"/>
        </w:rPr>
      </w:pPr>
      <w:r>
        <w:rPr>
          <w:rFonts w:hint="eastAsia"/>
          <w:lang w:val="en-US" w:eastAsia="zh-CN"/>
        </w:rPr>
        <w:t>（1）植物</w:t>
      </w:r>
    </w:p>
    <w:p w14:paraId="2478478E">
      <w:pPr>
        <w:bidi w:val="0"/>
        <w:rPr>
          <w:rFonts w:hint="eastAsia"/>
          <w:lang w:val="en-US" w:eastAsia="zh-CN"/>
        </w:rPr>
      </w:pPr>
      <w:r>
        <w:rPr>
          <w:rFonts w:hint="eastAsia"/>
          <w:lang w:val="en-US" w:eastAsia="zh-CN"/>
        </w:rPr>
        <w:t>依据《中国植被区划图》，本项目所在区域属于干旱荒漠带-温带荒漠区域-温带干旱半灌木、小乔木荒漠地带-准噶尔盆地小乔木、半灌木荒漠区。区域植被主要为沙漠植被和平原植被：沙漠植被有柽柳、沙拐枣、白刺、野枸杞、梭梭柴、铃铛刺等灌木外，骆驼刺、芨芨草、蒿属、碱蓬等矮生型植物；平原植被包括旱生性植被和草甸草本植被，旱生性植被多分布在未开垦的荒地和沙土上，主要有琵琶柴、柽柳、沙枣刺、铃铛刺、野枸杞、碱嵩、盐梭梭、骆驼刺、胖姑娘、碱灰藜、灯笼草、鸡眼草、白刺等。草甸草本植被分布在农田、渠道附近，受渠水浸润而生长旺。主要有芦苇、甘草、苦豆子、芨芨草、野蔷薇、灰灰草、苍耳、旋花草、奶子草等。</w:t>
      </w:r>
    </w:p>
    <w:p w14:paraId="5817EB43">
      <w:pPr>
        <w:bidi w:val="0"/>
        <w:rPr>
          <w:rFonts w:hint="default"/>
          <w:lang w:val="en-US" w:eastAsia="zh-CN"/>
        </w:rPr>
      </w:pPr>
      <w:r>
        <w:rPr>
          <w:rFonts w:hint="eastAsia"/>
          <w:lang w:val="en-US" w:eastAsia="zh-CN"/>
        </w:rPr>
        <w:t>（2）动物</w:t>
      </w:r>
    </w:p>
    <w:p w14:paraId="55AEA7CD">
      <w:pPr>
        <w:bidi w:val="0"/>
        <w:rPr>
          <w:rFonts w:hint="eastAsia"/>
          <w:lang w:val="en-US" w:eastAsia="zh-CN"/>
        </w:rPr>
      </w:pPr>
      <w:r>
        <w:rPr>
          <w:rFonts w:hint="eastAsia"/>
          <w:lang w:val="en-US" w:eastAsia="zh-CN"/>
        </w:rPr>
        <w:t>根据中国动物地理区划（张荣祖，1997，1999），本项目所在区域属古北界、中亚亚界、蒙新区、西部荒漠亚区、准噶尔盆地小区，其生境主要为荒漠区、工业分布区，常见野生动物为伴人种的鸟类和啮齿动物等，数量少，种类通常较单一，未见国家级、省级重点保护野生动物。主要有家燕、椋鸟、乌鸦、麻雀、灰仓鼠、小家鼠和褐家鼠等。</w:t>
      </w:r>
    </w:p>
    <w:p w14:paraId="4682B174">
      <w:pPr>
        <w:pStyle w:val="26"/>
        <w:bidi w:val="0"/>
        <w:rPr>
          <w:rFonts w:hint="default"/>
          <w:lang w:val="en-US" w:eastAsia="zh-CN"/>
        </w:rPr>
      </w:pPr>
      <w:bookmarkStart w:id="26" w:name="_Toc14745"/>
      <w:r>
        <w:rPr>
          <w:rFonts w:hint="eastAsia"/>
          <w:lang w:val="en-US" w:eastAsia="zh-CN"/>
        </w:rPr>
        <w:t>环境质量现状调查与评价</w:t>
      </w:r>
      <w:bookmarkEnd w:id="26"/>
    </w:p>
    <w:p w14:paraId="440EDE74">
      <w:pPr>
        <w:pStyle w:val="27"/>
        <w:bidi w:val="0"/>
        <w:rPr>
          <w:rFonts w:hint="default"/>
          <w:lang w:val="en-US" w:eastAsia="zh-CN"/>
        </w:rPr>
      </w:pPr>
      <w:r>
        <w:rPr>
          <w:rFonts w:hint="eastAsia"/>
          <w:lang w:val="en-US" w:eastAsia="zh-CN"/>
        </w:rPr>
        <w:t>环境空气质量现状调查与评价</w:t>
      </w:r>
    </w:p>
    <w:p w14:paraId="7E672CCD">
      <w:pPr>
        <w:pStyle w:val="28"/>
        <w:bidi w:val="0"/>
        <w:rPr>
          <w:rFonts w:hint="eastAsia"/>
          <w:lang w:val="en-US" w:eastAsia="zh-CN"/>
        </w:rPr>
      </w:pPr>
      <w:r>
        <w:rPr>
          <w:rFonts w:hint="eastAsia"/>
        </w:rPr>
        <w:t>区域环境空气质量达标性判定</w:t>
      </w:r>
    </w:p>
    <w:p w14:paraId="78D16286">
      <w:pPr>
        <w:ind w:firstLine="480"/>
      </w:pPr>
      <w:r>
        <w:rPr>
          <w:rFonts w:hint="eastAsia"/>
        </w:rPr>
        <w:t>根据</w:t>
      </w:r>
      <w:r>
        <w:rPr>
          <w:rFonts w:hint="eastAsia"/>
          <w:bCs/>
        </w:rPr>
        <w:t>《环境影响评价技术导则大气环境》（</w:t>
      </w:r>
      <w:r>
        <w:rPr>
          <w:bCs/>
        </w:rPr>
        <w:t>HJ2.2-2018</w:t>
      </w:r>
      <w:r>
        <w:rPr>
          <w:rFonts w:hint="eastAsia"/>
          <w:bCs/>
        </w:rPr>
        <w:t>）规定：“6.4.1.1城市环境空气质量达标情况评价指标为</w:t>
      </w:r>
      <w:r>
        <w:rPr>
          <w:bCs/>
        </w:rPr>
        <w:t>SO</w:t>
      </w:r>
      <w:r>
        <w:rPr>
          <w:bCs/>
          <w:vertAlign w:val="subscript"/>
        </w:rPr>
        <w:t>2</w:t>
      </w:r>
      <w:r>
        <w:rPr>
          <w:rFonts w:hint="eastAsia"/>
          <w:bCs/>
        </w:rPr>
        <w:t>、</w:t>
      </w:r>
      <w:r>
        <w:rPr>
          <w:bCs/>
        </w:rPr>
        <w:t>NO</w:t>
      </w:r>
      <w:r>
        <w:rPr>
          <w:bCs/>
          <w:vertAlign w:val="subscript"/>
        </w:rPr>
        <w:t>2</w:t>
      </w:r>
      <w:r>
        <w:rPr>
          <w:rFonts w:hint="eastAsia"/>
          <w:bCs/>
        </w:rPr>
        <w:t>、</w:t>
      </w:r>
      <w:r>
        <w:rPr>
          <w:bCs/>
        </w:rPr>
        <w:t>PM</w:t>
      </w:r>
      <w:r>
        <w:rPr>
          <w:bCs/>
          <w:vertAlign w:val="subscript"/>
        </w:rPr>
        <w:t>10</w:t>
      </w:r>
      <w:r>
        <w:rPr>
          <w:rFonts w:hint="eastAsia"/>
          <w:bCs/>
        </w:rPr>
        <w:t>、</w:t>
      </w:r>
      <w:r>
        <w:rPr>
          <w:bCs/>
        </w:rPr>
        <w:t>PM</w:t>
      </w:r>
      <w:r>
        <w:rPr>
          <w:bCs/>
          <w:vertAlign w:val="subscript"/>
        </w:rPr>
        <w:t>2.5</w:t>
      </w:r>
      <w:r>
        <w:rPr>
          <w:rFonts w:hint="eastAsia"/>
          <w:bCs/>
        </w:rPr>
        <w:t>、</w:t>
      </w:r>
      <w:r>
        <w:rPr>
          <w:bCs/>
        </w:rPr>
        <w:t>CO</w:t>
      </w:r>
      <w:r>
        <w:rPr>
          <w:rFonts w:hint="eastAsia"/>
          <w:bCs/>
        </w:rPr>
        <w:t>和</w:t>
      </w:r>
      <w:r>
        <w:rPr>
          <w:bCs/>
        </w:rPr>
        <w:t>O</w:t>
      </w:r>
      <w:r>
        <w:rPr>
          <w:bCs/>
          <w:vertAlign w:val="subscript"/>
        </w:rPr>
        <w:t>3</w:t>
      </w:r>
      <w:r>
        <w:rPr>
          <w:rFonts w:hint="eastAsia"/>
          <w:bCs/>
        </w:rPr>
        <w:t>，六项污染物全部达标即为城市环境空气质量达标”。“对于基本污染物环境质量现状数据，项目所在区域达标判定，优先采用国家或地方生态环境主管部门公开发布的评价基准年环境质量公告或环境质量报告中的数据或结论。”</w:t>
      </w:r>
    </w:p>
    <w:p w14:paraId="5386E0FD">
      <w:pPr>
        <w:ind w:firstLine="480"/>
      </w:pPr>
      <w:r>
        <w:rPr>
          <w:rFonts w:hint="eastAsia"/>
          <w:bCs/>
        </w:rPr>
        <w:t>鉴于胡杨河市区域内无环境空气质量区控点数据，</w:t>
      </w:r>
      <w:r>
        <w:rPr>
          <w:bCs/>
        </w:rPr>
        <w:t>本次评价选用距离项目最近的环境空气质量监测点</w:t>
      </w:r>
      <w:r>
        <w:rPr>
          <w:rFonts w:hint="eastAsia"/>
          <w:bCs/>
        </w:rPr>
        <w:t>（</w:t>
      </w:r>
      <w:r>
        <w:rPr>
          <w:bCs/>
        </w:rPr>
        <w:t>克拉玛依市独山子区站点</w:t>
      </w:r>
      <w:r>
        <w:rPr>
          <w:rFonts w:hint="eastAsia"/>
          <w:bCs/>
        </w:rPr>
        <w:t>）</w:t>
      </w:r>
      <w:r>
        <w:rPr>
          <w:bCs/>
        </w:rPr>
        <w:t>。本次评价选取距离项目最近的克拉玛依市独山子区监测站点2022年</w:t>
      </w:r>
      <w:r>
        <w:rPr>
          <w:rFonts w:hint="eastAsia"/>
          <w:bCs/>
        </w:rPr>
        <w:t>（202</w:t>
      </w:r>
      <w:r>
        <w:rPr>
          <w:bCs/>
        </w:rPr>
        <w:t>2</w:t>
      </w:r>
      <w:r>
        <w:rPr>
          <w:rFonts w:hint="eastAsia"/>
          <w:bCs/>
        </w:rPr>
        <w:t>.1.1～202</w:t>
      </w:r>
      <w:r>
        <w:rPr>
          <w:bCs/>
        </w:rPr>
        <w:t>2</w:t>
      </w:r>
      <w:r>
        <w:rPr>
          <w:rFonts w:hint="eastAsia"/>
          <w:bCs/>
        </w:rPr>
        <w:t>.12.31）</w:t>
      </w:r>
      <w:r>
        <w:rPr>
          <w:bCs/>
        </w:rPr>
        <w:t>的监测数据作为环境空气现状评价</w:t>
      </w:r>
      <w:r>
        <w:rPr>
          <w:rFonts w:hint="eastAsia"/>
          <w:bCs/>
        </w:rPr>
        <w:t>。</w:t>
      </w:r>
      <w:r>
        <w:rPr>
          <w:rFonts w:hint="eastAsia"/>
        </w:rPr>
        <w:t>区域</w:t>
      </w:r>
      <w:r>
        <w:rPr>
          <w:bCs/>
        </w:rPr>
        <w:t>环境空气质量现状评价结果见</w:t>
      </w:r>
      <w:r>
        <w:rPr>
          <w:rFonts w:hint="eastAsia"/>
          <w:bCs/>
        </w:rPr>
        <w:t>表4</w:t>
      </w:r>
      <w:r>
        <w:rPr>
          <w:bCs/>
        </w:rPr>
        <w:t>.</w:t>
      </w:r>
      <w:r>
        <w:rPr>
          <w:rFonts w:hint="eastAsia"/>
          <w:bCs/>
          <w:lang w:val="en-US" w:eastAsia="zh-CN"/>
        </w:rPr>
        <w:t>2</w:t>
      </w:r>
      <w:r>
        <w:rPr>
          <w:bCs/>
        </w:rPr>
        <w:t>-1</w:t>
      </w:r>
      <w:r>
        <w:rPr>
          <w:rFonts w:hint="eastAsia"/>
          <w:bCs/>
        </w:rPr>
        <w:t>。</w:t>
      </w:r>
    </w:p>
    <w:p w14:paraId="3FFC7389">
      <w:pPr>
        <w:pStyle w:val="30"/>
        <w:bidi w:val="0"/>
      </w:pPr>
      <w:r>
        <w:rPr>
          <w:rFonts w:hint="eastAsia"/>
        </w:rPr>
        <w:t>表4</w:t>
      </w:r>
      <w:r>
        <w:t>.</w:t>
      </w:r>
      <w:r>
        <w:rPr>
          <w:rFonts w:hint="eastAsia"/>
          <w:lang w:val="en-US" w:eastAsia="zh-CN"/>
        </w:rPr>
        <w:t>2</w:t>
      </w:r>
      <w:r>
        <w:t xml:space="preserve">-1   </w:t>
      </w:r>
      <w:r>
        <w:rPr>
          <w:rFonts w:hint="eastAsia"/>
        </w:rPr>
        <w:t xml:space="preserve">区域空气质量现状评价表 </w:t>
      </w:r>
      <w:r>
        <w:t xml:space="preserve">  </w:t>
      </w:r>
      <w:r>
        <w:rPr>
          <w:rFonts w:hint="eastAsia"/>
        </w:rPr>
        <w:t>单位：</w:t>
      </w:r>
      <w:r>
        <w:t>μg/</w:t>
      </w:r>
      <w:r>
        <w:rPr>
          <w:rFonts w:hint="eastAsia"/>
        </w:rPr>
        <w:t>m</w:t>
      </w:r>
      <w:r>
        <w:rPr>
          <w:vertAlign w:val="superscript"/>
        </w:rPr>
        <w:t>3</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Layout w:type="autofit"/>
        <w:tblCellMar>
          <w:top w:w="0" w:type="dxa"/>
          <w:left w:w="57" w:type="dxa"/>
          <w:bottom w:w="0" w:type="dxa"/>
          <w:right w:w="57" w:type="dxa"/>
        </w:tblCellMar>
      </w:tblPr>
      <w:tblGrid>
        <w:gridCol w:w="879"/>
        <w:gridCol w:w="4062"/>
        <w:gridCol w:w="941"/>
        <w:gridCol w:w="941"/>
        <w:gridCol w:w="941"/>
        <w:gridCol w:w="653"/>
      </w:tblGrid>
      <w:tr w14:paraId="0AC32EF6">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tcBorders>
              <w:tl2br w:val="nil"/>
              <w:tr2bl w:val="nil"/>
            </w:tcBorders>
            <w:shd w:val="clear" w:color="auto" w:fill="auto"/>
            <w:vAlign w:val="center"/>
          </w:tcPr>
          <w:p w14:paraId="0901C622">
            <w:pPr>
              <w:pStyle w:val="19"/>
            </w:pPr>
            <w:r>
              <w:t>污染物</w:t>
            </w:r>
          </w:p>
        </w:tc>
        <w:tc>
          <w:tcPr>
            <w:tcW w:w="2412" w:type="pct"/>
            <w:tcBorders>
              <w:tl2br w:val="nil"/>
              <w:tr2bl w:val="nil"/>
            </w:tcBorders>
            <w:shd w:val="clear" w:color="auto" w:fill="auto"/>
            <w:vAlign w:val="center"/>
          </w:tcPr>
          <w:p w14:paraId="4E50CABD">
            <w:pPr>
              <w:pStyle w:val="19"/>
            </w:pPr>
            <w:r>
              <w:t>年评价指标</w:t>
            </w:r>
          </w:p>
        </w:tc>
        <w:tc>
          <w:tcPr>
            <w:tcW w:w="559" w:type="pct"/>
            <w:tcBorders>
              <w:tl2br w:val="nil"/>
              <w:tr2bl w:val="nil"/>
            </w:tcBorders>
            <w:shd w:val="clear" w:color="auto" w:fill="auto"/>
            <w:vAlign w:val="center"/>
          </w:tcPr>
          <w:p w14:paraId="43C749E6">
            <w:pPr>
              <w:pStyle w:val="19"/>
            </w:pPr>
            <w:r>
              <w:t>现状浓度</w:t>
            </w:r>
          </w:p>
        </w:tc>
        <w:tc>
          <w:tcPr>
            <w:tcW w:w="559" w:type="pct"/>
            <w:tcBorders>
              <w:tl2br w:val="nil"/>
              <w:tr2bl w:val="nil"/>
            </w:tcBorders>
            <w:shd w:val="clear" w:color="auto" w:fill="auto"/>
            <w:vAlign w:val="center"/>
          </w:tcPr>
          <w:p w14:paraId="0DE80892">
            <w:pPr>
              <w:pStyle w:val="19"/>
            </w:pPr>
            <w:r>
              <w:t>标准限值</w:t>
            </w:r>
          </w:p>
        </w:tc>
        <w:tc>
          <w:tcPr>
            <w:tcW w:w="559" w:type="pct"/>
            <w:tcBorders>
              <w:tl2br w:val="nil"/>
              <w:tr2bl w:val="nil"/>
            </w:tcBorders>
            <w:shd w:val="clear" w:color="auto" w:fill="auto"/>
            <w:vAlign w:val="center"/>
          </w:tcPr>
          <w:p w14:paraId="2285A24F">
            <w:pPr>
              <w:pStyle w:val="19"/>
            </w:pPr>
            <w:r>
              <w:t>占标率/%</w:t>
            </w:r>
          </w:p>
        </w:tc>
        <w:tc>
          <w:tcPr>
            <w:tcW w:w="387" w:type="pct"/>
            <w:tcBorders>
              <w:tl2br w:val="nil"/>
              <w:tr2bl w:val="nil"/>
            </w:tcBorders>
            <w:shd w:val="clear" w:color="auto" w:fill="auto"/>
            <w:vAlign w:val="center"/>
          </w:tcPr>
          <w:p w14:paraId="0132EBF9">
            <w:pPr>
              <w:pStyle w:val="19"/>
            </w:pPr>
            <w:r>
              <w:t>达标</w:t>
            </w:r>
          </w:p>
          <w:p w14:paraId="33897AA8">
            <w:pPr>
              <w:pStyle w:val="19"/>
            </w:pPr>
            <w:r>
              <w:t>情况</w:t>
            </w:r>
          </w:p>
        </w:tc>
      </w:tr>
      <w:tr w14:paraId="51E5AA93">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restart"/>
            <w:tcBorders>
              <w:tl2br w:val="nil"/>
              <w:tr2bl w:val="nil"/>
            </w:tcBorders>
            <w:shd w:val="clear" w:color="auto" w:fill="auto"/>
            <w:vAlign w:val="center"/>
          </w:tcPr>
          <w:p w14:paraId="6132ECAD">
            <w:pPr>
              <w:pStyle w:val="19"/>
            </w:pPr>
            <w:r>
              <w:t>SO</w:t>
            </w:r>
            <w:r>
              <w:rPr>
                <w:vertAlign w:val="subscript"/>
              </w:rPr>
              <w:t>2</w:t>
            </w:r>
          </w:p>
        </w:tc>
        <w:tc>
          <w:tcPr>
            <w:tcW w:w="2412" w:type="pct"/>
            <w:tcBorders>
              <w:tl2br w:val="nil"/>
              <w:tr2bl w:val="nil"/>
            </w:tcBorders>
            <w:shd w:val="clear" w:color="auto" w:fill="auto"/>
            <w:vAlign w:val="center"/>
          </w:tcPr>
          <w:p w14:paraId="1B011A36">
            <w:pPr>
              <w:pStyle w:val="19"/>
            </w:pPr>
            <w:r>
              <w:t>年平均浓度</w:t>
            </w:r>
          </w:p>
        </w:tc>
        <w:tc>
          <w:tcPr>
            <w:tcW w:w="559" w:type="pct"/>
            <w:tcBorders>
              <w:tl2br w:val="nil"/>
              <w:tr2bl w:val="nil"/>
            </w:tcBorders>
            <w:shd w:val="clear" w:color="auto" w:fill="auto"/>
            <w:vAlign w:val="center"/>
          </w:tcPr>
          <w:p w14:paraId="0DB5666E">
            <w:pPr>
              <w:pStyle w:val="19"/>
            </w:pPr>
            <w:r>
              <w:t>7</w:t>
            </w:r>
          </w:p>
        </w:tc>
        <w:tc>
          <w:tcPr>
            <w:tcW w:w="559" w:type="pct"/>
            <w:tcBorders>
              <w:tl2br w:val="nil"/>
              <w:tr2bl w:val="nil"/>
            </w:tcBorders>
            <w:shd w:val="clear" w:color="auto" w:fill="auto"/>
            <w:vAlign w:val="center"/>
          </w:tcPr>
          <w:p w14:paraId="5AE73A71">
            <w:pPr>
              <w:pStyle w:val="19"/>
            </w:pPr>
            <w:r>
              <w:t>60</w:t>
            </w:r>
          </w:p>
        </w:tc>
        <w:tc>
          <w:tcPr>
            <w:tcW w:w="559" w:type="pct"/>
            <w:tcBorders>
              <w:tl2br w:val="nil"/>
              <w:tr2bl w:val="nil"/>
            </w:tcBorders>
            <w:shd w:val="clear" w:color="auto" w:fill="auto"/>
            <w:vAlign w:val="center"/>
          </w:tcPr>
          <w:p w14:paraId="3AD5DD1F">
            <w:pPr>
              <w:pStyle w:val="19"/>
            </w:pPr>
            <w:r>
              <w:t>11.67</w:t>
            </w:r>
          </w:p>
        </w:tc>
        <w:tc>
          <w:tcPr>
            <w:tcW w:w="387" w:type="pct"/>
            <w:tcBorders>
              <w:tl2br w:val="nil"/>
              <w:tr2bl w:val="nil"/>
            </w:tcBorders>
            <w:shd w:val="clear" w:color="auto" w:fill="auto"/>
            <w:vAlign w:val="center"/>
          </w:tcPr>
          <w:p w14:paraId="5BF5FBB5">
            <w:pPr>
              <w:pStyle w:val="19"/>
            </w:pPr>
            <w:r>
              <w:t>达标</w:t>
            </w:r>
          </w:p>
        </w:tc>
      </w:tr>
      <w:tr w14:paraId="7520615B">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continue"/>
            <w:tcBorders>
              <w:tl2br w:val="nil"/>
              <w:tr2bl w:val="nil"/>
            </w:tcBorders>
            <w:shd w:val="clear" w:color="auto" w:fill="auto"/>
            <w:vAlign w:val="center"/>
          </w:tcPr>
          <w:p w14:paraId="72293D7A">
            <w:pPr>
              <w:pStyle w:val="19"/>
            </w:pPr>
          </w:p>
        </w:tc>
        <w:tc>
          <w:tcPr>
            <w:tcW w:w="2412" w:type="pct"/>
            <w:tcBorders>
              <w:tl2br w:val="nil"/>
              <w:tr2bl w:val="nil"/>
            </w:tcBorders>
            <w:shd w:val="clear" w:color="auto" w:fill="auto"/>
            <w:vAlign w:val="center"/>
          </w:tcPr>
          <w:p w14:paraId="74B3A2BD">
            <w:pPr>
              <w:pStyle w:val="19"/>
            </w:pPr>
            <w:r>
              <w:rPr>
                <w:rFonts w:hint="eastAsia"/>
              </w:rPr>
              <w:t>2</w:t>
            </w:r>
            <w:r>
              <w:t>4</w:t>
            </w:r>
            <w:r>
              <w:rPr>
                <w:rFonts w:hint="eastAsia"/>
              </w:rPr>
              <w:t>小时</w:t>
            </w:r>
            <w:r>
              <w:t>平均</w:t>
            </w:r>
            <w:r>
              <w:rPr>
                <w:rFonts w:hint="eastAsia"/>
              </w:rPr>
              <w:t>第9</w:t>
            </w:r>
            <w:r>
              <w:t>8百分位</w:t>
            </w:r>
            <w:r>
              <w:rPr>
                <w:rFonts w:hint="eastAsia"/>
              </w:rPr>
              <w:t>数</w:t>
            </w:r>
          </w:p>
        </w:tc>
        <w:tc>
          <w:tcPr>
            <w:tcW w:w="559" w:type="pct"/>
            <w:tcBorders>
              <w:tl2br w:val="nil"/>
              <w:tr2bl w:val="nil"/>
            </w:tcBorders>
            <w:shd w:val="clear" w:color="auto" w:fill="auto"/>
            <w:vAlign w:val="center"/>
          </w:tcPr>
          <w:p w14:paraId="06A9F685">
            <w:pPr>
              <w:pStyle w:val="19"/>
            </w:pPr>
            <w:r>
              <w:t>11</w:t>
            </w:r>
          </w:p>
        </w:tc>
        <w:tc>
          <w:tcPr>
            <w:tcW w:w="559" w:type="pct"/>
            <w:tcBorders>
              <w:tl2br w:val="nil"/>
              <w:tr2bl w:val="nil"/>
            </w:tcBorders>
            <w:shd w:val="clear" w:color="auto" w:fill="auto"/>
            <w:vAlign w:val="center"/>
          </w:tcPr>
          <w:p w14:paraId="17845B16">
            <w:pPr>
              <w:pStyle w:val="19"/>
            </w:pPr>
            <w:r>
              <w:t>150</w:t>
            </w:r>
          </w:p>
        </w:tc>
        <w:tc>
          <w:tcPr>
            <w:tcW w:w="559" w:type="pct"/>
            <w:tcBorders>
              <w:tl2br w:val="nil"/>
              <w:tr2bl w:val="nil"/>
            </w:tcBorders>
            <w:shd w:val="clear" w:color="auto" w:fill="auto"/>
            <w:vAlign w:val="center"/>
          </w:tcPr>
          <w:p w14:paraId="008E818C">
            <w:pPr>
              <w:pStyle w:val="19"/>
            </w:pPr>
            <w:r>
              <w:t>7.33</w:t>
            </w:r>
          </w:p>
        </w:tc>
        <w:tc>
          <w:tcPr>
            <w:tcW w:w="387" w:type="pct"/>
            <w:tcBorders>
              <w:tl2br w:val="nil"/>
              <w:tr2bl w:val="nil"/>
            </w:tcBorders>
            <w:shd w:val="clear" w:color="auto" w:fill="auto"/>
            <w:vAlign w:val="center"/>
          </w:tcPr>
          <w:p w14:paraId="180301A2">
            <w:pPr>
              <w:pStyle w:val="19"/>
            </w:pPr>
            <w:r>
              <w:rPr>
                <w:rFonts w:hint="eastAsia"/>
              </w:rPr>
              <w:t>达标</w:t>
            </w:r>
          </w:p>
        </w:tc>
      </w:tr>
      <w:tr w14:paraId="4AEF72B1">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restart"/>
            <w:tcBorders>
              <w:tl2br w:val="nil"/>
              <w:tr2bl w:val="nil"/>
            </w:tcBorders>
            <w:shd w:val="clear" w:color="auto" w:fill="auto"/>
            <w:noWrap/>
            <w:vAlign w:val="center"/>
          </w:tcPr>
          <w:p w14:paraId="58375741">
            <w:pPr>
              <w:pStyle w:val="19"/>
            </w:pPr>
            <w:r>
              <w:t>NO</w:t>
            </w:r>
            <w:r>
              <w:rPr>
                <w:vertAlign w:val="subscript"/>
              </w:rPr>
              <w:t>2</w:t>
            </w:r>
          </w:p>
        </w:tc>
        <w:tc>
          <w:tcPr>
            <w:tcW w:w="2412" w:type="pct"/>
            <w:tcBorders>
              <w:tl2br w:val="nil"/>
              <w:tr2bl w:val="nil"/>
            </w:tcBorders>
            <w:shd w:val="clear" w:color="auto" w:fill="auto"/>
            <w:noWrap/>
            <w:vAlign w:val="center"/>
          </w:tcPr>
          <w:p w14:paraId="2CDEA95A">
            <w:pPr>
              <w:pStyle w:val="19"/>
            </w:pPr>
            <w:r>
              <w:t>年平均浓度</w:t>
            </w:r>
          </w:p>
        </w:tc>
        <w:tc>
          <w:tcPr>
            <w:tcW w:w="559" w:type="pct"/>
            <w:tcBorders>
              <w:tl2br w:val="nil"/>
              <w:tr2bl w:val="nil"/>
            </w:tcBorders>
            <w:shd w:val="clear" w:color="auto" w:fill="auto"/>
            <w:noWrap/>
            <w:vAlign w:val="center"/>
          </w:tcPr>
          <w:p w14:paraId="016B8707">
            <w:pPr>
              <w:pStyle w:val="19"/>
            </w:pPr>
            <w:r>
              <w:t>20</w:t>
            </w:r>
          </w:p>
        </w:tc>
        <w:tc>
          <w:tcPr>
            <w:tcW w:w="559" w:type="pct"/>
            <w:tcBorders>
              <w:tl2br w:val="nil"/>
              <w:tr2bl w:val="nil"/>
            </w:tcBorders>
            <w:shd w:val="clear" w:color="auto" w:fill="auto"/>
            <w:noWrap/>
            <w:vAlign w:val="center"/>
          </w:tcPr>
          <w:p w14:paraId="53AB1E8B">
            <w:pPr>
              <w:pStyle w:val="19"/>
            </w:pPr>
            <w:r>
              <w:t>40</w:t>
            </w:r>
          </w:p>
        </w:tc>
        <w:tc>
          <w:tcPr>
            <w:tcW w:w="559" w:type="pct"/>
            <w:tcBorders>
              <w:tl2br w:val="nil"/>
              <w:tr2bl w:val="nil"/>
            </w:tcBorders>
            <w:shd w:val="clear" w:color="auto" w:fill="auto"/>
            <w:noWrap/>
            <w:vAlign w:val="center"/>
          </w:tcPr>
          <w:p w14:paraId="76B41454">
            <w:pPr>
              <w:pStyle w:val="19"/>
            </w:pPr>
            <w:r>
              <w:t>50.0</w:t>
            </w:r>
          </w:p>
        </w:tc>
        <w:tc>
          <w:tcPr>
            <w:tcW w:w="387" w:type="pct"/>
            <w:tcBorders>
              <w:tl2br w:val="nil"/>
              <w:tr2bl w:val="nil"/>
            </w:tcBorders>
            <w:shd w:val="clear" w:color="auto" w:fill="auto"/>
            <w:noWrap/>
            <w:vAlign w:val="center"/>
          </w:tcPr>
          <w:p w14:paraId="535DA845">
            <w:pPr>
              <w:pStyle w:val="19"/>
            </w:pPr>
            <w:r>
              <w:t>达标</w:t>
            </w:r>
          </w:p>
        </w:tc>
      </w:tr>
      <w:tr w14:paraId="6FCCCBDD">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continue"/>
            <w:tcBorders>
              <w:tl2br w:val="nil"/>
              <w:tr2bl w:val="nil"/>
            </w:tcBorders>
            <w:shd w:val="clear" w:color="auto" w:fill="auto"/>
            <w:vAlign w:val="center"/>
          </w:tcPr>
          <w:p w14:paraId="7EF012A0">
            <w:pPr>
              <w:pStyle w:val="19"/>
            </w:pPr>
          </w:p>
        </w:tc>
        <w:tc>
          <w:tcPr>
            <w:tcW w:w="2412" w:type="pct"/>
            <w:tcBorders>
              <w:tl2br w:val="nil"/>
              <w:tr2bl w:val="nil"/>
            </w:tcBorders>
            <w:shd w:val="clear" w:color="auto" w:fill="auto"/>
            <w:noWrap/>
            <w:vAlign w:val="center"/>
          </w:tcPr>
          <w:p w14:paraId="36E5B65C">
            <w:pPr>
              <w:pStyle w:val="19"/>
            </w:pPr>
            <w:r>
              <w:rPr>
                <w:rFonts w:hint="eastAsia"/>
              </w:rPr>
              <w:t>2</w:t>
            </w:r>
            <w:r>
              <w:t>4</w:t>
            </w:r>
            <w:r>
              <w:rPr>
                <w:rFonts w:hint="eastAsia"/>
              </w:rPr>
              <w:t>小时</w:t>
            </w:r>
            <w:r>
              <w:t>平均</w:t>
            </w:r>
            <w:r>
              <w:rPr>
                <w:rFonts w:hint="eastAsia"/>
              </w:rPr>
              <w:t>第9</w:t>
            </w:r>
            <w:r>
              <w:t>8百分位</w:t>
            </w:r>
            <w:r>
              <w:rPr>
                <w:rFonts w:hint="eastAsia"/>
              </w:rPr>
              <w:t>数</w:t>
            </w:r>
          </w:p>
        </w:tc>
        <w:tc>
          <w:tcPr>
            <w:tcW w:w="559" w:type="pct"/>
            <w:tcBorders>
              <w:tl2br w:val="nil"/>
              <w:tr2bl w:val="nil"/>
            </w:tcBorders>
            <w:shd w:val="clear" w:color="auto" w:fill="auto"/>
            <w:noWrap/>
            <w:vAlign w:val="center"/>
          </w:tcPr>
          <w:p w14:paraId="685416D4">
            <w:pPr>
              <w:pStyle w:val="19"/>
            </w:pPr>
            <w:r>
              <w:t>59.72</w:t>
            </w:r>
          </w:p>
        </w:tc>
        <w:tc>
          <w:tcPr>
            <w:tcW w:w="559" w:type="pct"/>
            <w:tcBorders>
              <w:tl2br w:val="nil"/>
              <w:tr2bl w:val="nil"/>
            </w:tcBorders>
            <w:shd w:val="clear" w:color="auto" w:fill="auto"/>
            <w:noWrap/>
            <w:vAlign w:val="center"/>
          </w:tcPr>
          <w:p w14:paraId="61BDE919">
            <w:pPr>
              <w:pStyle w:val="19"/>
            </w:pPr>
            <w:r>
              <w:t>80</w:t>
            </w:r>
          </w:p>
        </w:tc>
        <w:tc>
          <w:tcPr>
            <w:tcW w:w="559" w:type="pct"/>
            <w:tcBorders>
              <w:tl2br w:val="nil"/>
              <w:tr2bl w:val="nil"/>
            </w:tcBorders>
            <w:shd w:val="clear" w:color="auto" w:fill="auto"/>
            <w:noWrap/>
            <w:vAlign w:val="center"/>
          </w:tcPr>
          <w:p w14:paraId="36FC2BCA">
            <w:pPr>
              <w:pStyle w:val="19"/>
            </w:pPr>
            <w:r>
              <w:t>74.65</w:t>
            </w:r>
          </w:p>
        </w:tc>
        <w:tc>
          <w:tcPr>
            <w:tcW w:w="387" w:type="pct"/>
            <w:tcBorders>
              <w:tl2br w:val="nil"/>
              <w:tr2bl w:val="nil"/>
            </w:tcBorders>
            <w:shd w:val="clear" w:color="auto" w:fill="auto"/>
            <w:noWrap/>
            <w:vAlign w:val="center"/>
          </w:tcPr>
          <w:p w14:paraId="3437EED9">
            <w:pPr>
              <w:pStyle w:val="19"/>
            </w:pPr>
            <w:r>
              <w:rPr>
                <w:rFonts w:hint="eastAsia"/>
              </w:rPr>
              <w:t>达标</w:t>
            </w:r>
          </w:p>
        </w:tc>
      </w:tr>
      <w:tr w14:paraId="460474EC">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restart"/>
            <w:tcBorders>
              <w:tl2br w:val="nil"/>
              <w:tr2bl w:val="nil"/>
            </w:tcBorders>
            <w:shd w:val="clear" w:color="auto" w:fill="auto"/>
            <w:noWrap/>
            <w:vAlign w:val="center"/>
          </w:tcPr>
          <w:p w14:paraId="21C5ED06">
            <w:pPr>
              <w:pStyle w:val="19"/>
            </w:pPr>
            <w:r>
              <w:t>PM</w:t>
            </w:r>
            <w:r>
              <w:rPr>
                <w:vertAlign w:val="subscript"/>
              </w:rPr>
              <w:t>10</w:t>
            </w:r>
          </w:p>
        </w:tc>
        <w:tc>
          <w:tcPr>
            <w:tcW w:w="2412" w:type="pct"/>
            <w:tcBorders>
              <w:tl2br w:val="nil"/>
              <w:tr2bl w:val="nil"/>
            </w:tcBorders>
            <w:shd w:val="clear" w:color="auto" w:fill="auto"/>
            <w:noWrap/>
            <w:vAlign w:val="center"/>
          </w:tcPr>
          <w:p w14:paraId="08807004">
            <w:pPr>
              <w:pStyle w:val="19"/>
            </w:pPr>
            <w:r>
              <w:t>年平均浓度</w:t>
            </w:r>
          </w:p>
        </w:tc>
        <w:tc>
          <w:tcPr>
            <w:tcW w:w="559" w:type="pct"/>
            <w:tcBorders>
              <w:tl2br w:val="nil"/>
              <w:tr2bl w:val="nil"/>
            </w:tcBorders>
            <w:shd w:val="clear" w:color="auto" w:fill="auto"/>
            <w:noWrap/>
            <w:vAlign w:val="center"/>
          </w:tcPr>
          <w:p w14:paraId="281C2DBF">
            <w:pPr>
              <w:pStyle w:val="19"/>
            </w:pPr>
            <w:r>
              <w:t>50</w:t>
            </w:r>
          </w:p>
        </w:tc>
        <w:tc>
          <w:tcPr>
            <w:tcW w:w="559" w:type="pct"/>
            <w:tcBorders>
              <w:tl2br w:val="nil"/>
              <w:tr2bl w:val="nil"/>
            </w:tcBorders>
            <w:shd w:val="clear" w:color="auto" w:fill="auto"/>
            <w:noWrap/>
            <w:vAlign w:val="center"/>
          </w:tcPr>
          <w:p w14:paraId="7ED34C8C">
            <w:pPr>
              <w:pStyle w:val="19"/>
            </w:pPr>
            <w:r>
              <w:t>70</w:t>
            </w:r>
          </w:p>
        </w:tc>
        <w:tc>
          <w:tcPr>
            <w:tcW w:w="559" w:type="pct"/>
            <w:tcBorders>
              <w:tl2br w:val="nil"/>
              <w:tr2bl w:val="nil"/>
            </w:tcBorders>
            <w:shd w:val="clear" w:color="auto" w:fill="auto"/>
            <w:noWrap/>
            <w:vAlign w:val="center"/>
          </w:tcPr>
          <w:p w14:paraId="3D143608">
            <w:pPr>
              <w:pStyle w:val="19"/>
            </w:pPr>
            <w:r>
              <w:t>88.57</w:t>
            </w:r>
          </w:p>
        </w:tc>
        <w:tc>
          <w:tcPr>
            <w:tcW w:w="387" w:type="pct"/>
            <w:tcBorders>
              <w:tl2br w:val="nil"/>
              <w:tr2bl w:val="nil"/>
            </w:tcBorders>
            <w:shd w:val="clear" w:color="auto" w:fill="auto"/>
            <w:noWrap/>
            <w:vAlign w:val="center"/>
          </w:tcPr>
          <w:p w14:paraId="67B5AE0A">
            <w:pPr>
              <w:pStyle w:val="19"/>
            </w:pPr>
            <w:r>
              <w:rPr>
                <w:rFonts w:hint="eastAsia"/>
              </w:rPr>
              <w:t>达标</w:t>
            </w:r>
          </w:p>
        </w:tc>
      </w:tr>
      <w:tr w14:paraId="2C578824">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continue"/>
            <w:tcBorders>
              <w:tl2br w:val="nil"/>
              <w:tr2bl w:val="nil"/>
            </w:tcBorders>
            <w:shd w:val="clear" w:color="auto" w:fill="auto"/>
            <w:vAlign w:val="center"/>
          </w:tcPr>
          <w:p w14:paraId="10BD125C">
            <w:pPr>
              <w:pStyle w:val="19"/>
            </w:pPr>
          </w:p>
        </w:tc>
        <w:tc>
          <w:tcPr>
            <w:tcW w:w="2412" w:type="pct"/>
            <w:tcBorders>
              <w:tl2br w:val="nil"/>
              <w:tr2bl w:val="nil"/>
            </w:tcBorders>
            <w:shd w:val="clear" w:color="auto" w:fill="auto"/>
            <w:noWrap/>
            <w:vAlign w:val="center"/>
          </w:tcPr>
          <w:p w14:paraId="0F61B427">
            <w:pPr>
              <w:pStyle w:val="19"/>
            </w:pPr>
            <w:r>
              <w:rPr>
                <w:rFonts w:hint="eastAsia"/>
              </w:rPr>
              <w:t>2</w:t>
            </w:r>
            <w:r>
              <w:t>4</w:t>
            </w:r>
            <w:r>
              <w:rPr>
                <w:rFonts w:hint="eastAsia"/>
              </w:rPr>
              <w:t>小时</w:t>
            </w:r>
            <w:r>
              <w:t>平均</w:t>
            </w:r>
            <w:r>
              <w:rPr>
                <w:rFonts w:hint="eastAsia"/>
              </w:rPr>
              <w:t>第9</w:t>
            </w:r>
            <w:r>
              <w:t>5百分位</w:t>
            </w:r>
            <w:r>
              <w:rPr>
                <w:rFonts w:hint="eastAsia"/>
              </w:rPr>
              <w:t>数</w:t>
            </w:r>
          </w:p>
        </w:tc>
        <w:tc>
          <w:tcPr>
            <w:tcW w:w="559" w:type="pct"/>
            <w:tcBorders>
              <w:tl2br w:val="nil"/>
              <w:tr2bl w:val="nil"/>
            </w:tcBorders>
            <w:shd w:val="clear" w:color="auto" w:fill="auto"/>
            <w:noWrap/>
            <w:vAlign w:val="center"/>
          </w:tcPr>
          <w:p w14:paraId="35E5F927">
            <w:pPr>
              <w:pStyle w:val="19"/>
            </w:pPr>
            <w:r>
              <w:t>81</w:t>
            </w:r>
          </w:p>
        </w:tc>
        <w:tc>
          <w:tcPr>
            <w:tcW w:w="559" w:type="pct"/>
            <w:tcBorders>
              <w:tl2br w:val="nil"/>
              <w:tr2bl w:val="nil"/>
            </w:tcBorders>
            <w:shd w:val="clear" w:color="auto" w:fill="auto"/>
            <w:noWrap/>
            <w:vAlign w:val="center"/>
          </w:tcPr>
          <w:p w14:paraId="57B2E417">
            <w:pPr>
              <w:pStyle w:val="19"/>
            </w:pPr>
            <w:r>
              <w:t>150</w:t>
            </w:r>
          </w:p>
        </w:tc>
        <w:tc>
          <w:tcPr>
            <w:tcW w:w="559" w:type="pct"/>
            <w:tcBorders>
              <w:tl2br w:val="nil"/>
              <w:tr2bl w:val="nil"/>
            </w:tcBorders>
            <w:shd w:val="clear" w:color="auto" w:fill="auto"/>
            <w:noWrap/>
            <w:vAlign w:val="center"/>
          </w:tcPr>
          <w:p w14:paraId="17A27451">
            <w:pPr>
              <w:pStyle w:val="19"/>
            </w:pPr>
            <w:r>
              <w:t>54</w:t>
            </w:r>
          </w:p>
        </w:tc>
        <w:tc>
          <w:tcPr>
            <w:tcW w:w="387" w:type="pct"/>
            <w:tcBorders>
              <w:tl2br w:val="nil"/>
              <w:tr2bl w:val="nil"/>
            </w:tcBorders>
            <w:shd w:val="clear" w:color="auto" w:fill="auto"/>
            <w:noWrap/>
            <w:vAlign w:val="center"/>
          </w:tcPr>
          <w:p w14:paraId="53D9ADA8">
            <w:pPr>
              <w:pStyle w:val="19"/>
            </w:pPr>
            <w:r>
              <w:rPr>
                <w:rFonts w:hint="eastAsia"/>
              </w:rPr>
              <w:t>达标</w:t>
            </w:r>
          </w:p>
        </w:tc>
      </w:tr>
      <w:tr w14:paraId="5215198E">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restart"/>
            <w:tcBorders>
              <w:tl2br w:val="nil"/>
              <w:tr2bl w:val="nil"/>
            </w:tcBorders>
            <w:shd w:val="clear" w:color="auto" w:fill="auto"/>
            <w:noWrap/>
            <w:vAlign w:val="center"/>
          </w:tcPr>
          <w:p w14:paraId="1FB844C6">
            <w:pPr>
              <w:pStyle w:val="19"/>
            </w:pPr>
            <w:r>
              <w:t>PM</w:t>
            </w:r>
            <w:r>
              <w:rPr>
                <w:vertAlign w:val="subscript"/>
              </w:rPr>
              <w:t>2.5</w:t>
            </w:r>
          </w:p>
        </w:tc>
        <w:tc>
          <w:tcPr>
            <w:tcW w:w="2412" w:type="pct"/>
            <w:tcBorders>
              <w:tl2br w:val="nil"/>
              <w:tr2bl w:val="nil"/>
            </w:tcBorders>
            <w:shd w:val="clear" w:color="auto" w:fill="auto"/>
            <w:noWrap/>
            <w:vAlign w:val="center"/>
          </w:tcPr>
          <w:p w14:paraId="2904A4E7">
            <w:pPr>
              <w:pStyle w:val="19"/>
            </w:pPr>
            <w:r>
              <w:t>年平均浓度</w:t>
            </w:r>
          </w:p>
        </w:tc>
        <w:tc>
          <w:tcPr>
            <w:tcW w:w="559" w:type="pct"/>
            <w:tcBorders>
              <w:tl2br w:val="nil"/>
              <w:tr2bl w:val="nil"/>
            </w:tcBorders>
            <w:shd w:val="clear" w:color="auto" w:fill="auto"/>
            <w:noWrap/>
            <w:vAlign w:val="center"/>
          </w:tcPr>
          <w:p w14:paraId="11E6BA52">
            <w:pPr>
              <w:pStyle w:val="19"/>
            </w:pPr>
            <w:r>
              <w:t>26</w:t>
            </w:r>
          </w:p>
        </w:tc>
        <w:tc>
          <w:tcPr>
            <w:tcW w:w="559" w:type="pct"/>
            <w:tcBorders>
              <w:tl2br w:val="nil"/>
              <w:tr2bl w:val="nil"/>
            </w:tcBorders>
            <w:shd w:val="clear" w:color="auto" w:fill="auto"/>
            <w:noWrap/>
            <w:vAlign w:val="center"/>
          </w:tcPr>
          <w:p w14:paraId="71B1B35E">
            <w:pPr>
              <w:pStyle w:val="19"/>
            </w:pPr>
            <w:r>
              <w:t>35</w:t>
            </w:r>
          </w:p>
        </w:tc>
        <w:tc>
          <w:tcPr>
            <w:tcW w:w="559" w:type="pct"/>
            <w:tcBorders>
              <w:tl2br w:val="nil"/>
              <w:tr2bl w:val="nil"/>
            </w:tcBorders>
            <w:shd w:val="clear" w:color="auto" w:fill="auto"/>
            <w:noWrap/>
            <w:vAlign w:val="center"/>
          </w:tcPr>
          <w:p w14:paraId="50A34CAA">
            <w:pPr>
              <w:pStyle w:val="19"/>
            </w:pPr>
            <w:r>
              <w:t>74.29</w:t>
            </w:r>
          </w:p>
        </w:tc>
        <w:tc>
          <w:tcPr>
            <w:tcW w:w="387" w:type="pct"/>
            <w:tcBorders>
              <w:tl2br w:val="nil"/>
              <w:tr2bl w:val="nil"/>
            </w:tcBorders>
            <w:shd w:val="clear" w:color="auto" w:fill="auto"/>
            <w:noWrap/>
            <w:vAlign w:val="center"/>
          </w:tcPr>
          <w:p w14:paraId="6E2CAC39">
            <w:pPr>
              <w:pStyle w:val="19"/>
            </w:pPr>
            <w:r>
              <w:rPr>
                <w:rFonts w:hint="eastAsia"/>
              </w:rPr>
              <w:t>达标</w:t>
            </w:r>
          </w:p>
        </w:tc>
      </w:tr>
      <w:tr w14:paraId="2BEF71A6">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vMerge w:val="continue"/>
            <w:tcBorders>
              <w:tl2br w:val="nil"/>
              <w:tr2bl w:val="nil"/>
            </w:tcBorders>
            <w:shd w:val="clear" w:color="auto" w:fill="auto"/>
            <w:vAlign w:val="center"/>
          </w:tcPr>
          <w:p w14:paraId="1E256228">
            <w:pPr>
              <w:pStyle w:val="19"/>
            </w:pPr>
          </w:p>
        </w:tc>
        <w:tc>
          <w:tcPr>
            <w:tcW w:w="2412" w:type="pct"/>
            <w:tcBorders>
              <w:tl2br w:val="nil"/>
              <w:tr2bl w:val="nil"/>
            </w:tcBorders>
            <w:shd w:val="clear" w:color="auto" w:fill="auto"/>
            <w:noWrap/>
            <w:vAlign w:val="center"/>
          </w:tcPr>
          <w:p w14:paraId="17BA44E4">
            <w:pPr>
              <w:pStyle w:val="19"/>
            </w:pPr>
            <w:r>
              <w:rPr>
                <w:rFonts w:hint="eastAsia"/>
              </w:rPr>
              <w:t>2</w:t>
            </w:r>
            <w:r>
              <w:t>4</w:t>
            </w:r>
            <w:r>
              <w:rPr>
                <w:rFonts w:hint="eastAsia"/>
              </w:rPr>
              <w:t>小时</w:t>
            </w:r>
            <w:r>
              <w:t>平均</w:t>
            </w:r>
            <w:r>
              <w:rPr>
                <w:rFonts w:hint="eastAsia"/>
              </w:rPr>
              <w:t>第9</w:t>
            </w:r>
            <w:r>
              <w:t>5百分位</w:t>
            </w:r>
            <w:r>
              <w:rPr>
                <w:rFonts w:hint="eastAsia"/>
              </w:rPr>
              <w:t>数</w:t>
            </w:r>
          </w:p>
        </w:tc>
        <w:tc>
          <w:tcPr>
            <w:tcW w:w="559" w:type="pct"/>
            <w:tcBorders>
              <w:tl2br w:val="nil"/>
              <w:tr2bl w:val="nil"/>
            </w:tcBorders>
            <w:shd w:val="clear" w:color="auto" w:fill="auto"/>
            <w:noWrap/>
            <w:vAlign w:val="center"/>
          </w:tcPr>
          <w:p w14:paraId="6C238937">
            <w:pPr>
              <w:pStyle w:val="19"/>
            </w:pPr>
            <w:r>
              <w:t>40</w:t>
            </w:r>
          </w:p>
        </w:tc>
        <w:tc>
          <w:tcPr>
            <w:tcW w:w="559" w:type="pct"/>
            <w:tcBorders>
              <w:tl2br w:val="nil"/>
              <w:tr2bl w:val="nil"/>
            </w:tcBorders>
            <w:shd w:val="clear" w:color="auto" w:fill="auto"/>
            <w:noWrap/>
            <w:vAlign w:val="center"/>
          </w:tcPr>
          <w:p w14:paraId="3421C0EB">
            <w:pPr>
              <w:pStyle w:val="19"/>
            </w:pPr>
            <w:r>
              <w:t>75</w:t>
            </w:r>
          </w:p>
        </w:tc>
        <w:tc>
          <w:tcPr>
            <w:tcW w:w="559" w:type="pct"/>
            <w:tcBorders>
              <w:tl2br w:val="nil"/>
              <w:tr2bl w:val="nil"/>
            </w:tcBorders>
            <w:shd w:val="clear" w:color="auto" w:fill="auto"/>
            <w:noWrap/>
            <w:vAlign w:val="center"/>
          </w:tcPr>
          <w:p w14:paraId="217F85EA">
            <w:pPr>
              <w:pStyle w:val="19"/>
            </w:pPr>
            <w:r>
              <w:rPr>
                <w:rFonts w:hint="eastAsia"/>
              </w:rPr>
              <w:t>5</w:t>
            </w:r>
            <w:r>
              <w:t>3.33</w:t>
            </w:r>
          </w:p>
        </w:tc>
        <w:tc>
          <w:tcPr>
            <w:tcW w:w="387" w:type="pct"/>
            <w:tcBorders>
              <w:tl2br w:val="nil"/>
              <w:tr2bl w:val="nil"/>
            </w:tcBorders>
            <w:shd w:val="clear" w:color="auto" w:fill="auto"/>
            <w:noWrap/>
            <w:vAlign w:val="center"/>
          </w:tcPr>
          <w:p w14:paraId="6F1C4F1C">
            <w:pPr>
              <w:pStyle w:val="19"/>
            </w:pPr>
            <w:r>
              <w:rPr>
                <w:rFonts w:hint="eastAsia"/>
              </w:rPr>
              <w:t>达标</w:t>
            </w:r>
          </w:p>
        </w:tc>
      </w:tr>
      <w:tr w14:paraId="5F60F98B">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tcBorders>
              <w:tl2br w:val="nil"/>
              <w:tr2bl w:val="nil"/>
            </w:tcBorders>
            <w:shd w:val="clear" w:color="auto" w:fill="auto"/>
            <w:noWrap/>
            <w:vAlign w:val="center"/>
          </w:tcPr>
          <w:p w14:paraId="0F5EA6AE">
            <w:pPr>
              <w:pStyle w:val="19"/>
            </w:pPr>
            <w:r>
              <w:t>CO</w:t>
            </w:r>
          </w:p>
        </w:tc>
        <w:tc>
          <w:tcPr>
            <w:tcW w:w="2412" w:type="pct"/>
            <w:tcBorders>
              <w:tl2br w:val="nil"/>
              <w:tr2bl w:val="nil"/>
            </w:tcBorders>
            <w:shd w:val="clear" w:color="auto" w:fill="auto"/>
            <w:noWrap/>
            <w:vAlign w:val="center"/>
          </w:tcPr>
          <w:p w14:paraId="4E74C81D">
            <w:pPr>
              <w:pStyle w:val="19"/>
            </w:pPr>
            <w:r>
              <w:rPr>
                <w:rFonts w:hint="eastAsia"/>
              </w:rPr>
              <w:t>2</w:t>
            </w:r>
            <w:r>
              <w:t>4</w:t>
            </w:r>
            <w:r>
              <w:rPr>
                <w:rFonts w:hint="eastAsia"/>
              </w:rPr>
              <w:t>小时</w:t>
            </w:r>
            <w:r>
              <w:t>平均</w:t>
            </w:r>
            <w:r>
              <w:rPr>
                <w:rFonts w:hint="eastAsia"/>
              </w:rPr>
              <w:t>第9</w:t>
            </w:r>
            <w:r>
              <w:t>5百分位</w:t>
            </w:r>
            <w:r>
              <w:rPr>
                <w:rFonts w:hint="eastAsia"/>
              </w:rPr>
              <w:t>数</w:t>
            </w:r>
          </w:p>
        </w:tc>
        <w:tc>
          <w:tcPr>
            <w:tcW w:w="559" w:type="pct"/>
            <w:tcBorders>
              <w:tl2br w:val="nil"/>
              <w:tr2bl w:val="nil"/>
            </w:tcBorders>
            <w:shd w:val="clear" w:color="auto" w:fill="auto"/>
            <w:noWrap/>
            <w:vAlign w:val="center"/>
          </w:tcPr>
          <w:p w14:paraId="3B4C3355">
            <w:pPr>
              <w:pStyle w:val="19"/>
            </w:pPr>
            <w:r>
              <w:t>1200</w:t>
            </w:r>
          </w:p>
        </w:tc>
        <w:tc>
          <w:tcPr>
            <w:tcW w:w="559" w:type="pct"/>
            <w:tcBorders>
              <w:tl2br w:val="nil"/>
              <w:tr2bl w:val="nil"/>
            </w:tcBorders>
            <w:shd w:val="clear" w:color="auto" w:fill="auto"/>
            <w:noWrap/>
            <w:vAlign w:val="center"/>
          </w:tcPr>
          <w:p w14:paraId="75A8DFD9">
            <w:pPr>
              <w:pStyle w:val="19"/>
            </w:pPr>
            <w:r>
              <w:t>4000</w:t>
            </w:r>
          </w:p>
        </w:tc>
        <w:tc>
          <w:tcPr>
            <w:tcW w:w="559" w:type="pct"/>
            <w:tcBorders>
              <w:tl2br w:val="nil"/>
              <w:tr2bl w:val="nil"/>
            </w:tcBorders>
            <w:shd w:val="clear" w:color="auto" w:fill="auto"/>
            <w:noWrap/>
            <w:vAlign w:val="center"/>
          </w:tcPr>
          <w:p w14:paraId="273EFAED">
            <w:pPr>
              <w:pStyle w:val="19"/>
            </w:pPr>
            <w:r>
              <w:t>30</w:t>
            </w:r>
          </w:p>
        </w:tc>
        <w:tc>
          <w:tcPr>
            <w:tcW w:w="387" w:type="pct"/>
            <w:tcBorders>
              <w:tl2br w:val="nil"/>
              <w:tr2bl w:val="nil"/>
            </w:tcBorders>
            <w:shd w:val="clear" w:color="auto" w:fill="auto"/>
            <w:noWrap/>
            <w:vAlign w:val="center"/>
          </w:tcPr>
          <w:p w14:paraId="17AE0977">
            <w:pPr>
              <w:pStyle w:val="19"/>
            </w:pPr>
            <w:r>
              <w:rPr>
                <w:rFonts w:hint="eastAsia"/>
              </w:rPr>
              <w:t>达标</w:t>
            </w:r>
          </w:p>
        </w:tc>
      </w:tr>
      <w:tr w14:paraId="45EB5601">
        <w:tblPrEx>
          <w:tblBorders>
            <w:top w:val="single" w:color="auto" w:sz="6" w:space="0"/>
            <w:left w:val="single" w:color="auto" w:sz="6" w:space="0"/>
            <w:bottom w:val="single" w:color="auto" w:sz="6" w:space="0"/>
            <w:right w:val="single" w:color="auto" w:sz="6" w:space="0"/>
            <w:insideH w:val="single" w:color="auto" w:sz="6" w:space="0"/>
            <w:insideV w:val="single" w:color="auto" w:sz="8" w:space="0"/>
          </w:tblBorders>
          <w:tblCellMar>
            <w:top w:w="0" w:type="dxa"/>
            <w:left w:w="57" w:type="dxa"/>
            <w:bottom w:w="0" w:type="dxa"/>
            <w:right w:w="57" w:type="dxa"/>
          </w:tblCellMar>
        </w:tblPrEx>
        <w:trPr>
          <w:trHeight w:val="20" w:hRule="atLeast"/>
          <w:jc w:val="center"/>
        </w:trPr>
        <w:tc>
          <w:tcPr>
            <w:tcW w:w="522" w:type="pct"/>
            <w:tcBorders>
              <w:tl2br w:val="nil"/>
              <w:tr2bl w:val="nil"/>
            </w:tcBorders>
            <w:shd w:val="clear" w:color="auto" w:fill="auto"/>
            <w:noWrap/>
            <w:vAlign w:val="center"/>
          </w:tcPr>
          <w:p w14:paraId="519CEDCB">
            <w:pPr>
              <w:pStyle w:val="19"/>
            </w:pPr>
            <w:r>
              <w:t>O</w:t>
            </w:r>
            <w:r>
              <w:rPr>
                <w:vertAlign w:val="subscript"/>
              </w:rPr>
              <w:t>3</w:t>
            </w:r>
          </w:p>
        </w:tc>
        <w:tc>
          <w:tcPr>
            <w:tcW w:w="2412" w:type="pct"/>
            <w:tcBorders>
              <w:tl2br w:val="nil"/>
              <w:tr2bl w:val="nil"/>
            </w:tcBorders>
            <w:shd w:val="clear" w:color="auto" w:fill="auto"/>
            <w:noWrap/>
            <w:vAlign w:val="center"/>
          </w:tcPr>
          <w:p w14:paraId="470CB882">
            <w:pPr>
              <w:pStyle w:val="19"/>
            </w:pPr>
            <w:r>
              <w:rPr>
                <w:rFonts w:hint="eastAsia"/>
              </w:rPr>
              <w:t>日最大8小时滑动平均值的第9</w:t>
            </w:r>
            <w:r>
              <w:t>0</w:t>
            </w:r>
            <w:r>
              <w:rPr>
                <w:rFonts w:hint="eastAsia"/>
              </w:rPr>
              <w:t>百分位数</w:t>
            </w:r>
          </w:p>
        </w:tc>
        <w:tc>
          <w:tcPr>
            <w:tcW w:w="559" w:type="pct"/>
            <w:tcBorders>
              <w:tl2br w:val="nil"/>
              <w:tr2bl w:val="nil"/>
            </w:tcBorders>
            <w:shd w:val="clear" w:color="auto" w:fill="auto"/>
            <w:noWrap/>
            <w:vAlign w:val="center"/>
          </w:tcPr>
          <w:p w14:paraId="44C93193">
            <w:pPr>
              <w:pStyle w:val="19"/>
            </w:pPr>
            <w:r>
              <w:t>119</w:t>
            </w:r>
          </w:p>
        </w:tc>
        <w:tc>
          <w:tcPr>
            <w:tcW w:w="559" w:type="pct"/>
            <w:tcBorders>
              <w:tl2br w:val="nil"/>
              <w:tr2bl w:val="nil"/>
            </w:tcBorders>
            <w:shd w:val="clear" w:color="auto" w:fill="auto"/>
            <w:noWrap/>
            <w:vAlign w:val="center"/>
          </w:tcPr>
          <w:p w14:paraId="5597B525">
            <w:pPr>
              <w:pStyle w:val="19"/>
            </w:pPr>
            <w:r>
              <w:t>160</w:t>
            </w:r>
          </w:p>
        </w:tc>
        <w:tc>
          <w:tcPr>
            <w:tcW w:w="559" w:type="pct"/>
            <w:tcBorders>
              <w:tl2br w:val="nil"/>
              <w:tr2bl w:val="nil"/>
            </w:tcBorders>
            <w:shd w:val="clear" w:color="auto" w:fill="auto"/>
            <w:noWrap/>
            <w:vAlign w:val="center"/>
          </w:tcPr>
          <w:p w14:paraId="61C0965B">
            <w:pPr>
              <w:pStyle w:val="19"/>
            </w:pPr>
            <w:r>
              <w:t>80.38</w:t>
            </w:r>
          </w:p>
        </w:tc>
        <w:tc>
          <w:tcPr>
            <w:tcW w:w="387" w:type="pct"/>
            <w:tcBorders>
              <w:tl2br w:val="nil"/>
              <w:tr2bl w:val="nil"/>
            </w:tcBorders>
            <w:shd w:val="clear" w:color="auto" w:fill="auto"/>
            <w:noWrap/>
            <w:vAlign w:val="center"/>
          </w:tcPr>
          <w:p w14:paraId="36BD625A">
            <w:pPr>
              <w:pStyle w:val="19"/>
            </w:pPr>
            <w:r>
              <w:rPr>
                <w:rFonts w:hint="eastAsia"/>
              </w:rPr>
              <w:t>达标</w:t>
            </w:r>
          </w:p>
        </w:tc>
      </w:tr>
    </w:tbl>
    <w:p w14:paraId="4196BD2F">
      <w:pPr>
        <w:bidi w:val="0"/>
        <w:rPr>
          <w:rFonts w:hint="eastAsia"/>
          <w:lang w:val="en-US" w:eastAsia="zh-CN"/>
        </w:rPr>
      </w:pPr>
      <w:r>
        <w:rPr>
          <w:rFonts w:hint="eastAsia"/>
        </w:rPr>
        <w:t>根据上表可知：</w:t>
      </w:r>
      <w:r>
        <w:t>本项目所在区域</w:t>
      </w:r>
      <w:r>
        <w:rPr>
          <w:rFonts w:hint="eastAsia"/>
        </w:rPr>
        <w:t>各个污染物</w:t>
      </w:r>
      <w:r>
        <w:t>的</w:t>
      </w:r>
      <w:r>
        <w:rPr>
          <w:rFonts w:hint="eastAsia"/>
        </w:rPr>
        <w:t>年评价指标均满足《环境空气质量标准》（GB</w:t>
      </w:r>
      <w:r>
        <w:t>3095-2012</w:t>
      </w:r>
      <w:r>
        <w:rPr>
          <w:rFonts w:hint="eastAsia"/>
        </w:rPr>
        <w:t>）中的二级标准</w:t>
      </w:r>
      <w:r>
        <w:t>。</w:t>
      </w:r>
      <w:r>
        <w:rPr>
          <w:rFonts w:hint="eastAsia"/>
        </w:rPr>
        <w:t>因此，本</w:t>
      </w:r>
      <w:r>
        <w:t>项目所在区域环境空气质量为达标区。</w:t>
      </w:r>
    </w:p>
    <w:p w14:paraId="3C9273E9">
      <w:pPr>
        <w:pStyle w:val="28"/>
        <w:bidi w:val="0"/>
        <w:rPr>
          <w:rFonts w:hint="default"/>
          <w:lang w:val="en-US" w:eastAsia="zh-CN"/>
        </w:rPr>
      </w:pPr>
      <w:r>
        <w:rPr>
          <w:rFonts w:hint="eastAsia"/>
          <w:lang w:val="en-US" w:eastAsia="zh-CN"/>
        </w:rPr>
        <w:t>补充监测</w:t>
      </w:r>
    </w:p>
    <w:p w14:paraId="0BCEAF2B">
      <w:pPr>
        <w:bidi w:val="0"/>
        <w:rPr>
          <w:rFonts w:hint="default"/>
          <w:lang w:val="en-US" w:eastAsia="zh-CN"/>
        </w:rPr>
      </w:pPr>
      <w:r>
        <w:rPr>
          <w:rFonts w:hint="eastAsia"/>
          <w:lang w:val="en-US" w:eastAsia="zh-CN"/>
        </w:rPr>
        <w:t>（1）监测布点</w:t>
      </w:r>
    </w:p>
    <w:p w14:paraId="314143B2">
      <w:pPr>
        <w:bidi w:val="0"/>
        <w:rPr>
          <w:rFonts w:hint="default"/>
          <w:lang w:val="en-US" w:eastAsia="zh-CN"/>
        </w:rPr>
      </w:pPr>
      <w:r>
        <w:rPr>
          <w:rFonts w:hint="eastAsia"/>
          <w:lang w:val="en-US" w:eastAsia="zh-CN"/>
        </w:rPr>
        <w:t>本次共设置2个环境空气监测点，分别为厂区内（45°0'7.19"N、84°46'13.14"E）、129团10连（45°0'36.94"N、84°44'46.63"E）。具体见图4.2-1。</w:t>
      </w:r>
    </w:p>
    <w:p w14:paraId="70479FDE">
      <w:pPr>
        <w:bidi w:val="0"/>
        <w:rPr>
          <w:rFonts w:hint="default"/>
          <w:lang w:val="en-US" w:eastAsia="zh-CN"/>
        </w:rPr>
      </w:pPr>
      <w:r>
        <w:rPr>
          <w:rFonts w:hint="eastAsia"/>
          <w:lang w:val="en-US" w:eastAsia="zh-CN"/>
        </w:rPr>
        <w:t>（2）监测因子及频率</w:t>
      </w:r>
    </w:p>
    <w:p w14:paraId="74B828B5">
      <w:pPr>
        <w:bidi w:val="0"/>
        <w:rPr>
          <w:rFonts w:hint="eastAsia"/>
          <w:lang w:val="en-US" w:eastAsia="zh-CN"/>
        </w:rPr>
      </w:pPr>
      <w:r>
        <w:rPr>
          <w:rFonts w:hint="eastAsia"/>
          <w:lang w:val="en-US" w:eastAsia="zh-CN"/>
        </w:rPr>
        <w:t>氨、硫化氢、臭气浓度。</w:t>
      </w:r>
    </w:p>
    <w:p w14:paraId="5CBE598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监测连续7天有效数据，每天4次</w:t>
      </w:r>
      <w:r>
        <w:rPr>
          <w:rFonts w:hint="eastAsia"/>
          <w:color w:val="000000" w:themeColor="text1"/>
          <w:highlight w:val="none"/>
          <w14:textFill>
            <w14:solidFill>
              <w14:schemeClr w14:val="tx1"/>
            </w14:solidFill>
          </w14:textFill>
        </w:rPr>
        <w:t>，详见表4.2-</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0ACD8E39">
      <w:pPr>
        <w:pStyle w:val="30"/>
        <w:bidi w:val="0"/>
      </w:pPr>
      <w:r>
        <w:rPr>
          <w:rFonts w:hint="eastAsia"/>
        </w:rPr>
        <w:t>表4.2-</w:t>
      </w:r>
      <w:r>
        <w:rPr>
          <w:rFonts w:hint="eastAsia"/>
          <w:lang w:val="en-US" w:eastAsia="zh-CN"/>
        </w:rPr>
        <w:t>2</w:t>
      </w:r>
      <w:r>
        <w:rPr>
          <w:rFonts w:hint="eastAsia"/>
        </w:rPr>
        <w:t xml:space="preserve"> </w:t>
      </w:r>
      <w:r>
        <w:rPr>
          <w:rFonts w:hint="eastAsia"/>
          <w:lang w:val="en-US" w:eastAsia="zh-CN"/>
        </w:rPr>
        <w:t xml:space="preserve"> </w:t>
      </w:r>
      <w:r>
        <w:rPr>
          <w:rFonts w:hint="eastAsia"/>
        </w:rPr>
        <w:t xml:space="preserve"> </w:t>
      </w:r>
      <w:r>
        <w:t>环境空气监测项目一览表</w:t>
      </w:r>
    </w:p>
    <w:tbl>
      <w:tblPr>
        <w:tblStyle w:val="2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Layout w:type="autofit"/>
        <w:tblCellMar>
          <w:top w:w="0" w:type="dxa"/>
          <w:left w:w="57" w:type="dxa"/>
          <w:bottom w:w="0" w:type="dxa"/>
          <w:right w:w="57" w:type="dxa"/>
        </w:tblCellMar>
      </w:tblPr>
      <w:tblGrid>
        <w:gridCol w:w="1085"/>
        <w:gridCol w:w="2509"/>
        <w:gridCol w:w="4824"/>
      </w:tblGrid>
      <w:tr w14:paraId="77FEF671">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57" w:type="dxa"/>
            <w:bottom w:w="0" w:type="dxa"/>
            <w:right w:w="57" w:type="dxa"/>
          </w:tblCellMar>
        </w:tblPrEx>
        <w:trPr>
          <w:trHeight w:val="0" w:hRule="atLeast"/>
          <w:jc w:val="center"/>
        </w:trPr>
        <w:tc>
          <w:tcPr>
            <w:tcW w:w="645" w:type="pct"/>
            <w:vMerge w:val="restart"/>
            <w:vAlign w:val="center"/>
          </w:tcPr>
          <w:p w14:paraId="7E2F03C8">
            <w:pPr>
              <w:pStyle w:val="19"/>
              <w:bidi w:val="0"/>
            </w:pPr>
            <w:r>
              <w:t>测点名称</w:t>
            </w:r>
          </w:p>
        </w:tc>
        <w:tc>
          <w:tcPr>
            <w:tcW w:w="1490" w:type="pct"/>
            <w:tcBorders>
              <w:bottom w:val="single" w:color="auto" w:sz="6" w:space="0"/>
            </w:tcBorders>
            <w:vAlign w:val="center"/>
          </w:tcPr>
          <w:p w14:paraId="724337D3">
            <w:pPr>
              <w:pStyle w:val="19"/>
              <w:bidi w:val="0"/>
            </w:pPr>
            <w:r>
              <w:t>各测点监测项目</w:t>
            </w:r>
          </w:p>
        </w:tc>
        <w:tc>
          <w:tcPr>
            <w:tcW w:w="2864" w:type="pct"/>
            <w:vMerge w:val="restart"/>
            <w:vAlign w:val="center"/>
          </w:tcPr>
          <w:p w14:paraId="62668AC0">
            <w:pPr>
              <w:pStyle w:val="19"/>
              <w:bidi w:val="0"/>
            </w:pPr>
            <w:r>
              <w:t>采样方法及频率</w:t>
            </w:r>
          </w:p>
        </w:tc>
      </w:tr>
      <w:tr w14:paraId="0AAF430B">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57" w:type="dxa"/>
            <w:bottom w:w="0" w:type="dxa"/>
            <w:right w:w="57" w:type="dxa"/>
          </w:tblCellMar>
        </w:tblPrEx>
        <w:trPr>
          <w:trHeight w:val="0" w:hRule="atLeast"/>
          <w:jc w:val="center"/>
        </w:trPr>
        <w:tc>
          <w:tcPr>
            <w:tcW w:w="645" w:type="pct"/>
            <w:vMerge w:val="continue"/>
            <w:vAlign w:val="center"/>
          </w:tcPr>
          <w:p w14:paraId="41E3F755">
            <w:pPr>
              <w:pStyle w:val="19"/>
              <w:bidi w:val="0"/>
            </w:pPr>
          </w:p>
        </w:tc>
        <w:tc>
          <w:tcPr>
            <w:tcW w:w="1490" w:type="pct"/>
            <w:tcBorders>
              <w:top w:val="single" w:color="auto" w:sz="6" w:space="0"/>
            </w:tcBorders>
            <w:vAlign w:val="center"/>
          </w:tcPr>
          <w:p w14:paraId="229584AD">
            <w:pPr>
              <w:pStyle w:val="19"/>
              <w:bidi w:val="0"/>
            </w:pPr>
            <w:r>
              <w:t>特征因子</w:t>
            </w:r>
          </w:p>
        </w:tc>
        <w:tc>
          <w:tcPr>
            <w:tcW w:w="2864" w:type="pct"/>
            <w:vMerge w:val="continue"/>
            <w:vAlign w:val="center"/>
          </w:tcPr>
          <w:p w14:paraId="76667CC8">
            <w:pPr>
              <w:pStyle w:val="19"/>
              <w:bidi w:val="0"/>
            </w:pPr>
          </w:p>
        </w:tc>
      </w:tr>
      <w:tr w14:paraId="321732C3">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57" w:type="dxa"/>
            <w:bottom w:w="0" w:type="dxa"/>
            <w:right w:w="57" w:type="dxa"/>
          </w:tblCellMar>
        </w:tblPrEx>
        <w:trPr>
          <w:cantSplit/>
          <w:trHeight w:val="0" w:hRule="atLeast"/>
          <w:jc w:val="center"/>
        </w:trPr>
        <w:tc>
          <w:tcPr>
            <w:tcW w:w="645" w:type="pct"/>
            <w:tcBorders>
              <w:bottom w:val="single" w:color="auto" w:sz="4" w:space="0"/>
            </w:tcBorders>
            <w:vAlign w:val="center"/>
          </w:tcPr>
          <w:p w14:paraId="2839692B">
            <w:pPr>
              <w:pStyle w:val="19"/>
              <w:bidi w:val="0"/>
            </w:pPr>
            <w:r>
              <w:rPr>
                <w:rFonts w:hint="eastAsia"/>
              </w:rPr>
              <w:t>1</w:t>
            </w:r>
          </w:p>
        </w:tc>
        <w:tc>
          <w:tcPr>
            <w:tcW w:w="1490" w:type="pct"/>
            <w:vMerge w:val="restart"/>
            <w:vAlign w:val="center"/>
          </w:tcPr>
          <w:p w14:paraId="7D8C3E9F">
            <w:pPr>
              <w:pStyle w:val="19"/>
              <w:bidi w:val="0"/>
            </w:pPr>
            <w:r>
              <w:t>NH</w:t>
            </w:r>
            <w:r>
              <w:rPr>
                <w:vertAlign w:val="subscript"/>
              </w:rPr>
              <w:t>3</w:t>
            </w:r>
            <w:r>
              <w:t>、H</w:t>
            </w:r>
            <w:r>
              <w:rPr>
                <w:vertAlign w:val="subscript"/>
              </w:rPr>
              <w:t>2</w:t>
            </w:r>
            <w:r>
              <w:t>S、臭气浓度</w:t>
            </w:r>
          </w:p>
        </w:tc>
        <w:tc>
          <w:tcPr>
            <w:tcW w:w="2864" w:type="pct"/>
            <w:vMerge w:val="restart"/>
            <w:vAlign w:val="center"/>
          </w:tcPr>
          <w:p w14:paraId="24DC350F">
            <w:pPr>
              <w:pStyle w:val="19"/>
              <w:bidi w:val="0"/>
            </w:pPr>
            <w:r>
              <w:rPr>
                <w:rFonts w:hint="eastAsia"/>
              </w:rPr>
              <w:t>连续监测7天，小时值、一次值每天监测4次，具体时间为02：00、08：00、14：00、20：00。</w:t>
            </w:r>
          </w:p>
        </w:tc>
      </w:tr>
      <w:tr w14:paraId="6C1BE537">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57" w:type="dxa"/>
            <w:bottom w:w="0" w:type="dxa"/>
            <w:right w:w="57" w:type="dxa"/>
          </w:tblCellMar>
        </w:tblPrEx>
        <w:trPr>
          <w:cantSplit/>
          <w:trHeight w:val="0" w:hRule="atLeast"/>
          <w:jc w:val="center"/>
        </w:trPr>
        <w:tc>
          <w:tcPr>
            <w:tcW w:w="645" w:type="pct"/>
            <w:tcBorders>
              <w:bottom w:val="single" w:color="auto" w:sz="4" w:space="0"/>
            </w:tcBorders>
            <w:vAlign w:val="center"/>
          </w:tcPr>
          <w:p w14:paraId="3C0661A0">
            <w:pPr>
              <w:pStyle w:val="19"/>
              <w:bidi w:val="0"/>
            </w:pPr>
            <w:r>
              <w:rPr>
                <w:rFonts w:hint="eastAsia"/>
              </w:rPr>
              <w:t>2</w:t>
            </w:r>
          </w:p>
        </w:tc>
        <w:tc>
          <w:tcPr>
            <w:tcW w:w="1490" w:type="pct"/>
            <w:vMerge w:val="continue"/>
            <w:vAlign w:val="center"/>
          </w:tcPr>
          <w:p w14:paraId="633BD14B">
            <w:pPr>
              <w:pStyle w:val="19"/>
              <w:bidi w:val="0"/>
            </w:pPr>
          </w:p>
        </w:tc>
        <w:tc>
          <w:tcPr>
            <w:tcW w:w="2864" w:type="pct"/>
            <w:vMerge w:val="continue"/>
            <w:vAlign w:val="center"/>
          </w:tcPr>
          <w:p w14:paraId="5C7CAA80">
            <w:pPr>
              <w:pStyle w:val="19"/>
              <w:bidi w:val="0"/>
            </w:pPr>
          </w:p>
        </w:tc>
      </w:tr>
      <w:tr w14:paraId="12307A44">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57" w:type="dxa"/>
            <w:bottom w:w="0" w:type="dxa"/>
            <w:right w:w="57" w:type="dxa"/>
          </w:tblCellMar>
        </w:tblPrEx>
        <w:trPr>
          <w:cantSplit/>
          <w:trHeight w:val="0" w:hRule="atLeast"/>
          <w:jc w:val="center"/>
        </w:trPr>
        <w:tc>
          <w:tcPr>
            <w:tcW w:w="645" w:type="pct"/>
            <w:tcBorders>
              <w:bottom w:val="single" w:color="auto" w:sz="4" w:space="0"/>
            </w:tcBorders>
            <w:vAlign w:val="center"/>
          </w:tcPr>
          <w:p w14:paraId="14EB8502">
            <w:pPr>
              <w:pStyle w:val="19"/>
              <w:bidi w:val="0"/>
            </w:pPr>
            <w:r>
              <w:rPr>
                <w:rFonts w:hint="eastAsia"/>
              </w:rPr>
              <w:t>3</w:t>
            </w:r>
          </w:p>
        </w:tc>
        <w:tc>
          <w:tcPr>
            <w:tcW w:w="1490" w:type="pct"/>
            <w:vMerge w:val="continue"/>
            <w:vAlign w:val="center"/>
          </w:tcPr>
          <w:p w14:paraId="6BA24ABC">
            <w:pPr>
              <w:pStyle w:val="19"/>
              <w:bidi w:val="0"/>
            </w:pPr>
          </w:p>
        </w:tc>
        <w:tc>
          <w:tcPr>
            <w:tcW w:w="2864" w:type="pct"/>
            <w:vMerge w:val="continue"/>
            <w:vAlign w:val="center"/>
          </w:tcPr>
          <w:p w14:paraId="6496D403">
            <w:pPr>
              <w:pStyle w:val="19"/>
              <w:bidi w:val="0"/>
            </w:pPr>
          </w:p>
        </w:tc>
      </w:tr>
      <w:tr w14:paraId="04A7BCB8">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57" w:type="dxa"/>
            <w:bottom w:w="0" w:type="dxa"/>
            <w:right w:w="57" w:type="dxa"/>
          </w:tblCellMar>
        </w:tblPrEx>
        <w:trPr>
          <w:cantSplit/>
          <w:trHeight w:val="0" w:hRule="atLeast"/>
          <w:jc w:val="center"/>
        </w:trPr>
        <w:tc>
          <w:tcPr>
            <w:tcW w:w="5000" w:type="pct"/>
            <w:gridSpan w:val="3"/>
            <w:vAlign w:val="center"/>
          </w:tcPr>
          <w:p w14:paraId="6EBB92D5">
            <w:pPr>
              <w:pStyle w:val="19"/>
              <w:keepNext w:val="0"/>
              <w:keepLines w:val="0"/>
              <w:pageBreakBefore w:val="0"/>
              <w:widowControl w:val="0"/>
              <w:kinsoku/>
              <w:wordWrap/>
              <w:overflowPunct/>
              <w:topLinePunct w:val="0"/>
              <w:autoSpaceDE/>
              <w:autoSpaceDN/>
              <w:bidi w:val="0"/>
              <w:adjustRightInd/>
              <w:snapToGrid/>
              <w:jc w:val="both"/>
              <w:textAlignment w:val="auto"/>
            </w:pPr>
            <w:r>
              <w:t>注：1、采样同时观测气温、气压、风向、风速、总云、低云等气象要素。</w:t>
            </w:r>
          </w:p>
          <w:p w14:paraId="6BB24394">
            <w:pPr>
              <w:pStyle w:val="19"/>
              <w:keepNext w:val="0"/>
              <w:keepLines w:val="0"/>
              <w:pageBreakBefore w:val="0"/>
              <w:widowControl w:val="0"/>
              <w:kinsoku/>
              <w:wordWrap/>
              <w:overflowPunct/>
              <w:topLinePunct w:val="0"/>
              <w:autoSpaceDE/>
              <w:autoSpaceDN/>
              <w:bidi w:val="0"/>
              <w:adjustRightInd/>
              <w:snapToGrid/>
              <w:jc w:val="both"/>
              <w:textAlignment w:val="auto"/>
            </w:pPr>
            <w:r>
              <w:t>2、环境现状监测期间若遇雨雪天气停止采样，待降水过后继续采样，时间顺移。</w:t>
            </w:r>
          </w:p>
        </w:tc>
      </w:tr>
    </w:tbl>
    <w:p w14:paraId="2754D0CF">
      <w:pPr>
        <w:bidi w:val="0"/>
        <w:rPr>
          <w:rFonts w:hint="default"/>
          <w:lang w:val="en-US" w:eastAsia="zh-CN"/>
        </w:rPr>
      </w:pPr>
      <w:r>
        <w:rPr>
          <w:rFonts w:hint="eastAsia"/>
          <w:lang w:val="en-US" w:eastAsia="zh-CN"/>
        </w:rPr>
        <w:t>（3）监测单位及监测时间</w:t>
      </w:r>
    </w:p>
    <w:p w14:paraId="5203A9D7">
      <w:pPr>
        <w:bidi w:val="0"/>
        <w:rPr>
          <w:rFonts w:hint="eastAsia"/>
          <w:highlight w:val="none"/>
          <w:lang w:val="en-US" w:eastAsia="zh-CN"/>
        </w:rPr>
      </w:pPr>
      <w:r>
        <w:rPr>
          <w:rFonts w:hint="eastAsia"/>
          <w:highlight w:val="none"/>
          <w:lang w:val="en-US" w:eastAsia="zh-CN"/>
        </w:rPr>
        <w:t>新疆锡水金山环境科技有限公司于2024年3月9日至3月15日对项目场地周边环境空气质量进行了连续7天监测。</w:t>
      </w:r>
    </w:p>
    <w:p w14:paraId="7B750A33">
      <w:pPr>
        <w:bidi w:val="0"/>
        <w:rPr>
          <w:rFonts w:hint="default"/>
          <w:lang w:val="en-US" w:eastAsia="zh-CN"/>
        </w:rPr>
      </w:pPr>
      <w:r>
        <w:rPr>
          <w:rFonts w:hint="eastAsia"/>
          <w:lang w:val="en-US" w:eastAsia="zh-CN"/>
        </w:rPr>
        <w:t>（4）分析方法</w:t>
      </w:r>
    </w:p>
    <w:p w14:paraId="051D1E86">
      <w:pPr>
        <w:bidi w:val="0"/>
        <w:rPr>
          <w:rFonts w:hint="default"/>
          <w:lang w:val="en-US" w:eastAsia="zh-CN"/>
        </w:rPr>
      </w:pPr>
      <w:r>
        <w:rPr>
          <w:rFonts w:hint="eastAsia"/>
          <w:lang w:val="en-US" w:eastAsia="zh-CN"/>
        </w:rPr>
        <w:t>本项目补充监测因子氨、硫化氢和臭气浓度的分析方法见表4.2-3。</w:t>
      </w:r>
    </w:p>
    <w:p w14:paraId="7EE6BE93">
      <w:pPr>
        <w:pStyle w:val="30"/>
        <w:bidi w:val="0"/>
      </w:pPr>
      <w:r>
        <w:rPr>
          <w:rFonts w:ascii="宋体" w:hAnsi="宋体" w:eastAsia="宋体" w:cs="宋体"/>
          <w:spacing w:val="7"/>
        </w:rPr>
        <w:t>表</w:t>
      </w:r>
      <w:r>
        <w:rPr>
          <w:b/>
          <w:bCs/>
          <w:spacing w:val="7"/>
        </w:rPr>
        <w:t>4.2-</w:t>
      </w:r>
      <w:r>
        <w:rPr>
          <w:rFonts w:hint="eastAsia"/>
          <w:b/>
          <w:bCs/>
          <w:spacing w:val="7"/>
          <w:lang w:val="en-US" w:eastAsia="zh-CN"/>
        </w:rPr>
        <w:t xml:space="preserve">3 </w:t>
      </w:r>
      <w:r>
        <w:rPr>
          <w:b/>
          <w:bCs/>
          <w:spacing w:val="7"/>
        </w:rPr>
        <w:t xml:space="preserve">  </w:t>
      </w:r>
      <w:r>
        <w:rPr>
          <w:rFonts w:ascii="宋体" w:hAnsi="宋体" w:eastAsia="宋体" w:cs="宋体"/>
          <w:spacing w:val="7"/>
        </w:rPr>
        <w:t>大气监测项目分析方法</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1084"/>
        <w:gridCol w:w="6031"/>
        <w:gridCol w:w="1302"/>
      </w:tblGrid>
      <w:tr w14:paraId="6559C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trPr>
        <w:tc>
          <w:tcPr>
            <w:tcW w:w="644" w:type="pct"/>
            <w:noWrap w:val="0"/>
            <w:vAlign w:val="center"/>
          </w:tcPr>
          <w:p w14:paraId="3DEC67BC">
            <w:pPr>
              <w:pStyle w:val="19"/>
              <w:bidi w:val="0"/>
              <w:jc w:val="center"/>
            </w:pPr>
            <w:r>
              <w:t>监测项目</w:t>
            </w:r>
          </w:p>
        </w:tc>
        <w:tc>
          <w:tcPr>
            <w:tcW w:w="3582" w:type="pct"/>
            <w:noWrap w:val="0"/>
            <w:vAlign w:val="center"/>
          </w:tcPr>
          <w:p w14:paraId="0A223395">
            <w:pPr>
              <w:pStyle w:val="19"/>
              <w:bidi w:val="0"/>
              <w:jc w:val="center"/>
            </w:pPr>
            <w:r>
              <w:t>分析方法（依据的标准）</w:t>
            </w:r>
          </w:p>
        </w:tc>
        <w:tc>
          <w:tcPr>
            <w:tcW w:w="773" w:type="pct"/>
            <w:noWrap w:val="0"/>
            <w:vAlign w:val="center"/>
          </w:tcPr>
          <w:p w14:paraId="205EA6A6">
            <w:pPr>
              <w:pStyle w:val="19"/>
              <w:bidi w:val="0"/>
              <w:jc w:val="center"/>
            </w:pPr>
            <w:r>
              <w:t>检出限</w:t>
            </w:r>
          </w:p>
        </w:tc>
      </w:tr>
      <w:tr w14:paraId="196A8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trPr>
        <w:tc>
          <w:tcPr>
            <w:tcW w:w="644" w:type="pct"/>
            <w:noWrap w:val="0"/>
            <w:vAlign w:val="center"/>
          </w:tcPr>
          <w:p w14:paraId="10A2E0A9">
            <w:pPr>
              <w:pStyle w:val="19"/>
              <w:bidi w:val="0"/>
              <w:jc w:val="center"/>
            </w:pPr>
            <w:r>
              <w:t>硫化氢</w:t>
            </w:r>
          </w:p>
        </w:tc>
        <w:tc>
          <w:tcPr>
            <w:tcW w:w="3582" w:type="pct"/>
            <w:noWrap w:val="0"/>
            <w:vAlign w:val="center"/>
          </w:tcPr>
          <w:p w14:paraId="63633C8A">
            <w:pPr>
              <w:pStyle w:val="19"/>
              <w:bidi w:val="0"/>
              <w:jc w:val="center"/>
            </w:pPr>
            <w:r>
              <w:rPr>
                <w:rFonts w:hint="eastAsia"/>
                <w:lang w:eastAsia="zh-CN"/>
              </w:rPr>
              <w:t>《</w:t>
            </w:r>
            <w:r>
              <w:t>居住区大气中硫化氢卫生检验标准方法 亚甲基蓝分光光度法</w:t>
            </w:r>
            <w:r>
              <w:rPr>
                <w:rFonts w:hint="eastAsia"/>
                <w:lang w:eastAsia="zh-CN"/>
              </w:rPr>
              <w:t>》（</w:t>
            </w:r>
            <w:r>
              <w:t>GB11742-1989</w:t>
            </w:r>
            <w:r>
              <w:rPr>
                <w:rFonts w:hint="eastAsia"/>
                <w:lang w:eastAsia="zh-CN"/>
              </w:rPr>
              <w:t>）</w:t>
            </w:r>
          </w:p>
        </w:tc>
        <w:tc>
          <w:tcPr>
            <w:tcW w:w="773" w:type="pct"/>
            <w:noWrap w:val="0"/>
            <w:vAlign w:val="center"/>
          </w:tcPr>
          <w:p w14:paraId="7EBFB556">
            <w:pPr>
              <w:pStyle w:val="19"/>
              <w:bidi w:val="0"/>
              <w:jc w:val="center"/>
            </w:pPr>
            <w:r>
              <w:t>0.005mg/m</w:t>
            </w:r>
            <w:r>
              <w:rPr>
                <w:vertAlign w:val="superscript"/>
              </w:rPr>
              <w:t>3</w:t>
            </w:r>
          </w:p>
        </w:tc>
      </w:tr>
      <w:tr w14:paraId="1E726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trPr>
        <w:tc>
          <w:tcPr>
            <w:tcW w:w="644" w:type="pct"/>
            <w:noWrap w:val="0"/>
            <w:vAlign w:val="center"/>
          </w:tcPr>
          <w:p w14:paraId="6B05DC4D">
            <w:pPr>
              <w:pStyle w:val="19"/>
              <w:bidi w:val="0"/>
              <w:jc w:val="center"/>
            </w:pPr>
            <w:r>
              <w:t>氨</w:t>
            </w:r>
          </w:p>
        </w:tc>
        <w:tc>
          <w:tcPr>
            <w:tcW w:w="3582" w:type="pct"/>
            <w:noWrap w:val="0"/>
            <w:vAlign w:val="center"/>
          </w:tcPr>
          <w:p w14:paraId="6E0E72DB">
            <w:pPr>
              <w:pStyle w:val="19"/>
              <w:bidi w:val="0"/>
              <w:jc w:val="center"/>
            </w:pPr>
            <w:r>
              <w:rPr>
                <w:rFonts w:hint="eastAsia"/>
                <w:lang w:eastAsia="zh-CN"/>
              </w:rPr>
              <w:t>《</w:t>
            </w:r>
            <w:r>
              <w:t>环境空气和废气 氨的测定 纳氏试剂分光光度法</w:t>
            </w:r>
            <w:r>
              <w:rPr>
                <w:rFonts w:hint="eastAsia"/>
                <w:lang w:eastAsia="zh-CN"/>
              </w:rPr>
              <w:t>》（</w:t>
            </w:r>
            <w:r>
              <w:t>HJ533-2009</w:t>
            </w:r>
            <w:r>
              <w:rPr>
                <w:rFonts w:hint="eastAsia"/>
                <w:lang w:eastAsia="zh-CN"/>
              </w:rPr>
              <w:t>）</w:t>
            </w:r>
          </w:p>
        </w:tc>
        <w:tc>
          <w:tcPr>
            <w:tcW w:w="773" w:type="pct"/>
            <w:noWrap w:val="0"/>
            <w:vAlign w:val="center"/>
          </w:tcPr>
          <w:p w14:paraId="1C0A55FC">
            <w:pPr>
              <w:pStyle w:val="19"/>
              <w:bidi w:val="0"/>
              <w:jc w:val="center"/>
            </w:pPr>
            <w:r>
              <w:t>0.01mg/m</w:t>
            </w:r>
            <w:r>
              <w:rPr>
                <w:vertAlign w:val="superscript"/>
              </w:rPr>
              <w:t>3</w:t>
            </w:r>
          </w:p>
        </w:tc>
      </w:tr>
      <w:tr w14:paraId="0E2B1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trPr>
        <w:tc>
          <w:tcPr>
            <w:tcW w:w="644" w:type="pct"/>
            <w:noWrap w:val="0"/>
            <w:vAlign w:val="center"/>
          </w:tcPr>
          <w:p w14:paraId="67AFC946">
            <w:pPr>
              <w:pStyle w:val="19"/>
              <w:bidi w:val="0"/>
              <w:jc w:val="center"/>
            </w:pPr>
            <w:r>
              <w:t>臭气浓度</w:t>
            </w:r>
          </w:p>
        </w:tc>
        <w:tc>
          <w:tcPr>
            <w:tcW w:w="3582" w:type="pct"/>
            <w:noWrap w:val="0"/>
            <w:vAlign w:val="center"/>
          </w:tcPr>
          <w:p w14:paraId="58645BD6">
            <w:pPr>
              <w:pStyle w:val="19"/>
              <w:bidi w:val="0"/>
              <w:jc w:val="center"/>
            </w:pPr>
            <w:r>
              <w:t>《空气质量 恶臭的测定 三点比较式臭袋法》</w:t>
            </w:r>
            <w:r>
              <w:rPr>
                <w:rFonts w:hint="eastAsia"/>
                <w:lang w:eastAsia="zh-CN"/>
              </w:rPr>
              <w:t>（</w:t>
            </w:r>
            <w:r>
              <w:t>GB/T14675-1993</w:t>
            </w:r>
            <w:r>
              <w:rPr>
                <w:rFonts w:hint="eastAsia"/>
                <w:lang w:eastAsia="zh-CN"/>
              </w:rPr>
              <w:t>）</w:t>
            </w:r>
          </w:p>
        </w:tc>
        <w:tc>
          <w:tcPr>
            <w:tcW w:w="773" w:type="pct"/>
            <w:noWrap w:val="0"/>
            <w:vAlign w:val="center"/>
          </w:tcPr>
          <w:p w14:paraId="3F7C07B3">
            <w:pPr>
              <w:pStyle w:val="19"/>
              <w:bidi w:val="0"/>
              <w:jc w:val="center"/>
            </w:pPr>
            <w:r>
              <w:t>10（无量纲）</w:t>
            </w:r>
          </w:p>
        </w:tc>
      </w:tr>
    </w:tbl>
    <w:p w14:paraId="0BD48E03">
      <w:pPr>
        <w:bidi w:val="0"/>
        <w:rPr>
          <w:rFonts w:hint="default"/>
          <w:lang w:val="en-US" w:eastAsia="zh-CN"/>
        </w:rPr>
      </w:pPr>
      <w:r>
        <w:rPr>
          <w:rFonts w:hint="eastAsia"/>
          <w:lang w:val="en-US" w:eastAsia="zh-CN"/>
        </w:rPr>
        <w:t>（5）评价标准</w:t>
      </w:r>
    </w:p>
    <w:p w14:paraId="3684441F">
      <w:pPr>
        <w:bidi w:val="0"/>
        <w:rPr>
          <w:rFonts w:hint="eastAsia"/>
          <w:lang w:val="en-US" w:eastAsia="zh-CN"/>
        </w:rPr>
      </w:pPr>
      <w:r>
        <w:rPr>
          <w:rFonts w:hint="eastAsia"/>
          <w:lang w:val="en-US" w:eastAsia="zh-CN"/>
        </w:rPr>
        <w:t>硫化氢、氨执行《环境影响评价技术导则 大气环境》（HJ2.2-2018）中表D.1其他污染物空气质量浓度参考限值（硫化氢1小时平均10</w:t>
      </w:r>
      <w:r>
        <w:rPr>
          <w:rFonts w:hint="default" w:ascii="Times New Roman" w:hAnsi="Times New Roman" w:cs="Times New Roman"/>
          <w:lang w:val="en-US" w:eastAsia="zh-CN"/>
        </w:rPr>
        <w:t>μ</w:t>
      </w:r>
      <w:r>
        <w:rPr>
          <w:rFonts w:hint="eastAsia"/>
          <w:lang w:val="en-US" w:eastAsia="zh-CN"/>
        </w:rPr>
        <w:t>g/m</w:t>
      </w:r>
      <w:r>
        <w:rPr>
          <w:rFonts w:hint="eastAsia"/>
          <w:vertAlign w:val="superscript"/>
          <w:lang w:val="en-US" w:eastAsia="zh-CN"/>
        </w:rPr>
        <w:t>3</w:t>
      </w:r>
      <w:r>
        <w:rPr>
          <w:rFonts w:hint="eastAsia"/>
          <w:lang w:val="en-US" w:eastAsia="zh-CN"/>
        </w:rPr>
        <w:t>；氨1小时平均200</w:t>
      </w:r>
      <w:r>
        <w:rPr>
          <w:rFonts w:hint="default" w:ascii="Times New Roman" w:hAnsi="Times New Roman" w:cs="Times New Roman"/>
          <w:lang w:val="en-US" w:eastAsia="zh-CN"/>
        </w:rPr>
        <w:t>μ</w:t>
      </w:r>
      <w:r>
        <w:rPr>
          <w:rFonts w:hint="eastAsia"/>
          <w:lang w:val="en-US" w:eastAsia="zh-CN"/>
        </w:rPr>
        <w:t>g/m</w:t>
      </w:r>
      <w:r>
        <w:rPr>
          <w:rFonts w:hint="eastAsia"/>
          <w:vertAlign w:val="superscript"/>
          <w:lang w:val="en-US" w:eastAsia="zh-CN"/>
        </w:rPr>
        <w:t>3</w:t>
      </w:r>
      <w:r>
        <w:rPr>
          <w:rFonts w:hint="eastAsia"/>
          <w:lang w:val="en-US" w:eastAsia="zh-CN"/>
        </w:rPr>
        <w:t>）。</w:t>
      </w:r>
    </w:p>
    <w:p w14:paraId="18C1378F">
      <w:pPr>
        <w:bidi w:val="0"/>
        <w:rPr>
          <w:rFonts w:hint="eastAsia"/>
          <w:lang w:val="en-US" w:eastAsia="zh-CN"/>
        </w:rPr>
      </w:pPr>
      <w:r>
        <w:rPr>
          <w:rFonts w:hint="eastAsia"/>
          <w:lang w:val="en-US" w:eastAsia="zh-CN"/>
        </w:rPr>
        <w:t>（6）评价方法</w:t>
      </w:r>
    </w:p>
    <w:p w14:paraId="77CBCA3A">
      <w:pPr>
        <w:bidi w:val="0"/>
        <w:rPr>
          <w:rFonts w:hint="eastAsia"/>
          <w:lang w:val="en-US" w:eastAsia="zh-CN"/>
        </w:rPr>
      </w:pPr>
      <w:r>
        <w:rPr>
          <w:rFonts w:hint="eastAsia"/>
          <w:lang w:val="en-US" w:eastAsia="zh-CN"/>
        </w:rPr>
        <w:t>本次环评大气环境质量现状采用占标率法，计算公式为：</w:t>
      </w:r>
    </w:p>
    <w:p w14:paraId="266B2C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Pi=C</w:t>
      </w:r>
      <w:r>
        <w:rPr>
          <w:rFonts w:hint="eastAsia"/>
          <w:vertAlign w:val="subscript"/>
          <w:lang w:val="en-US" w:eastAsia="zh-CN"/>
        </w:rPr>
        <w:t>i</w:t>
      </w:r>
      <w:r>
        <w:rPr>
          <w:rFonts w:hint="eastAsia"/>
          <w:lang w:val="en-US" w:eastAsia="zh-CN"/>
        </w:rPr>
        <w:t>/C</w:t>
      </w:r>
      <w:r>
        <w:rPr>
          <w:rFonts w:hint="eastAsia"/>
          <w:vertAlign w:val="subscript"/>
          <w:lang w:val="en-US" w:eastAsia="zh-CN"/>
        </w:rPr>
        <w:t>0i</w:t>
      </w:r>
      <w:r>
        <w:rPr>
          <w:rFonts w:hint="eastAsia"/>
          <w:lang w:val="en-US" w:eastAsia="zh-CN"/>
        </w:rPr>
        <w:t>×100%</w:t>
      </w:r>
    </w:p>
    <w:p w14:paraId="75DCC881">
      <w:pPr>
        <w:bidi w:val="0"/>
        <w:rPr>
          <w:rFonts w:hint="eastAsia"/>
          <w:lang w:val="en-US" w:eastAsia="zh-CN"/>
        </w:rPr>
      </w:pPr>
      <w:r>
        <w:rPr>
          <w:rFonts w:hint="eastAsia"/>
          <w:lang w:val="en-US" w:eastAsia="zh-CN"/>
        </w:rPr>
        <w:t>式中：Pi——第i个污染物的监测最大浓度占相应标准浓度限值的百分比，%；</w:t>
      </w:r>
    </w:p>
    <w:p w14:paraId="25B7AEEC">
      <w:pPr>
        <w:bidi w:val="0"/>
        <w:ind w:firstLine="1200" w:firstLineChars="500"/>
        <w:rPr>
          <w:rFonts w:hint="eastAsia"/>
          <w:lang w:val="en-US" w:eastAsia="zh-CN"/>
        </w:rPr>
      </w:pPr>
      <w:r>
        <w:rPr>
          <w:rFonts w:hint="eastAsia"/>
          <w:lang w:val="en-US" w:eastAsia="zh-CN"/>
        </w:rPr>
        <w:t>Ci——第i个污染物的监测最大浓度值，mg/m</w:t>
      </w:r>
      <w:r>
        <w:rPr>
          <w:rFonts w:hint="eastAsia"/>
          <w:vertAlign w:val="superscript"/>
          <w:lang w:val="en-US" w:eastAsia="zh-CN"/>
        </w:rPr>
        <w:t>3</w:t>
      </w:r>
      <w:r>
        <w:rPr>
          <w:rFonts w:hint="eastAsia"/>
          <w:lang w:val="en-US" w:eastAsia="zh-CN"/>
        </w:rPr>
        <w:t>；</w:t>
      </w:r>
    </w:p>
    <w:p w14:paraId="056F87E1">
      <w:pPr>
        <w:bidi w:val="0"/>
        <w:ind w:firstLine="1200" w:firstLineChars="500"/>
        <w:rPr>
          <w:rFonts w:hint="eastAsia"/>
          <w:lang w:val="en-US" w:eastAsia="zh-CN"/>
        </w:rPr>
      </w:pPr>
      <w:r>
        <w:rPr>
          <w:rFonts w:hint="eastAsia"/>
          <w:lang w:val="en-US" w:eastAsia="zh-CN"/>
        </w:rPr>
        <w:t>C0i——第i个污染物的环境空气质量标准，mg/m</w:t>
      </w:r>
      <w:r>
        <w:rPr>
          <w:rFonts w:hint="eastAsia"/>
          <w:vertAlign w:val="superscript"/>
          <w:lang w:val="en-US" w:eastAsia="zh-CN"/>
        </w:rPr>
        <w:t>3</w:t>
      </w:r>
      <w:r>
        <w:rPr>
          <w:rFonts w:hint="eastAsia"/>
          <w:lang w:val="en-US" w:eastAsia="zh-CN"/>
        </w:rPr>
        <w:t>。</w:t>
      </w:r>
    </w:p>
    <w:p w14:paraId="366D3176">
      <w:pPr>
        <w:bidi w:val="0"/>
        <w:rPr>
          <w:rFonts w:hint="default"/>
          <w:lang w:val="en-US" w:eastAsia="zh-CN"/>
        </w:rPr>
      </w:pPr>
      <w:r>
        <w:rPr>
          <w:rFonts w:hint="eastAsia"/>
          <w:lang w:val="en-US" w:eastAsia="zh-CN"/>
        </w:rPr>
        <w:t>（7）监测结果</w:t>
      </w:r>
    </w:p>
    <w:p w14:paraId="6E0C9DE1">
      <w:pPr>
        <w:bidi w:val="0"/>
        <w:rPr>
          <w:rFonts w:hint="default"/>
          <w:lang w:val="en-US" w:eastAsia="zh-CN"/>
        </w:rPr>
      </w:pPr>
      <w:r>
        <w:rPr>
          <w:rFonts w:hint="eastAsia"/>
          <w:lang w:val="en-US" w:eastAsia="zh-CN"/>
        </w:rPr>
        <w:t>本项目补充监测的监测结果统计见表4.2-4。</w:t>
      </w:r>
    </w:p>
    <w:p w14:paraId="209BA3B6">
      <w:pPr>
        <w:pStyle w:val="30"/>
        <w:bidi w:val="0"/>
        <w:rPr>
          <w:rFonts w:hint="default"/>
          <w:lang w:val="en-US" w:eastAsia="zh-CN"/>
        </w:rPr>
      </w:pPr>
      <w:r>
        <w:rPr>
          <w:rFonts w:hint="eastAsia"/>
          <w:lang w:val="en-US" w:eastAsia="zh-CN"/>
        </w:rPr>
        <w:t>表4.2-4   补充监测结果统计表（厂区内测点）</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978"/>
        <w:gridCol w:w="1413"/>
        <w:gridCol w:w="1177"/>
        <w:gridCol w:w="1630"/>
        <w:gridCol w:w="1931"/>
      </w:tblGrid>
      <w:tr w14:paraId="57BD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46" w:type="pct"/>
            <w:gridSpan w:val="2"/>
            <w:vMerge w:val="restart"/>
            <w:tcMar>
              <w:top w:w="0" w:type="dxa"/>
              <w:left w:w="57" w:type="dxa"/>
              <w:bottom w:w="0" w:type="dxa"/>
              <w:right w:w="57" w:type="dxa"/>
            </w:tcMar>
            <w:vAlign w:val="center"/>
            <mc:AlternateContent>
              <mc:Choice Requires="wpsCustomData">
                <wpsCustomData:diagonals>
                  <wpsCustomData:diagonal from="10000" to="34200">
                    <wpsCustomData:border w:val="single" w:color="auto" w:sz="4" w:space="0"/>
                  </wpsCustomData:diagonal>
                  <wpsCustomData:diagonal from="10000" to="25400">
                    <wpsCustomData:border w:val="single" w:color="auto" w:sz="4" w:space="0"/>
                  </wpsCustomData:diagonal>
                </wpsCustomData:diagonals>
              </mc:Choice>
            </mc:AlternateContent>
          </w:tcPr>
          <w:p w14:paraId="0F6D2365">
            <w:pPr>
              <w:pStyle w:val="19"/>
              <w:bidi w:val="0"/>
              <w:snapToGrid w:val="0"/>
              <w:rPr>
                <w:rFonts w:hint="eastAsia"/>
                <w:highlight w:val="none"/>
                <w:lang w:val="en-US" w:eastAsia="zh-CN"/>
              </w:rPr>
            </w:pPr>
          </w:p>
          <w:p w14:paraId="24C1BEA7">
            <w:pPr>
              <w:pStyle w:val="19"/>
              <w:bidi w:val="0"/>
              <w:snapToGrid w:val="0"/>
              <w:rPr>
                <w:rFonts w:hint="eastAsia"/>
                <w:highlight w:val="none"/>
                <w:lang w:val="en-US" w:eastAsia="zh-CN"/>
              </w:rPr>
            </w:pPr>
          </w:p>
          <w:p w14:paraId="0E3B255F">
            <w:pPr>
              <w:pStyle w:val="19"/>
              <w:bidi w:val="0"/>
              <w:snapToGrid w:val="0"/>
              <mc:AlternateContent>
                <mc:Choice Requires="wpsCustomData">
                  <wpsCustomData:diagonalParaType/>
                </mc:Choice>
              </mc:AlternateContent>
              <w:rPr>
                <w:rFonts w:hint="default" w:eastAsia="宋体"/>
                <w:highlight w:val="none"/>
                <w:lang w:val="en-US" w:eastAsia="zh-CN"/>
              </w:rPr>
            </w:pPr>
            <w:r>
              <w:rPr>
                <w:rFonts w:hint="eastAsia"/>
                <w:highlight w:val="none"/>
                <w:lang w:val="en-US" w:eastAsia="zh-CN"/>
              </w:rPr>
              <w:t>监测时间</w:t>
            </w:r>
          </w:p>
          <w:p w14:paraId="1F5A9993">
            <w:pPr>
              <w:pStyle w:val="19"/>
              <w:bidi w:val="0"/>
              <w:snapToGrid w:val="0"/>
              <w:rPr>
                <w:rFonts w:hint="eastAsia"/>
                <w:highlight w:val="none"/>
                <w:lang w:val="en-US" w:eastAsia="zh-CN"/>
              </w:rPr>
            </w:pPr>
            <w:r>
              <w:rPr>
                <w:rFonts w:hint="eastAsia"/>
                <w:highlight w:val="none"/>
                <w:lang w:val="en-US" w:eastAsia="zh-CN"/>
              </w:rPr>
              <w:t xml:space="preserve">  </w:t>
            </w:r>
          </w:p>
          <w:p w14:paraId="42C2E6C4">
            <w:pPr>
              <w:pStyle w:val="19"/>
              <w:bidi w:val="0"/>
              <w:snapToGrid w:val="0"/>
              <w:rPr>
                <w:rFonts w:hint="eastAsia"/>
                <w:highlight w:val="none"/>
                <w:lang w:val="en-US" w:eastAsia="zh-CN"/>
              </w:rPr>
            </w:pPr>
          </w:p>
          <w:p w14:paraId="6724F9B6">
            <w:pPr>
              <w:pStyle w:val="19"/>
              <w:bidi w:val="0"/>
              <w:snapToGrid w:val="0"/>
              <mc:AlternateContent>
                <mc:Choice Requires="wpsCustomData">
                  <wpsCustomData:diagonalParaType/>
                </mc:Choice>
              </mc:AlternateContent>
              <w:rPr>
                <w:rFonts w:hint="default" w:eastAsia="宋体"/>
                <w:highlight w:val="none"/>
                <w:lang w:val="en-US" w:eastAsia="zh-CN"/>
              </w:rPr>
            </w:pPr>
            <w:r>
              <w:rPr>
                <w:rFonts w:hint="eastAsia"/>
                <w:highlight w:val="none"/>
                <w:lang w:val="en-US" w:eastAsia="zh-CN"/>
              </w:rPr>
              <w:t>监测结果</w:t>
            </w:r>
          </w:p>
          <w:p w14:paraId="75B7546E">
            <w:pPr>
              <w:pStyle w:val="19"/>
              <w:bidi w:val="0"/>
              <w:rPr>
                <w:rFonts w:hint="default" w:eastAsia="宋体"/>
                <w:highlight w:val="none"/>
                <w:lang w:val="en-US" w:eastAsia="zh-CN"/>
              </w:rPr>
            </w:pPr>
            <w:r>
              <w:rPr>
                <w:rFonts w:hint="eastAsia"/>
                <w:highlight w:val="none"/>
                <w:lang w:val="en-US" w:eastAsia="zh-CN"/>
              </w:rPr>
              <w:t>监测布点</w:t>
            </w:r>
          </w:p>
        </w:tc>
        <w:tc>
          <w:tcPr>
            <w:tcW w:w="3653" w:type="pct"/>
            <w:gridSpan w:val="4"/>
            <w:tcMar>
              <w:top w:w="0" w:type="dxa"/>
              <w:left w:w="57" w:type="dxa"/>
              <w:bottom w:w="0" w:type="dxa"/>
              <w:right w:w="57" w:type="dxa"/>
            </w:tcMar>
            <w:vAlign w:val="center"/>
          </w:tcPr>
          <w:p w14:paraId="18D29F43">
            <w:pPr>
              <w:pStyle w:val="19"/>
              <w:bidi w:val="0"/>
              <w:rPr>
                <w:highlight w:val="none"/>
              </w:rPr>
            </w:pPr>
            <w:r>
              <w:rPr>
                <w:rFonts w:hint="eastAsia"/>
                <w:highlight w:val="none"/>
                <w:lang w:val="en-US" w:eastAsia="zh-CN"/>
              </w:rPr>
              <w:t>监测点：厂区内（45°0'7.19"N、84°46'13.14"E）</w:t>
            </w:r>
          </w:p>
        </w:tc>
      </w:tr>
      <w:tr w14:paraId="1E43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46" w:type="pct"/>
            <w:gridSpan w:val="2"/>
            <w:vMerge w:val="continue"/>
            <w:tcMar>
              <w:top w:w="0" w:type="dxa"/>
              <w:left w:w="57" w:type="dxa"/>
              <w:bottom w:w="0" w:type="dxa"/>
              <w:right w:w="57" w:type="dxa"/>
            </w:tcMar>
            <w:vAlign w:val="center"/>
          </w:tcPr>
          <w:p w14:paraId="647C5FAE">
            <w:pPr>
              <w:pStyle w:val="19"/>
              <w:bidi w:val="0"/>
              <w:rPr>
                <w:highlight w:val="none"/>
              </w:rPr>
            </w:pPr>
          </w:p>
        </w:tc>
        <w:tc>
          <w:tcPr>
            <w:tcW w:w="839" w:type="pct"/>
            <w:tcMar>
              <w:top w:w="0" w:type="dxa"/>
              <w:left w:w="57" w:type="dxa"/>
              <w:bottom w:w="0" w:type="dxa"/>
              <w:right w:w="57" w:type="dxa"/>
            </w:tcMar>
            <w:vAlign w:val="center"/>
          </w:tcPr>
          <w:p w14:paraId="2DD7BB46">
            <w:pPr>
              <w:pStyle w:val="19"/>
              <w:bidi w:val="0"/>
              <w:rPr>
                <w:highlight w:val="none"/>
              </w:rPr>
            </w:pPr>
            <w:r>
              <w:rPr>
                <w:highlight w:val="none"/>
              </w:rPr>
              <w:t>样品编号</w:t>
            </w:r>
          </w:p>
        </w:tc>
        <w:tc>
          <w:tcPr>
            <w:tcW w:w="699" w:type="pct"/>
            <w:tcMar>
              <w:top w:w="0" w:type="dxa"/>
              <w:left w:w="57" w:type="dxa"/>
              <w:bottom w:w="0" w:type="dxa"/>
              <w:right w:w="57" w:type="dxa"/>
            </w:tcMar>
            <w:vAlign w:val="center"/>
          </w:tcPr>
          <w:p w14:paraId="62688D56">
            <w:pPr>
              <w:pStyle w:val="19"/>
              <w:bidi w:val="0"/>
              <w:rPr>
                <w:highlight w:val="none"/>
              </w:rPr>
            </w:pPr>
            <w:r>
              <w:rPr>
                <w:highlight w:val="none"/>
              </w:rPr>
              <w:t>氨（mg/</w:t>
            </w:r>
            <w:r>
              <w:rPr>
                <w:rFonts w:hint="eastAsia"/>
                <w:highlight w:val="none"/>
                <w:lang w:val="en-US" w:eastAsia="zh-CN"/>
              </w:rPr>
              <w:t>m</w:t>
            </w:r>
            <w:r>
              <w:rPr>
                <w:rFonts w:hint="eastAsia"/>
                <w:highlight w:val="none"/>
                <w:vertAlign w:val="superscript"/>
                <w:lang w:val="en-US" w:eastAsia="zh-CN"/>
              </w:rPr>
              <w:t>3</w:t>
            </w:r>
            <w:r>
              <w:rPr>
                <w:highlight w:val="none"/>
              </w:rPr>
              <w:t>）</w:t>
            </w:r>
          </w:p>
        </w:tc>
        <w:tc>
          <w:tcPr>
            <w:tcW w:w="968" w:type="pct"/>
            <w:tcMar>
              <w:top w:w="0" w:type="dxa"/>
              <w:left w:w="57" w:type="dxa"/>
              <w:bottom w:w="0" w:type="dxa"/>
              <w:right w:w="57" w:type="dxa"/>
            </w:tcMar>
            <w:vAlign w:val="center"/>
          </w:tcPr>
          <w:p w14:paraId="52AEAECE">
            <w:pPr>
              <w:pStyle w:val="19"/>
              <w:bidi w:val="0"/>
              <w:rPr>
                <w:highlight w:val="none"/>
              </w:rPr>
            </w:pPr>
            <w:r>
              <w:rPr>
                <w:highlight w:val="none"/>
              </w:rPr>
              <w:t>硫化氢（mg/</w:t>
            </w:r>
            <w:r>
              <w:rPr>
                <w:rFonts w:hint="eastAsia"/>
                <w:highlight w:val="none"/>
                <w:lang w:val="en-US" w:eastAsia="zh-CN"/>
              </w:rPr>
              <w:t>m</w:t>
            </w:r>
            <w:r>
              <w:rPr>
                <w:rFonts w:hint="eastAsia"/>
                <w:highlight w:val="none"/>
                <w:vertAlign w:val="superscript"/>
                <w:lang w:val="en-US" w:eastAsia="zh-CN"/>
              </w:rPr>
              <w:t>3</w:t>
            </w:r>
            <w:r>
              <w:rPr>
                <w:highlight w:val="none"/>
              </w:rPr>
              <w:t>）</w:t>
            </w:r>
          </w:p>
        </w:tc>
        <w:tc>
          <w:tcPr>
            <w:tcW w:w="1147" w:type="pct"/>
            <w:tcMar>
              <w:top w:w="0" w:type="dxa"/>
              <w:left w:w="57" w:type="dxa"/>
              <w:bottom w:w="0" w:type="dxa"/>
              <w:right w:w="57" w:type="dxa"/>
            </w:tcMar>
            <w:vAlign w:val="center"/>
          </w:tcPr>
          <w:p w14:paraId="58E28259">
            <w:pPr>
              <w:pStyle w:val="19"/>
              <w:bidi w:val="0"/>
              <w:rPr>
                <w:highlight w:val="none"/>
              </w:rPr>
            </w:pPr>
            <w:r>
              <w:rPr>
                <w:highlight w:val="none"/>
              </w:rPr>
              <w:t>臭气浓度（无量纲）</w:t>
            </w:r>
          </w:p>
        </w:tc>
      </w:tr>
      <w:tr w14:paraId="0FB2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6892EACB">
            <w:pPr>
              <w:pStyle w:val="19"/>
              <w:bidi w:val="0"/>
              <w:rPr>
                <w:rFonts w:hint="default" w:eastAsia="宋体"/>
                <w:highlight w:val="none"/>
                <w:lang w:val="en-US" w:eastAsia="zh-CN"/>
              </w:rPr>
            </w:pPr>
            <w:r>
              <w:rPr>
                <w:rFonts w:hint="eastAsia"/>
                <w:highlight w:val="none"/>
                <w:lang w:val="en-US" w:eastAsia="zh-CN"/>
              </w:rPr>
              <w:t>2024.3.9</w:t>
            </w:r>
          </w:p>
        </w:tc>
        <w:tc>
          <w:tcPr>
            <w:tcW w:w="580" w:type="pct"/>
            <w:tcMar>
              <w:top w:w="0" w:type="dxa"/>
              <w:left w:w="57" w:type="dxa"/>
              <w:bottom w:w="0" w:type="dxa"/>
              <w:right w:w="57" w:type="dxa"/>
            </w:tcMar>
            <w:vAlign w:val="center"/>
          </w:tcPr>
          <w:p w14:paraId="3DA0C47C">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7B69E7ED">
            <w:pPr>
              <w:pStyle w:val="19"/>
              <w:bidi w:val="0"/>
              <w:rPr>
                <w:rFonts w:hint="default"/>
                <w:highlight w:val="none"/>
                <w:vertAlign w:val="baseline"/>
                <w:lang w:val="en-US" w:eastAsia="zh-CN"/>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-1-1-c</w:t>
            </w:r>
          </w:p>
        </w:tc>
        <w:tc>
          <w:tcPr>
            <w:tcW w:w="699" w:type="pct"/>
            <w:tcMar>
              <w:top w:w="0" w:type="dxa"/>
              <w:left w:w="57" w:type="dxa"/>
              <w:bottom w:w="0" w:type="dxa"/>
              <w:right w:w="57" w:type="dxa"/>
            </w:tcMar>
            <w:vAlign w:val="center"/>
          </w:tcPr>
          <w:p w14:paraId="493F4FDC">
            <w:pPr>
              <w:pStyle w:val="19"/>
              <w:bidi w:val="0"/>
              <w:rPr>
                <w:rFonts w:hint="default" w:eastAsia="宋体"/>
                <w:highlight w:val="none"/>
                <w:lang w:val="en-US" w:eastAsia="zh-CN"/>
              </w:rPr>
            </w:pPr>
            <w:r>
              <w:rPr>
                <w:rFonts w:hint="eastAsia"/>
                <w:highlight w:val="none"/>
                <w:lang w:val="en-US" w:eastAsia="zh-CN"/>
              </w:rPr>
              <w:t>0.13</w:t>
            </w:r>
          </w:p>
        </w:tc>
        <w:tc>
          <w:tcPr>
            <w:tcW w:w="968" w:type="pct"/>
            <w:tcMar>
              <w:top w:w="0" w:type="dxa"/>
              <w:left w:w="57" w:type="dxa"/>
              <w:bottom w:w="0" w:type="dxa"/>
              <w:right w:w="57" w:type="dxa"/>
            </w:tcMar>
            <w:vAlign w:val="center"/>
          </w:tcPr>
          <w:p w14:paraId="3AD0C928">
            <w:pPr>
              <w:pStyle w:val="19"/>
              <w:bidi w:val="0"/>
              <w:rPr>
                <w:rFonts w:hint="default" w:eastAsia="宋体"/>
                <w:highlight w:val="none"/>
                <w:lang w:val="en-US" w:eastAsia="zh-CN"/>
              </w:rPr>
            </w:pPr>
            <w:r>
              <w:rPr>
                <w:rFonts w:hint="eastAsia"/>
                <w:highlight w:val="none"/>
                <w:lang w:val="en-US" w:eastAsia="zh-CN"/>
              </w:rPr>
              <w:t>＜0.005</w:t>
            </w:r>
          </w:p>
        </w:tc>
        <w:tc>
          <w:tcPr>
            <w:tcW w:w="1147" w:type="pct"/>
            <w:tcMar>
              <w:top w:w="0" w:type="dxa"/>
              <w:left w:w="57" w:type="dxa"/>
              <w:bottom w:w="0" w:type="dxa"/>
              <w:right w:w="57" w:type="dxa"/>
            </w:tcMar>
            <w:vAlign w:val="center"/>
          </w:tcPr>
          <w:p w14:paraId="43226BE0">
            <w:pPr>
              <w:pStyle w:val="19"/>
              <w:bidi w:val="0"/>
              <w:rPr>
                <w:rFonts w:hint="default" w:eastAsia="宋体"/>
                <w:highlight w:val="none"/>
                <w:lang w:val="en-US" w:eastAsia="zh-CN"/>
              </w:rPr>
            </w:pPr>
            <w:r>
              <w:rPr>
                <w:rFonts w:hint="eastAsia"/>
                <w:highlight w:val="none"/>
                <w:lang w:val="en-US" w:eastAsia="zh-CN"/>
              </w:rPr>
              <w:t>16</w:t>
            </w:r>
          </w:p>
        </w:tc>
      </w:tr>
      <w:tr w14:paraId="690E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79C37B4F">
            <w:pPr>
              <w:pStyle w:val="19"/>
              <w:bidi w:val="0"/>
              <w:rPr>
                <w:highlight w:val="none"/>
              </w:rPr>
            </w:pPr>
          </w:p>
        </w:tc>
        <w:tc>
          <w:tcPr>
            <w:tcW w:w="580" w:type="pct"/>
            <w:tcMar>
              <w:top w:w="0" w:type="dxa"/>
              <w:left w:w="57" w:type="dxa"/>
              <w:bottom w:w="0" w:type="dxa"/>
              <w:right w:w="57" w:type="dxa"/>
            </w:tcMar>
            <w:vAlign w:val="center"/>
          </w:tcPr>
          <w:p w14:paraId="764E52D4">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7DF801A4">
            <w:pPr>
              <w:pStyle w:val="19"/>
              <w:bidi w:val="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-1-2-c</w:t>
            </w:r>
          </w:p>
        </w:tc>
        <w:tc>
          <w:tcPr>
            <w:tcW w:w="699" w:type="pct"/>
            <w:tcMar>
              <w:top w:w="0" w:type="dxa"/>
              <w:left w:w="57" w:type="dxa"/>
              <w:bottom w:w="0" w:type="dxa"/>
              <w:right w:w="57" w:type="dxa"/>
            </w:tcMar>
            <w:vAlign w:val="center"/>
          </w:tcPr>
          <w:p w14:paraId="507B4151">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1781B9BD">
            <w:pPr>
              <w:pStyle w:val="19"/>
              <w:bidi w:val="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2B5CA0F4">
            <w:pPr>
              <w:pStyle w:val="19"/>
              <w:bidi w:val="0"/>
              <w:rPr>
                <w:rFonts w:hint="default" w:eastAsia="宋体"/>
                <w:highlight w:val="none"/>
                <w:lang w:val="en-US" w:eastAsia="zh-CN"/>
              </w:rPr>
            </w:pPr>
            <w:r>
              <w:rPr>
                <w:rFonts w:hint="eastAsia"/>
                <w:highlight w:val="none"/>
                <w:lang w:val="en-US" w:eastAsia="zh-CN"/>
              </w:rPr>
              <w:t>16</w:t>
            </w:r>
          </w:p>
        </w:tc>
      </w:tr>
      <w:tr w14:paraId="280C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375F04C6">
            <w:pPr>
              <w:pStyle w:val="19"/>
              <w:bidi w:val="0"/>
              <w:rPr>
                <w:highlight w:val="none"/>
              </w:rPr>
            </w:pPr>
          </w:p>
        </w:tc>
        <w:tc>
          <w:tcPr>
            <w:tcW w:w="580" w:type="pct"/>
            <w:tcMar>
              <w:top w:w="0" w:type="dxa"/>
              <w:left w:w="57" w:type="dxa"/>
              <w:bottom w:w="0" w:type="dxa"/>
              <w:right w:w="57" w:type="dxa"/>
            </w:tcMar>
            <w:vAlign w:val="center"/>
          </w:tcPr>
          <w:p w14:paraId="49BA0715">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10F43397">
            <w:pPr>
              <w:pStyle w:val="19"/>
              <w:bidi w:val="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-1-3-c</w:t>
            </w:r>
          </w:p>
        </w:tc>
        <w:tc>
          <w:tcPr>
            <w:tcW w:w="699" w:type="pct"/>
            <w:tcMar>
              <w:top w:w="0" w:type="dxa"/>
              <w:left w:w="57" w:type="dxa"/>
              <w:bottom w:w="0" w:type="dxa"/>
              <w:right w:w="57" w:type="dxa"/>
            </w:tcMar>
            <w:vAlign w:val="center"/>
          </w:tcPr>
          <w:p w14:paraId="6CAE08D0">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0A9A397B">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3373507C">
            <w:pPr>
              <w:pStyle w:val="19"/>
              <w:bidi w:val="0"/>
              <w:rPr>
                <w:rFonts w:hint="default" w:eastAsia="宋体"/>
                <w:highlight w:val="none"/>
                <w:lang w:val="en-US" w:eastAsia="zh-CN"/>
              </w:rPr>
            </w:pPr>
            <w:r>
              <w:rPr>
                <w:rFonts w:hint="eastAsia"/>
                <w:highlight w:val="none"/>
                <w:lang w:val="en-US" w:eastAsia="zh-CN"/>
              </w:rPr>
              <w:t>18</w:t>
            </w:r>
          </w:p>
        </w:tc>
      </w:tr>
      <w:tr w14:paraId="46DE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39EB7BD9">
            <w:pPr>
              <w:pStyle w:val="19"/>
              <w:bidi w:val="0"/>
              <w:rPr>
                <w:highlight w:val="none"/>
              </w:rPr>
            </w:pPr>
          </w:p>
        </w:tc>
        <w:tc>
          <w:tcPr>
            <w:tcW w:w="580" w:type="pct"/>
            <w:tcMar>
              <w:top w:w="0" w:type="dxa"/>
              <w:left w:w="57" w:type="dxa"/>
              <w:bottom w:w="0" w:type="dxa"/>
              <w:right w:w="57" w:type="dxa"/>
            </w:tcMar>
            <w:vAlign w:val="center"/>
          </w:tcPr>
          <w:p w14:paraId="6DA7F84D">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1D0536E7">
            <w:pPr>
              <w:pStyle w:val="19"/>
              <w:bidi w:val="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-1-4-c</w:t>
            </w:r>
          </w:p>
        </w:tc>
        <w:tc>
          <w:tcPr>
            <w:tcW w:w="699" w:type="pct"/>
            <w:tcMar>
              <w:top w:w="0" w:type="dxa"/>
              <w:left w:w="57" w:type="dxa"/>
              <w:bottom w:w="0" w:type="dxa"/>
              <w:right w:w="57" w:type="dxa"/>
            </w:tcMar>
            <w:vAlign w:val="center"/>
          </w:tcPr>
          <w:p w14:paraId="7565266C">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76872EB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2FC28C01">
            <w:pPr>
              <w:pStyle w:val="19"/>
              <w:bidi w:val="0"/>
              <w:rPr>
                <w:rFonts w:hint="default" w:eastAsia="宋体"/>
                <w:highlight w:val="none"/>
                <w:lang w:val="en-US" w:eastAsia="zh-CN"/>
              </w:rPr>
            </w:pPr>
            <w:r>
              <w:rPr>
                <w:rFonts w:hint="eastAsia"/>
                <w:highlight w:val="none"/>
                <w:lang w:val="en-US" w:eastAsia="zh-CN"/>
              </w:rPr>
              <w:t>17</w:t>
            </w:r>
          </w:p>
        </w:tc>
      </w:tr>
      <w:tr w14:paraId="5467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23481E3E">
            <w:pPr>
              <w:pStyle w:val="19"/>
              <w:bidi w:val="0"/>
              <w:rPr>
                <w:rFonts w:hint="default" w:eastAsia="宋体"/>
                <w:highlight w:val="none"/>
                <w:lang w:val="en-US" w:eastAsia="zh-CN"/>
              </w:rPr>
            </w:pPr>
            <w:r>
              <w:rPr>
                <w:rFonts w:hint="eastAsia"/>
                <w:highlight w:val="none"/>
                <w:lang w:val="en-US" w:eastAsia="zh-CN"/>
              </w:rPr>
              <w:t>2024.3.10</w:t>
            </w:r>
          </w:p>
        </w:tc>
        <w:tc>
          <w:tcPr>
            <w:tcW w:w="580" w:type="pct"/>
            <w:tcMar>
              <w:top w:w="0" w:type="dxa"/>
              <w:left w:w="57" w:type="dxa"/>
              <w:bottom w:w="0" w:type="dxa"/>
              <w:right w:w="57" w:type="dxa"/>
            </w:tcMar>
            <w:vAlign w:val="center"/>
          </w:tcPr>
          <w:p w14:paraId="44A1F02C">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7CF5A8F0">
            <w:pPr>
              <w:pStyle w:val="19"/>
              <w:bidi w:val="0"/>
              <w:ind w:firstLine="0" w:firstLineChars="0"/>
              <w:rPr>
                <w:rFonts w:hint="default" w:ascii="Times New Roman" w:hAnsi="Times New Roman" w:eastAsia="宋体" w:cs="Times New Roman"/>
                <w:kern w:val="2"/>
                <w:sz w:val="21"/>
                <w:szCs w:val="22"/>
                <w:highlight w:val="none"/>
                <w:vertAlign w:val="baseli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-2-1-c</w:t>
            </w:r>
          </w:p>
        </w:tc>
        <w:tc>
          <w:tcPr>
            <w:tcW w:w="699" w:type="pct"/>
            <w:tcMar>
              <w:top w:w="0" w:type="dxa"/>
              <w:left w:w="57" w:type="dxa"/>
              <w:bottom w:w="0" w:type="dxa"/>
              <w:right w:w="57" w:type="dxa"/>
            </w:tcMar>
            <w:vAlign w:val="center"/>
          </w:tcPr>
          <w:p w14:paraId="41FBEA6D">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5EAFEEF5">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6A2DBA9A">
            <w:pPr>
              <w:pStyle w:val="19"/>
              <w:bidi w:val="0"/>
              <w:rPr>
                <w:rFonts w:hint="default" w:eastAsia="宋体"/>
                <w:highlight w:val="none"/>
                <w:lang w:val="en-US" w:eastAsia="zh-CN"/>
              </w:rPr>
            </w:pPr>
            <w:r>
              <w:rPr>
                <w:rFonts w:hint="eastAsia"/>
                <w:highlight w:val="none"/>
                <w:lang w:val="en-US" w:eastAsia="zh-CN"/>
              </w:rPr>
              <w:t>17</w:t>
            </w:r>
          </w:p>
        </w:tc>
      </w:tr>
      <w:tr w14:paraId="6BE2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0EC58E67">
            <w:pPr>
              <w:pStyle w:val="19"/>
              <w:bidi w:val="0"/>
              <w:rPr>
                <w:highlight w:val="none"/>
              </w:rPr>
            </w:pPr>
          </w:p>
        </w:tc>
        <w:tc>
          <w:tcPr>
            <w:tcW w:w="580" w:type="pct"/>
            <w:tcMar>
              <w:top w:w="0" w:type="dxa"/>
              <w:left w:w="57" w:type="dxa"/>
              <w:bottom w:w="0" w:type="dxa"/>
              <w:right w:w="57" w:type="dxa"/>
            </w:tcMar>
            <w:vAlign w:val="center"/>
          </w:tcPr>
          <w:p w14:paraId="0EBA4D91">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1602A86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-2-2-c</w:t>
            </w:r>
          </w:p>
        </w:tc>
        <w:tc>
          <w:tcPr>
            <w:tcW w:w="699" w:type="pct"/>
            <w:tcMar>
              <w:top w:w="0" w:type="dxa"/>
              <w:left w:w="57" w:type="dxa"/>
              <w:bottom w:w="0" w:type="dxa"/>
              <w:right w:w="57" w:type="dxa"/>
            </w:tcMar>
            <w:vAlign w:val="center"/>
          </w:tcPr>
          <w:p w14:paraId="7924525E">
            <w:pPr>
              <w:pStyle w:val="19"/>
              <w:bidi w:val="0"/>
              <w:rPr>
                <w:rFonts w:hint="default" w:eastAsia="宋体"/>
                <w:highlight w:val="none"/>
                <w:lang w:val="en-US" w:eastAsia="zh-CN"/>
              </w:rPr>
            </w:pPr>
            <w:r>
              <w:rPr>
                <w:rFonts w:hint="eastAsia"/>
                <w:highlight w:val="none"/>
                <w:lang w:val="en-US" w:eastAsia="zh-CN"/>
              </w:rPr>
              <w:t>0.13</w:t>
            </w:r>
          </w:p>
        </w:tc>
        <w:tc>
          <w:tcPr>
            <w:tcW w:w="968" w:type="pct"/>
            <w:tcMar>
              <w:top w:w="0" w:type="dxa"/>
              <w:left w:w="57" w:type="dxa"/>
              <w:bottom w:w="0" w:type="dxa"/>
              <w:right w:w="57" w:type="dxa"/>
            </w:tcMar>
            <w:vAlign w:val="center"/>
          </w:tcPr>
          <w:p w14:paraId="7F7EBCB7">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7EEB0FDF">
            <w:pPr>
              <w:pStyle w:val="19"/>
              <w:bidi w:val="0"/>
              <w:rPr>
                <w:rFonts w:hint="default" w:eastAsia="宋体"/>
                <w:highlight w:val="none"/>
                <w:lang w:val="en-US" w:eastAsia="zh-CN"/>
              </w:rPr>
            </w:pPr>
            <w:r>
              <w:rPr>
                <w:rFonts w:hint="eastAsia"/>
                <w:highlight w:val="none"/>
                <w:lang w:val="en-US" w:eastAsia="zh-CN"/>
              </w:rPr>
              <w:t>18</w:t>
            </w:r>
          </w:p>
        </w:tc>
      </w:tr>
      <w:tr w14:paraId="70F7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2C3A132F">
            <w:pPr>
              <w:pStyle w:val="19"/>
              <w:bidi w:val="0"/>
              <w:rPr>
                <w:highlight w:val="none"/>
              </w:rPr>
            </w:pPr>
          </w:p>
        </w:tc>
        <w:tc>
          <w:tcPr>
            <w:tcW w:w="580" w:type="pct"/>
            <w:tcMar>
              <w:top w:w="0" w:type="dxa"/>
              <w:left w:w="57" w:type="dxa"/>
              <w:bottom w:w="0" w:type="dxa"/>
              <w:right w:w="57" w:type="dxa"/>
            </w:tcMar>
            <w:vAlign w:val="center"/>
          </w:tcPr>
          <w:p w14:paraId="7B12F0BA">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546A8764">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-2-3-c</w:t>
            </w:r>
          </w:p>
        </w:tc>
        <w:tc>
          <w:tcPr>
            <w:tcW w:w="699" w:type="pct"/>
            <w:tcMar>
              <w:top w:w="0" w:type="dxa"/>
              <w:left w:w="57" w:type="dxa"/>
              <w:bottom w:w="0" w:type="dxa"/>
              <w:right w:w="57" w:type="dxa"/>
            </w:tcMar>
            <w:vAlign w:val="center"/>
          </w:tcPr>
          <w:p w14:paraId="67A96189">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4B359CD1">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65EA4741">
            <w:pPr>
              <w:pStyle w:val="19"/>
              <w:bidi w:val="0"/>
              <w:rPr>
                <w:rFonts w:hint="default" w:eastAsia="宋体"/>
                <w:highlight w:val="none"/>
                <w:lang w:val="en-US" w:eastAsia="zh-CN"/>
              </w:rPr>
            </w:pPr>
            <w:r>
              <w:rPr>
                <w:rFonts w:hint="eastAsia"/>
                <w:highlight w:val="none"/>
                <w:lang w:val="en-US" w:eastAsia="zh-CN"/>
              </w:rPr>
              <w:t>16</w:t>
            </w:r>
          </w:p>
        </w:tc>
      </w:tr>
      <w:tr w14:paraId="053B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633760FD">
            <w:pPr>
              <w:pStyle w:val="19"/>
              <w:bidi w:val="0"/>
              <w:rPr>
                <w:highlight w:val="none"/>
              </w:rPr>
            </w:pPr>
          </w:p>
        </w:tc>
        <w:tc>
          <w:tcPr>
            <w:tcW w:w="580" w:type="pct"/>
            <w:tcMar>
              <w:top w:w="0" w:type="dxa"/>
              <w:left w:w="57" w:type="dxa"/>
              <w:bottom w:w="0" w:type="dxa"/>
              <w:right w:w="57" w:type="dxa"/>
            </w:tcMar>
            <w:vAlign w:val="center"/>
          </w:tcPr>
          <w:p w14:paraId="55777B7C">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40EC349F">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-2-4-c</w:t>
            </w:r>
          </w:p>
        </w:tc>
        <w:tc>
          <w:tcPr>
            <w:tcW w:w="699" w:type="pct"/>
            <w:tcMar>
              <w:top w:w="0" w:type="dxa"/>
              <w:left w:w="57" w:type="dxa"/>
              <w:bottom w:w="0" w:type="dxa"/>
              <w:right w:w="57" w:type="dxa"/>
            </w:tcMar>
            <w:vAlign w:val="center"/>
          </w:tcPr>
          <w:p w14:paraId="1BF51DE2">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3707DE6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299C0892">
            <w:pPr>
              <w:pStyle w:val="19"/>
              <w:bidi w:val="0"/>
              <w:rPr>
                <w:rFonts w:hint="default" w:eastAsia="宋体"/>
                <w:highlight w:val="none"/>
                <w:lang w:val="en-US" w:eastAsia="zh-CN"/>
              </w:rPr>
            </w:pPr>
            <w:r>
              <w:rPr>
                <w:rFonts w:hint="eastAsia"/>
                <w:highlight w:val="none"/>
                <w:lang w:val="en-US" w:eastAsia="zh-CN"/>
              </w:rPr>
              <w:t>16</w:t>
            </w:r>
          </w:p>
        </w:tc>
      </w:tr>
      <w:tr w14:paraId="289F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51500267">
            <w:pPr>
              <w:pStyle w:val="19"/>
              <w:bidi w:val="0"/>
              <w:rPr>
                <w:rFonts w:hint="default" w:eastAsia="宋体"/>
                <w:highlight w:val="none"/>
                <w:lang w:val="en-US" w:eastAsia="zh-CN"/>
              </w:rPr>
            </w:pPr>
            <w:r>
              <w:rPr>
                <w:rFonts w:hint="eastAsia"/>
                <w:highlight w:val="none"/>
                <w:lang w:val="en-US" w:eastAsia="zh-CN"/>
              </w:rPr>
              <w:t>2024.3.11</w:t>
            </w:r>
          </w:p>
        </w:tc>
        <w:tc>
          <w:tcPr>
            <w:tcW w:w="580" w:type="pct"/>
            <w:tcMar>
              <w:top w:w="0" w:type="dxa"/>
              <w:left w:w="57" w:type="dxa"/>
              <w:bottom w:w="0" w:type="dxa"/>
              <w:right w:w="57" w:type="dxa"/>
            </w:tcMar>
            <w:vAlign w:val="center"/>
          </w:tcPr>
          <w:p w14:paraId="0C766052">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7C118620">
            <w:pPr>
              <w:pStyle w:val="19"/>
              <w:bidi w:val="0"/>
              <w:ind w:firstLine="0" w:firstLineChars="0"/>
              <w:rPr>
                <w:rFonts w:hint="default" w:ascii="Times New Roman" w:hAnsi="Times New Roman" w:eastAsia="宋体" w:cs="Times New Roman"/>
                <w:kern w:val="2"/>
                <w:sz w:val="21"/>
                <w:szCs w:val="22"/>
                <w:highlight w:val="none"/>
                <w:vertAlign w:val="baseli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-3-1-c</w:t>
            </w:r>
          </w:p>
        </w:tc>
        <w:tc>
          <w:tcPr>
            <w:tcW w:w="699" w:type="pct"/>
            <w:tcMar>
              <w:top w:w="0" w:type="dxa"/>
              <w:left w:w="57" w:type="dxa"/>
              <w:bottom w:w="0" w:type="dxa"/>
              <w:right w:w="57" w:type="dxa"/>
            </w:tcMar>
            <w:vAlign w:val="center"/>
          </w:tcPr>
          <w:p w14:paraId="5B330731">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33DDFC41">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55A0D5C9">
            <w:pPr>
              <w:pStyle w:val="19"/>
              <w:bidi w:val="0"/>
              <w:rPr>
                <w:rFonts w:hint="default" w:eastAsia="宋体"/>
                <w:highlight w:val="none"/>
                <w:lang w:val="en-US" w:eastAsia="zh-CN"/>
              </w:rPr>
            </w:pPr>
            <w:r>
              <w:rPr>
                <w:rFonts w:hint="eastAsia"/>
                <w:highlight w:val="none"/>
                <w:lang w:val="en-US" w:eastAsia="zh-CN"/>
              </w:rPr>
              <w:t>19</w:t>
            </w:r>
          </w:p>
        </w:tc>
      </w:tr>
      <w:tr w14:paraId="3311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4D1F4F89">
            <w:pPr>
              <w:pStyle w:val="19"/>
              <w:bidi w:val="0"/>
              <w:rPr>
                <w:highlight w:val="none"/>
              </w:rPr>
            </w:pPr>
          </w:p>
        </w:tc>
        <w:tc>
          <w:tcPr>
            <w:tcW w:w="580" w:type="pct"/>
            <w:tcMar>
              <w:top w:w="0" w:type="dxa"/>
              <w:left w:w="57" w:type="dxa"/>
              <w:bottom w:w="0" w:type="dxa"/>
              <w:right w:w="57" w:type="dxa"/>
            </w:tcMar>
            <w:vAlign w:val="center"/>
          </w:tcPr>
          <w:p w14:paraId="763BDF6F">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340438A2">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-3-2-c</w:t>
            </w:r>
          </w:p>
        </w:tc>
        <w:tc>
          <w:tcPr>
            <w:tcW w:w="699" w:type="pct"/>
            <w:tcMar>
              <w:top w:w="0" w:type="dxa"/>
              <w:left w:w="57" w:type="dxa"/>
              <w:bottom w:w="0" w:type="dxa"/>
              <w:right w:w="57" w:type="dxa"/>
            </w:tcMar>
            <w:vAlign w:val="center"/>
          </w:tcPr>
          <w:p w14:paraId="629BCDB7">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5B42DE11">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3DCB64C8">
            <w:pPr>
              <w:pStyle w:val="19"/>
              <w:bidi w:val="0"/>
              <w:rPr>
                <w:rFonts w:hint="default" w:eastAsia="宋体"/>
                <w:highlight w:val="none"/>
                <w:lang w:val="en-US" w:eastAsia="zh-CN"/>
              </w:rPr>
            </w:pPr>
            <w:r>
              <w:rPr>
                <w:rFonts w:hint="eastAsia"/>
                <w:highlight w:val="none"/>
                <w:lang w:val="en-US" w:eastAsia="zh-CN"/>
              </w:rPr>
              <w:t>18</w:t>
            </w:r>
          </w:p>
        </w:tc>
      </w:tr>
      <w:tr w14:paraId="3CC2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1E58D21E">
            <w:pPr>
              <w:pStyle w:val="19"/>
              <w:bidi w:val="0"/>
              <w:rPr>
                <w:highlight w:val="none"/>
              </w:rPr>
            </w:pPr>
          </w:p>
        </w:tc>
        <w:tc>
          <w:tcPr>
            <w:tcW w:w="580" w:type="pct"/>
            <w:tcMar>
              <w:top w:w="0" w:type="dxa"/>
              <w:left w:w="57" w:type="dxa"/>
              <w:bottom w:w="0" w:type="dxa"/>
              <w:right w:w="57" w:type="dxa"/>
            </w:tcMar>
            <w:vAlign w:val="center"/>
          </w:tcPr>
          <w:p w14:paraId="748889D1">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5FDACCA3">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-3-3-c</w:t>
            </w:r>
          </w:p>
        </w:tc>
        <w:tc>
          <w:tcPr>
            <w:tcW w:w="699" w:type="pct"/>
            <w:tcMar>
              <w:top w:w="0" w:type="dxa"/>
              <w:left w:w="57" w:type="dxa"/>
              <w:bottom w:w="0" w:type="dxa"/>
              <w:right w:w="57" w:type="dxa"/>
            </w:tcMar>
            <w:vAlign w:val="center"/>
          </w:tcPr>
          <w:p w14:paraId="6A7B2E4D">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461056AA">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6EA65A7F">
            <w:pPr>
              <w:pStyle w:val="19"/>
              <w:bidi w:val="0"/>
              <w:rPr>
                <w:rFonts w:hint="default" w:eastAsia="宋体"/>
                <w:highlight w:val="none"/>
                <w:lang w:val="en-US" w:eastAsia="zh-CN"/>
              </w:rPr>
            </w:pPr>
            <w:r>
              <w:rPr>
                <w:rFonts w:hint="eastAsia"/>
                <w:highlight w:val="none"/>
                <w:lang w:val="en-US" w:eastAsia="zh-CN"/>
              </w:rPr>
              <w:t>18</w:t>
            </w:r>
          </w:p>
        </w:tc>
      </w:tr>
      <w:tr w14:paraId="40D2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3B7AA386">
            <w:pPr>
              <w:pStyle w:val="19"/>
              <w:bidi w:val="0"/>
              <w:rPr>
                <w:highlight w:val="none"/>
              </w:rPr>
            </w:pPr>
          </w:p>
        </w:tc>
        <w:tc>
          <w:tcPr>
            <w:tcW w:w="580" w:type="pct"/>
            <w:tcMar>
              <w:top w:w="0" w:type="dxa"/>
              <w:left w:w="57" w:type="dxa"/>
              <w:bottom w:w="0" w:type="dxa"/>
              <w:right w:w="57" w:type="dxa"/>
            </w:tcMar>
            <w:vAlign w:val="center"/>
          </w:tcPr>
          <w:p w14:paraId="0C7EB7C2">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4373A139">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-3-4-c</w:t>
            </w:r>
          </w:p>
        </w:tc>
        <w:tc>
          <w:tcPr>
            <w:tcW w:w="699" w:type="pct"/>
            <w:tcMar>
              <w:top w:w="0" w:type="dxa"/>
              <w:left w:w="57" w:type="dxa"/>
              <w:bottom w:w="0" w:type="dxa"/>
              <w:right w:w="57" w:type="dxa"/>
            </w:tcMar>
            <w:vAlign w:val="center"/>
          </w:tcPr>
          <w:p w14:paraId="43E25054">
            <w:pPr>
              <w:pStyle w:val="19"/>
              <w:bidi w:val="0"/>
              <w:rPr>
                <w:rFonts w:hint="default" w:eastAsia="宋体"/>
                <w:highlight w:val="none"/>
                <w:lang w:val="en-US" w:eastAsia="zh-CN"/>
              </w:rPr>
            </w:pPr>
            <w:r>
              <w:rPr>
                <w:rFonts w:hint="eastAsia"/>
                <w:highlight w:val="none"/>
                <w:lang w:val="en-US" w:eastAsia="zh-CN"/>
              </w:rPr>
              <w:t>0.13</w:t>
            </w:r>
          </w:p>
        </w:tc>
        <w:tc>
          <w:tcPr>
            <w:tcW w:w="968" w:type="pct"/>
            <w:tcMar>
              <w:top w:w="0" w:type="dxa"/>
              <w:left w:w="57" w:type="dxa"/>
              <w:bottom w:w="0" w:type="dxa"/>
              <w:right w:w="57" w:type="dxa"/>
            </w:tcMar>
            <w:vAlign w:val="center"/>
          </w:tcPr>
          <w:p w14:paraId="76412AC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5E9EEE5D">
            <w:pPr>
              <w:pStyle w:val="19"/>
              <w:bidi w:val="0"/>
              <w:rPr>
                <w:rFonts w:hint="default" w:eastAsia="宋体"/>
                <w:highlight w:val="none"/>
                <w:lang w:val="en-US" w:eastAsia="zh-CN"/>
              </w:rPr>
            </w:pPr>
            <w:r>
              <w:rPr>
                <w:rFonts w:hint="eastAsia"/>
                <w:highlight w:val="none"/>
                <w:lang w:val="en-US" w:eastAsia="zh-CN"/>
              </w:rPr>
              <w:t>17</w:t>
            </w:r>
          </w:p>
        </w:tc>
      </w:tr>
      <w:tr w14:paraId="0E34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46D03AAB">
            <w:pPr>
              <w:pStyle w:val="19"/>
              <w:bidi w:val="0"/>
              <w:rPr>
                <w:rFonts w:hint="default" w:eastAsia="宋体"/>
                <w:highlight w:val="none"/>
                <w:lang w:val="en-US" w:eastAsia="zh-CN"/>
              </w:rPr>
            </w:pPr>
            <w:r>
              <w:rPr>
                <w:rFonts w:hint="eastAsia"/>
                <w:highlight w:val="none"/>
                <w:lang w:val="en-US" w:eastAsia="zh-CN"/>
              </w:rPr>
              <w:t>2024.3.12</w:t>
            </w:r>
          </w:p>
        </w:tc>
        <w:tc>
          <w:tcPr>
            <w:tcW w:w="580" w:type="pct"/>
            <w:tcMar>
              <w:top w:w="0" w:type="dxa"/>
              <w:left w:w="57" w:type="dxa"/>
              <w:bottom w:w="0" w:type="dxa"/>
              <w:right w:w="57" w:type="dxa"/>
            </w:tcMar>
            <w:vAlign w:val="center"/>
          </w:tcPr>
          <w:p w14:paraId="01530A7C">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5FCF9E85">
            <w:pPr>
              <w:pStyle w:val="19"/>
              <w:bidi w:val="0"/>
              <w:ind w:firstLine="0" w:firstLineChars="0"/>
              <w:rPr>
                <w:rFonts w:hint="default" w:ascii="Times New Roman" w:hAnsi="Times New Roman" w:eastAsia="宋体" w:cs="Times New Roman"/>
                <w:kern w:val="2"/>
                <w:sz w:val="21"/>
                <w:szCs w:val="22"/>
                <w:highlight w:val="none"/>
                <w:vertAlign w:val="baseli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-4-1-c</w:t>
            </w:r>
          </w:p>
        </w:tc>
        <w:tc>
          <w:tcPr>
            <w:tcW w:w="699" w:type="pct"/>
            <w:tcMar>
              <w:top w:w="0" w:type="dxa"/>
              <w:left w:w="57" w:type="dxa"/>
              <w:bottom w:w="0" w:type="dxa"/>
              <w:right w:w="57" w:type="dxa"/>
            </w:tcMar>
            <w:vAlign w:val="center"/>
          </w:tcPr>
          <w:p w14:paraId="5737EB61">
            <w:pPr>
              <w:pStyle w:val="19"/>
              <w:bidi w:val="0"/>
              <w:rPr>
                <w:rFonts w:hint="default" w:eastAsia="宋体"/>
                <w:highlight w:val="none"/>
                <w:lang w:val="en-US" w:eastAsia="zh-CN"/>
              </w:rPr>
            </w:pPr>
            <w:r>
              <w:rPr>
                <w:rFonts w:hint="eastAsia"/>
                <w:highlight w:val="none"/>
                <w:lang w:val="en-US" w:eastAsia="zh-CN"/>
              </w:rPr>
              <w:t>0.13</w:t>
            </w:r>
          </w:p>
        </w:tc>
        <w:tc>
          <w:tcPr>
            <w:tcW w:w="968" w:type="pct"/>
            <w:tcMar>
              <w:top w:w="0" w:type="dxa"/>
              <w:left w:w="57" w:type="dxa"/>
              <w:bottom w:w="0" w:type="dxa"/>
              <w:right w:w="57" w:type="dxa"/>
            </w:tcMar>
            <w:vAlign w:val="center"/>
          </w:tcPr>
          <w:p w14:paraId="21200E4F">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051D2B9D">
            <w:pPr>
              <w:pStyle w:val="19"/>
              <w:bidi w:val="0"/>
              <w:rPr>
                <w:rFonts w:hint="default" w:eastAsia="宋体"/>
                <w:highlight w:val="none"/>
                <w:lang w:val="en-US" w:eastAsia="zh-CN"/>
              </w:rPr>
            </w:pPr>
            <w:r>
              <w:rPr>
                <w:rFonts w:hint="eastAsia"/>
                <w:highlight w:val="none"/>
                <w:lang w:val="en-US" w:eastAsia="zh-CN"/>
              </w:rPr>
              <w:t>16</w:t>
            </w:r>
          </w:p>
        </w:tc>
      </w:tr>
      <w:tr w14:paraId="0AF6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4B221641">
            <w:pPr>
              <w:pStyle w:val="19"/>
              <w:bidi w:val="0"/>
              <w:rPr>
                <w:highlight w:val="none"/>
              </w:rPr>
            </w:pPr>
          </w:p>
        </w:tc>
        <w:tc>
          <w:tcPr>
            <w:tcW w:w="580" w:type="pct"/>
            <w:tcMar>
              <w:top w:w="0" w:type="dxa"/>
              <w:left w:w="57" w:type="dxa"/>
              <w:bottom w:w="0" w:type="dxa"/>
              <w:right w:w="57" w:type="dxa"/>
            </w:tcMar>
            <w:vAlign w:val="center"/>
          </w:tcPr>
          <w:p w14:paraId="4F8E40F1">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225671FD">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-4-2-c</w:t>
            </w:r>
          </w:p>
        </w:tc>
        <w:tc>
          <w:tcPr>
            <w:tcW w:w="699" w:type="pct"/>
            <w:tcMar>
              <w:top w:w="0" w:type="dxa"/>
              <w:left w:w="57" w:type="dxa"/>
              <w:bottom w:w="0" w:type="dxa"/>
              <w:right w:w="57" w:type="dxa"/>
            </w:tcMar>
            <w:vAlign w:val="center"/>
          </w:tcPr>
          <w:p w14:paraId="395C2A27">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1ECBD8C6">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00C5A41E">
            <w:pPr>
              <w:pStyle w:val="19"/>
              <w:bidi w:val="0"/>
              <w:rPr>
                <w:rFonts w:hint="default" w:eastAsia="宋体"/>
                <w:highlight w:val="none"/>
                <w:lang w:val="en-US" w:eastAsia="zh-CN"/>
              </w:rPr>
            </w:pPr>
            <w:r>
              <w:rPr>
                <w:rFonts w:hint="eastAsia"/>
                <w:highlight w:val="none"/>
                <w:lang w:val="en-US" w:eastAsia="zh-CN"/>
              </w:rPr>
              <w:t>17</w:t>
            </w:r>
          </w:p>
        </w:tc>
      </w:tr>
      <w:tr w14:paraId="16B6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16C08C8F">
            <w:pPr>
              <w:pStyle w:val="19"/>
              <w:bidi w:val="0"/>
              <w:rPr>
                <w:highlight w:val="none"/>
              </w:rPr>
            </w:pPr>
          </w:p>
        </w:tc>
        <w:tc>
          <w:tcPr>
            <w:tcW w:w="580" w:type="pct"/>
            <w:tcMar>
              <w:top w:w="0" w:type="dxa"/>
              <w:left w:w="57" w:type="dxa"/>
              <w:bottom w:w="0" w:type="dxa"/>
              <w:right w:w="57" w:type="dxa"/>
            </w:tcMar>
            <w:vAlign w:val="center"/>
          </w:tcPr>
          <w:p w14:paraId="766425E0">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69346DFB">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-4-3-c</w:t>
            </w:r>
          </w:p>
        </w:tc>
        <w:tc>
          <w:tcPr>
            <w:tcW w:w="699" w:type="pct"/>
            <w:tcMar>
              <w:top w:w="0" w:type="dxa"/>
              <w:left w:w="57" w:type="dxa"/>
              <w:bottom w:w="0" w:type="dxa"/>
              <w:right w:w="57" w:type="dxa"/>
            </w:tcMar>
            <w:vAlign w:val="center"/>
          </w:tcPr>
          <w:p w14:paraId="77501AEA">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605074FF">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6D919255">
            <w:pPr>
              <w:pStyle w:val="19"/>
              <w:bidi w:val="0"/>
              <w:rPr>
                <w:rFonts w:hint="default" w:eastAsia="宋体"/>
                <w:highlight w:val="none"/>
                <w:lang w:val="en-US" w:eastAsia="zh-CN"/>
              </w:rPr>
            </w:pPr>
            <w:r>
              <w:rPr>
                <w:rFonts w:hint="eastAsia"/>
                <w:highlight w:val="none"/>
                <w:lang w:val="en-US" w:eastAsia="zh-CN"/>
              </w:rPr>
              <w:t>16</w:t>
            </w:r>
          </w:p>
        </w:tc>
      </w:tr>
      <w:tr w14:paraId="1789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0C4D125C">
            <w:pPr>
              <w:pStyle w:val="19"/>
              <w:bidi w:val="0"/>
              <w:rPr>
                <w:highlight w:val="none"/>
              </w:rPr>
            </w:pPr>
          </w:p>
        </w:tc>
        <w:tc>
          <w:tcPr>
            <w:tcW w:w="580" w:type="pct"/>
            <w:tcMar>
              <w:top w:w="0" w:type="dxa"/>
              <w:left w:w="57" w:type="dxa"/>
              <w:bottom w:w="0" w:type="dxa"/>
              <w:right w:w="57" w:type="dxa"/>
            </w:tcMar>
            <w:vAlign w:val="center"/>
          </w:tcPr>
          <w:p w14:paraId="31743E73">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0FCE2B54">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-4-4-c</w:t>
            </w:r>
          </w:p>
        </w:tc>
        <w:tc>
          <w:tcPr>
            <w:tcW w:w="699" w:type="pct"/>
            <w:tcMar>
              <w:top w:w="0" w:type="dxa"/>
              <w:left w:w="57" w:type="dxa"/>
              <w:bottom w:w="0" w:type="dxa"/>
              <w:right w:w="57" w:type="dxa"/>
            </w:tcMar>
            <w:vAlign w:val="center"/>
          </w:tcPr>
          <w:p w14:paraId="09591424">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3F89E813">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7791826E">
            <w:pPr>
              <w:pStyle w:val="19"/>
              <w:bidi w:val="0"/>
              <w:rPr>
                <w:rFonts w:hint="default" w:eastAsia="宋体"/>
                <w:highlight w:val="none"/>
                <w:lang w:val="en-US" w:eastAsia="zh-CN"/>
              </w:rPr>
            </w:pPr>
            <w:r>
              <w:rPr>
                <w:rFonts w:hint="eastAsia"/>
                <w:highlight w:val="none"/>
                <w:lang w:val="en-US" w:eastAsia="zh-CN"/>
              </w:rPr>
              <w:t>18</w:t>
            </w:r>
          </w:p>
        </w:tc>
      </w:tr>
      <w:tr w14:paraId="09EF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5157A313">
            <w:pPr>
              <w:pStyle w:val="19"/>
              <w:bidi w:val="0"/>
              <w:rPr>
                <w:rFonts w:hint="default" w:eastAsia="宋体"/>
                <w:highlight w:val="none"/>
                <w:lang w:val="en-US" w:eastAsia="zh-CN"/>
              </w:rPr>
            </w:pPr>
            <w:r>
              <w:rPr>
                <w:rFonts w:hint="eastAsia"/>
                <w:highlight w:val="none"/>
                <w:lang w:val="en-US" w:eastAsia="zh-CN"/>
              </w:rPr>
              <w:t>2024.3.13</w:t>
            </w:r>
          </w:p>
        </w:tc>
        <w:tc>
          <w:tcPr>
            <w:tcW w:w="580" w:type="pct"/>
            <w:tcMar>
              <w:top w:w="0" w:type="dxa"/>
              <w:left w:w="57" w:type="dxa"/>
              <w:bottom w:w="0" w:type="dxa"/>
              <w:right w:w="57" w:type="dxa"/>
            </w:tcMar>
            <w:vAlign w:val="center"/>
          </w:tcPr>
          <w:p w14:paraId="75C4BBF1">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4097D07A">
            <w:pPr>
              <w:pStyle w:val="19"/>
              <w:bidi w:val="0"/>
              <w:ind w:firstLine="0" w:firstLineChars="0"/>
              <w:rPr>
                <w:rFonts w:hint="default" w:ascii="Times New Roman" w:hAnsi="Times New Roman" w:eastAsia="宋体" w:cs="Times New Roman"/>
                <w:kern w:val="2"/>
                <w:sz w:val="21"/>
                <w:szCs w:val="22"/>
                <w:highlight w:val="none"/>
                <w:vertAlign w:val="baseli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-5-1-c</w:t>
            </w:r>
          </w:p>
        </w:tc>
        <w:tc>
          <w:tcPr>
            <w:tcW w:w="699" w:type="pct"/>
            <w:tcMar>
              <w:top w:w="0" w:type="dxa"/>
              <w:left w:w="57" w:type="dxa"/>
              <w:bottom w:w="0" w:type="dxa"/>
              <w:right w:w="57" w:type="dxa"/>
            </w:tcMar>
            <w:vAlign w:val="center"/>
          </w:tcPr>
          <w:p w14:paraId="0753C8DE">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2E25D615">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531537EB">
            <w:pPr>
              <w:pStyle w:val="19"/>
              <w:bidi w:val="0"/>
              <w:rPr>
                <w:rFonts w:hint="default" w:eastAsia="宋体"/>
                <w:highlight w:val="none"/>
                <w:lang w:val="en-US" w:eastAsia="zh-CN"/>
              </w:rPr>
            </w:pPr>
            <w:r>
              <w:rPr>
                <w:rFonts w:hint="eastAsia"/>
                <w:highlight w:val="none"/>
                <w:lang w:val="en-US" w:eastAsia="zh-CN"/>
              </w:rPr>
              <w:t>16</w:t>
            </w:r>
          </w:p>
        </w:tc>
      </w:tr>
      <w:tr w14:paraId="7DDB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492BD998">
            <w:pPr>
              <w:pStyle w:val="19"/>
              <w:bidi w:val="0"/>
              <w:rPr>
                <w:highlight w:val="none"/>
              </w:rPr>
            </w:pPr>
          </w:p>
        </w:tc>
        <w:tc>
          <w:tcPr>
            <w:tcW w:w="580" w:type="pct"/>
            <w:tcMar>
              <w:top w:w="0" w:type="dxa"/>
              <w:left w:w="57" w:type="dxa"/>
              <w:bottom w:w="0" w:type="dxa"/>
              <w:right w:w="57" w:type="dxa"/>
            </w:tcMar>
            <w:vAlign w:val="center"/>
          </w:tcPr>
          <w:p w14:paraId="1D76D4C9">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11CD95B6">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-5-2-c</w:t>
            </w:r>
          </w:p>
        </w:tc>
        <w:tc>
          <w:tcPr>
            <w:tcW w:w="699" w:type="pct"/>
            <w:tcMar>
              <w:top w:w="0" w:type="dxa"/>
              <w:left w:w="57" w:type="dxa"/>
              <w:bottom w:w="0" w:type="dxa"/>
              <w:right w:w="57" w:type="dxa"/>
            </w:tcMar>
            <w:vAlign w:val="center"/>
          </w:tcPr>
          <w:p w14:paraId="71C94048">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4D1BF584">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006DDDB4">
            <w:pPr>
              <w:pStyle w:val="19"/>
              <w:bidi w:val="0"/>
              <w:rPr>
                <w:rFonts w:hint="default" w:eastAsia="宋体"/>
                <w:highlight w:val="none"/>
                <w:lang w:val="en-US" w:eastAsia="zh-CN"/>
              </w:rPr>
            </w:pPr>
            <w:r>
              <w:rPr>
                <w:rFonts w:hint="eastAsia"/>
                <w:highlight w:val="none"/>
                <w:lang w:val="en-US" w:eastAsia="zh-CN"/>
              </w:rPr>
              <w:t>18</w:t>
            </w:r>
          </w:p>
        </w:tc>
      </w:tr>
      <w:tr w14:paraId="0C99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59F654C3">
            <w:pPr>
              <w:pStyle w:val="19"/>
              <w:bidi w:val="0"/>
              <w:rPr>
                <w:highlight w:val="none"/>
              </w:rPr>
            </w:pPr>
          </w:p>
        </w:tc>
        <w:tc>
          <w:tcPr>
            <w:tcW w:w="580" w:type="pct"/>
            <w:tcMar>
              <w:top w:w="0" w:type="dxa"/>
              <w:left w:w="57" w:type="dxa"/>
              <w:bottom w:w="0" w:type="dxa"/>
              <w:right w:w="57" w:type="dxa"/>
            </w:tcMar>
            <w:vAlign w:val="center"/>
          </w:tcPr>
          <w:p w14:paraId="5196575E">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596167A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-5-3-c</w:t>
            </w:r>
          </w:p>
        </w:tc>
        <w:tc>
          <w:tcPr>
            <w:tcW w:w="699" w:type="pct"/>
            <w:tcMar>
              <w:top w:w="0" w:type="dxa"/>
              <w:left w:w="57" w:type="dxa"/>
              <w:bottom w:w="0" w:type="dxa"/>
              <w:right w:w="57" w:type="dxa"/>
            </w:tcMar>
            <w:vAlign w:val="center"/>
          </w:tcPr>
          <w:p w14:paraId="520640B2">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5CF806D7">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129294CE">
            <w:pPr>
              <w:pStyle w:val="19"/>
              <w:bidi w:val="0"/>
              <w:rPr>
                <w:rFonts w:hint="default" w:eastAsia="宋体"/>
                <w:highlight w:val="none"/>
                <w:lang w:val="en-US" w:eastAsia="zh-CN"/>
              </w:rPr>
            </w:pPr>
            <w:r>
              <w:rPr>
                <w:rFonts w:hint="eastAsia"/>
                <w:highlight w:val="none"/>
                <w:lang w:val="en-US" w:eastAsia="zh-CN"/>
              </w:rPr>
              <w:t>19</w:t>
            </w:r>
          </w:p>
        </w:tc>
      </w:tr>
      <w:tr w14:paraId="5F27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248CF4C8">
            <w:pPr>
              <w:pStyle w:val="19"/>
              <w:bidi w:val="0"/>
              <w:rPr>
                <w:highlight w:val="none"/>
              </w:rPr>
            </w:pPr>
          </w:p>
        </w:tc>
        <w:tc>
          <w:tcPr>
            <w:tcW w:w="580" w:type="pct"/>
            <w:tcMar>
              <w:top w:w="0" w:type="dxa"/>
              <w:left w:w="57" w:type="dxa"/>
              <w:bottom w:w="0" w:type="dxa"/>
              <w:right w:w="57" w:type="dxa"/>
            </w:tcMar>
            <w:vAlign w:val="center"/>
          </w:tcPr>
          <w:p w14:paraId="10E1D829">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33C419D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-5-4-c</w:t>
            </w:r>
          </w:p>
        </w:tc>
        <w:tc>
          <w:tcPr>
            <w:tcW w:w="699" w:type="pct"/>
            <w:tcMar>
              <w:top w:w="0" w:type="dxa"/>
              <w:left w:w="57" w:type="dxa"/>
              <w:bottom w:w="0" w:type="dxa"/>
              <w:right w:w="57" w:type="dxa"/>
            </w:tcMar>
            <w:vAlign w:val="center"/>
          </w:tcPr>
          <w:p w14:paraId="220590B5">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1ADD8274">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6594B95A">
            <w:pPr>
              <w:pStyle w:val="19"/>
              <w:bidi w:val="0"/>
              <w:rPr>
                <w:rFonts w:hint="default" w:eastAsia="宋体"/>
                <w:highlight w:val="none"/>
                <w:lang w:val="en-US" w:eastAsia="zh-CN"/>
              </w:rPr>
            </w:pPr>
            <w:r>
              <w:rPr>
                <w:rFonts w:hint="eastAsia"/>
                <w:highlight w:val="none"/>
                <w:lang w:val="en-US" w:eastAsia="zh-CN"/>
              </w:rPr>
              <w:t>18</w:t>
            </w:r>
          </w:p>
        </w:tc>
      </w:tr>
      <w:tr w14:paraId="16DB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560247C0">
            <w:pPr>
              <w:pStyle w:val="19"/>
              <w:bidi w:val="0"/>
              <w:rPr>
                <w:rFonts w:hint="default" w:eastAsia="宋体"/>
                <w:highlight w:val="none"/>
                <w:lang w:val="en-US" w:eastAsia="zh-CN"/>
              </w:rPr>
            </w:pPr>
            <w:r>
              <w:rPr>
                <w:rFonts w:hint="eastAsia"/>
                <w:highlight w:val="none"/>
                <w:lang w:val="en-US" w:eastAsia="zh-CN"/>
              </w:rPr>
              <w:t>2024.3.14</w:t>
            </w:r>
          </w:p>
        </w:tc>
        <w:tc>
          <w:tcPr>
            <w:tcW w:w="580" w:type="pct"/>
            <w:tcMar>
              <w:top w:w="0" w:type="dxa"/>
              <w:left w:w="57" w:type="dxa"/>
              <w:bottom w:w="0" w:type="dxa"/>
              <w:right w:w="57" w:type="dxa"/>
            </w:tcMar>
            <w:vAlign w:val="center"/>
          </w:tcPr>
          <w:p w14:paraId="7DC4FE12">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5A30C6C1">
            <w:pPr>
              <w:pStyle w:val="19"/>
              <w:bidi w:val="0"/>
              <w:ind w:firstLine="0" w:firstLineChars="0"/>
              <w:rPr>
                <w:rFonts w:hint="default" w:ascii="Times New Roman" w:hAnsi="Times New Roman" w:eastAsia="宋体" w:cs="Times New Roman"/>
                <w:kern w:val="2"/>
                <w:sz w:val="21"/>
                <w:szCs w:val="22"/>
                <w:highlight w:val="none"/>
                <w:vertAlign w:val="baseli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-6-1-c</w:t>
            </w:r>
          </w:p>
        </w:tc>
        <w:tc>
          <w:tcPr>
            <w:tcW w:w="699" w:type="pct"/>
            <w:tcMar>
              <w:top w:w="0" w:type="dxa"/>
              <w:left w:w="57" w:type="dxa"/>
              <w:bottom w:w="0" w:type="dxa"/>
              <w:right w:w="57" w:type="dxa"/>
            </w:tcMar>
            <w:vAlign w:val="center"/>
          </w:tcPr>
          <w:p w14:paraId="077500E3">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131492B6">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2901F713">
            <w:pPr>
              <w:pStyle w:val="19"/>
              <w:bidi w:val="0"/>
              <w:rPr>
                <w:rFonts w:hint="default" w:eastAsia="宋体"/>
                <w:highlight w:val="none"/>
                <w:lang w:val="en-US" w:eastAsia="zh-CN"/>
              </w:rPr>
            </w:pPr>
            <w:r>
              <w:rPr>
                <w:rFonts w:hint="eastAsia"/>
                <w:highlight w:val="none"/>
                <w:lang w:val="en-US" w:eastAsia="zh-CN"/>
              </w:rPr>
              <w:t>18</w:t>
            </w:r>
          </w:p>
        </w:tc>
      </w:tr>
      <w:tr w14:paraId="4C4D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23B2947F">
            <w:pPr>
              <w:pStyle w:val="19"/>
              <w:bidi w:val="0"/>
              <w:rPr>
                <w:highlight w:val="none"/>
              </w:rPr>
            </w:pPr>
          </w:p>
        </w:tc>
        <w:tc>
          <w:tcPr>
            <w:tcW w:w="580" w:type="pct"/>
            <w:tcMar>
              <w:top w:w="0" w:type="dxa"/>
              <w:left w:w="57" w:type="dxa"/>
              <w:bottom w:w="0" w:type="dxa"/>
              <w:right w:w="57" w:type="dxa"/>
            </w:tcMar>
            <w:vAlign w:val="center"/>
          </w:tcPr>
          <w:p w14:paraId="1821912D">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42D0D745">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-6-2-c</w:t>
            </w:r>
          </w:p>
        </w:tc>
        <w:tc>
          <w:tcPr>
            <w:tcW w:w="699" w:type="pct"/>
            <w:tcMar>
              <w:top w:w="0" w:type="dxa"/>
              <w:left w:w="57" w:type="dxa"/>
              <w:bottom w:w="0" w:type="dxa"/>
              <w:right w:w="57" w:type="dxa"/>
            </w:tcMar>
            <w:vAlign w:val="center"/>
          </w:tcPr>
          <w:p w14:paraId="35B244FA">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645D7C56">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109D3568">
            <w:pPr>
              <w:pStyle w:val="19"/>
              <w:bidi w:val="0"/>
              <w:rPr>
                <w:rFonts w:hint="default" w:eastAsia="宋体"/>
                <w:highlight w:val="none"/>
                <w:lang w:val="en-US" w:eastAsia="zh-CN"/>
              </w:rPr>
            </w:pPr>
            <w:r>
              <w:rPr>
                <w:rFonts w:hint="eastAsia"/>
                <w:highlight w:val="none"/>
                <w:lang w:val="en-US" w:eastAsia="zh-CN"/>
              </w:rPr>
              <w:t>17</w:t>
            </w:r>
          </w:p>
        </w:tc>
      </w:tr>
      <w:tr w14:paraId="1C30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25FF1FC9">
            <w:pPr>
              <w:pStyle w:val="19"/>
              <w:bidi w:val="0"/>
              <w:rPr>
                <w:highlight w:val="none"/>
              </w:rPr>
            </w:pPr>
          </w:p>
        </w:tc>
        <w:tc>
          <w:tcPr>
            <w:tcW w:w="580" w:type="pct"/>
            <w:tcMar>
              <w:top w:w="0" w:type="dxa"/>
              <w:left w:w="57" w:type="dxa"/>
              <w:bottom w:w="0" w:type="dxa"/>
              <w:right w:w="57" w:type="dxa"/>
            </w:tcMar>
            <w:vAlign w:val="center"/>
          </w:tcPr>
          <w:p w14:paraId="38CC0449">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46BD3BA0">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-6-3-c</w:t>
            </w:r>
          </w:p>
        </w:tc>
        <w:tc>
          <w:tcPr>
            <w:tcW w:w="699" w:type="pct"/>
            <w:tcMar>
              <w:top w:w="0" w:type="dxa"/>
              <w:left w:w="57" w:type="dxa"/>
              <w:bottom w:w="0" w:type="dxa"/>
              <w:right w:w="57" w:type="dxa"/>
            </w:tcMar>
            <w:vAlign w:val="center"/>
          </w:tcPr>
          <w:p w14:paraId="63FE62DD">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17E34F3A">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25E2B797">
            <w:pPr>
              <w:pStyle w:val="19"/>
              <w:bidi w:val="0"/>
              <w:rPr>
                <w:rFonts w:hint="default" w:eastAsia="宋体"/>
                <w:highlight w:val="none"/>
                <w:lang w:val="en-US" w:eastAsia="zh-CN"/>
              </w:rPr>
            </w:pPr>
            <w:r>
              <w:rPr>
                <w:rFonts w:hint="eastAsia"/>
                <w:highlight w:val="none"/>
                <w:lang w:val="en-US" w:eastAsia="zh-CN"/>
              </w:rPr>
              <w:t>18</w:t>
            </w:r>
          </w:p>
        </w:tc>
      </w:tr>
      <w:tr w14:paraId="2117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6761D028">
            <w:pPr>
              <w:pStyle w:val="19"/>
              <w:bidi w:val="0"/>
              <w:rPr>
                <w:highlight w:val="none"/>
              </w:rPr>
            </w:pPr>
          </w:p>
        </w:tc>
        <w:tc>
          <w:tcPr>
            <w:tcW w:w="580" w:type="pct"/>
            <w:tcMar>
              <w:top w:w="0" w:type="dxa"/>
              <w:left w:w="57" w:type="dxa"/>
              <w:bottom w:w="0" w:type="dxa"/>
              <w:right w:w="57" w:type="dxa"/>
            </w:tcMar>
            <w:vAlign w:val="center"/>
          </w:tcPr>
          <w:p w14:paraId="0807D080">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6C40F646">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-6-4-c</w:t>
            </w:r>
          </w:p>
        </w:tc>
        <w:tc>
          <w:tcPr>
            <w:tcW w:w="699" w:type="pct"/>
            <w:tcMar>
              <w:top w:w="0" w:type="dxa"/>
              <w:left w:w="57" w:type="dxa"/>
              <w:bottom w:w="0" w:type="dxa"/>
              <w:right w:w="57" w:type="dxa"/>
            </w:tcMar>
            <w:vAlign w:val="center"/>
          </w:tcPr>
          <w:p w14:paraId="74814D38">
            <w:pPr>
              <w:pStyle w:val="19"/>
              <w:bidi w:val="0"/>
              <w:rPr>
                <w:rFonts w:hint="default" w:eastAsia="宋体"/>
                <w:highlight w:val="none"/>
                <w:lang w:val="en-US" w:eastAsia="zh-CN"/>
              </w:rPr>
            </w:pPr>
            <w:r>
              <w:rPr>
                <w:rFonts w:hint="eastAsia"/>
                <w:highlight w:val="none"/>
                <w:lang w:val="en-US" w:eastAsia="zh-CN"/>
              </w:rPr>
              <w:t>0.13</w:t>
            </w:r>
          </w:p>
        </w:tc>
        <w:tc>
          <w:tcPr>
            <w:tcW w:w="968" w:type="pct"/>
            <w:tcMar>
              <w:top w:w="0" w:type="dxa"/>
              <w:left w:w="57" w:type="dxa"/>
              <w:bottom w:w="0" w:type="dxa"/>
              <w:right w:w="57" w:type="dxa"/>
            </w:tcMar>
            <w:vAlign w:val="center"/>
          </w:tcPr>
          <w:p w14:paraId="166B0A23">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61589457">
            <w:pPr>
              <w:pStyle w:val="19"/>
              <w:bidi w:val="0"/>
              <w:rPr>
                <w:rFonts w:hint="default" w:eastAsia="宋体"/>
                <w:highlight w:val="none"/>
                <w:lang w:val="en-US" w:eastAsia="zh-CN"/>
              </w:rPr>
            </w:pPr>
            <w:r>
              <w:rPr>
                <w:rFonts w:hint="eastAsia"/>
                <w:highlight w:val="none"/>
                <w:lang w:val="en-US" w:eastAsia="zh-CN"/>
              </w:rPr>
              <w:t>16</w:t>
            </w:r>
          </w:p>
        </w:tc>
      </w:tr>
      <w:tr w14:paraId="2A04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29E636FA">
            <w:pPr>
              <w:pStyle w:val="19"/>
              <w:bidi w:val="0"/>
              <w:rPr>
                <w:rFonts w:hint="default" w:eastAsia="宋体"/>
                <w:highlight w:val="none"/>
                <w:lang w:val="en-US" w:eastAsia="zh-CN"/>
              </w:rPr>
            </w:pPr>
            <w:r>
              <w:rPr>
                <w:rFonts w:hint="eastAsia"/>
                <w:highlight w:val="none"/>
                <w:lang w:val="en-US" w:eastAsia="zh-CN"/>
              </w:rPr>
              <w:t>2024.3.15</w:t>
            </w:r>
          </w:p>
        </w:tc>
        <w:tc>
          <w:tcPr>
            <w:tcW w:w="580" w:type="pct"/>
            <w:tcMar>
              <w:top w:w="0" w:type="dxa"/>
              <w:left w:w="57" w:type="dxa"/>
              <w:bottom w:w="0" w:type="dxa"/>
              <w:right w:w="57" w:type="dxa"/>
            </w:tcMar>
            <w:vAlign w:val="center"/>
          </w:tcPr>
          <w:p w14:paraId="0134A569">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7B84D7E6">
            <w:pPr>
              <w:pStyle w:val="19"/>
              <w:bidi w:val="0"/>
              <w:ind w:firstLine="0" w:firstLineChars="0"/>
              <w:rPr>
                <w:rFonts w:hint="default" w:ascii="Times New Roman" w:hAnsi="Times New Roman" w:eastAsia="宋体" w:cs="Times New Roman"/>
                <w:kern w:val="2"/>
                <w:sz w:val="21"/>
                <w:szCs w:val="22"/>
                <w:highlight w:val="none"/>
                <w:vertAlign w:val="baseli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-7-1-c</w:t>
            </w:r>
          </w:p>
        </w:tc>
        <w:tc>
          <w:tcPr>
            <w:tcW w:w="699" w:type="pct"/>
            <w:tcMar>
              <w:top w:w="0" w:type="dxa"/>
              <w:left w:w="57" w:type="dxa"/>
              <w:bottom w:w="0" w:type="dxa"/>
              <w:right w:w="57" w:type="dxa"/>
            </w:tcMar>
            <w:vAlign w:val="center"/>
          </w:tcPr>
          <w:p w14:paraId="43721F55">
            <w:pPr>
              <w:pStyle w:val="19"/>
              <w:bidi w:val="0"/>
              <w:rPr>
                <w:rFonts w:hint="default" w:eastAsia="宋体"/>
                <w:highlight w:val="none"/>
                <w:lang w:val="en-US" w:eastAsia="zh-CN"/>
              </w:rPr>
            </w:pPr>
            <w:r>
              <w:rPr>
                <w:rFonts w:hint="eastAsia"/>
                <w:highlight w:val="none"/>
                <w:lang w:val="en-US" w:eastAsia="zh-CN"/>
              </w:rPr>
              <w:t>0.13</w:t>
            </w:r>
          </w:p>
        </w:tc>
        <w:tc>
          <w:tcPr>
            <w:tcW w:w="968" w:type="pct"/>
            <w:tcMar>
              <w:top w:w="0" w:type="dxa"/>
              <w:left w:w="57" w:type="dxa"/>
              <w:bottom w:w="0" w:type="dxa"/>
              <w:right w:w="57" w:type="dxa"/>
            </w:tcMar>
            <w:vAlign w:val="center"/>
          </w:tcPr>
          <w:p w14:paraId="6B73B200">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0ACC0821">
            <w:pPr>
              <w:pStyle w:val="19"/>
              <w:bidi w:val="0"/>
              <w:rPr>
                <w:rFonts w:hint="default" w:eastAsia="宋体"/>
                <w:highlight w:val="none"/>
                <w:lang w:val="en-US" w:eastAsia="zh-CN"/>
              </w:rPr>
            </w:pPr>
            <w:r>
              <w:rPr>
                <w:rFonts w:hint="eastAsia"/>
                <w:highlight w:val="none"/>
                <w:lang w:val="en-US" w:eastAsia="zh-CN"/>
              </w:rPr>
              <w:t>17</w:t>
            </w:r>
          </w:p>
        </w:tc>
      </w:tr>
      <w:tr w14:paraId="70E8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3144B670">
            <w:pPr>
              <w:pStyle w:val="19"/>
              <w:bidi w:val="0"/>
              <w:rPr>
                <w:highlight w:val="none"/>
              </w:rPr>
            </w:pPr>
          </w:p>
        </w:tc>
        <w:tc>
          <w:tcPr>
            <w:tcW w:w="580" w:type="pct"/>
            <w:tcMar>
              <w:top w:w="0" w:type="dxa"/>
              <w:left w:w="57" w:type="dxa"/>
              <w:bottom w:w="0" w:type="dxa"/>
              <w:right w:w="57" w:type="dxa"/>
            </w:tcMar>
            <w:vAlign w:val="center"/>
          </w:tcPr>
          <w:p w14:paraId="6C57E1FA">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7F6D5BBE">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-7-2-c</w:t>
            </w:r>
          </w:p>
        </w:tc>
        <w:tc>
          <w:tcPr>
            <w:tcW w:w="699" w:type="pct"/>
            <w:tcMar>
              <w:top w:w="0" w:type="dxa"/>
              <w:left w:w="57" w:type="dxa"/>
              <w:bottom w:w="0" w:type="dxa"/>
              <w:right w:w="57" w:type="dxa"/>
            </w:tcMar>
            <w:vAlign w:val="center"/>
          </w:tcPr>
          <w:p w14:paraId="66239FE5">
            <w:pPr>
              <w:pStyle w:val="19"/>
              <w:bidi w:val="0"/>
              <w:rPr>
                <w:rFonts w:hint="default" w:eastAsia="宋体"/>
                <w:highlight w:val="none"/>
                <w:lang w:val="en-US" w:eastAsia="zh-CN"/>
              </w:rPr>
            </w:pPr>
            <w:r>
              <w:rPr>
                <w:rFonts w:hint="eastAsia"/>
                <w:highlight w:val="none"/>
                <w:lang w:val="en-US" w:eastAsia="zh-CN"/>
              </w:rPr>
              <w:t>0.14</w:t>
            </w:r>
          </w:p>
        </w:tc>
        <w:tc>
          <w:tcPr>
            <w:tcW w:w="968" w:type="pct"/>
            <w:tcMar>
              <w:top w:w="0" w:type="dxa"/>
              <w:left w:w="57" w:type="dxa"/>
              <w:bottom w:w="0" w:type="dxa"/>
              <w:right w:w="57" w:type="dxa"/>
            </w:tcMar>
            <w:vAlign w:val="center"/>
          </w:tcPr>
          <w:p w14:paraId="517D46FA">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5F74BB00">
            <w:pPr>
              <w:pStyle w:val="19"/>
              <w:bidi w:val="0"/>
              <w:rPr>
                <w:rFonts w:hint="default" w:eastAsia="宋体"/>
                <w:highlight w:val="none"/>
                <w:lang w:val="en-US" w:eastAsia="zh-CN"/>
              </w:rPr>
            </w:pPr>
            <w:r>
              <w:rPr>
                <w:rFonts w:hint="eastAsia"/>
                <w:highlight w:val="none"/>
                <w:lang w:val="en-US" w:eastAsia="zh-CN"/>
              </w:rPr>
              <w:t>18</w:t>
            </w:r>
          </w:p>
        </w:tc>
      </w:tr>
      <w:tr w14:paraId="4D2C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787ADFEB">
            <w:pPr>
              <w:pStyle w:val="19"/>
              <w:bidi w:val="0"/>
              <w:rPr>
                <w:highlight w:val="none"/>
              </w:rPr>
            </w:pPr>
          </w:p>
        </w:tc>
        <w:tc>
          <w:tcPr>
            <w:tcW w:w="580" w:type="pct"/>
            <w:tcMar>
              <w:top w:w="0" w:type="dxa"/>
              <w:left w:w="57" w:type="dxa"/>
              <w:bottom w:w="0" w:type="dxa"/>
              <w:right w:w="57" w:type="dxa"/>
            </w:tcMar>
            <w:vAlign w:val="center"/>
          </w:tcPr>
          <w:p w14:paraId="2366F42B">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4B3CC0D7">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-7-3-c</w:t>
            </w:r>
          </w:p>
        </w:tc>
        <w:tc>
          <w:tcPr>
            <w:tcW w:w="699" w:type="pct"/>
            <w:tcMar>
              <w:top w:w="0" w:type="dxa"/>
              <w:left w:w="57" w:type="dxa"/>
              <w:bottom w:w="0" w:type="dxa"/>
              <w:right w:w="57" w:type="dxa"/>
            </w:tcMar>
            <w:vAlign w:val="center"/>
          </w:tcPr>
          <w:p w14:paraId="76D6A337">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114ADC9F">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12A712DB">
            <w:pPr>
              <w:pStyle w:val="19"/>
              <w:bidi w:val="0"/>
              <w:rPr>
                <w:rFonts w:hint="default" w:eastAsia="宋体"/>
                <w:highlight w:val="none"/>
                <w:lang w:val="en-US" w:eastAsia="zh-CN"/>
              </w:rPr>
            </w:pPr>
            <w:r>
              <w:rPr>
                <w:rFonts w:hint="eastAsia"/>
                <w:highlight w:val="none"/>
                <w:lang w:val="en-US" w:eastAsia="zh-CN"/>
              </w:rPr>
              <w:t>16</w:t>
            </w:r>
          </w:p>
        </w:tc>
      </w:tr>
      <w:tr w14:paraId="67E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5BBFF32B">
            <w:pPr>
              <w:pStyle w:val="19"/>
              <w:bidi w:val="0"/>
              <w:rPr>
                <w:highlight w:val="none"/>
              </w:rPr>
            </w:pPr>
          </w:p>
        </w:tc>
        <w:tc>
          <w:tcPr>
            <w:tcW w:w="580" w:type="pct"/>
            <w:tcMar>
              <w:top w:w="0" w:type="dxa"/>
              <w:left w:w="57" w:type="dxa"/>
              <w:bottom w:w="0" w:type="dxa"/>
              <w:right w:w="57" w:type="dxa"/>
            </w:tcMar>
            <w:vAlign w:val="center"/>
          </w:tcPr>
          <w:p w14:paraId="5F505898">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1A979212">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-7-4-c</w:t>
            </w:r>
          </w:p>
        </w:tc>
        <w:tc>
          <w:tcPr>
            <w:tcW w:w="699" w:type="pct"/>
            <w:tcMar>
              <w:top w:w="0" w:type="dxa"/>
              <w:left w:w="57" w:type="dxa"/>
              <w:bottom w:w="0" w:type="dxa"/>
              <w:right w:w="57" w:type="dxa"/>
            </w:tcMar>
            <w:vAlign w:val="center"/>
          </w:tcPr>
          <w:p w14:paraId="5FE1DE0D">
            <w:pPr>
              <w:pStyle w:val="19"/>
              <w:bidi w:val="0"/>
              <w:rPr>
                <w:rFonts w:hint="default" w:eastAsia="宋体"/>
                <w:highlight w:val="none"/>
                <w:lang w:val="en-US" w:eastAsia="zh-CN"/>
              </w:rPr>
            </w:pPr>
            <w:r>
              <w:rPr>
                <w:rFonts w:hint="eastAsia"/>
                <w:highlight w:val="none"/>
                <w:lang w:val="en-US" w:eastAsia="zh-CN"/>
              </w:rPr>
              <w:t>0.12</w:t>
            </w:r>
          </w:p>
        </w:tc>
        <w:tc>
          <w:tcPr>
            <w:tcW w:w="968" w:type="pct"/>
            <w:tcMar>
              <w:top w:w="0" w:type="dxa"/>
              <w:left w:w="57" w:type="dxa"/>
              <w:bottom w:w="0" w:type="dxa"/>
              <w:right w:w="57" w:type="dxa"/>
            </w:tcMar>
            <w:vAlign w:val="center"/>
          </w:tcPr>
          <w:p w14:paraId="4A70D149">
            <w:pPr>
              <w:pStyle w:val="19"/>
              <w:bidi w:val="0"/>
              <w:ind w:firstLine="0" w:firstLineChars="0"/>
              <w:rPr>
                <w:rFonts w:ascii="Times New Roman" w:hAnsi="Times New Roman" w:eastAsia="宋体" w:cs="Times New Roman"/>
                <w:kern w:val="2"/>
                <w:sz w:val="21"/>
                <w:szCs w:val="22"/>
                <w:highlight w:val="none"/>
                <w:lang w:val="en-US" w:eastAsia="zh-CN" w:bidi="ar-SA"/>
              </w:rPr>
            </w:pPr>
            <w:r>
              <w:rPr>
                <w:rFonts w:hint="eastAsia"/>
                <w:highlight w:val="none"/>
                <w:lang w:val="en-US" w:eastAsia="zh-CN"/>
              </w:rPr>
              <w:t>＜0.005</w:t>
            </w:r>
          </w:p>
        </w:tc>
        <w:tc>
          <w:tcPr>
            <w:tcW w:w="1147" w:type="pct"/>
            <w:tcMar>
              <w:top w:w="0" w:type="dxa"/>
              <w:left w:w="57" w:type="dxa"/>
              <w:bottom w:w="0" w:type="dxa"/>
              <w:right w:w="57" w:type="dxa"/>
            </w:tcMar>
            <w:vAlign w:val="center"/>
          </w:tcPr>
          <w:p w14:paraId="314E0026">
            <w:pPr>
              <w:pStyle w:val="19"/>
              <w:bidi w:val="0"/>
              <w:rPr>
                <w:rFonts w:hint="default" w:eastAsia="宋体"/>
                <w:highlight w:val="none"/>
                <w:lang w:val="en-US" w:eastAsia="zh-CN"/>
              </w:rPr>
            </w:pPr>
            <w:r>
              <w:rPr>
                <w:rFonts w:hint="eastAsia"/>
                <w:highlight w:val="none"/>
                <w:lang w:val="en-US" w:eastAsia="zh-CN"/>
              </w:rPr>
              <w:t>16</w:t>
            </w:r>
          </w:p>
        </w:tc>
      </w:tr>
      <w:tr w14:paraId="7EB6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3E63509B">
            <w:pPr>
              <w:pStyle w:val="19"/>
              <w:bidi w:val="0"/>
              <w:rPr>
                <w:rFonts w:hint="eastAsia" w:eastAsia="宋体"/>
                <w:highlight w:val="none"/>
                <w:lang w:val="en-US" w:eastAsia="zh-CN"/>
              </w:rPr>
            </w:pPr>
            <w:r>
              <w:rPr>
                <w:rFonts w:hint="eastAsia"/>
                <w:highlight w:val="none"/>
                <w:lang w:val="en-US" w:eastAsia="zh-CN"/>
              </w:rPr>
              <w:t>评价标准</w:t>
            </w:r>
          </w:p>
        </w:tc>
        <w:tc>
          <w:tcPr>
            <w:tcW w:w="699" w:type="pct"/>
            <w:tcMar>
              <w:top w:w="0" w:type="dxa"/>
              <w:left w:w="57" w:type="dxa"/>
              <w:bottom w:w="0" w:type="dxa"/>
              <w:right w:w="57" w:type="dxa"/>
            </w:tcMar>
            <w:vAlign w:val="center"/>
          </w:tcPr>
          <w:p w14:paraId="31648922">
            <w:pPr>
              <w:pStyle w:val="19"/>
              <w:bidi w:val="0"/>
              <w:rPr>
                <w:rFonts w:hint="default" w:eastAsia="宋体"/>
                <w:highlight w:val="none"/>
                <w:lang w:val="en-US" w:eastAsia="zh-CN"/>
              </w:rPr>
            </w:pPr>
            <w:r>
              <w:rPr>
                <w:rFonts w:hint="eastAsia"/>
                <w:highlight w:val="none"/>
                <w:lang w:val="en-US" w:eastAsia="zh-CN"/>
              </w:rPr>
              <w:t>0.2</w:t>
            </w:r>
          </w:p>
        </w:tc>
        <w:tc>
          <w:tcPr>
            <w:tcW w:w="968" w:type="pct"/>
            <w:tcMar>
              <w:top w:w="0" w:type="dxa"/>
              <w:left w:w="57" w:type="dxa"/>
              <w:bottom w:w="0" w:type="dxa"/>
              <w:right w:w="57" w:type="dxa"/>
            </w:tcMar>
            <w:vAlign w:val="center"/>
          </w:tcPr>
          <w:p w14:paraId="56E39875">
            <w:pPr>
              <w:pStyle w:val="19"/>
              <w:bidi w:val="0"/>
              <w:rPr>
                <w:rFonts w:hint="default" w:eastAsia="宋体"/>
                <w:highlight w:val="none"/>
                <w:lang w:val="en-US" w:eastAsia="zh-CN"/>
              </w:rPr>
            </w:pPr>
            <w:r>
              <w:rPr>
                <w:rFonts w:hint="eastAsia"/>
                <w:highlight w:val="none"/>
                <w:lang w:val="en-US" w:eastAsia="zh-CN"/>
              </w:rPr>
              <w:t>0.01</w:t>
            </w:r>
          </w:p>
        </w:tc>
        <w:tc>
          <w:tcPr>
            <w:tcW w:w="1147" w:type="pct"/>
            <w:tcMar>
              <w:top w:w="0" w:type="dxa"/>
              <w:left w:w="57" w:type="dxa"/>
              <w:bottom w:w="0" w:type="dxa"/>
              <w:right w:w="57" w:type="dxa"/>
            </w:tcMar>
            <w:vAlign w:val="center"/>
          </w:tcPr>
          <w:p w14:paraId="4A5CEB61">
            <w:pPr>
              <w:pStyle w:val="19"/>
              <w:bidi w:val="0"/>
              <w:rPr>
                <w:rFonts w:hint="default" w:eastAsia="宋体"/>
                <w:highlight w:val="none"/>
                <w:lang w:val="en-US" w:eastAsia="zh-CN"/>
              </w:rPr>
            </w:pPr>
            <w:r>
              <w:rPr>
                <w:rFonts w:hint="eastAsia"/>
                <w:highlight w:val="none"/>
                <w:lang w:val="en-US" w:eastAsia="zh-CN"/>
              </w:rPr>
              <w:t>50</w:t>
            </w:r>
          </w:p>
        </w:tc>
      </w:tr>
      <w:tr w14:paraId="7CEC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85" w:type="pct"/>
            <w:gridSpan w:val="3"/>
            <w:tcMar>
              <w:top w:w="0" w:type="dxa"/>
              <w:left w:w="57" w:type="dxa"/>
              <w:bottom w:w="0" w:type="dxa"/>
              <w:right w:w="57" w:type="dxa"/>
            </w:tcMar>
            <w:vAlign w:val="center"/>
          </w:tcPr>
          <w:p w14:paraId="4975C440">
            <w:pPr>
              <w:pStyle w:val="19"/>
              <w:bidi w:val="0"/>
              <w:rPr>
                <w:rFonts w:hint="default" w:eastAsia="宋体"/>
                <w:highlight w:val="none"/>
                <w:lang w:val="en-US" w:eastAsia="zh-CN"/>
              </w:rPr>
            </w:pPr>
            <w:r>
              <w:rPr>
                <w:rFonts w:hint="eastAsia"/>
                <w:highlight w:val="none"/>
                <w:lang w:val="en-US" w:eastAsia="zh-CN"/>
              </w:rPr>
              <w:t>监测结果范围</w:t>
            </w:r>
          </w:p>
        </w:tc>
        <w:tc>
          <w:tcPr>
            <w:tcW w:w="699" w:type="pct"/>
            <w:tcMar>
              <w:top w:w="0" w:type="dxa"/>
              <w:left w:w="57" w:type="dxa"/>
              <w:bottom w:w="0" w:type="dxa"/>
              <w:right w:w="57" w:type="dxa"/>
            </w:tcMar>
            <w:vAlign w:val="center"/>
          </w:tcPr>
          <w:p w14:paraId="4E0B8CCF">
            <w:pPr>
              <w:pStyle w:val="19"/>
              <w:bidi w:val="0"/>
              <w:rPr>
                <w:rFonts w:hint="default" w:eastAsia="宋体"/>
                <w:highlight w:val="none"/>
                <w:lang w:val="en-US" w:eastAsia="zh-CN"/>
              </w:rPr>
            </w:pPr>
            <w:r>
              <w:rPr>
                <w:rFonts w:hint="eastAsia"/>
                <w:highlight w:val="none"/>
                <w:lang w:val="en-US" w:eastAsia="zh-CN"/>
              </w:rPr>
              <w:t>0.12～0.14</w:t>
            </w:r>
          </w:p>
        </w:tc>
        <w:tc>
          <w:tcPr>
            <w:tcW w:w="968" w:type="pct"/>
            <w:tcMar>
              <w:top w:w="0" w:type="dxa"/>
              <w:left w:w="57" w:type="dxa"/>
              <w:bottom w:w="0" w:type="dxa"/>
              <w:right w:w="57" w:type="dxa"/>
            </w:tcMar>
            <w:vAlign w:val="center"/>
          </w:tcPr>
          <w:p w14:paraId="2167928F">
            <w:pPr>
              <w:pStyle w:val="19"/>
              <w:bidi w:val="0"/>
              <w:rPr>
                <w:rFonts w:hint="eastAsia"/>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37BC0BB9">
            <w:pPr>
              <w:pStyle w:val="19"/>
              <w:bidi w:val="0"/>
              <w:rPr>
                <w:rFonts w:hint="default" w:eastAsia="宋体"/>
                <w:highlight w:val="none"/>
                <w:lang w:val="en-US" w:eastAsia="zh-CN"/>
              </w:rPr>
            </w:pPr>
            <w:r>
              <w:rPr>
                <w:rFonts w:hint="eastAsia"/>
                <w:highlight w:val="none"/>
                <w:lang w:val="en-US" w:eastAsia="zh-CN"/>
              </w:rPr>
              <w:t>16～18</w:t>
            </w:r>
          </w:p>
        </w:tc>
      </w:tr>
      <w:tr w14:paraId="70EE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337B2816">
            <w:pPr>
              <w:pStyle w:val="19"/>
              <w:bidi w:val="0"/>
              <w:rPr>
                <w:rFonts w:hint="default" w:eastAsia="宋体"/>
                <w:highlight w:val="none"/>
                <w:lang w:val="en-US" w:eastAsia="zh-CN"/>
              </w:rPr>
            </w:pPr>
            <w:r>
              <w:rPr>
                <w:rFonts w:hint="eastAsia"/>
                <w:highlight w:val="none"/>
                <w:lang w:val="en-US" w:eastAsia="zh-CN"/>
              </w:rPr>
              <w:t>最大浓度占标率/%</w:t>
            </w:r>
          </w:p>
        </w:tc>
        <w:tc>
          <w:tcPr>
            <w:tcW w:w="699" w:type="pct"/>
            <w:tcMar>
              <w:top w:w="0" w:type="dxa"/>
              <w:left w:w="57" w:type="dxa"/>
              <w:bottom w:w="0" w:type="dxa"/>
              <w:right w:w="57" w:type="dxa"/>
            </w:tcMar>
            <w:vAlign w:val="center"/>
          </w:tcPr>
          <w:p w14:paraId="42A54362">
            <w:pPr>
              <w:pStyle w:val="19"/>
              <w:bidi w:val="0"/>
              <w:rPr>
                <w:rFonts w:hint="default" w:eastAsia="宋体"/>
                <w:highlight w:val="none"/>
                <w:lang w:val="en-US" w:eastAsia="zh-CN"/>
              </w:rPr>
            </w:pPr>
            <w:r>
              <w:rPr>
                <w:rFonts w:hint="eastAsia"/>
                <w:highlight w:val="none"/>
                <w:lang w:val="en-US" w:eastAsia="zh-CN"/>
              </w:rPr>
              <w:t>70</w:t>
            </w:r>
          </w:p>
        </w:tc>
        <w:tc>
          <w:tcPr>
            <w:tcW w:w="968" w:type="pct"/>
            <w:tcMar>
              <w:top w:w="0" w:type="dxa"/>
              <w:left w:w="57" w:type="dxa"/>
              <w:bottom w:w="0" w:type="dxa"/>
              <w:right w:w="57" w:type="dxa"/>
            </w:tcMar>
            <w:vAlign w:val="center"/>
          </w:tcPr>
          <w:p w14:paraId="624591E1">
            <w:pPr>
              <w:pStyle w:val="19"/>
              <w:bidi w:val="0"/>
              <w:rPr>
                <w:rFonts w:hint="default" w:eastAsia="宋体"/>
                <w:highlight w:val="none"/>
                <w:lang w:val="en-US" w:eastAsia="zh-CN"/>
              </w:rPr>
            </w:pPr>
            <w:r>
              <w:rPr>
                <w:rFonts w:hint="eastAsia"/>
                <w:highlight w:val="none"/>
                <w:lang w:val="en-US" w:eastAsia="zh-CN"/>
              </w:rPr>
              <w:t>未检出</w:t>
            </w:r>
          </w:p>
        </w:tc>
        <w:tc>
          <w:tcPr>
            <w:tcW w:w="1147" w:type="pct"/>
            <w:tcMar>
              <w:top w:w="0" w:type="dxa"/>
              <w:left w:w="57" w:type="dxa"/>
              <w:bottom w:w="0" w:type="dxa"/>
              <w:right w:w="57" w:type="dxa"/>
            </w:tcMar>
            <w:vAlign w:val="center"/>
          </w:tcPr>
          <w:p w14:paraId="482B4616">
            <w:pPr>
              <w:pStyle w:val="19"/>
              <w:bidi w:val="0"/>
              <w:rPr>
                <w:rFonts w:hint="default" w:eastAsia="宋体"/>
                <w:highlight w:val="none"/>
                <w:lang w:val="en-US" w:eastAsia="zh-CN"/>
              </w:rPr>
            </w:pPr>
            <w:r>
              <w:rPr>
                <w:rFonts w:hint="eastAsia"/>
                <w:highlight w:val="none"/>
                <w:lang w:val="en-US" w:eastAsia="zh-CN"/>
              </w:rPr>
              <w:t>36</w:t>
            </w:r>
          </w:p>
        </w:tc>
      </w:tr>
      <w:tr w14:paraId="0B6C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28386ABA">
            <w:pPr>
              <w:pStyle w:val="19"/>
              <w:bidi w:val="0"/>
              <w:rPr>
                <w:rFonts w:hint="eastAsia" w:eastAsia="宋体"/>
                <w:highlight w:val="none"/>
                <w:lang w:val="en-US" w:eastAsia="zh-CN"/>
              </w:rPr>
            </w:pPr>
            <w:r>
              <w:rPr>
                <w:rFonts w:hint="eastAsia"/>
                <w:highlight w:val="none"/>
                <w:lang w:val="en-US" w:eastAsia="zh-CN"/>
              </w:rPr>
              <w:t>达标情况</w:t>
            </w:r>
          </w:p>
        </w:tc>
        <w:tc>
          <w:tcPr>
            <w:tcW w:w="699" w:type="pct"/>
            <w:tcMar>
              <w:top w:w="0" w:type="dxa"/>
              <w:left w:w="57" w:type="dxa"/>
              <w:bottom w:w="0" w:type="dxa"/>
              <w:right w:w="57" w:type="dxa"/>
            </w:tcMar>
            <w:vAlign w:val="center"/>
          </w:tcPr>
          <w:p w14:paraId="541F50BC">
            <w:pPr>
              <w:pStyle w:val="19"/>
              <w:bidi w:val="0"/>
              <w:rPr>
                <w:rFonts w:hint="eastAsia" w:eastAsia="宋体"/>
                <w:highlight w:val="none"/>
                <w:lang w:val="en-US" w:eastAsia="zh-CN"/>
              </w:rPr>
            </w:pPr>
            <w:r>
              <w:rPr>
                <w:rFonts w:hint="eastAsia"/>
                <w:highlight w:val="none"/>
                <w:lang w:val="en-US" w:eastAsia="zh-CN"/>
              </w:rPr>
              <w:t>达标</w:t>
            </w:r>
          </w:p>
        </w:tc>
        <w:tc>
          <w:tcPr>
            <w:tcW w:w="968" w:type="pct"/>
            <w:tcMar>
              <w:top w:w="0" w:type="dxa"/>
              <w:left w:w="57" w:type="dxa"/>
              <w:bottom w:w="0" w:type="dxa"/>
              <w:right w:w="57" w:type="dxa"/>
            </w:tcMar>
            <w:vAlign w:val="center"/>
          </w:tcPr>
          <w:p w14:paraId="13C8B8DD">
            <w:pPr>
              <w:pStyle w:val="19"/>
              <w:bidi w:val="0"/>
              <w:rPr>
                <w:rFonts w:hint="eastAsia" w:eastAsia="宋体"/>
                <w:highlight w:val="none"/>
                <w:lang w:val="en-US" w:eastAsia="zh-CN"/>
              </w:rPr>
            </w:pPr>
            <w:r>
              <w:rPr>
                <w:rFonts w:hint="eastAsia"/>
                <w:highlight w:val="none"/>
                <w:lang w:val="en-US" w:eastAsia="zh-CN"/>
              </w:rPr>
              <w:t>达标</w:t>
            </w:r>
          </w:p>
        </w:tc>
        <w:tc>
          <w:tcPr>
            <w:tcW w:w="1147" w:type="pct"/>
            <w:tcMar>
              <w:top w:w="0" w:type="dxa"/>
              <w:left w:w="57" w:type="dxa"/>
              <w:bottom w:w="0" w:type="dxa"/>
              <w:right w:w="57" w:type="dxa"/>
            </w:tcMar>
            <w:vAlign w:val="center"/>
          </w:tcPr>
          <w:p w14:paraId="48DB9D11">
            <w:pPr>
              <w:pStyle w:val="19"/>
              <w:bidi w:val="0"/>
              <w:rPr>
                <w:rFonts w:hint="eastAsia" w:eastAsia="宋体"/>
                <w:highlight w:val="none"/>
                <w:lang w:val="en-US" w:eastAsia="zh-CN"/>
              </w:rPr>
            </w:pPr>
            <w:r>
              <w:rPr>
                <w:rFonts w:hint="eastAsia"/>
                <w:highlight w:val="none"/>
                <w:lang w:val="en-US" w:eastAsia="zh-CN"/>
              </w:rPr>
              <w:t>达标</w:t>
            </w:r>
          </w:p>
        </w:tc>
      </w:tr>
    </w:tbl>
    <w:p w14:paraId="43A22BBC">
      <w:pPr>
        <w:pStyle w:val="30"/>
        <w:bidi w:val="0"/>
        <w:rPr>
          <w:rFonts w:hint="default"/>
          <w:lang w:val="en-US" w:eastAsia="zh-CN"/>
        </w:rPr>
      </w:pPr>
      <w:r>
        <w:rPr>
          <w:rFonts w:hint="eastAsia"/>
          <w:lang w:val="en-US" w:eastAsia="zh-CN"/>
        </w:rPr>
        <w:t>表4.2-4   补充监测结果统计表（129团10连）</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978"/>
        <w:gridCol w:w="1413"/>
        <w:gridCol w:w="1177"/>
        <w:gridCol w:w="1630"/>
        <w:gridCol w:w="1931"/>
      </w:tblGrid>
      <w:tr w14:paraId="7A6A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46" w:type="pct"/>
            <w:gridSpan w:val="2"/>
            <w:vMerge w:val="restart"/>
            <w:tcMar>
              <w:top w:w="0" w:type="dxa"/>
              <w:left w:w="57" w:type="dxa"/>
              <w:bottom w:w="0" w:type="dxa"/>
              <w:right w:w="57" w:type="dxa"/>
            </w:tcMar>
            <w:vAlign w:val="center"/>
            <mc:AlternateContent>
              <mc:Choice Requires="wpsCustomData">
                <wpsCustomData:diagonals>
                  <wpsCustomData:diagonal from="10000" to="34200">
                    <wpsCustomData:border w:val="single" w:color="auto" w:sz="4" w:space="0"/>
                  </wpsCustomData:diagonal>
                  <wpsCustomData:diagonal from="10000" to="25400">
                    <wpsCustomData:border w:val="single" w:color="auto" w:sz="4" w:space="0"/>
                  </wpsCustomData:diagonal>
                </wpsCustomData:diagonals>
              </mc:Choice>
            </mc:AlternateContent>
          </w:tcPr>
          <w:p w14:paraId="00D3B044">
            <w:pPr>
              <w:pStyle w:val="19"/>
              <w:bidi w:val="0"/>
              <w:snapToGrid w:val="0"/>
              <w:rPr>
                <w:rFonts w:hint="eastAsia"/>
                <w:highlight w:val="none"/>
                <w:lang w:val="en-US" w:eastAsia="zh-CN"/>
              </w:rPr>
            </w:pPr>
          </w:p>
          <w:p w14:paraId="247F28B5">
            <w:pPr>
              <w:pStyle w:val="19"/>
              <w:bidi w:val="0"/>
              <w:snapToGrid w:val="0"/>
              <w:rPr>
                <w:rFonts w:hint="eastAsia"/>
                <w:highlight w:val="none"/>
                <w:lang w:val="en-US" w:eastAsia="zh-CN"/>
              </w:rPr>
            </w:pPr>
          </w:p>
          <w:p w14:paraId="3EDD5D53">
            <w:pPr>
              <w:pStyle w:val="19"/>
              <w:bidi w:val="0"/>
              <w:snapToGrid w:val="0"/>
              <mc:AlternateContent>
                <mc:Choice Requires="wpsCustomData">
                  <wpsCustomData:diagonalParaType/>
                </mc:Choice>
              </mc:AlternateContent>
              <w:rPr>
                <w:rFonts w:hint="default" w:eastAsia="宋体"/>
                <w:highlight w:val="none"/>
                <w:lang w:val="en-US" w:eastAsia="zh-CN"/>
              </w:rPr>
            </w:pPr>
            <w:r>
              <w:rPr>
                <w:rFonts w:hint="eastAsia"/>
                <w:highlight w:val="none"/>
                <w:lang w:val="en-US" w:eastAsia="zh-CN"/>
              </w:rPr>
              <w:t>监测时间</w:t>
            </w:r>
          </w:p>
          <w:p w14:paraId="79E5ED1D">
            <w:pPr>
              <w:pStyle w:val="19"/>
              <w:bidi w:val="0"/>
              <w:snapToGrid w:val="0"/>
              <w:rPr>
                <w:rFonts w:hint="eastAsia"/>
                <w:highlight w:val="none"/>
                <w:lang w:val="en-US" w:eastAsia="zh-CN"/>
              </w:rPr>
            </w:pPr>
            <w:r>
              <w:rPr>
                <w:rFonts w:hint="eastAsia"/>
                <w:highlight w:val="none"/>
                <w:lang w:val="en-US" w:eastAsia="zh-CN"/>
              </w:rPr>
              <w:t xml:space="preserve">  </w:t>
            </w:r>
          </w:p>
          <w:p w14:paraId="4124481D">
            <w:pPr>
              <w:pStyle w:val="19"/>
              <w:bidi w:val="0"/>
              <w:snapToGrid w:val="0"/>
              <w:rPr>
                <w:rFonts w:hint="eastAsia"/>
                <w:highlight w:val="none"/>
                <w:lang w:val="en-US" w:eastAsia="zh-CN"/>
              </w:rPr>
            </w:pPr>
          </w:p>
          <w:p w14:paraId="2F29ECC8">
            <w:pPr>
              <w:pStyle w:val="19"/>
              <w:bidi w:val="0"/>
              <w:snapToGrid w:val="0"/>
              <mc:AlternateContent>
                <mc:Choice Requires="wpsCustomData">
                  <wpsCustomData:diagonalParaType/>
                </mc:Choice>
              </mc:AlternateContent>
              <w:rPr>
                <w:rFonts w:hint="default" w:eastAsia="宋体"/>
                <w:highlight w:val="none"/>
                <w:lang w:val="en-US" w:eastAsia="zh-CN"/>
              </w:rPr>
            </w:pPr>
            <w:r>
              <w:rPr>
                <w:rFonts w:hint="eastAsia"/>
                <w:highlight w:val="none"/>
                <w:lang w:val="en-US" w:eastAsia="zh-CN"/>
              </w:rPr>
              <w:t>监测结果</w:t>
            </w:r>
          </w:p>
          <w:p w14:paraId="5868AE8D">
            <w:pPr>
              <w:pStyle w:val="19"/>
              <w:bidi w:val="0"/>
              <w:rPr>
                <w:rFonts w:hint="default" w:eastAsia="宋体"/>
                <w:highlight w:val="none"/>
                <w:lang w:val="en-US" w:eastAsia="zh-CN"/>
              </w:rPr>
            </w:pPr>
            <w:r>
              <w:rPr>
                <w:rFonts w:hint="eastAsia"/>
                <w:highlight w:val="none"/>
                <w:lang w:val="en-US" w:eastAsia="zh-CN"/>
              </w:rPr>
              <w:t>监测布点</w:t>
            </w:r>
          </w:p>
        </w:tc>
        <w:tc>
          <w:tcPr>
            <w:tcW w:w="3653" w:type="pct"/>
            <w:gridSpan w:val="4"/>
            <w:tcMar>
              <w:top w:w="0" w:type="dxa"/>
              <w:left w:w="57" w:type="dxa"/>
              <w:bottom w:w="0" w:type="dxa"/>
              <w:right w:w="57" w:type="dxa"/>
            </w:tcMar>
            <w:vAlign w:val="center"/>
          </w:tcPr>
          <w:p w14:paraId="371EA5C9">
            <w:pPr>
              <w:pStyle w:val="19"/>
              <w:bidi w:val="0"/>
              <w:rPr>
                <w:highlight w:val="none"/>
              </w:rPr>
            </w:pPr>
            <w:r>
              <w:rPr>
                <w:rFonts w:hint="eastAsia"/>
                <w:highlight w:val="none"/>
                <w:lang w:val="en-US" w:eastAsia="zh-CN"/>
              </w:rPr>
              <w:t>监测点：129团10连（45°0'36.94"N、84°44'46.63"E）</w:t>
            </w:r>
          </w:p>
        </w:tc>
      </w:tr>
      <w:tr w14:paraId="700C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46" w:type="pct"/>
            <w:gridSpan w:val="2"/>
            <w:vMerge w:val="continue"/>
            <w:tcMar>
              <w:top w:w="0" w:type="dxa"/>
              <w:left w:w="57" w:type="dxa"/>
              <w:bottom w:w="0" w:type="dxa"/>
              <w:right w:w="57" w:type="dxa"/>
            </w:tcMar>
            <w:vAlign w:val="center"/>
          </w:tcPr>
          <w:p w14:paraId="57743B30">
            <w:pPr>
              <w:pStyle w:val="19"/>
              <w:bidi w:val="0"/>
              <w:rPr>
                <w:highlight w:val="none"/>
              </w:rPr>
            </w:pPr>
          </w:p>
        </w:tc>
        <w:tc>
          <w:tcPr>
            <w:tcW w:w="839" w:type="pct"/>
            <w:tcMar>
              <w:top w:w="0" w:type="dxa"/>
              <w:left w:w="57" w:type="dxa"/>
              <w:bottom w:w="0" w:type="dxa"/>
              <w:right w:w="57" w:type="dxa"/>
            </w:tcMar>
            <w:vAlign w:val="center"/>
          </w:tcPr>
          <w:p w14:paraId="4D795F57">
            <w:pPr>
              <w:pStyle w:val="19"/>
              <w:bidi w:val="0"/>
              <w:rPr>
                <w:highlight w:val="none"/>
              </w:rPr>
            </w:pPr>
            <w:r>
              <w:rPr>
                <w:highlight w:val="none"/>
              </w:rPr>
              <w:t>样品编号</w:t>
            </w:r>
          </w:p>
        </w:tc>
        <w:tc>
          <w:tcPr>
            <w:tcW w:w="699" w:type="pct"/>
            <w:tcMar>
              <w:top w:w="0" w:type="dxa"/>
              <w:left w:w="57" w:type="dxa"/>
              <w:bottom w:w="0" w:type="dxa"/>
              <w:right w:w="57" w:type="dxa"/>
            </w:tcMar>
            <w:vAlign w:val="center"/>
          </w:tcPr>
          <w:p w14:paraId="7622B871">
            <w:pPr>
              <w:pStyle w:val="19"/>
              <w:bidi w:val="0"/>
              <w:rPr>
                <w:highlight w:val="none"/>
              </w:rPr>
            </w:pPr>
            <w:r>
              <w:rPr>
                <w:highlight w:val="none"/>
              </w:rPr>
              <w:t>氨（mg/</w:t>
            </w:r>
            <w:r>
              <w:rPr>
                <w:rFonts w:hint="eastAsia"/>
                <w:highlight w:val="none"/>
                <w:lang w:val="en-US" w:eastAsia="zh-CN"/>
              </w:rPr>
              <w:t>m</w:t>
            </w:r>
            <w:r>
              <w:rPr>
                <w:rFonts w:hint="eastAsia"/>
                <w:highlight w:val="none"/>
                <w:vertAlign w:val="superscript"/>
                <w:lang w:val="en-US" w:eastAsia="zh-CN"/>
              </w:rPr>
              <w:t>3</w:t>
            </w:r>
            <w:r>
              <w:rPr>
                <w:highlight w:val="none"/>
              </w:rPr>
              <w:t>）</w:t>
            </w:r>
          </w:p>
        </w:tc>
        <w:tc>
          <w:tcPr>
            <w:tcW w:w="968" w:type="pct"/>
            <w:tcMar>
              <w:top w:w="0" w:type="dxa"/>
              <w:left w:w="57" w:type="dxa"/>
              <w:bottom w:w="0" w:type="dxa"/>
              <w:right w:w="57" w:type="dxa"/>
            </w:tcMar>
            <w:vAlign w:val="center"/>
          </w:tcPr>
          <w:p w14:paraId="30B1EBCC">
            <w:pPr>
              <w:pStyle w:val="19"/>
              <w:bidi w:val="0"/>
              <w:rPr>
                <w:highlight w:val="none"/>
              </w:rPr>
            </w:pPr>
            <w:r>
              <w:rPr>
                <w:highlight w:val="none"/>
              </w:rPr>
              <w:t>硫化氢（mg/</w:t>
            </w:r>
            <w:r>
              <w:rPr>
                <w:rFonts w:hint="eastAsia"/>
                <w:highlight w:val="none"/>
                <w:lang w:val="en-US" w:eastAsia="zh-CN"/>
              </w:rPr>
              <w:t>m</w:t>
            </w:r>
            <w:r>
              <w:rPr>
                <w:rFonts w:hint="eastAsia"/>
                <w:highlight w:val="none"/>
                <w:vertAlign w:val="superscript"/>
                <w:lang w:val="en-US" w:eastAsia="zh-CN"/>
              </w:rPr>
              <w:t>3</w:t>
            </w:r>
            <w:r>
              <w:rPr>
                <w:highlight w:val="none"/>
              </w:rPr>
              <w:t>）</w:t>
            </w:r>
          </w:p>
        </w:tc>
        <w:tc>
          <w:tcPr>
            <w:tcW w:w="1147" w:type="pct"/>
            <w:tcMar>
              <w:top w:w="0" w:type="dxa"/>
              <w:left w:w="57" w:type="dxa"/>
              <w:bottom w:w="0" w:type="dxa"/>
              <w:right w:w="57" w:type="dxa"/>
            </w:tcMar>
            <w:vAlign w:val="center"/>
          </w:tcPr>
          <w:p w14:paraId="192D9763">
            <w:pPr>
              <w:pStyle w:val="19"/>
              <w:bidi w:val="0"/>
              <w:rPr>
                <w:highlight w:val="none"/>
              </w:rPr>
            </w:pPr>
            <w:r>
              <w:rPr>
                <w:highlight w:val="none"/>
              </w:rPr>
              <w:t>臭气浓度（无量纲）</w:t>
            </w:r>
          </w:p>
        </w:tc>
      </w:tr>
      <w:tr w14:paraId="0573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7D19EF05">
            <w:pPr>
              <w:pStyle w:val="19"/>
              <w:bidi w:val="0"/>
              <w:ind w:firstLine="0" w:firstLineChars="0"/>
              <w:rPr>
                <w:rFonts w:hint="eastAsia" w:eastAsia="宋体"/>
                <w:highlight w:val="none"/>
                <w:lang w:val="en-US" w:eastAsia="zh-CN"/>
              </w:rPr>
            </w:pPr>
            <w:r>
              <w:rPr>
                <w:rFonts w:hint="eastAsia"/>
                <w:highlight w:val="none"/>
                <w:lang w:val="en-US" w:eastAsia="zh-CN"/>
              </w:rPr>
              <w:t>2024.3.9</w:t>
            </w:r>
          </w:p>
        </w:tc>
        <w:tc>
          <w:tcPr>
            <w:tcW w:w="580" w:type="pct"/>
            <w:tcMar>
              <w:top w:w="0" w:type="dxa"/>
              <w:left w:w="57" w:type="dxa"/>
              <w:bottom w:w="0" w:type="dxa"/>
              <w:right w:w="57" w:type="dxa"/>
            </w:tcMar>
            <w:vAlign w:val="center"/>
          </w:tcPr>
          <w:p w14:paraId="1D70CEF1">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2F7FDA6D">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-1-1-c</w:t>
            </w:r>
          </w:p>
        </w:tc>
        <w:tc>
          <w:tcPr>
            <w:tcW w:w="699" w:type="pct"/>
            <w:tcMar>
              <w:top w:w="0" w:type="dxa"/>
              <w:left w:w="57" w:type="dxa"/>
              <w:bottom w:w="0" w:type="dxa"/>
              <w:right w:w="57" w:type="dxa"/>
            </w:tcMar>
            <w:vAlign w:val="center"/>
          </w:tcPr>
          <w:p w14:paraId="5F1CE24F">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39605B34">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6FD89B83">
            <w:pPr>
              <w:pStyle w:val="19"/>
              <w:bidi w:val="0"/>
              <w:rPr>
                <w:rFonts w:hint="default" w:eastAsia="宋体"/>
                <w:highlight w:val="none"/>
                <w:lang w:val="en-US" w:eastAsia="zh-CN"/>
              </w:rPr>
            </w:pPr>
            <w:r>
              <w:rPr>
                <w:rFonts w:hint="eastAsia"/>
                <w:highlight w:val="none"/>
                <w:lang w:val="en-US" w:eastAsia="zh-CN"/>
              </w:rPr>
              <w:t>14</w:t>
            </w:r>
          </w:p>
        </w:tc>
      </w:tr>
      <w:tr w14:paraId="4222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2CEEFAAF">
            <w:pPr>
              <w:pStyle w:val="19"/>
              <w:bidi w:val="0"/>
              <w:rPr>
                <w:highlight w:val="none"/>
              </w:rPr>
            </w:pPr>
          </w:p>
        </w:tc>
        <w:tc>
          <w:tcPr>
            <w:tcW w:w="580" w:type="pct"/>
            <w:tcMar>
              <w:top w:w="0" w:type="dxa"/>
              <w:left w:w="57" w:type="dxa"/>
              <w:bottom w:w="0" w:type="dxa"/>
              <w:right w:w="57" w:type="dxa"/>
            </w:tcMar>
            <w:vAlign w:val="center"/>
          </w:tcPr>
          <w:p w14:paraId="75C88EBD">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57DFD012">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-1-2-c</w:t>
            </w:r>
          </w:p>
        </w:tc>
        <w:tc>
          <w:tcPr>
            <w:tcW w:w="699" w:type="pct"/>
            <w:tcMar>
              <w:top w:w="0" w:type="dxa"/>
              <w:left w:w="57" w:type="dxa"/>
              <w:bottom w:w="0" w:type="dxa"/>
              <w:right w:w="57" w:type="dxa"/>
            </w:tcMar>
            <w:vAlign w:val="center"/>
          </w:tcPr>
          <w:p w14:paraId="2C944ECB">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3B54F5F3">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2A26368D">
            <w:pPr>
              <w:pStyle w:val="19"/>
              <w:bidi w:val="0"/>
              <w:rPr>
                <w:rFonts w:hint="default" w:eastAsia="宋体"/>
                <w:highlight w:val="none"/>
                <w:lang w:val="en-US" w:eastAsia="zh-CN"/>
              </w:rPr>
            </w:pPr>
            <w:r>
              <w:rPr>
                <w:rFonts w:hint="eastAsia"/>
                <w:highlight w:val="none"/>
                <w:lang w:val="en-US" w:eastAsia="zh-CN"/>
              </w:rPr>
              <w:t>14</w:t>
            </w:r>
          </w:p>
        </w:tc>
      </w:tr>
      <w:tr w14:paraId="4BC1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4EBB2A4E">
            <w:pPr>
              <w:pStyle w:val="19"/>
              <w:bidi w:val="0"/>
              <w:rPr>
                <w:highlight w:val="none"/>
              </w:rPr>
            </w:pPr>
          </w:p>
        </w:tc>
        <w:tc>
          <w:tcPr>
            <w:tcW w:w="580" w:type="pct"/>
            <w:tcMar>
              <w:top w:w="0" w:type="dxa"/>
              <w:left w:w="57" w:type="dxa"/>
              <w:bottom w:w="0" w:type="dxa"/>
              <w:right w:w="57" w:type="dxa"/>
            </w:tcMar>
            <w:vAlign w:val="center"/>
          </w:tcPr>
          <w:p w14:paraId="4F36B596">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2A95F1B9">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-1-3-c</w:t>
            </w:r>
          </w:p>
        </w:tc>
        <w:tc>
          <w:tcPr>
            <w:tcW w:w="699" w:type="pct"/>
            <w:tcMar>
              <w:top w:w="0" w:type="dxa"/>
              <w:left w:w="57" w:type="dxa"/>
              <w:bottom w:w="0" w:type="dxa"/>
              <w:right w:w="57" w:type="dxa"/>
            </w:tcMar>
            <w:vAlign w:val="center"/>
          </w:tcPr>
          <w:p w14:paraId="24236794">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7A1FE56F">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30D37701">
            <w:pPr>
              <w:pStyle w:val="19"/>
              <w:bidi w:val="0"/>
              <w:rPr>
                <w:rFonts w:hint="default" w:eastAsia="宋体"/>
                <w:highlight w:val="none"/>
                <w:lang w:val="en-US" w:eastAsia="zh-CN"/>
              </w:rPr>
            </w:pPr>
            <w:r>
              <w:rPr>
                <w:rFonts w:hint="eastAsia"/>
                <w:highlight w:val="none"/>
                <w:lang w:val="en-US" w:eastAsia="zh-CN"/>
              </w:rPr>
              <w:t>14</w:t>
            </w:r>
          </w:p>
        </w:tc>
      </w:tr>
      <w:tr w14:paraId="7CC3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1BB8F161">
            <w:pPr>
              <w:pStyle w:val="19"/>
              <w:bidi w:val="0"/>
              <w:rPr>
                <w:highlight w:val="none"/>
              </w:rPr>
            </w:pPr>
          </w:p>
        </w:tc>
        <w:tc>
          <w:tcPr>
            <w:tcW w:w="580" w:type="pct"/>
            <w:tcMar>
              <w:top w:w="0" w:type="dxa"/>
              <w:left w:w="57" w:type="dxa"/>
              <w:bottom w:w="0" w:type="dxa"/>
              <w:right w:w="57" w:type="dxa"/>
            </w:tcMar>
            <w:vAlign w:val="center"/>
          </w:tcPr>
          <w:p w14:paraId="7EF07F47">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241F5E3E">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-1-4-c</w:t>
            </w:r>
          </w:p>
        </w:tc>
        <w:tc>
          <w:tcPr>
            <w:tcW w:w="699" w:type="pct"/>
            <w:tcMar>
              <w:top w:w="0" w:type="dxa"/>
              <w:left w:w="57" w:type="dxa"/>
              <w:bottom w:w="0" w:type="dxa"/>
              <w:right w:w="57" w:type="dxa"/>
            </w:tcMar>
            <w:vAlign w:val="center"/>
          </w:tcPr>
          <w:p w14:paraId="5F40D34E">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7E8308AB">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7873F5DF">
            <w:pPr>
              <w:pStyle w:val="19"/>
              <w:bidi w:val="0"/>
              <w:rPr>
                <w:rFonts w:hint="default" w:eastAsia="宋体"/>
                <w:highlight w:val="none"/>
                <w:lang w:val="en-US" w:eastAsia="zh-CN"/>
              </w:rPr>
            </w:pPr>
            <w:r>
              <w:rPr>
                <w:rFonts w:hint="eastAsia"/>
                <w:highlight w:val="none"/>
                <w:lang w:val="en-US" w:eastAsia="zh-CN"/>
              </w:rPr>
              <w:t>15</w:t>
            </w:r>
          </w:p>
        </w:tc>
      </w:tr>
      <w:tr w14:paraId="4D54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35C4AACD">
            <w:pPr>
              <w:pStyle w:val="19"/>
              <w:bidi w:val="0"/>
              <w:ind w:firstLine="0" w:firstLineChars="0"/>
              <w:rPr>
                <w:highlight w:val="none"/>
              </w:rPr>
            </w:pPr>
            <w:r>
              <w:rPr>
                <w:rFonts w:hint="eastAsia"/>
                <w:highlight w:val="none"/>
                <w:lang w:val="en-US" w:eastAsia="zh-CN"/>
              </w:rPr>
              <w:t>2024.3.10</w:t>
            </w:r>
          </w:p>
        </w:tc>
        <w:tc>
          <w:tcPr>
            <w:tcW w:w="580" w:type="pct"/>
            <w:tcMar>
              <w:top w:w="0" w:type="dxa"/>
              <w:left w:w="57" w:type="dxa"/>
              <w:bottom w:w="0" w:type="dxa"/>
              <w:right w:w="57" w:type="dxa"/>
            </w:tcMar>
            <w:vAlign w:val="center"/>
          </w:tcPr>
          <w:p w14:paraId="7FB5EB45">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20770296">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-2-1-c</w:t>
            </w:r>
          </w:p>
        </w:tc>
        <w:tc>
          <w:tcPr>
            <w:tcW w:w="699" w:type="pct"/>
            <w:tcMar>
              <w:top w:w="0" w:type="dxa"/>
              <w:left w:w="57" w:type="dxa"/>
              <w:bottom w:w="0" w:type="dxa"/>
              <w:right w:w="57" w:type="dxa"/>
            </w:tcMar>
            <w:vAlign w:val="center"/>
          </w:tcPr>
          <w:p w14:paraId="20CBEC4D">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1FF7FC9B">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7AAC6D81">
            <w:pPr>
              <w:pStyle w:val="19"/>
              <w:bidi w:val="0"/>
              <w:rPr>
                <w:rFonts w:hint="default" w:eastAsia="宋体"/>
                <w:highlight w:val="none"/>
                <w:lang w:val="en-US" w:eastAsia="zh-CN"/>
              </w:rPr>
            </w:pPr>
            <w:r>
              <w:rPr>
                <w:rFonts w:hint="eastAsia"/>
                <w:highlight w:val="none"/>
                <w:lang w:val="en-US" w:eastAsia="zh-CN"/>
              </w:rPr>
              <w:t>13</w:t>
            </w:r>
          </w:p>
        </w:tc>
      </w:tr>
      <w:tr w14:paraId="6B31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22514663">
            <w:pPr>
              <w:pStyle w:val="19"/>
              <w:bidi w:val="0"/>
              <w:rPr>
                <w:highlight w:val="none"/>
              </w:rPr>
            </w:pPr>
          </w:p>
        </w:tc>
        <w:tc>
          <w:tcPr>
            <w:tcW w:w="580" w:type="pct"/>
            <w:tcMar>
              <w:top w:w="0" w:type="dxa"/>
              <w:left w:w="57" w:type="dxa"/>
              <w:bottom w:w="0" w:type="dxa"/>
              <w:right w:w="57" w:type="dxa"/>
            </w:tcMar>
            <w:vAlign w:val="center"/>
          </w:tcPr>
          <w:p w14:paraId="321AAD48">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7272DE07">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-2-2-c</w:t>
            </w:r>
          </w:p>
        </w:tc>
        <w:tc>
          <w:tcPr>
            <w:tcW w:w="699" w:type="pct"/>
            <w:tcMar>
              <w:top w:w="0" w:type="dxa"/>
              <w:left w:w="57" w:type="dxa"/>
              <w:bottom w:w="0" w:type="dxa"/>
              <w:right w:w="57" w:type="dxa"/>
            </w:tcMar>
            <w:vAlign w:val="center"/>
          </w:tcPr>
          <w:p w14:paraId="30C0FA2B">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41E16142">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3D849CF9">
            <w:pPr>
              <w:pStyle w:val="19"/>
              <w:bidi w:val="0"/>
              <w:rPr>
                <w:rFonts w:hint="default" w:eastAsia="宋体"/>
                <w:highlight w:val="none"/>
                <w:lang w:val="en-US" w:eastAsia="zh-CN"/>
              </w:rPr>
            </w:pPr>
            <w:r>
              <w:rPr>
                <w:rFonts w:hint="eastAsia"/>
                <w:highlight w:val="none"/>
                <w:lang w:val="en-US" w:eastAsia="zh-CN"/>
              </w:rPr>
              <w:t>14</w:t>
            </w:r>
          </w:p>
        </w:tc>
      </w:tr>
      <w:tr w14:paraId="2850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5DA60642">
            <w:pPr>
              <w:pStyle w:val="19"/>
              <w:bidi w:val="0"/>
              <w:rPr>
                <w:highlight w:val="none"/>
              </w:rPr>
            </w:pPr>
          </w:p>
        </w:tc>
        <w:tc>
          <w:tcPr>
            <w:tcW w:w="580" w:type="pct"/>
            <w:tcMar>
              <w:top w:w="0" w:type="dxa"/>
              <w:left w:w="57" w:type="dxa"/>
              <w:bottom w:w="0" w:type="dxa"/>
              <w:right w:w="57" w:type="dxa"/>
            </w:tcMar>
            <w:vAlign w:val="center"/>
          </w:tcPr>
          <w:p w14:paraId="4BAC9CBB">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3CD65151">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-2-3-c</w:t>
            </w:r>
          </w:p>
        </w:tc>
        <w:tc>
          <w:tcPr>
            <w:tcW w:w="699" w:type="pct"/>
            <w:tcMar>
              <w:top w:w="0" w:type="dxa"/>
              <w:left w:w="57" w:type="dxa"/>
              <w:bottom w:w="0" w:type="dxa"/>
              <w:right w:w="57" w:type="dxa"/>
            </w:tcMar>
            <w:vAlign w:val="center"/>
          </w:tcPr>
          <w:p w14:paraId="2ACF0579">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0BDE37CE">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478CB6C3">
            <w:pPr>
              <w:pStyle w:val="19"/>
              <w:bidi w:val="0"/>
              <w:rPr>
                <w:rFonts w:hint="default" w:eastAsia="宋体"/>
                <w:highlight w:val="none"/>
                <w:lang w:val="en-US" w:eastAsia="zh-CN"/>
              </w:rPr>
            </w:pPr>
            <w:r>
              <w:rPr>
                <w:rFonts w:hint="eastAsia"/>
                <w:highlight w:val="none"/>
                <w:lang w:val="en-US" w:eastAsia="zh-CN"/>
              </w:rPr>
              <w:t>15</w:t>
            </w:r>
          </w:p>
        </w:tc>
      </w:tr>
      <w:tr w14:paraId="6D92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6C23449B">
            <w:pPr>
              <w:pStyle w:val="19"/>
              <w:bidi w:val="0"/>
              <w:rPr>
                <w:highlight w:val="none"/>
              </w:rPr>
            </w:pPr>
          </w:p>
        </w:tc>
        <w:tc>
          <w:tcPr>
            <w:tcW w:w="580" w:type="pct"/>
            <w:tcMar>
              <w:top w:w="0" w:type="dxa"/>
              <w:left w:w="57" w:type="dxa"/>
              <w:bottom w:w="0" w:type="dxa"/>
              <w:right w:w="57" w:type="dxa"/>
            </w:tcMar>
            <w:vAlign w:val="center"/>
          </w:tcPr>
          <w:p w14:paraId="7A09EEC8">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2BC15C62">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-2-4-c</w:t>
            </w:r>
          </w:p>
        </w:tc>
        <w:tc>
          <w:tcPr>
            <w:tcW w:w="699" w:type="pct"/>
            <w:tcMar>
              <w:top w:w="0" w:type="dxa"/>
              <w:left w:w="57" w:type="dxa"/>
              <w:bottom w:w="0" w:type="dxa"/>
              <w:right w:w="57" w:type="dxa"/>
            </w:tcMar>
            <w:vAlign w:val="center"/>
          </w:tcPr>
          <w:p w14:paraId="2A813A61">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452D743A">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2A6D52DE">
            <w:pPr>
              <w:pStyle w:val="19"/>
              <w:bidi w:val="0"/>
              <w:rPr>
                <w:rFonts w:hint="default" w:eastAsia="宋体"/>
                <w:highlight w:val="none"/>
                <w:lang w:val="en-US" w:eastAsia="zh-CN"/>
              </w:rPr>
            </w:pPr>
            <w:r>
              <w:rPr>
                <w:rFonts w:hint="eastAsia"/>
                <w:highlight w:val="none"/>
                <w:lang w:val="en-US" w:eastAsia="zh-CN"/>
              </w:rPr>
              <w:t>14</w:t>
            </w:r>
          </w:p>
        </w:tc>
      </w:tr>
      <w:tr w14:paraId="4374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2D28C0C6">
            <w:pPr>
              <w:pStyle w:val="19"/>
              <w:bidi w:val="0"/>
              <w:ind w:firstLine="0" w:firstLineChars="0"/>
              <w:rPr>
                <w:highlight w:val="none"/>
              </w:rPr>
            </w:pPr>
            <w:r>
              <w:rPr>
                <w:rFonts w:hint="eastAsia"/>
                <w:highlight w:val="none"/>
                <w:lang w:val="en-US" w:eastAsia="zh-CN"/>
              </w:rPr>
              <w:t>2024.3.11</w:t>
            </w:r>
          </w:p>
        </w:tc>
        <w:tc>
          <w:tcPr>
            <w:tcW w:w="580" w:type="pct"/>
            <w:tcMar>
              <w:top w:w="0" w:type="dxa"/>
              <w:left w:w="57" w:type="dxa"/>
              <w:bottom w:w="0" w:type="dxa"/>
              <w:right w:w="57" w:type="dxa"/>
            </w:tcMar>
            <w:vAlign w:val="center"/>
          </w:tcPr>
          <w:p w14:paraId="3CF19661">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406DD2A1">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-3-1-c</w:t>
            </w:r>
          </w:p>
        </w:tc>
        <w:tc>
          <w:tcPr>
            <w:tcW w:w="699" w:type="pct"/>
            <w:tcMar>
              <w:top w:w="0" w:type="dxa"/>
              <w:left w:w="57" w:type="dxa"/>
              <w:bottom w:w="0" w:type="dxa"/>
              <w:right w:w="57" w:type="dxa"/>
            </w:tcMar>
            <w:vAlign w:val="center"/>
          </w:tcPr>
          <w:p w14:paraId="646FEF7B">
            <w:pPr>
              <w:pStyle w:val="19"/>
              <w:bidi w:val="0"/>
              <w:rPr>
                <w:rFonts w:hint="default" w:eastAsia="宋体"/>
                <w:highlight w:val="none"/>
                <w:lang w:val="en-US" w:eastAsia="zh-CN"/>
              </w:rPr>
            </w:pPr>
            <w:r>
              <w:rPr>
                <w:rFonts w:hint="eastAsia"/>
                <w:highlight w:val="none"/>
                <w:lang w:val="en-US" w:eastAsia="zh-CN"/>
              </w:rPr>
              <w:t>0.07</w:t>
            </w:r>
          </w:p>
        </w:tc>
        <w:tc>
          <w:tcPr>
            <w:tcW w:w="968" w:type="pct"/>
            <w:tcMar>
              <w:top w:w="0" w:type="dxa"/>
              <w:left w:w="57" w:type="dxa"/>
              <w:bottom w:w="0" w:type="dxa"/>
              <w:right w:w="57" w:type="dxa"/>
            </w:tcMar>
            <w:vAlign w:val="center"/>
          </w:tcPr>
          <w:p w14:paraId="32ABA20C">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6F0AB8E2">
            <w:pPr>
              <w:pStyle w:val="19"/>
              <w:bidi w:val="0"/>
              <w:rPr>
                <w:rFonts w:hint="default" w:eastAsia="宋体"/>
                <w:highlight w:val="none"/>
                <w:lang w:val="en-US" w:eastAsia="zh-CN"/>
              </w:rPr>
            </w:pPr>
            <w:r>
              <w:rPr>
                <w:rFonts w:hint="eastAsia"/>
                <w:highlight w:val="none"/>
                <w:lang w:val="en-US" w:eastAsia="zh-CN"/>
              </w:rPr>
              <w:t>15</w:t>
            </w:r>
          </w:p>
        </w:tc>
      </w:tr>
      <w:tr w14:paraId="038C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1A75A706">
            <w:pPr>
              <w:pStyle w:val="19"/>
              <w:bidi w:val="0"/>
              <w:rPr>
                <w:highlight w:val="none"/>
              </w:rPr>
            </w:pPr>
          </w:p>
        </w:tc>
        <w:tc>
          <w:tcPr>
            <w:tcW w:w="580" w:type="pct"/>
            <w:tcMar>
              <w:top w:w="0" w:type="dxa"/>
              <w:left w:w="57" w:type="dxa"/>
              <w:bottom w:w="0" w:type="dxa"/>
              <w:right w:w="57" w:type="dxa"/>
            </w:tcMar>
            <w:vAlign w:val="center"/>
          </w:tcPr>
          <w:p w14:paraId="76FEE771">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60DCEBE6">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-3-2-c</w:t>
            </w:r>
          </w:p>
        </w:tc>
        <w:tc>
          <w:tcPr>
            <w:tcW w:w="699" w:type="pct"/>
            <w:tcMar>
              <w:top w:w="0" w:type="dxa"/>
              <w:left w:w="57" w:type="dxa"/>
              <w:bottom w:w="0" w:type="dxa"/>
              <w:right w:w="57" w:type="dxa"/>
            </w:tcMar>
            <w:vAlign w:val="center"/>
          </w:tcPr>
          <w:p w14:paraId="5F28406C">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288452A7">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60D49191">
            <w:pPr>
              <w:pStyle w:val="19"/>
              <w:bidi w:val="0"/>
              <w:rPr>
                <w:rFonts w:hint="default" w:eastAsia="宋体"/>
                <w:highlight w:val="none"/>
                <w:lang w:val="en-US" w:eastAsia="zh-CN"/>
              </w:rPr>
            </w:pPr>
            <w:r>
              <w:rPr>
                <w:rFonts w:hint="eastAsia"/>
                <w:highlight w:val="none"/>
                <w:lang w:val="en-US" w:eastAsia="zh-CN"/>
              </w:rPr>
              <w:t>14</w:t>
            </w:r>
          </w:p>
        </w:tc>
      </w:tr>
      <w:tr w14:paraId="72ED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66E36749">
            <w:pPr>
              <w:pStyle w:val="19"/>
              <w:bidi w:val="0"/>
              <w:rPr>
                <w:highlight w:val="none"/>
              </w:rPr>
            </w:pPr>
          </w:p>
        </w:tc>
        <w:tc>
          <w:tcPr>
            <w:tcW w:w="580" w:type="pct"/>
            <w:tcMar>
              <w:top w:w="0" w:type="dxa"/>
              <w:left w:w="57" w:type="dxa"/>
              <w:bottom w:w="0" w:type="dxa"/>
              <w:right w:w="57" w:type="dxa"/>
            </w:tcMar>
            <w:vAlign w:val="center"/>
          </w:tcPr>
          <w:p w14:paraId="4C638FC0">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6196041F">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-3-3-c</w:t>
            </w:r>
          </w:p>
        </w:tc>
        <w:tc>
          <w:tcPr>
            <w:tcW w:w="699" w:type="pct"/>
            <w:tcMar>
              <w:top w:w="0" w:type="dxa"/>
              <w:left w:w="57" w:type="dxa"/>
              <w:bottom w:w="0" w:type="dxa"/>
              <w:right w:w="57" w:type="dxa"/>
            </w:tcMar>
            <w:vAlign w:val="center"/>
          </w:tcPr>
          <w:p w14:paraId="124E9CC7">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0CEF60D1">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32F19D20">
            <w:pPr>
              <w:pStyle w:val="19"/>
              <w:bidi w:val="0"/>
              <w:rPr>
                <w:rFonts w:hint="default" w:eastAsia="宋体"/>
                <w:highlight w:val="none"/>
                <w:lang w:val="en-US" w:eastAsia="zh-CN"/>
              </w:rPr>
            </w:pPr>
            <w:r>
              <w:rPr>
                <w:rFonts w:hint="eastAsia"/>
                <w:highlight w:val="none"/>
                <w:lang w:val="en-US" w:eastAsia="zh-CN"/>
              </w:rPr>
              <w:t>13</w:t>
            </w:r>
          </w:p>
        </w:tc>
      </w:tr>
      <w:tr w14:paraId="2AD8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0D7C1A14">
            <w:pPr>
              <w:pStyle w:val="19"/>
              <w:bidi w:val="0"/>
              <w:rPr>
                <w:highlight w:val="none"/>
              </w:rPr>
            </w:pPr>
          </w:p>
        </w:tc>
        <w:tc>
          <w:tcPr>
            <w:tcW w:w="580" w:type="pct"/>
            <w:tcMar>
              <w:top w:w="0" w:type="dxa"/>
              <w:left w:w="57" w:type="dxa"/>
              <w:bottom w:w="0" w:type="dxa"/>
              <w:right w:w="57" w:type="dxa"/>
            </w:tcMar>
            <w:vAlign w:val="center"/>
          </w:tcPr>
          <w:p w14:paraId="5E85CDC2">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3ABAD53E">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-3-4-c</w:t>
            </w:r>
          </w:p>
        </w:tc>
        <w:tc>
          <w:tcPr>
            <w:tcW w:w="699" w:type="pct"/>
            <w:tcMar>
              <w:top w:w="0" w:type="dxa"/>
              <w:left w:w="57" w:type="dxa"/>
              <w:bottom w:w="0" w:type="dxa"/>
              <w:right w:w="57" w:type="dxa"/>
            </w:tcMar>
            <w:vAlign w:val="center"/>
          </w:tcPr>
          <w:p w14:paraId="1EE4A127">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1423B1B0">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5DA34FC9">
            <w:pPr>
              <w:pStyle w:val="19"/>
              <w:bidi w:val="0"/>
              <w:rPr>
                <w:rFonts w:hint="default" w:eastAsia="宋体"/>
                <w:highlight w:val="none"/>
                <w:lang w:val="en-US" w:eastAsia="zh-CN"/>
              </w:rPr>
            </w:pPr>
            <w:r>
              <w:rPr>
                <w:rFonts w:hint="eastAsia"/>
                <w:highlight w:val="none"/>
                <w:lang w:val="en-US" w:eastAsia="zh-CN"/>
              </w:rPr>
              <w:t>13</w:t>
            </w:r>
          </w:p>
        </w:tc>
      </w:tr>
      <w:tr w14:paraId="1E5D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3E5E7781">
            <w:pPr>
              <w:pStyle w:val="19"/>
              <w:bidi w:val="0"/>
              <w:ind w:firstLine="0" w:firstLineChars="0"/>
              <w:rPr>
                <w:highlight w:val="none"/>
              </w:rPr>
            </w:pPr>
            <w:r>
              <w:rPr>
                <w:rFonts w:hint="eastAsia"/>
                <w:highlight w:val="none"/>
                <w:lang w:val="en-US" w:eastAsia="zh-CN"/>
              </w:rPr>
              <w:t>2024.3.12</w:t>
            </w:r>
          </w:p>
        </w:tc>
        <w:tc>
          <w:tcPr>
            <w:tcW w:w="580" w:type="pct"/>
            <w:tcMar>
              <w:top w:w="0" w:type="dxa"/>
              <w:left w:w="57" w:type="dxa"/>
              <w:bottom w:w="0" w:type="dxa"/>
              <w:right w:w="57" w:type="dxa"/>
            </w:tcMar>
            <w:vAlign w:val="center"/>
          </w:tcPr>
          <w:p w14:paraId="479E448E">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58DE9E6B">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-4-1-c</w:t>
            </w:r>
          </w:p>
        </w:tc>
        <w:tc>
          <w:tcPr>
            <w:tcW w:w="699" w:type="pct"/>
            <w:tcMar>
              <w:top w:w="0" w:type="dxa"/>
              <w:left w:w="57" w:type="dxa"/>
              <w:bottom w:w="0" w:type="dxa"/>
              <w:right w:w="57" w:type="dxa"/>
            </w:tcMar>
            <w:vAlign w:val="center"/>
          </w:tcPr>
          <w:p w14:paraId="79986A95">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0.09</w:t>
            </w:r>
          </w:p>
        </w:tc>
        <w:tc>
          <w:tcPr>
            <w:tcW w:w="968" w:type="pct"/>
            <w:tcMar>
              <w:top w:w="0" w:type="dxa"/>
              <w:left w:w="57" w:type="dxa"/>
              <w:bottom w:w="0" w:type="dxa"/>
              <w:right w:w="57" w:type="dxa"/>
            </w:tcMar>
            <w:vAlign w:val="center"/>
          </w:tcPr>
          <w:p w14:paraId="139A456C">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39456A9C">
            <w:pPr>
              <w:pStyle w:val="19"/>
              <w:bidi w:val="0"/>
              <w:rPr>
                <w:rFonts w:hint="default" w:eastAsia="宋体"/>
                <w:highlight w:val="none"/>
                <w:lang w:val="en-US" w:eastAsia="zh-CN"/>
              </w:rPr>
            </w:pPr>
            <w:r>
              <w:rPr>
                <w:rFonts w:hint="eastAsia"/>
                <w:highlight w:val="none"/>
                <w:lang w:val="en-US" w:eastAsia="zh-CN"/>
              </w:rPr>
              <w:t>13</w:t>
            </w:r>
          </w:p>
        </w:tc>
      </w:tr>
      <w:tr w14:paraId="71D7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1976FE1F">
            <w:pPr>
              <w:pStyle w:val="19"/>
              <w:bidi w:val="0"/>
              <w:rPr>
                <w:highlight w:val="none"/>
              </w:rPr>
            </w:pPr>
          </w:p>
        </w:tc>
        <w:tc>
          <w:tcPr>
            <w:tcW w:w="580" w:type="pct"/>
            <w:tcMar>
              <w:top w:w="0" w:type="dxa"/>
              <w:left w:w="57" w:type="dxa"/>
              <w:bottom w:w="0" w:type="dxa"/>
              <w:right w:w="57" w:type="dxa"/>
            </w:tcMar>
            <w:vAlign w:val="center"/>
          </w:tcPr>
          <w:p w14:paraId="5847B350">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2A64DB25">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-4-2-c</w:t>
            </w:r>
          </w:p>
        </w:tc>
        <w:tc>
          <w:tcPr>
            <w:tcW w:w="699" w:type="pct"/>
            <w:tcMar>
              <w:top w:w="0" w:type="dxa"/>
              <w:left w:w="57" w:type="dxa"/>
              <w:bottom w:w="0" w:type="dxa"/>
              <w:right w:w="57" w:type="dxa"/>
            </w:tcMar>
            <w:vAlign w:val="center"/>
          </w:tcPr>
          <w:p w14:paraId="61023D72">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0.08</w:t>
            </w:r>
          </w:p>
        </w:tc>
        <w:tc>
          <w:tcPr>
            <w:tcW w:w="968" w:type="pct"/>
            <w:tcMar>
              <w:top w:w="0" w:type="dxa"/>
              <w:left w:w="57" w:type="dxa"/>
              <w:bottom w:w="0" w:type="dxa"/>
              <w:right w:w="57" w:type="dxa"/>
            </w:tcMar>
            <w:vAlign w:val="center"/>
          </w:tcPr>
          <w:p w14:paraId="7F8DF06A">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4FDC985C">
            <w:pPr>
              <w:pStyle w:val="19"/>
              <w:bidi w:val="0"/>
              <w:rPr>
                <w:rFonts w:hint="default" w:eastAsia="宋体"/>
                <w:highlight w:val="none"/>
                <w:lang w:val="en-US" w:eastAsia="zh-CN"/>
              </w:rPr>
            </w:pPr>
            <w:r>
              <w:rPr>
                <w:rFonts w:hint="eastAsia"/>
                <w:highlight w:val="none"/>
                <w:lang w:val="en-US" w:eastAsia="zh-CN"/>
              </w:rPr>
              <w:t>14</w:t>
            </w:r>
          </w:p>
        </w:tc>
      </w:tr>
      <w:tr w14:paraId="5ABC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6959D174">
            <w:pPr>
              <w:pStyle w:val="19"/>
              <w:bidi w:val="0"/>
              <w:rPr>
                <w:highlight w:val="none"/>
              </w:rPr>
            </w:pPr>
          </w:p>
        </w:tc>
        <w:tc>
          <w:tcPr>
            <w:tcW w:w="580" w:type="pct"/>
            <w:tcMar>
              <w:top w:w="0" w:type="dxa"/>
              <w:left w:w="57" w:type="dxa"/>
              <w:bottom w:w="0" w:type="dxa"/>
              <w:right w:w="57" w:type="dxa"/>
            </w:tcMar>
            <w:vAlign w:val="center"/>
          </w:tcPr>
          <w:p w14:paraId="7552BF09">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49F24F68">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-4-3-c</w:t>
            </w:r>
          </w:p>
        </w:tc>
        <w:tc>
          <w:tcPr>
            <w:tcW w:w="699" w:type="pct"/>
            <w:tcMar>
              <w:top w:w="0" w:type="dxa"/>
              <w:left w:w="57" w:type="dxa"/>
              <w:bottom w:w="0" w:type="dxa"/>
              <w:right w:w="57" w:type="dxa"/>
            </w:tcMar>
            <w:vAlign w:val="center"/>
          </w:tcPr>
          <w:p w14:paraId="758BF9AF">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0.09</w:t>
            </w:r>
          </w:p>
        </w:tc>
        <w:tc>
          <w:tcPr>
            <w:tcW w:w="968" w:type="pct"/>
            <w:tcMar>
              <w:top w:w="0" w:type="dxa"/>
              <w:left w:w="57" w:type="dxa"/>
              <w:bottom w:w="0" w:type="dxa"/>
              <w:right w:w="57" w:type="dxa"/>
            </w:tcMar>
            <w:vAlign w:val="center"/>
          </w:tcPr>
          <w:p w14:paraId="6921534D">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413BFD8F">
            <w:pPr>
              <w:pStyle w:val="19"/>
              <w:bidi w:val="0"/>
              <w:rPr>
                <w:rFonts w:hint="default" w:eastAsia="宋体"/>
                <w:highlight w:val="none"/>
                <w:lang w:val="en-US" w:eastAsia="zh-CN"/>
              </w:rPr>
            </w:pPr>
            <w:r>
              <w:rPr>
                <w:rFonts w:hint="eastAsia"/>
                <w:highlight w:val="none"/>
                <w:lang w:val="en-US" w:eastAsia="zh-CN"/>
              </w:rPr>
              <w:t>15</w:t>
            </w:r>
          </w:p>
        </w:tc>
      </w:tr>
      <w:tr w14:paraId="7F2A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56E5587C">
            <w:pPr>
              <w:pStyle w:val="19"/>
              <w:bidi w:val="0"/>
              <w:rPr>
                <w:highlight w:val="none"/>
              </w:rPr>
            </w:pPr>
          </w:p>
        </w:tc>
        <w:tc>
          <w:tcPr>
            <w:tcW w:w="580" w:type="pct"/>
            <w:tcMar>
              <w:top w:w="0" w:type="dxa"/>
              <w:left w:w="57" w:type="dxa"/>
              <w:bottom w:w="0" w:type="dxa"/>
              <w:right w:w="57" w:type="dxa"/>
            </w:tcMar>
            <w:vAlign w:val="center"/>
          </w:tcPr>
          <w:p w14:paraId="28C529C6">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09A8D993">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-4-4-c</w:t>
            </w:r>
          </w:p>
        </w:tc>
        <w:tc>
          <w:tcPr>
            <w:tcW w:w="699" w:type="pct"/>
            <w:tcMar>
              <w:top w:w="0" w:type="dxa"/>
              <w:left w:w="57" w:type="dxa"/>
              <w:bottom w:w="0" w:type="dxa"/>
              <w:right w:w="57" w:type="dxa"/>
            </w:tcMar>
            <w:vAlign w:val="center"/>
          </w:tcPr>
          <w:p w14:paraId="32EE606B">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0.08</w:t>
            </w:r>
          </w:p>
        </w:tc>
        <w:tc>
          <w:tcPr>
            <w:tcW w:w="968" w:type="pct"/>
            <w:tcMar>
              <w:top w:w="0" w:type="dxa"/>
              <w:left w:w="57" w:type="dxa"/>
              <w:bottom w:w="0" w:type="dxa"/>
              <w:right w:w="57" w:type="dxa"/>
            </w:tcMar>
            <w:vAlign w:val="center"/>
          </w:tcPr>
          <w:p w14:paraId="7682B2BD">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79193BF7">
            <w:pPr>
              <w:pStyle w:val="19"/>
              <w:bidi w:val="0"/>
              <w:rPr>
                <w:rFonts w:hint="default" w:eastAsia="宋体"/>
                <w:highlight w:val="none"/>
                <w:lang w:val="en-US" w:eastAsia="zh-CN"/>
              </w:rPr>
            </w:pPr>
            <w:r>
              <w:rPr>
                <w:rFonts w:hint="eastAsia"/>
                <w:highlight w:val="none"/>
                <w:lang w:val="en-US" w:eastAsia="zh-CN"/>
              </w:rPr>
              <w:t>15</w:t>
            </w:r>
          </w:p>
        </w:tc>
      </w:tr>
      <w:tr w14:paraId="6842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5FFD2175">
            <w:pPr>
              <w:pStyle w:val="19"/>
              <w:bidi w:val="0"/>
              <w:ind w:firstLine="0" w:firstLineChars="0"/>
              <w:rPr>
                <w:highlight w:val="none"/>
              </w:rPr>
            </w:pPr>
            <w:r>
              <w:rPr>
                <w:rFonts w:hint="eastAsia"/>
                <w:highlight w:val="none"/>
                <w:lang w:val="en-US" w:eastAsia="zh-CN"/>
              </w:rPr>
              <w:t>2024.3.13</w:t>
            </w:r>
          </w:p>
        </w:tc>
        <w:tc>
          <w:tcPr>
            <w:tcW w:w="580" w:type="pct"/>
            <w:tcMar>
              <w:top w:w="0" w:type="dxa"/>
              <w:left w:w="57" w:type="dxa"/>
              <w:bottom w:w="0" w:type="dxa"/>
              <w:right w:w="57" w:type="dxa"/>
            </w:tcMar>
            <w:vAlign w:val="center"/>
          </w:tcPr>
          <w:p w14:paraId="7E4FB3F5">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7EDD298B">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-5-1-c</w:t>
            </w:r>
          </w:p>
        </w:tc>
        <w:tc>
          <w:tcPr>
            <w:tcW w:w="699" w:type="pct"/>
            <w:tcMar>
              <w:top w:w="0" w:type="dxa"/>
              <w:left w:w="57" w:type="dxa"/>
              <w:bottom w:w="0" w:type="dxa"/>
              <w:right w:w="57" w:type="dxa"/>
            </w:tcMar>
            <w:vAlign w:val="center"/>
          </w:tcPr>
          <w:p w14:paraId="21BD42C4">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76F84B35">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2AEBC3C3">
            <w:pPr>
              <w:pStyle w:val="19"/>
              <w:bidi w:val="0"/>
              <w:rPr>
                <w:rFonts w:hint="default" w:eastAsia="宋体"/>
                <w:highlight w:val="none"/>
                <w:lang w:val="en-US" w:eastAsia="zh-CN"/>
              </w:rPr>
            </w:pPr>
            <w:r>
              <w:rPr>
                <w:rFonts w:hint="eastAsia"/>
                <w:highlight w:val="none"/>
                <w:lang w:val="en-US" w:eastAsia="zh-CN"/>
              </w:rPr>
              <w:t>14</w:t>
            </w:r>
          </w:p>
        </w:tc>
      </w:tr>
      <w:tr w14:paraId="4D70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336A8CF1">
            <w:pPr>
              <w:pStyle w:val="19"/>
              <w:bidi w:val="0"/>
              <w:rPr>
                <w:highlight w:val="none"/>
              </w:rPr>
            </w:pPr>
          </w:p>
        </w:tc>
        <w:tc>
          <w:tcPr>
            <w:tcW w:w="580" w:type="pct"/>
            <w:tcMar>
              <w:top w:w="0" w:type="dxa"/>
              <w:left w:w="57" w:type="dxa"/>
              <w:bottom w:w="0" w:type="dxa"/>
              <w:right w:w="57" w:type="dxa"/>
            </w:tcMar>
            <w:vAlign w:val="center"/>
          </w:tcPr>
          <w:p w14:paraId="42C1D03E">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63A07685">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-5-2-c</w:t>
            </w:r>
          </w:p>
        </w:tc>
        <w:tc>
          <w:tcPr>
            <w:tcW w:w="699" w:type="pct"/>
            <w:tcMar>
              <w:top w:w="0" w:type="dxa"/>
              <w:left w:w="57" w:type="dxa"/>
              <w:bottom w:w="0" w:type="dxa"/>
              <w:right w:w="57" w:type="dxa"/>
            </w:tcMar>
            <w:vAlign w:val="center"/>
          </w:tcPr>
          <w:p w14:paraId="1DA7C708">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1441491B">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66C00E95">
            <w:pPr>
              <w:pStyle w:val="19"/>
              <w:bidi w:val="0"/>
              <w:rPr>
                <w:rFonts w:hint="default" w:eastAsia="宋体"/>
                <w:highlight w:val="none"/>
                <w:lang w:val="en-US" w:eastAsia="zh-CN"/>
              </w:rPr>
            </w:pPr>
            <w:r>
              <w:rPr>
                <w:rFonts w:hint="eastAsia"/>
                <w:highlight w:val="none"/>
                <w:lang w:val="en-US" w:eastAsia="zh-CN"/>
              </w:rPr>
              <w:t>15</w:t>
            </w:r>
          </w:p>
        </w:tc>
      </w:tr>
      <w:tr w14:paraId="3438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7AFC3301">
            <w:pPr>
              <w:pStyle w:val="19"/>
              <w:bidi w:val="0"/>
              <w:rPr>
                <w:highlight w:val="none"/>
              </w:rPr>
            </w:pPr>
          </w:p>
        </w:tc>
        <w:tc>
          <w:tcPr>
            <w:tcW w:w="580" w:type="pct"/>
            <w:tcMar>
              <w:top w:w="0" w:type="dxa"/>
              <w:left w:w="57" w:type="dxa"/>
              <w:bottom w:w="0" w:type="dxa"/>
              <w:right w:w="57" w:type="dxa"/>
            </w:tcMar>
            <w:vAlign w:val="center"/>
          </w:tcPr>
          <w:p w14:paraId="233A5FCF">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2701C273">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-5-3-c</w:t>
            </w:r>
          </w:p>
        </w:tc>
        <w:tc>
          <w:tcPr>
            <w:tcW w:w="699" w:type="pct"/>
            <w:tcMar>
              <w:top w:w="0" w:type="dxa"/>
              <w:left w:w="57" w:type="dxa"/>
              <w:bottom w:w="0" w:type="dxa"/>
              <w:right w:w="57" w:type="dxa"/>
            </w:tcMar>
            <w:vAlign w:val="center"/>
          </w:tcPr>
          <w:p w14:paraId="20BBBE2E">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55F2D646">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1551E791">
            <w:pPr>
              <w:pStyle w:val="19"/>
              <w:bidi w:val="0"/>
              <w:rPr>
                <w:rFonts w:hint="default" w:eastAsia="宋体"/>
                <w:highlight w:val="none"/>
                <w:lang w:val="en-US" w:eastAsia="zh-CN"/>
              </w:rPr>
            </w:pPr>
            <w:r>
              <w:rPr>
                <w:rFonts w:hint="eastAsia"/>
                <w:highlight w:val="none"/>
                <w:lang w:val="en-US" w:eastAsia="zh-CN"/>
              </w:rPr>
              <w:t>14</w:t>
            </w:r>
          </w:p>
        </w:tc>
      </w:tr>
      <w:tr w14:paraId="0C54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54724B9B">
            <w:pPr>
              <w:pStyle w:val="19"/>
              <w:bidi w:val="0"/>
              <w:rPr>
                <w:highlight w:val="none"/>
              </w:rPr>
            </w:pPr>
          </w:p>
        </w:tc>
        <w:tc>
          <w:tcPr>
            <w:tcW w:w="580" w:type="pct"/>
            <w:tcMar>
              <w:top w:w="0" w:type="dxa"/>
              <w:left w:w="57" w:type="dxa"/>
              <w:bottom w:w="0" w:type="dxa"/>
              <w:right w:w="57" w:type="dxa"/>
            </w:tcMar>
            <w:vAlign w:val="center"/>
          </w:tcPr>
          <w:p w14:paraId="6748E5D2">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3F3E736B">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-5-4-c</w:t>
            </w:r>
          </w:p>
        </w:tc>
        <w:tc>
          <w:tcPr>
            <w:tcW w:w="699" w:type="pct"/>
            <w:tcMar>
              <w:top w:w="0" w:type="dxa"/>
              <w:left w:w="57" w:type="dxa"/>
              <w:bottom w:w="0" w:type="dxa"/>
              <w:right w:w="57" w:type="dxa"/>
            </w:tcMar>
            <w:vAlign w:val="center"/>
          </w:tcPr>
          <w:p w14:paraId="38F1DB34">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6ABAA77B">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59B436DB">
            <w:pPr>
              <w:pStyle w:val="19"/>
              <w:bidi w:val="0"/>
              <w:rPr>
                <w:rFonts w:hint="default" w:eastAsia="宋体"/>
                <w:highlight w:val="none"/>
                <w:lang w:val="en-US" w:eastAsia="zh-CN"/>
              </w:rPr>
            </w:pPr>
            <w:r>
              <w:rPr>
                <w:rFonts w:hint="eastAsia"/>
                <w:highlight w:val="none"/>
                <w:lang w:val="en-US" w:eastAsia="zh-CN"/>
              </w:rPr>
              <w:t>14</w:t>
            </w:r>
          </w:p>
        </w:tc>
      </w:tr>
      <w:tr w14:paraId="5449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0ED7F2CA">
            <w:pPr>
              <w:pStyle w:val="19"/>
              <w:bidi w:val="0"/>
              <w:ind w:firstLine="0" w:firstLineChars="0"/>
              <w:rPr>
                <w:highlight w:val="none"/>
              </w:rPr>
            </w:pPr>
            <w:r>
              <w:rPr>
                <w:rFonts w:hint="eastAsia"/>
                <w:highlight w:val="none"/>
                <w:lang w:val="en-US" w:eastAsia="zh-CN"/>
              </w:rPr>
              <w:t>2024.3.14</w:t>
            </w:r>
          </w:p>
        </w:tc>
        <w:tc>
          <w:tcPr>
            <w:tcW w:w="580" w:type="pct"/>
            <w:tcMar>
              <w:top w:w="0" w:type="dxa"/>
              <w:left w:w="57" w:type="dxa"/>
              <w:bottom w:w="0" w:type="dxa"/>
              <w:right w:w="57" w:type="dxa"/>
            </w:tcMar>
            <w:vAlign w:val="center"/>
          </w:tcPr>
          <w:p w14:paraId="1518BD47">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0A166611">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-6-1-c</w:t>
            </w:r>
          </w:p>
        </w:tc>
        <w:tc>
          <w:tcPr>
            <w:tcW w:w="699" w:type="pct"/>
            <w:tcMar>
              <w:top w:w="0" w:type="dxa"/>
              <w:left w:w="57" w:type="dxa"/>
              <w:bottom w:w="0" w:type="dxa"/>
              <w:right w:w="57" w:type="dxa"/>
            </w:tcMar>
            <w:vAlign w:val="center"/>
          </w:tcPr>
          <w:p w14:paraId="18FA84D8">
            <w:pPr>
              <w:pStyle w:val="19"/>
              <w:bidi w:val="0"/>
              <w:rPr>
                <w:rFonts w:hint="default" w:eastAsia="宋体"/>
                <w:highlight w:val="none"/>
                <w:lang w:val="en-US" w:eastAsia="zh-CN"/>
              </w:rPr>
            </w:pPr>
            <w:r>
              <w:rPr>
                <w:rFonts w:hint="eastAsia"/>
                <w:highlight w:val="none"/>
                <w:lang w:val="en-US" w:eastAsia="zh-CN"/>
              </w:rPr>
              <w:t>0.07</w:t>
            </w:r>
          </w:p>
        </w:tc>
        <w:tc>
          <w:tcPr>
            <w:tcW w:w="968" w:type="pct"/>
            <w:tcMar>
              <w:top w:w="0" w:type="dxa"/>
              <w:left w:w="57" w:type="dxa"/>
              <w:bottom w:w="0" w:type="dxa"/>
              <w:right w:w="57" w:type="dxa"/>
            </w:tcMar>
            <w:vAlign w:val="center"/>
          </w:tcPr>
          <w:p w14:paraId="7223D35D">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4CD0DBEC">
            <w:pPr>
              <w:pStyle w:val="19"/>
              <w:bidi w:val="0"/>
              <w:rPr>
                <w:rFonts w:hint="default" w:eastAsia="宋体"/>
                <w:highlight w:val="none"/>
                <w:lang w:val="en-US" w:eastAsia="zh-CN"/>
              </w:rPr>
            </w:pPr>
            <w:r>
              <w:rPr>
                <w:rFonts w:hint="eastAsia"/>
                <w:highlight w:val="none"/>
                <w:lang w:val="en-US" w:eastAsia="zh-CN"/>
              </w:rPr>
              <w:t>15</w:t>
            </w:r>
          </w:p>
        </w:tc>
      </w:tr>
      <w:tr w14:paraId="56F7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05ACC3A1">
            <w:pPr>
              <w:pStyle w:val="19"/>
              <w:bidi w:val="0"/>
              <w:rPr>
                <w:highlight w:val="none"/>
              </w:rPr>
            </w:pPr>
          </w:p>
        </w:tc>
        <w:tc>
          <w:tcPr>
            <w:tcW w:w="580" w:type="pct"/>
            <w:tcMar>
              <w:top w:w="0" w:type="dxa"/>
              <w:left w:w="57" w:type="dxa"/>
              <w:bottom w:w="0" w:type="dxa"/>
              <w:right w:w="57" w:type="dxa"/>
            </w:tcMar>
            <w:vAlign w:val="center"/>
          </w:tcPr>
          <w:p w14:paraId="1A70C3A6">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40C6DC73">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-6-2-c</w:t>
            </w:r>
          </w:p>
        </w:tc>
        <w:tc>
          <w:tcPr>
            <w:tcW w:w="699" w:type="pct"/>
            <w:tcMar>
              <w:top w:w="0" w:type="dxa"/>
              <w:left w:w="57" w:type="dxa"/>
              <w:bottom w:w="0" w:type="dxa"/>
              <w:right w:w="57" w:type="dxa"/>
            </w:tcMar>
            <w:vAlign w:val="center"/>
          </w:tcPr>
          <w:p w14:paraId="4FA86B9F">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3962FFFD">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7D947818">
            <w:pPr>
              <w:pStyle w:val="19"/>
              <w:bidi w:val="0"/>
              <w:rPr>
                <w:rFonts w:hint="default" w:eastAsia="宋体"/>
                <w:highlight w:val="none"/>
                <w:lang w:val="en-US" w:eastAsia="zh-CN"/>
              </w:rPr>
            </w:pPr>
            <w:r>
              <w:rPr>
                <w:rFonts w:hint="eastAsia"/>
                <w:highlight w:val="none"/>
                <w:lang w:val="en-US" w:eastAsia="zh-CN"/>
              </w:rPr>
              <w:t>13</w:t>
            </w:r>
          </w:p>
        </w:tc>
      </w:tr>
      <w:tr w14:paraId="1B9B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125B9CB7">
            <w:pPr>
              <w:pStyle w:val="19"/>
              <w:bidi w:val="0"/>
              <w:rPr>
                <w:highlight w:val="none"/>
              </w:rPr>
            </w:pPr>
          </w:p>
        </w:tc>
        <w:tc>
          <w:tcPr>
            <w:tcW w:w="580" w:type="pct"/>
            <w:tcMar>
              <w:top w:w="0" w:type="dxa"/>
              <w:left w:w="57" w:type="dxa"/>
              <w:bottom w:w="0" w:type="dxa"/>
              <w:right w:w="57" w:type="dxa"/>
            </w:tcMar>
            <w:vAlign w:val="center"/>
          </w:tcPr>
          <w:p w14:paraId="3AA1DB88">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754E426F">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-6-3-c</w:t>
            </w:r>
          </w:p>
        </w:tc>
        <w:tc>
          <w:tcPr>
            <w:tcW w:w="699" w:type="pct"/>
            <w:tcMar>
              <w:top w:w="0" w:type="dxa"/>
              <w:left w:w="57" w:type="dxa"/>
              <w:bottom w:w="0" w:type="dxa"/>
              <w:right w:w="57" w:type="dxa"/>
            </w:tcMar>
            <w:vAlign w:val="center"/>
          </w:tcPr>
          <w:p w14:paraId="35A2B7DF">
            <w:pPr>
              <w:pStyle w:val="19"/>
              <w:bidi w:val="0"/>
              <w:rPr>
                <w:rFonts w:hint="default" w:eastAsia="宋体"/>
                <w:highlight w:val="none"/>
                <w:lang w:val="en-US" w:eastAsia="zh-CN"/>
              </w:rPr>
            </w:pPr>
            <w:r>
              <w:rPr>
                <w:rFonts w:hint="eastAsia"/>
                <w:highlight w:val="none"/>
                <w:lang w:val="en-US" w:eastAsia="zh-CN"/>
              </w:rPr>
              <w:t>0.09</w:t>
            </w:r>
          </w:p>
        </w:tc>
        <w:tc>
          <w:tcPr>
            <w:tcW w:w="968" w:type="pct"/>
            <w:tcMar>
              <w:top w:w="0" w:type="dxa"/>
              <w:left w:w="57" w:type="dxa"/>
              <w:bottom w:w="0" w:type="dxa"/>
              <w:right w:w="57" w:type="dxa"/>
            </w:tcMar>
            <w:vAlign w:val="center"/>
          </w:tcPr>
          <w:p w14:paraId="3C9E7628">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3C3331A6">
            <w:pPr>
              <w:pStyle w:val="19"/>
              <w:bidi w:val="0"/>
              <w:rPr>
                <w:rFonts w:hint="default" w:eastAsia="宋体"/>
                <w:highlight w:val="none"/>
                <w:lang w:val="en-US" w:eastAsia="zh-CN"/>
              </w:rPr>
            </w:pPr>
            <w:r>
              <w:rPr>
                <w:rFonts w:hint="eastAsia"/>
                <w:highlight w:val="none"/>
                <w:lang w:val="en-US" w:eastAsia="zh-CN"/>
              </w:rPr>
              <w:t>14</w:t>
            </w:r>
          </w:p>
        </w:tc>
      </w:tr>
      <w:tr w14:paraId="05B9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433F5722">
            <w:pPr>
              <w:pStyle w:val="19"/>
              <w:bidi w:val="0"/>
              <w:rPr>
                <w:highlight w:val="none"/>
              </w:rPr>
            </w:pPr>
          </w:p>
        </w:tc>
        <w:tc>
          <w:tcPr>
            <w:tcW w:w="580" w:type="pct"/>
            <w:tcMar>
              <w:top w:w="0" w:type="dxa"/>
              <w:left w:w="57" w:type="dxa"/>
              <w:bottom w:w="0" w:type="dxa"/>
              <w:right w:w="57" w:type="dxa"/>
            </w:tcMar>
            <w:vAlign w:val="center"/>
          </w:tcPr>
          <w:p w14:paraId="0D653E06">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5700106C">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-6-4-c</w:t>
            </w:r>
          </w:p>
        </w:tc>
        <w:tc>
          <w:tcPr>
            <w:tcW w:w="699" w:type="pct"/>
            <w:tcMar>
              <w:top w:w="0" w:type="dxa"/>
              <w:left w:w="57" w:type="dxa"/>
              <w:bottom w:w="0" w:type="dxa"/>
              <w:right w:w="57" w:type="dxa"/>
            </w:tcMar>
            <w:vAlign w:val="center"/>
          </w:tcPr>
          <w:p w14:paraId="0B9925CB">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2DEF7450">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1953DCE2">
            <w:pPr>
              <w:pStyle w:val="19"/>
              <w:bidi w:val="0"/>
              <w:rPr>
                <w:rFonts w:hint="default" w:eastAsia="宋体"/>
                <w:highlight w:val="none"/>
                <w:lang w:val="en-US" w:eastAsia="zh-CN"/>
              </w:rPr>
            </w:pPr>
            <w:r>
              <w:rPr>
                <w:rFonts w:hint="eastAsia"/>
                <w:highlight w:val="none"/>
                <w:lang w:val="en-US" w:eastAsia="zh-CN"/>
              </w:rPr>
              <w:t>14</w:t>
            </w:r>
          </w:p>
        </w:tc>
      </w:tr>
      <w:tr w14:paraId="19B6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restart"/>
            <w:tcMar>
              <w:top w:w="0" w:type="dxa"/>
              <w:left w:w="57" w:type="dxa"/>
              <w:bottom w:w="0" w:type="dxa"/>
              <w:right w:w="57" w:type="dxa"/>
            </w:tcMar>
            <w:vAlign w:val="center"/>
          </w:tcPr>
          <w:p w14:paraId="4FFA233F">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2024.3.15</w:t>
            </w:r>
          </w:p>
        </w:tc>
        <w:tc>
          <w:tcPr>
            <w:tcW w:w="580" w:type="pct"/>
            <w:tcMar>
              <w:top w:w="0" w:type="dxa"/>
              <w:left w:w="57" w:type="dxa"/>
              <w:bottom w:w="0" w:type="dxa"/>
              <w:right w:w="57" w:type="dxa"/>
            </w:tcMar>
            <w:vAlign w:val="center"/>
          </w:tcPr>
          <w:p w14:paraId="7C8C4FD1">
            <w:pPr>
              <w:pStyle w:val="19"/>
              <w:bidi w:val="0"/>
              <w:rPr>
                <w:highlight w:val="none"/>
              </w:rPr>
            </w:pPr>
            <w:r>
              <w:rPr>
                <w:highlight w:val="none"/>
              </w:rPr>
              <w:t>第一次</w:t>
            </w:r>
          </w:p>
        </w:tc>
        <w:tc>
          <w:tcPr>
            <w:tcW w:w="839" w:type="pct"/>
            <w:tcMar>
              <w:top w:w="0" w:type="dxa"/>
              <w:left w:w="57" w:type="dxa"/>
              <w:bottom w:w="0" w:type="dxa"/>
              <w:right w:w="57" w:type="dxa"/>
            </w:tcMar>
            <w:vAlign w:val="center"/>
          </w:tcPr>
          <w:p w14:paraId="49A754D9">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-7-1-c</w:t>
            </w:r>
          </w:p>
        </w:tc>
        <w:tc>
          <w:tcPr>
            <w:tcW w:w="699" w:type="pct"/>
            <w:tcMar>
              <w:top w:w="0" w:type="dxa"/>
              <w:left w:w="57" w:type="dxa"/>
              <w:bottom w:w="0" w:type="dxa"/>
              <w:right w:w="57" w:type="dxa"/>
            </w:tcMar>
            <w:vAlign w:val="center"/>
          </w:tcPr>
          <w:p w14:paraId="027EF366">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46569FA1">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0E57DF43">
            <w:pPr>
              <w:pStyle w:val="19"/>
              <w:bidi w:val="0"/>
              <w:rPr>
                <w:rFonts w:hint="default" w:eastAsia="宋体"/>
                <w:highlight w:val="none"/>
                <w:lang w:val="en-US" w:eastAsia="zh-CN"/>
              </w:rPr>
            </w:pPr>
            <w:r>
              <w:rPr>
                <w:rFonts w:hint="eastAsia"/>
                <w:highlight w:val="none"/>
                <w:lang w:val="en-US" w:eastAsia="zh-CN"/>
              </w:rPr>
              <w:t>13</w:t>
            </w:r>
          </w:p>
        </w:tc>
      </w:tr>
      <w:tr w14:paraId="2B27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37CFCD2C">
            <w:pPr>
              <w:pStyle w:val="19"/>
              <w:bidi w:val="0"/>
              <w:rPr>
                <w:highlight w:val="none"/>
              </w:rPr>
            </w:pPr>
          </w:p>
        </w:tc>
        <w:tc>
          <w:tcPr>
            <w:tcW w:w="580" w:type="pct"/>
            <w:tcMar>
              <w:top w:w="0" w:type="dxa"/>
              <w:left w:w="57" w:type="dxa"/>
              <w:bottom w:w="0" w:type="dxa"/>
              <w:right w:w="57" w:type="dxa"/>
            </w:tcMar>
            <w:vAlign w:val="center"/>
          </w:tcPr>
          <w:p w14:paraId="11F06CB7">
            <w:pPr>
              <w:pStyle w:val="19"/>
              <w:bidi w:val="0"/>
              <w:rPr>
                <w:highlight w:val="none"/>
              </w:rPr>
            </w:pPr>
            <w:r>
              <w:rPr>
                <w:highlight w:val="none"/>
              </w:rPr>
              <w:t>第二次</w:t>
            </w:r>
          </w:p>
        </w:tc>
        <w:tc>
          <w:tcPr>
            <w:tcW w:w="839" w:type="pct"/>
            <w:tcMar>
              <w:top w:w="0" w:type="dxa"/>
              <w:left w:w="57" w:type="dxa"/>
              <w:bottom w:w="0" w:type="dxa"/>
              <w:right w:w="57" w:type="dxa"/>
            </w:tcMar>
            <w:vAlign w:val="center"/>
          </w:tcPr>
          <w:p w14:paraId="0ED1EAD4">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-7-2-c</w:t>
            </w:r>
          </w:p>
        </w:tc>
        <w:tc>
          <w:tcPr>
            <w:tcW w:w="699" w:type="pct"/>
            <w:tcMar>
              <w:top w:w="0" w:type="dxa"/>
              <w:left w:w="57" w:type="dxa"/>
              <w:bottom w:w="0" w:type="dxa"/>
              <w:right w:w="57" w:type="dxa"/>
            </w:tcMar>
            <w:vAlign w:val="center"/>
          </w:tcPr>
          <w:p w14:paraId="3FA97625">
            <w:pPr>
              <w:pStyle w:val="19"/>
              <w:bidi w:val="0"/>
              <w:rPr>
                <w:rFonts w:hint="default" w:eastAsia="宋体"/>
                <w:highlight w:val="none"/>
                <w:lang w:val="en-US" w:eastAsia="zh-CN"/>
              </w:rPr>
            </w:pPr>
            <w:r>
              <w:rPr>
                <w:rFonts w:hint="eastAsia"/>
                <w:highlight w:val="none"/>
                <w:lang w:val="en-US" w:eastAsia="zh-CN"/>
              </w:rPr>
              <w:t>0.08</w:t>
            </w:r>
          </w:p>
        </w:tc>
        <w:tc>
          <w:tcPr>
            <w:tcW w:w="968" w:type="pct"/>
            <w:tcMar>
              <w:top w:w="0" w:type="dxa"/>
              <w:left w:w="57" w:type="dxa"/>
              <w:bottom w:w="0" w:type="dxa"/>
              <w:right w:w="57" w:type="dxa"/>
            </w:tcMar>
            <w:vAlign w:val="center"/>
          </w:tcPr>
          <w:p w14:paraId="3E938245">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7E75AECD">
            <w:pPr>
              <w:pStyle w:val="19"/>
              <w:bidi w:val="0"/>
              <w:rPr>
                <w:rFonts w:hint="default" w:eastAsia="宋体"/>
                <w:highlight w:val="none"/>
                <w:lang w:val="en-US" w:eastAsia="zh-CN"/>
              </w:rPr>
            </w:pPr>
            <w:r>
              <w:rPr>
                <w:rFonts w:hint="eastAsia"/>
                <w:highlight w:val="none"/>
                <w:lang w:val="en-US" w:eastAsia="zh-CN"/>
              </w:rPr>
              <w:t>14</w:t>
            </w:r>
          </w:p>
        </w:tc>
      </w:tr>
      <w:tr w14:paraId="30CA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58100FC5">
            <w:pPr>
              <w:pStyle w:val="19"/>
              <w:bidi w:val="0"/>
              <w:rPr>
                <w:highlight w:val="none"/>
              </w:rPr>
            </w:pPr>
          </w:p>
        </w:tc>
        <w:tc>
          <w:tcPr>
            <w:tcW w:w="580" w:type="pct"/>
            <w:tcMar>
              <w:top w:w="0" w:type="dxa"/>
              <w:left w:w="57" w:type="dxa"/>
              <w:bottom w:w="0" w:type="dxa"/>
              <w:right w:w="57" w:type="dxa"/>
            </w:tcMar>
            <w:vAlign w:val="center"/>
          </w:tcPr>
          <w:p w14:paraId="54036234">
            <w:pPr>
              <w:pStyle w:val="19"/>
              <w:bidi w:val="0"/>
              <w:rPr>
                <w:highlight w:val="none"/>
              </w:rPr>
            </w:pPr>
            <w:r>
              <w:rPr>
                <w:highlight w:val="none"/>
              </w:rPr>
              <w:t>第三次</w:t>
            </w:r>
          </w:p>
        </w:tc>
        <w:tc>
          <w:tcPr>
            <w:tcW w:w="839" w:type="pct"/>
            <w:tcMar>
              <w:top w:w="0" w:type="dxa"/>
              <w:left w:w="57" w:type="dxa"/>
              <w:bottom w:w="0" w:type="dxa"/>
              <w:right w:w="57" w:type="dxa"/>
            </w:tcMar>
            <w:vAlign w:val="center"/>
          </w:tcPr>
          <w:p w14:paraId="0A4F0F5A">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-7-3-c</w:t>
            </w:r>
          </w:p>
        </w:tc>
        <w:tc>
          <w:tcPr>
            <w:tcW w:w="699" w:type="pct"/>
            <w:tcMar>
              <w:top w:w="0" w:type="dxa"/>
              <w:left w:w="57" w:type="dxa"/>
              <w:bottom w:w="0" w:type="dxa"/>
              <w:right w:w="57" w:type="dxa"/>
            </w:tcMar>
            <w:vAlign w:val="center"/>
          </w:tcPr>
          <w:p w14:paraId="774C8D97">
            <w:pPr>
              <w:pStyle w:val="19"/>
              <w:bidi w:val="0"/>
              <w:rPr>
                <w:rFonts w:hint="default" w:eastAsia="宋体"/>
                <w:highlight w:val="none"/>
                <w:lang w:val="en-US" w:eastAsia="zh-CN"/>
              </w:rPr>
            </w:pPr>
            <w:r>
              <w:rPr>
                <w:rFonts w:hint="eastAsia"/>
                <w:highlight w:val="none"/>
                <w:lang w:val="en-US" w:eastAsia="zh-CN"/>
              </w:rPr>
              <w:t>0.07</w:t>
            </w:r>
          </w:p>
        </w:tc>
        <w:tc>
          <w:tcPr>
            <w:tcW w:w="968" w:type="pct"/>
            <w:tcMar>
              <w:top w:w="0" w:type="dxa"/>
              <w:left w:w="57" w:type="dxa"/>
              <w:bottom w:w="0" w:type="dxa"/>
              <w:right w:w="57" w:type="dxa"/>
            </w:tcMar>
            <w:vAlign w:val="center"/>
          </w:tcPr>
          <w:p w14:paraId="62D57DB8">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2DC5D24B">
            <w:pPr>
              <w:pStyle w:val="19"/>
              <w:bidi w:val="0"/>
              <w:rPr>
                <w:rFonts w:hint="default" w:eastAsia="宋体"/>
                <w:highlight w:val="none"/>
                <w:lang w:val="en-US" w:eastAsia="zh-CN"/>
              </w:rPr>
            </w:pPr>
            <w:r>
              <w:rPr>
                <w:rFonts w:hint="eastAsia"/>
                <w:highlight w:val="none"/>
                <w:lang w:val="en-US" w:eastAsia="zh-CN"/>
              </w:rPr>
              <w:t>14</w:t>
            </w:r>
          </w:p>
        </w:tc>
      </w:tr>
      <w:tr w14:paraId="3AA6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pct"/>
            <w:vMerge w:val="continue"/>
            <w:tcMar>
              <w:top w:w="0" w:type="dxa"/>
              <w:left w:w="57" w:type="dxa"/>
              <w:bottom w:w="0" w:type="dxa"/>
              <w:right w:w="57" w:type="dxa"/>
            </w:tcMar>
            <w:vAlign w:val="center"/>
          </w:tcPr>
          <w:p w14:paraId="6957A5C7">
            <w:pPr>
              <w:pStyle w:val="19"/>
              <w:bidi w:val="0"/>
              <w:rPr>
                <w:highlight w:val="none"/>
              </w:rPr>
            </w:pPr>
          </w:p>
        </w:tc>
        <w:tc>
          <w:tcPr>
            <w:tcW w:w="580" w:type="pct"/>
            <w:tcMar>
              <w:top w:w="0" w:type="dxa"/>
              <w:left w:w="57" w:type="dxa"/>
              <w:bottom w:w="0" w:type="dxa"/>
              <w:right w:w="57" w:type="dxa"/>
            </w:tcMar>
            <w:vAlign w:val="center"/>
          </w:tcPr>
          <w:p w14:paraId="4A24D869">
            <w:pPr>
              <w:pStyle w:val="19"/>
              <w:bidi w:val="0"/>
              <w:rPr>
                <w:highlight w:val="none"/>
              </w:rPr>
            </w:pPr>
            <w:r>
              <w:rPr>
                <w:highlight w:val="none"/>
              </w:rPr>
              <w:t>第四次</w:t>
            </w:r>
          </w:p>
        </w:tc>
        <w:tc>
          <w:tcPr>
            <w:tcW w:w="839" w:type="pct"/>
            <w:tcMar>
              <w:top w:w="0" w:type="dxa"/>
              <w:left w:w="57" w:type="dxa"/>
              <w:bottom w:w="0" w:type="dxa"/>
              <w:right w:w="57" w:type="dxa"/>
            </w:tcMar>
            <w:vAlign w:val="center"/>
          </w:tcPr>
          <w:p w14:paraId="22109F86">
            <w:pPr>
              <w:pStyle w:val="19"/>
              <w:bidi w:val="0"/>
              <w:ind w:firstLine="0" w:firstLineChars="0"/>
              <w:rPr>
                <w:highlight w:val="none"/>
              </w:rPr>
            </w:pPr>
            <w:r>
              <w:rPr>
                <w:rFonts w:hint="eastAsia"/>
                <w:highlight w:val="none"/>
                <w:lang w:val="en-US" w:eastAsia="zh-CN"/>
              </w:rPr>
              <w:t>HQ -1</w:t>
            </w:r>
            <w:r>
              <w:rPr>
                <w:rFonts w:hint="eastAsia"/>
                <w:highlight w:val="none"/>
                <w:vertAlign w:val="superscript"/>
                <w:lang w:val="en-US" w:eastAsia="zh-CN"/>
              </w:rPr>
              <w:t>#</w:t>
            </w:r>
            <w:r>
              <w:rPr>
                <w:rFonts w:hint="eastAsia"/>
                <w:highlight w:val="none"/>
                <w:vertAlign w:val="baseline"/>
                <w:lang w:val="en-US" w:eastAsia="zh-CN"/>
              </w:rPr>
              <w:t>-7-4-c</w:t>
            </w:r>
          </w:p>
        </w:tc>
        <w:tc>
          <w:tcPr>
            <w:tcW w:w="699" w:type="pct"/>
            <w:tcMar>
              <w:top w:w="0" w:type="dxa"/>
              <w:left w:w="57" w:type="dxa"/>
              <w:bottom w:w="0" w:type="dxa"/>
              <w:right w:w="57" w:type="dxa"/>
            </w:tcMar>
            <w:vAlign w:val="center"/>
          </w:tcPr>
          <w:p w14:paraId="621FC024">
            <w:pPr>
              <w:pStyle w:val="19"/>
              <w:bidi w:val="0"/>
              <w:rPr>
                <w:rFonts w:hint="default" w:eastAsia="宋体"/>
                <w:highlight w:val="none"/>
                <w:lang w:val="en-US" w:eastAsia="zh-CN"/>
              </w:rPr>
            </w:pPr>
            <w:r>
              <w:rPr>
                <w:rFonts w:hint="eastAsia"/>
                <w:highlight w:val="none"/>
                <w:lang w:val="en-US" w:eastAsia="zh-CN"/>
              </w:rPr>
              <w:t>0.07</w:t>
            </w:r>
          </w:p>
        </w:tc>
        <w:tc>
          <w:tcPr>
            <w:tcW w:w="968" w:type="pct"/>
            <w:tcMar>
              <w:top w:w="0" w:type="dxa"/>
              <w:left w:w="57" w:type="dxa"/>
              <w:bottom w:w="0" w:type="dxa"/>
              <w:right w:w="57" w:type="dxa"/>
            </w:tcMar>
            <w:vAlign w:val="center"/>
          </w:tcPr>
          <w:p w14:paraId="08A0AA30">
            <w:pPr>
              <w:pStyle w:val="19"/>
              <w:bidi w:val="0"/>
              <w:ind w:firstLine="0" w:firstLineChars="0"/>
              <w:rPr>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43386A9C">
            <w:pPr>
              <w:pStyle w:val="19"/>
              <w:bidi w:val="0"/>
              <w:rPr>
                <w:rFonts w:hint="default" w:eastAsia="宋体"/>
                <w:highlight w:val="none"/>
                <w:lang w:val="en-US" w:eastAsia="zh-CN"/>
              </w:rPr>
            </w:pPr>
            <w:r>
              <w:rPr>
                <w:rFonts w:hint="eastAsia"/>
                <w:highlight w:val="none"/>
                <w:lang w:val="en-US" w:eastAsia="zh-CN"/>
              </w:rPr>
              <w:t>15</w:t>
            </w:r>
          </w:p>
        </w:tc>
      </w:tr>
      <w:tr w14:paraId="3301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4B2A9875">
            <w:pPr>
              <w:pStyle w:val="19"/>
              <w:bidi w:val="0"/>
              <w:ind w:firstLine="0" w:firstLineChars="0"/>
              <w:rPr>
                <w:rFonts w:hint="eastAsia" w:ascii="Times New Roman" w:hAnsi="Times New Roman" w:eastAsia="宋体" w:cs="Times New Roman"/>
                <w:kern w:val="2"/>
                <w:sz w:val="21"/>
                <w:szCs w:val="22"/>
                <w:highlight w:val="none"/>
                <w:lang w:val="en-US" w:eastAsia="zh-CN" w:bidi="ar-SA"/>
              </w:rPr>
            </w:pPr>
            <w:r>
              <w:rPr>
                <w:rFonts w:hint="eastAsia"/>
                <w:highlight w:val="none"/>
                <w:lang w:val="en-US" w:eastAsia="zh-CN"/>
              </w:rPr>
              <w:t>评价标准</w:t>
            </w:r>
          </w:p>
        </w:tc>
        <w:tc>
          <w:tcPr>
            <w:tcW w:w="699" w:type="pct"/>
            <w:tcMar>
              <w:top w:w="0" w:type="dxa"/>
              <w:left w:w="57" w:type="dxa"/>
              <w:bottom w:w="0" w:type="dxa"/>
              <w:right w:w="57" w:type="dxa"/>
            </w:tcMar>
            <w:vAlign w:val="center"/>
          </w:tcPr>
          <w:p w14:paraId="75536F66">
            <w:pPr>
              <w:pStyle w:val="19"/>
              <w:bidi w:val="0"/>
              <w:rPr>
                <w:rFonts w:hint="default" w:eastAsia="宋体"/>
                <w:highlight w:val="none"/>
                <w:lang w:val="en-US" w:eastAsia="zh-CN"/>
              </w:rPr>
            </w:pPr>
            <w:r>
              <w:rPr>
                <w:rFonts w:hint="eastAsia"/>
                <w:highlight w:val="none"/>
                <w:lang w:val="en-US" w:eastAsia="zh-CN"/>
              </w:rPr>
              <w:t>0.2</w:t>
            </w:r>
          </w:p>
        </w:tc>
        <w:tc>
          <w:tcPr>
            <w:tcW w:w="968" w:type="pct"/>
            <w:tcMar>
              <w:top w:w="0" w:type="dxa"/>
              <w:left w:w="57" w:type="dxa"/>
              <w:bottom w:w="0" w:type="dxa"/>
              <w:right w:w="57" w:type="dxa"/>
            </w:tcMar>
            <w:vAlign w:val="center"/>
          </w:tcPr>
          <w:p w14:paraId="46281F57">
            <w:pPr>
              <w:pStyle w:val="19"/>
              <w:bidi w:val="0"/>
              <w:ind w:firstLine="0" w:firstLineChars="0"/>
              <w:rPr>
                <w:rFonts w:hint="eastAsia"/>
                <w:highlight w:val="none"/>
              </w:rPr>
            </w:pPr>
            <w:r>
              <w:rPr>
                <w:rFonts w:hint="eastAsia"/>
                <w:highlight w:val="none"/>
                <w:lang w:val="en-US" w:eastAsia="zh-CN"/>
              </w:rPr>
              <w:t>0.01</w:t>
            </w:r>
          </w:p>
        </w:tc>
        <w:tc>
          <w:tcPr>
            <w:tcW w:w="1147" w:type="pct"/>
            <w:tcMar>
              <w:top w:w="0" w:type="dxa"/>
              <w:left w:w="57" w:type="dxa"/>
              <w:bottom w:w="0" w:type="dxa"/>
              <w:right w:w="57" w:type="dxa"/>
            </w:tcMar>
            <w:vAlign w:val="center"/>
          </w:tcPr>
          <w:p w14:paraId="573E1070">
            <w:pPr>
              <w:pStyle w:val="19"/>
              <w:bidi w:val="0"/>
              <w:rPr>
                <w:rFonts w:hint="default" w:eastAsia="宋体"/>
                <w:highlight w:val="none"/>
                <w:lang w:val="en-US" w:eastAsia="zh-CN"/>
              </w:rPr>
            </w:pPr>
            <w:r>
              <w:rPr>
                <w:rFonts w:hint="eastAsia"/>
                <w:highlight w:val="none"/>
                <w:lang w:val="en-US" w:eastAsia="zh-CN"/>
              </w:rPr>
              <w:t>50</w:t>
            </w:r>
          </w:p>
        </w:tc>
      </w:tr>
      <w:tr w14:paraId="4437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1CC85E46">
            <w:pPr>
              <w:pStyle w:val="19"/>
              <w:bidi w:val="0"/>
              <w:ind w:firstLine="0" w:firstLineChars="0"/>
              <w:rPr>
                <w:rFonts w:hint="eastAsia" w:ascii="Times New Roman" w:hAnsi="Times New Roman" w:eastAsia="宋体" w:cs="Times New Roman"/>
                <w:kern w:val="2"/>
                <w:sz w:val="21"/>
                <w:szCs w:val="22"/>
                <w:highlight w:val="none"/>
                <w:lang w:val="en-US" w:eastAsia="zh-CN" w:bidi="ar-SA"/>
              </w:rPr>
            </w:pPr>
            <w:r>
              <w:rPr>
                <w:rFonts w:hint="eastAsia"/>
                <w:highlight w:val="none"/>
                <w:lang w:val="en-US" w:eastAsia="zh-CN"/>
              </w:rPr>
              <w:t>监测结果范围</w:t>
            </w:r>
          </w:p>
        </w:tc>
        <w:tc>
          <w:tcPr>
            <w:tcW w:w="699" w:type="pct"/>
            <w:tcMar>
              <w:top w:w="0" w:type="dxa"/>
              <w:left w:w="57" w:type="dxa"/>
              <w:bottom w:w="0" w:type="dxa"/>
              <w:right w:w="57" w:type="dxa"/>
            </w:tcMar>
            <w:vAlign w:val="center"/>
          </w:tcPr>
          <w:p w14:paraId="5E73221D">
            <w:pPr>
              <w:pStyle w:val="19"/>
              <w:bidi w:val="0"/>
              <w:rPr>
                <w:rFonts w:hint="default" w:eastAsia="宋体"/>
                <w:highlight w:val="none"/>
                <w:lang w:val="en-US" w:eastAsia="zh-CN"/>
              </w:rPr>
            </w:pPr>
            <w:r>
              <w:rPr>
                <w:rFonts w:hint="eastAsia"/>
                <w:highlight w:val="none"/>
                <w:lang w:val="en-US" w:eastAsia="zh-CN"/>
              </w:rPr>
              <w:t>0.07～0.09</w:t>
            </w:r>
          </w:p>
        </w:tc>
        <w:tc>
          <w:tcPr>
            <w:tcW w:w="968" w:type="pct"/>
            <w:tcMar>
              <w:top w:w="0" w:type="dxa"/>
              <w:left w:w="57" w:type="dxa"/>
              <w:bottom w:w="0" w:type="dxa"/>
              <w:right w:w="57" w:type="dxa"/>
            </w:tcMar>
            <w:vAlign w:val="center"/>
          </w:tcPr>
          <w:p w14:paraId="6A472F2B">
            <w:pPr>
              <w:pStyle w:val="19"/>
              <w:bidi w:val="0"/>
              <w:ind w:firstLine="0" w:firstLineChars="0"/>
              <w:rPr>
                <w:rFonts w:hint="eastAsia"/>
                <w:highlight w:val="none"/>
              </w:rPr>
            </w:pPr>
            <w:r>
              <w:rPr>
                <w:rFonts w:hint="eastAsia"/>
                <w:highlight w:val="none"/>
                <w:lang w:val="en-US" w:eastAsia="zh-CN"/>
              </w:rPr>
              <w:t>＜0.005</w:t>
            </w:r>
          </w:p>
        </w:tc>
        <w:tc>
          <w:tcPr>
            <w:tcW w:w="1147" w:type="pct"/>
            <w:tcMar>
              <w:top w:w="0" w:type="dxa"/>
              <w:left w:w="57" w:type="dxa"/>
              <w:bottom w:w="0" w:type="dxa"/>
              <w:right w:w="57" w:type="dxa"/>
            </w:tcMar>
            <w:vAlign w:val="center"/>
          </w:tcPr>
          <w:p w14:paraId="4C419603">
            <w:pPr>
              <w:pStyle w:val="19"/>
              <w:bidi w:val="0"/>
              <w:rPr>
                <w:rFonts w:hint="eastAsia"/>
                <w:highlight w:val="none"/>
              </w:rPr>
            </w:pPr>
            <w:r>
              <w:rPr>
                <w:rFonts w:hint="eastAsia"/>
                <w:highlight w:val="none"/>
                <w:lang w:val="en-US" w:eastAsia="zh-CN"/>
              </w:rPr>
              <w:t>12～15</w:t>
            </w:r>
          </w:p>
        </w:tc>
      </w:tr>
      <w:tr w14:paraId="5BB9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7F5BD7A8">
            <w:pPr>
              <w:pStyle w:val="19"/>
              <w:bidi w:val="0"/>
              <w:ind w:firstLine="0" w:firstLineChars="0"/>
              <w:rPr>
                <w:rFonts w:hint="eastAsia" w:ascii="Times New Roman" w:hAnsi="Times New Roman" w:eastAsia="宋体" w:cs="Times New Roman"/>
                <w:kern w:val="2"/>
                <w:sz w:val="21"/>
                <w:szCs w:val="22"/>
                <w:highlight w:val="none"/>
                <w:lang w:val="en-US" w:eastAsia="zh-CN" w:bidi="ar-SA"/>
              </w:rPr>
            </w:pPr>
            <w:r>
              <w:rPr>
                <w:rFonts w:hint="eastAsia"/>
                <w:highlight w:val="none"/>
                <w:lang w:val="en-US" w:eastAsia="zh-CN"/>
              </w:rPr>
              <w:t>最大浓度占标率/%</w:t>
            </w:r>
          </w:p>
        </w:tc>
        <w:tc>
          <w:tcPr>
            <w:tcW w:w="699" w:type="pct"/>
            <w:tcMar>
              <w:top w:w="0" w:type="dxa"/>
              <w:left w:w="57" w:type="dxa"/>
              <w:bottom w:w="0" w:type="dxa"/>
              <w:right w:w="57" w:type="dxa"/>
            </w:tcMar>
            <w:vAlign w:val="center"/>
          </w:tcPr>
          <w:p w14:paraId="2EF01FCC">
            <w:pPr>
              <w:pStyle w:val="19"/>
              <w:bidi w:val="0"/>
              <w:rPr>
                <w:rFonts w:hint="default" w:eastAsia="宋体"/>
                <w:highlight w:val="none"/>
                <w:lang w:val="en-US" w:eastAsia="zh-CN"/>
              </w:rPr>
            </w:pPr>
            <w:r>
              <w:rPr>
                <w:rFonts w:hint="eastAsia"/>
                <w:highlight w:val="none"/>
                <w:lang w:val="en-US" w:eastAsia="zh-CN"/>
              </w:rPr>
              <w:t>45</w:t>
            </w:r>
          </w:p>
        </w:tc>
        <w:tc>
          <w:tcPr>
            <w:tcW w:w="968" w:type="pct"/>
            <w:tcMar>
              <w:top w:w="0" w:type="dxa"/>
              <w:left w:w="57" w:type="dxa"/>
              <w:bottom w:w="0" w:type="dxa"/>
              <w:right w:w="57" w:type="dxa"/>
            </w:tcMar>
            <w:vAlign w:val="center"/>
          </w:tcPr>
          <w:p w14:paraId="43CD90AE">
            <w:pPr>
              <w:pStyle w:val="19"/>
              <w:bidi w:val="0"/>
              <w:ind w:firstLine="0" w:firstLineChars="0"/>
              <w:rPr>
                <w:rFonts w:hint="eastAsia"/>
                <w:highlight w:val="none"/>
              </w:rPr>
            </w:pPr>
            <w:r>
              <w:rPr>
                <w:rFonts w:hint="eastAsia"/>
                <w:highlight w:val="none"/>
                <w:lang w:val="en-US" w:eastAsia="zh-CN"/>
              </w:rPr>
              <w:t>未检出</w:t>
            </w:r>
          </w:p>
        </w:tc>
        <w:tc>
          <w:tcPr>
            <w:tcW w:w="1147" w:type="pct"/>
            <w:tcMar>
              <w:top w:w="0" w:type="dxa"/>
              <w:left w:w="57" w:type="dxa"/>
              <w:bottom w:w="0" w:type="dxa"/>
              <w:right w:w="57" w:type="dxa"/>
            </w:tcMar>
            <w:vAlign w:val="center"/>
          </w:tcPr>
          <w:p w14:paraId="492A6C23">
            <w:pPr>
              <w:pStyle w:val="19"/>
              <w:bidi w:val="0"/>
              <w:rPr>
                <w:rFonts w:hint="default" w:eastAsia="宋体"/>
                <w:highlight w:val="none"/>
                <w:lang w:val="en-US" w:eastAsia="zh-CN"/>
              </w:rPr>
            </w:pPr>
            <w:r>
              <w:rPr>
                <w:rFonts w:hint="eastAsia"/>
                <w:highlight w:val="none"/>
                <w:lang w:val="en-US" w:eastAsia="zh-CN"/>
              </w:rPr>
              <w:t>30</w:t>
            </w:r>
          </w:p>
        </w:tc>
      </w:tr>
      <w:tr w14:paraId="258E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5" w:type="pct"/>
            <w:gridSpan w:val="3"/>
            <w:tcMar>
              <w:top w:w="0" w:type="dxa"/>
              <w:left w:w="57" w:type="dxa"/>
              <w:bottom w:w="0" w:type="dxa"/>
              <w:right w:w="57" w:type="dxa"/>
            </w:tcMar>
            <w:vAlign w:val="center"/>
          </w:tcPr>
          <w:p w14:paraId="115E23AF">
            <w:pPr>
              <w:pStyle w:val="19"/>
              <w:bidi w:val="0"/>
              <w:ind w:firstLine="0" w:firstLineChars="0"/>
              <w:rPr>
                <w:rFonts w:hint="eastAsia" w:ascii="Times New Roman" w:hAnsi="Times New Roman" w:eastAsia="宋体" w:cs="Times New Roman"/>
                <w:kern w:val="2"/>
                <w:sz w:val="21"/>
                <w:szCs w:val="22"/>
                <w:highlight w:val="none"/>
                <w:lang w:val="en-US" w:eastAsia="zh-CN" w:bidi="ar-SA"/>
              </w:rPr>
            </w:pPr>
            <w:r>
              <w:rPr>
                <w:rFonts w:hint="eastAsia"/>
                <w:highlight w:val="none"/>
                <w:lang w:val="en-US" w:eastAsia="zh-CN"/>
              </w:rPr>
              <w:t>达标情况</w:t>
            </w:r>
          </w:p>
        </w:tc>
        <w:tc>
          <w:tcPr>
            <w:tcW w:w="699" w:type="pct"/>
            <w:tcMar>
              <w:top w:w="0" w:type="dxa"/>
              <w:left w:w="57" w:type="dxa"/>
              <w:bottom w:w="0" w:type="dxa"/>
              <w:right w:w="57" w:type="dxa"/>
            </w:tcMar>
            <w:vAlign w:val="center"/>
          </w:tcPr>
          <w:p w14:paraId="699A330B">
            <w:pPr>
              <w:pStyle w:val="19"/>
              <w:bidi w:val="0"/>
              <w:rPr>
                <w:rFonts w:hint="eastAsia" w:eastAsia="宋体"/>
                <w:highlight w:val="none"/>
                <w:lang w:val="en-US" w:eastAsia="zh-CN"/>
              </w:rPr>
            </w:pPr>
            <w:r>
              <w:rPr>
                <w:rFonts w:hint="eastAsia"/>
                <w:highlight w:val="none"/>
                <w:lang w:val="en-US" w:eastAsia="zh-CN"/>
              </w:rPr>
              <w:t>达标</w:t>
            </w:r>
          </w:p>
        </w:tc>
        <w:tc>
          <w:tcPr>
            <w:tcW w:w="968" w:type="pct"/>
            <w:tcMar>
              <w:top w:w="0" w:type="dxa"/>
              <w:left w:w="57" w:type="dxa"/>
              <w:bottom w:w="0" w:type="dxa"/>
              <w:right w:w="57" w:type="dxa"/>
            </w:tcMar>
            <w:vAlign w:val="center"/>
          </w:tcPr>
          <w:p w14:paraId="5039C03E">
            <w:pPr>
              <w:pStyle w:val="19"/>
              <w:bidi w:val="0"/>
              <w:ind w:firstLine="0" w:firstLineChars="0"/>
              <w:rPr>
                <w:rFonts w:hint="eastAsia"/>
                <w:highlight w:val="none"/>
              </w:rPr>
            </w:pPr>
            <w:r>
              <w:rPr>
                <w:rFonts w:hint="eastAsia"/>
                <w:highlight w:val="none"/>
                <w:lang w:val="en-US" w:eastAsia="zh-CN"/>
              </w:rPr>
              <w:t>达标</w:t>
            </w:r>
          </w:p>
        </w:tc>
        <w:tc>
          <w:tcPr>
            <w:tcW w:w="1147" w:type="pct"/>
            <w:tcMar>
              <w:top w:w="0" w:type="dxa"/>
              <w:left w:w="57" w:type="dxa"/>
              <w:bottom w:w="0" w:type="dxa"/>
              <w:right w:w="57" w:type="dxa"/>
            </w:tcMar>
            <w:vAlign w:val="center"/>
          </w:tcPr>
          <w:p w14:paraId="08FA0DA5">
            <w:pPr>
              <w:pStyle w:val="19"/>
              <w:bidi w:val="0"/>
              <w:rPr>
                <w:rFonts w:hint="eastAsia" w:eastAsia="宋体"/>
                <w:highlight w:val="none"/>
                <w:lang w:val="en-US" w:eastAsia="zh-CN"/>
              </w:rPr>
            </w:pPr>
            <w:r>
              <w:rPr>
                <w:rFonts w:hint="eastAsia"/>
                <w:highlight w:val="none"/>
                <w:lang w:val="en-US" w:eastAsia="zh-CN"/>
              </w:rPr>
              <w:t>达标</w:t>
            </w:r>
          </w:p>
        </w:tc>
      </w:tr>
    </w:tbl>
    <w:p w14:paraId="20ABE3E8">
      <w:pPr>
        <w:bidi w:val="0"/>
        <w:rPr>
          <w:rFonts w:hint="eastAsia"/>
          <w:lang w:val="en-US" w:eastAsia="zh-CN"/>
        </w:rPr>
      </w:pPr>
      <w:r>
        <w:rPr>
          <w:rFonts w:hint="eastAsia"/>
          <w:lang w:val="en-US" w:eastAsia="zh-CN"/>
        </w:rPr>
        <w:t>由表4.2-4可知：各监测点NH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S均满足《环境影响评价技术导则 大气环境》（HJ2.2-2018）附录D中标准，臭气浓度满足《畜禽养殖产地环境评价规范》（HJ568-2010）表5畜禽养殖场和养殖小区环境空气质量评价指标限值。</w:t>
      </w:r>
    </w:p>
    <w:p w14:paraId="22F0A80F">
      <w:pPr>
        <w:pStyle w:val="27"/>
        <w:bidi w:val="0"/>
        <w:rPr>
          <w:rFonts w:hint="default"/>
          <w:lang w:val="en-US" w:eastAsia="zh-CN"/>
        </w:rPr>
      </w:pPr>
      <w:r>
        <w:rPr>
          <w:rFonts w:hint="eastAsia"/>
          <w:lang w:val="en-US" w:eastAsia="zh-CN"/>
        </w:rPr>
        <w:t>地下水环境质量现状调查与评价</w:t>
      </w:r>
    </w:p>
    <w:p w14:paraId="03B5F66A">
      <w:pPr>
        <w:bidi w:val="0"/>
        <w:rPr>
          <w:rFonts w:hint="default"/>
          <w:lang w:val="en-US" w:eastAsia="zh-CN"/>
        </w:rPr>
      </w:pPr>
      <w:r>
        <w:rPr>
          <w:rFonts w:hint="eastAsia"/>
          <w:lang w:val="en-US" w:eastAsia="zh-CN"/>
        </w:rPr>
        <w:t>（1）监测布点</w:t>
      </w:r>
    </w:p>
    <w:p w14:paraId="0CB20730">
      <w:pPr>
        <w:bidi w:val="0"/>
        <w:rPr>
          <w:rFonts w:hint="default"/>
          <w:lang w:val="en-US" w:eastAsia="zh-CN"/>
        </w:rPr>
      </w:pPr>
      <w:r>
        <w:rPr>
          <w:rFonts w:hint="eastAsia"/>
          <w:lang w:val="en-US" w:eastAsia="zh-CN"/>
        </w:rPr>
        <w:t>根据《环境影响评价技术导则 地下水环境》（HJ610-2016）的要求，结合本项目所在区域的地形、水文地质条件及地下水流向（南流向西北），确定地下水监测点位，本次地下水监测设置3个监测点位，具体见表4.2-5。</w:t>
      </w:r>
    </w:p>
    <w:p w14:paraId="2907105B">
      <w:pPr>
        <w:pStyle w:val="30"/>
        <w:bidi w:val="0"/>
        <w:rPr>
          <w:rFonts w:hint="default"/>
          <w:highlight w:val="none"/>
          <w:lang w:val="en-US" w:eastAsia="zh-CN"/>
        </w:rPr>
      </w:pPr>
      <w:r>
        <w:rPr>
          <w:rFonts w:hint="eastAsia"/>
          <w:highlight w:val="none"/>
          <w:lang w:val="en-US" w:eastAsia="zh-CN"/>
        </w:rPr>
        <w:t>表4.2-5   地下水监测点位一览表</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1305"/>
        <w:gridCol w:w="2425"/>
        <w:gridCol w:w="706"/>
        <w:gridCol w:w="1800"/>
        <w:gridCol w:w="1148"/>
        <w:gridCol w:w="1031"/>
      </w:tblGrid>
      <w:tr w14:paraId="12C93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32" w:hRule="atLeast"/>
          <w:jc w:val="center"/>
        </w:trPr>
        <w:tc>
          <w:tcPr>
            <w:tcW w:w="775" w:type="pct"/>
            <w:tcBorders>
              <w:right w:val="single" w:color="auto" w:sz="4" w:space="0"/>
            </w:tcBorders>
            <w:vAlign w:val="center"/>
          </w:tcPr>
          <w:p w14:paraId="0AE5894B">
            <w:pPr>
              <w:pStyle w:val="19"/>
              <w:bidi w:val="0"/>
              <w:rPr>
                <w:highlight w:val="none"/>
              </w:rPr>
            </w:pPr>
            <w:r>
              <w:rPr>
                <w:rFonts w:hint="eastAsia"/>
                <w:highlight w:val="none"/>
                <w:lang w:val="en-US" w:eastAsia="zh-CN"/>
              </w:rPr>
              <w:t>编</w:t>
            </w:r>
            <w:r>
              <w:rPr>
                <w:highlight w:val="none"/>
              </w:rPr>
              <w:t>号</w:t>
            </w:r>
          </w:p>
        </w:tc>
        <w:tc>
          <w:tcPr>
            <w:tcW w:w="1440" w:type="pct"/>
            <w:tcBorders>
              <w:left w:val="single" w:color="auto" w:sz="4" w:space="0"/>
              <w:right w:val="single" w:color="auto" w:sz="4" w:space="0"/>
            </w:tcBorders>
            <w:vAlign w:val="center"/>
          </w:tcPr>
          <w:p w14:paraId="42BA0D63">
            <w:pPr>
              <w:pStyle w:val="19"/>
              <w:bidi w:val="0"/>
              <w:rPr>
                <w:highlight w:val="none"/>
              </w:rPr>
            </w:pPr>
            <w:r>
              <w:rPr>
                <w:highlight w:val="none"/>
              </w:rPr>
              <w:t>监测点</w:t>
            </w:r>
          </w:p>
        </w:tc>
        <w:tc>
          <w:tcPr>
            <w:tcW w:w="419" w:type="pct"/>
            <w:tcBorders>
              <w:left w:val="single" w:color="auto" w:sz="4" w:space="0"/>
              <w:right w:val="single" w:color="auto" w:sz="4" w:space="0"/>
            </w:tcBorders>
            <w:vAlign w:val="center"/>
          </w:tcPr>
          <w:p w14:paraId="2992EAE6">
            <w:pPr>
              <w:pStyle w:val="19"/>
              <w:bidi w:val="0"/>
              <w:rPr>
                <w:highlight w:val="none"/>
              </w:rPr>
            </w:pPr>
            <w:r>
              <w:rPr>
                <w:highlight w:val="none"/>
              </w:rPr>
              <w:t>方位</w:t>
            </w:r>
          </w:p>
        </w:tc>
        <w:tc>
          <w:tcPr>
            <w:tcW w:w="1069" w:type="pct"/>
            <w:tcBorders>
              <w:left w:val="single" w:color="auto" w:sz="4" w:space="0"/>
              <w:right w:val="single" w:color="auto" w:sz="4" w:space="0"/>
            </w:tcBorders>
            <w:vAlign w:val="center"/>
          </w:tcPr>
          <w:p w14:paraId="76E0D0B5">
            <w:pPr>
              <w:pStyle w:val="19"/>
              <w:bidi w:val="0"/>
              <w:rPr>
                <w:highlight w:val="none"/>
              </w:rPr>
            </w:pPr>
            <w:r>
              <w:rPr>
                <w:highlight w:val="none"/>
              </w:rPr>
              <w:t>距厂址距离（</w:t>
            </w:r>
            <w:r>
              <w:rPr>
                <w:rFonts w:hint="eastAsia"/>
                <w:highlight w:val="none"/>
              </w:rPr>
              <w:t>k</w:t>
            </w:r>
            <w:r>
              <w:rPr>
                <w:highlight w:val="none"/>
              </w:rPr>
              <w:t>m）</w:t>
            </w:r>
          </w:p>
        </w:tc>
        <w:tc>
          <w:tcPr>
            <w:tcW w:w="682" w:type="pct"/>
            <w:tcBorders>
              <w:left w:val="single" w:color="auto" w:sz="4" w:space="0"/>
              <w:right w:val="single" w:color="auto" w:sz="4" w:space="0"/>
            </w:tcBorders>
            <w:vAlign w:val="center"/>
          </w:tcPr>
          <w:p w14:paraId="7226F3E1">
            <w:pPr>
              <w:pStyle w:val="19"/>
              <w:bidi w:val="0"/>
              <w:rPr>
                <w:rFonts w:hint="default"/>
                <w:highlight w:val="none"/>
                <w:lang w:val="en-US" w:eastAsia="zh-CN"/>
              </w:rPr>
            </w:pPr>
            <w:r>
              <w:rPr>
                <w:rFonts w:hint="eastAsia"/>
                <w:highlight w:val="none"/>
                <w:lang w:val="en-US" w:eastAsia="zh-CN"/>
              </w:rPr>
              <w:t>井深（m）</w:t>
            </w:r>
          </w:p>
        </w:tc>
        <w:tc>
          <w:tcPr>
            <w:tcW w:w="612" w:type="pct"/>
            <w:tcBorders>
              <w:left w:val="single" w:color="auto" w:sz="4" w:space="0"/>
              <w:right w:val="single" w:color="auto" w:sz="4" w:space="0"/>
            </w:tcBorders>
            <w:vAlign w:val="center"/>
          </w:tcPr>
          <w:p w14:paraId="5017A9EE">
            <w:pPr>
              <w:pStyle w:val="19"/>
              <w:bidi w:val="0"/>
              <w:rPr>
                <w:rFonts w:hint="eastAsia"/>
                <w:highlight w:val="none"/>
                <w:lang w:val="en-US" w:eastAsia="zh-CN"/>
              </w:rPr>
            </w:pPr>
            <w:r>
              <w:rPr>
                <w:rFonts w:hint="eastAsia"/>
                <w:highlight w:val="none"/>
                <w:lang w:val="en-US" w:eastAsia="zh-CN"/>
              </w:rPr>
              <w:t>水位（m）</w:t>
            </w:r>
          </w:p>
        </w:tc>
      </w:tr>
      <w:tr w14:paraId="14391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32" w:hRule="atLeast"/>
          <w:jc w:val="center"/>
        </w:trPr>
        <w:tc>
          <w:tcPr>
            <w:tcW w:w="775" w:type="pct"/>
            <w:tcBorders>
              <w:right w:val="single" w:color="auto" w:sz="4" w:space="0"/>
            </w:tcBorders>
            <w:vAlign w:val="center"/>
          </w:tcPr>
          <w:p w14:paraId="31C5F2F9">
            <w:pPr>
              <w:pStyle w:val="19"/>
              <w:bidi w:val="0"/>
              <w:rPr>
                <w:rFonts w:hint="default" w:eastAsia="宋体"/>
                <w:highlight w:val="none"/>
                <w:vertAlign w:val="baseline"/>
                <w:lang w:val="en-US" w:eastAsia="zh-CN"/>
              </w:rPr>
            </w:pPr>
            <w:r>
              <w:rPr>
                <w:rFonts w:hint="eastAsia"/>
                <w:highlight w:val="none"/>
                <w:lang w:val="en-US" w:eastAsia="zh-CN"/>
              </w:rPr>
              <w:t>DXS-</w:t>
            </w:r>
            <w:r>
              <w:rPr>
                <w:highlight w:val="none"/>
              </w:rPr>
              <w:t>1</w:t>
            </w:r>
            <w:r>
              <w:rPr>
                <w:rFonts w:hint="eastAsia"/>
                <w:highlight w:val="none"/>
                <w:vertAlign w:val="superscript"/>
                <w:lang w:eastAsia="zh-CN"/>
              </w:rPr>
              <w:t>＃</w:t>
            </w:r>
            <w:r>
              <w:rPr>
                <w:rFonts w:hint="eastAsia"/>
                <w:highlight w:val="none"/>
                <w:vertAlign w:val="baseline"/>
                <w:lang w:val="en-US" w:eastAsia="zh-CN"/>
              </w:rPr>
              <w:t>-1-1</w:t>
            </w:r>
          </w:p>
        </w:tc>
        <w:tc>
          <w:tcPr>
            <w:tcW w:w="1440" w:type="pct"/>
            <w:tcBorders>
              <w:left w:val="single" w:color="auto" w:sz="4" w:space="0"/>
              <w:right w:val="single" w:color="auto" w:sz="4" w:space="0"/>
            </w:tcBorders>
            <w:vAlign w:val="center"/>
          </w:tcPr>
          <w:p w14:paraId="0E602067">
            <w:pPr>
              <w:pStyle w:val="19"/>
              <w:bidi w:val="0"/>
              <w:rPr>
                <w:highlight w:val="none"/>
              </w:rPr>
            </w:pPr>
            <w:r>
              <w:rPr>
                <w:highlight w:val="none"/>
              </w:rPr>
              <w:t>E8</w:t>
            </w:r>
            <w:r>
              <w:rPr>
                <w:rFonts w:hint="eastAsia"/>
                <w:highlight w:val="none"/>
                <w:lang w:val="en-US" w:eastAsia="zh-CN"/>
              </w:rPr>
              <w:t>4</w:t>
            </w:r>
            <w:r>
              <w:rPr>
                <w:highlight w:val="none"/>
              </w:rPr>
              <w:t>°</w:t>
            </w:r>
            <w:r>
              <w:rPr>
                <w:rFonts w:hint="eastAsia"/>
                <w:highlight w:val="none"/>
                <w:lang w:val="en-US" w:eastAsia="zh-CN"/>
              </w:rPr>
              <w:t>45</w:t>
            </w:r>
            <w:r>
              <w:rPr>
                <w:highlight w:val="none"/>
              </w:rPr>
              <w:t>'</w:t>
            </w:r>
            <w:r>
              <w:rPr>
                <w:rFonts w:hint="eastAsia"/>
                <w:highlight w:val="none"/>
                <w:lang w:val="en-US" w:eastAsia="zh-CN"/>
              </w:rPr>
              <w:t>4.03</w:t>
            </w:r>
            <w:r>
              <w:rPr>
                <w:highlight w:val="none"/>
              </w:rPr>
              <w:t>"N4</w:t>
            </w:r>
            <w:r>
              <w:rPr>
                <w:rFonts w:hint="eastAsia"/>
                <w:highlight w:val="none"/>
                <w:lang w:val="en-US" w:eastAsia="zh-CN"/>
              </w:rPr>
              <w:t>5</w:t>
            </w:r>
            <w:r>
              <w:rPr>
                <w:highlight w:val="none"/>
              </w:rPr>
              <w:t>°</w:t>
            </w:r>
            <w:r>
              <w:rPr>
                <w:rFonts w:hint="eastAsia"/>
                <w:highlight w:val="none"/>
                <w:lang w:val="en-US" w:eastAsia="zh-CN"/>
              </w:rPr>
              <w:t>00</w:t>
            </w:r>
            <w:r>
              <w:rPr>
                <w:highlight w:val="none"/>
              </w:rPr>
              <w:t>'</w:t>
            </w:r>
            <w:r>
              <w:rPr>
                <w:rFonts w:hint="eastAsia"/>
                <w:highlight w:val="none"/>
                <w:lang w:val="en-US" w:eastAsia="zh-CN"/>
              </w:rPr>
              <w:t>41.4</w:t>
            </w:r>
            <w:r>
              <w:rPr>
                <w:highlight w:val="none"/>
              </w:rPr>
              <w:t>"</w:t>
            </w:r>
          </w:p>
        </w:tc>
        <w:tc>
          <w:tcPr>
            <w:tcW w:w="419" w:type="pct"/>
            <w:tcBorders>
              <w:left w:val="single" w:color="auto" w:sz="4" w:space="0"/>
              <w:right w:val="single" w:color="auto" w:sz="4" w:space="0"/>
            </w:tcBorders>
            <w:vAlign w:val="center"/>
          </w:tcPr>
          <w:p w14:paraId="16DD2A2B">
            <w:pPr>
              <w:pStyle w:val="19"/>
              <w:bidi w:val="0"/>
              <w:rPr>
                <w:rFonts w:hint="default"/>
                <w:highlight w:val="none"/>
                <w:lang w:val="en-US"/>
              </w:rPr>
            </w:pPr>
            <w:r>
              <w:rPr>
                <w:rFonts w:hint="eastAsia"/>
                <w:highlight w:val="none"/>
                <w:lang w:val="en-US" w:eastAsia="zh-CN"/>
              </w:rPr>
              <w:t>西北</w:t>
            </w:r>
          </w:p>
        </w:tc>
        <w:tc>
          <w:tcPr>
            <w:tcW w:w="1069" w:type="pct"/>
            <w:tcBorders>
              <w:left w:val="single" w:color="auto" w:sz="4" w:space="0"/>
              <w:right w:val="single" w:color="auto" w:sz="4" w:space="0"/>
            </w:tcBorders>
            <w:vAlign w:val="center"/>
          </w:tcPr>
          <w:p w14:paraId="1B4A77F6">
            <w:pPr>
              <w:pStyle w:val="19"/>
              <w:bidi w:val="0"/>
              <w:rPr>
                <w:rFonts w:hint="default" w:eastAsia="宋体"/>
                <w:highlight w:val="none"/>
                <w:lang w:val="en-US" w:eastAsia="zh-CN"/>
              </w:rPr>
            </w:pPr>
            <w:r>
              <w:rPr>
                <w:rFonts w:hint="eastAsia"/>
                <w:highlight w:val="none"/>
                <w:lang w:val="en-US" w:eastAsia="zh-CN"/>
              </w:rPr>
              <w:t>1.72</w:t>
            </w:r>
          </w:p>
        </w:tc>
        <w:tc>
          <w:tcPr>
            <w:tcW w:w="682" w:type="pct"/>
            <w:tcBorders>
              <w:left w:val="single" w:color="auto" w:sz="4" w:space="0"/>
              <w:right w:val="single" w:color="auto" w:sz="4" w:space="0"/>
            </w:tcBorders>
            <w:vAlign w:val="center"/>
          </w:tcPr>
          <w:p w14:paraId="7AB74E10">
            <w:pPr>
              <w:pStyle w:val="19"/>
              <w:bidi w:val="0"/>
              <w:rPr>
                <w:rFonts w:hint="default"/>
                <w:highlight w:val="none"/>
                <w:lang w:val="en-US" w:eastAsia="zh-CN"/>
              </w:rPr>
            </w:pPr>
            <w:r>
              <w:rPr>
                <w:rFonts w:hint="eastAsia"/>
                <w:highlight w:val="none"/>
                <w:lang w:val="en-US" w:eastAsia="zh-CN"/>
              </w:rPr>
              <w:t>82</w:t>
            </w:r>
          </w:p>
        </w:tc>
        <w:tc>
          <w:tcPr>
            <w:tcW w:w="612" w:type="pct"/>
            <w:tcBorders>
              <w:left w:val="single" w:color="auto" w:sz="4" w:space="0"/>
              <w:right w:val="single" w:color="auto" w:sz="4" w:space="0"/>
            </w:tcBorders>
            <w:vAlign w:val="center"/>
          </w:tcPr>
          <w:p w14:paraId="162EC8D0">
            <w:pPr>
              <w:pStyle w:val="19"/>
              <w:bidi w:val="0"/>
              <w:rPr>
                <w:rFonts w:hint="default"/>
                <w:highlight w:val="none"/>
                <w:lang w:val="en-US" w:eastAsia="zh-CN"/>
              </w:rPr>
            </w:pPr>
            <w:r>
              <w:rPr>
                <w:rFonts w:hint="eastAsia"/>
                <w:highlight w:val="none"/>
                <w:lang w:val="en-US" w:eastAsia="zh-CN"/>
              </w:rPr>
              <w:t>27</w:t>
            </w:r>
          </w:p>
        </w:tc>
      </w:tr>
      <w:tr w14:paraId="3C8F6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32" w:hRule="atLeast"/>
          <w:jc w:val="center"/>
        </w:trPr>
        <w:tc>
          <w:tcPr>
            <w:tcW w:w="775" w:type="pct"/>
            <w:tcBorders>
              <w:right w:val="single" w:color="auto" w:sz="4" w:space="0"/>
            </w:tcBorders>
            <w:vAlign w:val="center"/>
          </w:tcPr>
          <w:p w14:paraId="37EE53B9">
            <w:pPr>
              <w:pStyle w:val="19"/>
              <w:bidi w:val="0"/>
              <w:rPr>
                <w:highlight w:val="none"/>
              </w:rPr>
            </w:pPr>
            <w:r>
              <w:rPr>
                <w:rFonts w:hint="eastAsia"/>
                <w:highlight w:val="none"/>
                <w:lang w:val="en-US" w:eastAsia="zh-CN"/>
              </w:rPr>
              <w:t>DXS-2</w:t>
            </w:r>
            <w:r>
              <w:rPr>
                <w:rFonts w:hint="eastAsia"/>
                <w:highlight w:val="none"/>
                <w:vertAlign w:val="superscript"/>
                <w:lang w:eastAsia="zh-CN"/>
              </w:rPr>
              <w:t>＃</w:t>
            </w:r>
            <w:r>
              <w:rPr>
                <w:rFonts w:hint="eastAsia"/>
                <w:highlight w:val="none"/>
                <w:vertAlign w:val="baseline"/>
                <w:lang w:val="en-US" w:eastAsia="zh-CN"/>
              </w:rPr>
              <w:t>-1-1</w:t>
            </w:r>
          </w:p>
        </w:tc>
        <w:tc>
          <w:tcPr>
            <w:tcW w:w="1440" w:type="pct"/>
            <w:tcBorders>
              <w:left w:val="single" w:color="auto" w:sz="4" w:space="0"/>
              <w:right w:val="single" w:color="auto" w:sz="4" w:space="0"/>
            </w:tcBorders>
            <w:vAlign w:val="center"/>
          </w:tcPr>
          <w:p w14:paraId="266CE588">
            <w:pPr>
              <w:pStyle w:val="19"/>
              <w:bidi w:val="0"/>
              <w:rPr>
                <w:highlight w:val="none"/>
              </w:rPr>
            </w:pPr>
            <w:r>
              <w:rPr>
                <w:highlight w:val="none"/>
              </w:rPr>
              <w:t>E8</w:t>
            </w:r>
            <w:r>
              <w:rPr>
                <w:rFonts w:hint="eastAsia"/>
                <w:highlight w:val="none"/>
                <w:lang w:val="en-US" w:eastAsia="zh-CN"/>
              </w:rPr>
              <w:t>4</w:t>
            </w:r>
            <w:r>
              <w:rPr>
                <w:highlight w:val="none"/>
              </w:rPr>
              <w:t>°</w:t>
            </w:r>
            <w:r>
              <w:rPr>
                <w:rFonts w:hint="eastAsia"/>
                <w:highlight w:val="none"/>
                <w:lang w:val="en-US" w:eastAsia="zh-CN"/>
              </w:rPr>
              <w:t>46</w:t>
            </w:r>
            <w:r>
              <w:rPr>
                <w:rFonts w:hint="default" w:ascii="Times New Roman" w:hAnsi="Times New Roman" w:cs="Times New Roman"/>
                <w:highlight w:val="none"/>
                <w:lang w:val="en-US" w:eastAsia="zh-CN"/>
              </w:rPr>
              <w:t>′</w:t>
            </w:r>
            <w:r>
              <w:rPr>
                <w:rFonts w:hint="eastAsia"/>
                <w:highlight w:val="none"/>
                <w:lang w:val="en-US" w:eastAsia="zh-CN"/>
              </w:rPr>
              <w:t>38.86</w:t>
            </w:r>
            <w:r>
              <w:rPr>
                <w:highlight w:val="none"/>
              </w:rPr>
              <w:t>"N4</w:t>
            </w:r>
            <w:r>
              <w:rPr>
                <w:rFonts w:hint="eastAsia"/>
                <w:highlight w:val="none"/>
                <w:lang w:val="en-US" w:eastAsia="zh-CN"/>
              </w:rPr>
              <w:t>5</w:t>
            </w:r>
            <w:r>
              <w:rPr>
                <w:highlight w:val="none"/>
              </w:rPr>
              <w:t>°</w:t>
            </w:r>
            <w:r>
              <w:rPr>
                <w:rFonts w:hint="eastAsia"/>
                <w:highlight w:val="none"/>
                <w:lang w:val="en-US" w:eastAsia="zh-CN"/>
              </w:rPr>
              <w:t>0</w:t>
            </w:r>
            <w:r>
              <w:rPr>
                <w:highlight w:val="none"/>
              </w:rPr>
              <w:t>'</w:t>
            </w:r>
            <w:r>
              <w:rPr>
                <w:rFonts w:hint="eastAsia"/>
                <w:highlight w:val="none"/>
                <w:lang w:val="en-US" w:eastAsia="zh-CN"/>
              </w:rPr>
              <w:t>16.2</w:t>
            </w:r>
            <w:r>
              <w:rPr>
                <w:highlight w:val="none"/>
              </w:rPr>
              <w:t>"</w:t>
            </w:r>
          </w:p>
        </w:tc>
        <w:tc>
          <w:tcPr>
            <w:tcW w:w="419" w:type="pct"/>
            <w:tcBorders>
              <w:left w:val="single" w:color="auto" w:sz="4" w:space="0"/>
              <w:right w:val="single" w:color="auto" w:sz="4" w:space="0"/>
            </w:tcBorders>
            <w:vAlign w:val="center"/>
          </w:tcPr>
          <w:p w14:paraId="7B995C1C">
            <w:pPr>
              <w:pStyle w:val="19"/>
              <w:bidi w:val="0"/>
              <w:rPr>
                <w:highlight w:val="none"/>
              </w:rPr>
            </w:pPr>
            <w:r>
              <w:rPr>
                <w:highlight w:val="none"/>
              </w:rPr>
              <w:t>东</w:t>
            </w:r>
          </w:p>
        </w:tc>
        <w:tc>
          <w:tcPr>
            <w:tcW w:w="1069" w:type="pct"/>
            <w:tcBorders>
              <w:left w:val="single" w:color="auto" w:sz="4" w:space="0"/>
              <w:right w:val="single" w:color="auto" w:sz="4" w:space="0"/>
            </w:tcBorders>
            <w:vAlign w:val="center"/>
          </w:tcPr>
          <w:p w14:paraId="6576E194">
            <w:pPr>
              <w:pStyle w:val="19"/>
              <w:bidi w:val="0"/>
              <w:rPr>
                <w:rFonts w:hint="default" w:eastAsia="宋体"/>
                <w:highlight w:val="none"/>
                <w:lang w:val="en-US" w:eastAsia="zh-CN"/>
              </w:rPr>
            </w:pPr>
            <w:r>
              <w:rPr>
                <w:rFonts w:hint="eastAsia"/>
                <w:highlight w:val="none"/>
                <w:lang w:val="en-US" w:eastAsia="zh-CN"/>
              </w:rPr>
              <w:t>0.67</w:t>
            </w:r>
          </w:p>
        </w:tc>
        <w:tc>
          <w:tcPr>
            <w:tcW w:w="682" w:type="pct"/>
            <w:tcBorders>
              <w:left w:val="single" w:color="auto" w:sz="4" w:space="0"/>
              <w:right w:val="single" w:color="auto" w:sz="4" w:space="0"/>
            </w:tcBorders>
            <w:vAlign w:val="center"/>
          </w:tcPr>
          <w:p w14:paraId="7678B600">
            <w:pPr>
              <w:pStyle w:val="19"/>
              <w:bidi w:val="0"/>
              <w:rPr>
                <w:rFonts w:hint="default"/>
                <w:highlight w:val="none"/>
                <w:lang w:val="en-US"/>
              </w:rPr>
            </w:pPr>
            <w:r>
              <w:rPr>
                <w:rFonts w:hint="eastAsia"/>
                <w:highlight w:val="none"/>
                <w:lang w:val="en-US" w:eastAsia="zh-CN"/>
              </w:rPr>
              <w:t>65</w:t>
            </w:r>
          </w:p>
        </w:tc>
        <w:tc>
          <w:tcPr>
            <w:tcW w:w="612" w:type="pct"/>
            <w:tcBorders>
              <w:left w:val="single" w:color="auto" w:sz="4" w:space="0"/>
              <w:right w:val="single" w:color="auto" w:sz="4" w:space="0"/>
            </w:tcBorders>
            <w:vAlign w:val="center"/>
          </w:tcPr>
          <w:p w14:paraId="3AAD32CB">
            <w:pPr>
              <w:pStyle w:val="19"/>
              <w:bidi w:val="0"/>
              <w:rPr>
                <w:rFonts w:hint="default"/>
                <w:highlight w:val="none"/>
                <w:lang w:val="en-US" w:eastAsia="zh-CN"/>
              </w:rPr>
            </w:pPr>
            <w:r>
              <w:rPr>
                <w:rFonts w:hint="eastAsia"/>
                <w:highlight w:val="none"/>
                <w:lang w:val="en-US" w:eastAsia="zh-CN"/>
              </w:rPr>
              <w:t>21</w:t>
            </w:r>
          </w:p>
        </w:tc>
      </w:tr>
      <w:tr w14:paraId="16C57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7" w:hRule="atLeast"/>
          <w:jc w:val="center"/>
        </w:trPr>
        <w:tc>
          <w:tcPr>
            <w:tcW w:w="775" w:type="pct"/>
            <w:tcBorders>
              <w:right w:val="single" w:color="auto" w:sz="4" w:space="0"/>
            </w:tcBorders>
            <w:vAlign w:val="center"/>
          </w:tcPr>
          <w:p w14:paraId="69318E07">
            <w:pPr>
              <w:pStyle w:val="19"/>
              <w:bidi w:val="0"/>
              <w:rPr>
                <w:highlight w:val="none"/>
              </w:rPr>
            </w:pPr>
            <w:r>
              <w:rPr>
                <w:rFonts w:hint="eastAsia"/>
                <w:highlight w:val="none"/>
                <w:lang w:val="en-US" w:eastAsia="zh-CN"/>
              </w:rPr>
              <w:t>DXS-3</w:t>
            </w:r>
            <w:r>
              <w:rPr>
                <w:rFonts w:hint="eastAsia"/>
                <w:highlight w:val="none"/>
                <w:vertAlign w:val="superscript"/>
                <w:lang w:eastAsia="zh-CN"/>
              </w:rPr>
              <w:t>＃</w:t>
            </w:r>
            <w:r>
              <w:rPr>
                <w:rFonts w:hint="eastAsia"/>
                <w:highlight w:val="none"/>
                <w:vertAlign w:val="baseline"/>
                <w:lang w:val="en-US" w:eastAsia="zh-CN"/>
              </w:rPr>
              <w:t>-1-1</w:t>
            </w:r>
          </w:p>
        </w:tc>
        <w:tc>
          <w:tcPr>
            <w:tcW w:w="1440" w:type="pct"/>
            <w:tcBorders>
              <w:left w:val="single" w:color="auto" w:sz="4" w:space="0"/>
              <w:right w:val="single" w:color="auto" w:sz="4" w:space="0"/>
            </w:tcBorders>
            <w:vAlign w:val="center"/>
          </w:tcPr>
          <w:p w14:paraId="47321BCF">
            <w:pPr>
              <w:pStyle w:val="19"/>
              <w:bidi w:val="0"/>
              <w:rPr>
                <w:highlight w:val="none"/>
              </w:rPr>
            </w:pPr>
            <w:r>
              <w:rPr>
                <w:highlight w:val="none"/>
              </w:rPr>
              <w:t>E8</w:t>
            </w:r>
            <w:r>
              <w:rPr>
                <w:rFonts w:hint="eastAsia"/>
                <w:highlight w:val="none"/>
                <w:lang w:val="en-US" w:eastAsia="zh-CN"/>
              </w:rPr>
              <w:t>4</w:t>
            </w:r>
            <w:r>
              <w:rPr>
                <w:highlight w:val="none"/>
              </w:rPr>
              <w:t>°</w:t>
            </w:r>
            <w:r>
              <w:rPr>
                <w:rFonts w:hint="eastAsia"/>
                <w:highlight w:val="none"/>
                <w:lang w:val="en-US" w:eastAsia="zh-CN"/>
              </w:rPr>
              <w:t>46</w:t>
            </w:r>
            <w:r>
              <w:rPr>
                <w:highlight w:val="none"/>
              </w:rPr>
              <w:t>'</w:t>
            </w:r>
            <w:r>
              <w:rPr>
                <w:rFonts w:hint="eastAsia"/>
                <w:highlight w:val="none"/>
                <w:lang w:val="en-US" w:eastAsia="zh-CN"/>
              </w:rPr>
              <w:t>3.68</w:t>
            </w:r>
            <w:r>
              <w:rPr>
                <w:highlight w:val="none"/>
              </w:rPr>
              <w:t>"N44°</w:t>
            </w:r>
            <w:r>
              <w:rPr>
                <w:rFonts w:hint="eastAsia"/>
                <w:highlight w:val="none"/>
                <w:lang w:val="en-US" w:eastAsia="zh-CN"/>
              </w:rPr>
              <w:t>59</w:t>
            </w:r>
            <w:r>
              <w:rPr>
                <w:highlight w:val="none"/>
              </w:rPr>
              <w:t>'</w:t>
            </w:r>
            <w:r>
              <w:rPr>
                <w:rFonts w:hint="eastAsia"/>
                <w:highlight w:val="none"/>
                <w:lang w:val="en-US" w:eastAsia="zh-CN"/>
              </w:rPr>
              <w:t>38.8</w:t>
            </w:r>
            <w:r>
              <w:rPr>
                <w:highlight w:val="none"/>
              </w:rPr>
              <w:t>"</w:t>
            </w:r>
          </w:p>
        </w:tc>
        <w:tc>
          <w:tcPr>
            <w:tcW w:w="419" w:type="pct"/>
            <w:tcBorders>
              <w:left w:val="single" w:color="auto" w:sz="4" w:space="0"/>
              <w:right w:val="single" w:color="auto" w:sz="4" w:space="0"/>
            </w:tcBorders>
            <w:vAlign w:val="center"/>
          </w:tcPr>
          <w:p w14:paraId="03D71FF0">
            <w:pPr>
              <w:pStyle w:val="19"/>
              <w:bidi w:val="0"/>
              <w:rPr>
                <w:rFonts w:hint="eastAsia" w:eastAsia="宋体"/>
                <w:highlight w:val="none"/>
                <w:lang w:eastAsia="zh-CN"/>
              </w:rPr>
            </w:pPr>
            <w:r>
              <w:rPr>
                <w:rFonts w:hint="eastAsia"/>
                <w:highlight w:val="none"/>
                <w:lang w:val="en-US" w:eastAsia="zh-CN"/>
              </w:rPr>
              <w:t>西南</w:t>
            </w:r>
          </w:p>
        </w:tc>
        <w:tc>
          <w:tcPr>
            <w:tcW w:w="1069" w:type="pct"/>
            <w:tcBorders>
              <w:left w:val="single" w:color="auto" w:sz="4" w:space="0"/>
              <w:right w:val="single" w:color="auto" w:sz="4" w:space="0"/>
            </w:tcBorders>
            <w:vAlign w:val="center"/>
          </w:tcPr>
          <w:p w14:paraId="679FC406">
            <w:pPr>
              <w:pStyle w:val="19"/>
              <w:bidi w:val="0"/>
              <w:rPr>
                <w:rFonts w:hint="default" w:eastAsia="宋体"/>
                <w:highlight w:val="none"/>
                <w:lang w:val="en-US" w:eastAsia="zh-CN"/>
              </w:rPr>
            </w:pPr>
            <w:r>
              <w:rPr>
                <w:rFonts w:hint="eastAsia"/>
                <w:highlight w:val="none"/>
                <w:lang w:val="en-US" w:eastAsia="zh-CN"/>
              </w:rPr>
              <w:t>0.97</w:t>
            </w:r>
          </w:p>
        </w:tc>
        <w:tc>
          <w:tcPr>
            <w:tcW w:w="682" w:type="pct"/>
            <w:tcBorders>
              <w:left w:val="single" w:color="auto" w:sz="4" w:space="0"/>
              <w:right w:val="single" w:color="auto" w:sz="4" w:space="0"/>
            </w:tcBorders>
            <w:vAlign w:val="center"/>
          </w:tcPr>
          <w:p w14:paraId="20CA2386">
            <w:pPr>
              <w:pStyle w:val="19"/>
              <w:bidi w:val="0"/>
              <w:rPr>
                <w:rFonts w:hint="default"/>
                <w:highlight w:val="none"/>
                <w:lang w:val="en-US"/>
              </w:rPr>
            </w:pPr>
            <w:r>
              <w:rPr>
                <w:rFonts w:hint="eastAsia"/>
                <w:highlight w:val="none"/>
                <w:lang w:val="en-US" w:eastAsia="zh-CN"/>
              </w:rPr>
              <w:t>58</w:t>
            </w:r>
          </w:p>
        </w:tc>
        <w:tc>
          <w:tcPr>
            <w:tcW w:w="612" w:type="pct"/>
            <w:tcBorders>
              <w:left w:val="single" w:color="auto" w:sz="4" w:space="0"/>
              <w:right w:val="single" w:color="auto" w:sz="4" w:space="0"/>
            </w:tcBorders>
            <w:vAlign w:val="center"/>
          </w:tcPr>
          <w:p w14:paraId="78856872">
            <w:pPr>
              <w:pStyle w:val="19"/>
              <w:bidi w:val="0"/>
              <w:rPr>
                <w:rFonts w:hint="default"/>
                <w:highlight w:val="none"/>
                <w:lang w:val="en-US" w:eastAsia="zh-CN"/>
              </w:rPr>
            </w:pPr>
            <w:r>
              <w:rPr>
                <w:rFonts w:hint="eastAsia"/>
                <w:highlight w:val="none"/>
                <w:lang w:val="en-US" w:eastAsia="zh-CN"/>
              </w:rPr>
              <w:t>18</w:t>
            </w:r>
          </w:p>
        </w:tc>
      </w:tr>
    </w:tbl>
    <w:p w14:paraId="260A79AD">
      <w:pPr>
        <w:bidi w:val="0"/>
        <w:rPr>
          <w:rFonts w:hint="default"/>
          <w:lang w:val="en-US" w:eastAsia="zh-CN"/>
        </w:rPr>
      </w:pPr>
      <w:r>
        <w:rPr>
          <w:rFonts w:hint="eastAsia"/>
          <w:lang w:val="en-US" w:eastAsia="zh-CN"/>
        </w:rPr>
        <w:t>（2）监测因子</w:t>
      </w:r>
    </w:p>
    <w:p w14:paraId="685F95D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①</w:t>
      </w:r>
      <w:r>
        <w:rPr>
          <w:rFonts w:hint="eastAsia" w:ascii="Times New Roman" w:hAnsi="Times New Roman" w:eastAsia="宋体" w:cs="Times New Roman"/>
          <w:sz w:val="24"/>
          <w:szCs w:val="24"/>
        </w:rPr>
        <w:t>八大离子：</w:t>
      </w:r>
      <w:r>
        <w:rPr>
          <w:rFonts w:ascii="Times New Roman" w:hAnsi="Times New Roman" w:eastAsia="宋体" w:cs="Times New Roman"/>
          <w:sz w:val="24"/>
          <w:szCs w:val="24"/>
        </w:rPr>
        <w:t>K</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、Na</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、Ca</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、CO</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、HCO</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、Cl</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、SO</w:t>
      </w:r>
      <w:r>
        <w:rPr>
          <w:rFonts w:ascii="Times New Roman" w:hAnsi="Times New Roman" w:eastAsia="宋体" w:cs="Times New Roman"/>
          <w:sz w:val="24"/>
          <w:szCs w:val="24"/>
          <w:vertAlign w:val="subscript"/>
        </w:rPr>
        <w:t>4</w:t>
      </w:r>
      <w:r>
        <w:rPr>
          <w:rFonts w:ascii="Times New Roman" w:hAnsi="Times New Roman" w:eastAsia="宋体" w:cs="Times New Roman"/>
          <w:sz w:val="24"/>
          <w:szCs w:val="24"/>
          <w:vertAlign w:val="superscript"/>
        </w:rPr>
        <w:t>2-</w:t>
      </w:r>
    </w:p>
    <w:p w14:paraId="2D97FE9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②</w:t>
      </w:r>
      <w:r>
        <w:rPr>
          <w:rFonts w:hint="eastAsia" w:ascii="Times New Roman" w:hAnsi="Times New Roman" w:eastAsia="宋体" w:cs="Times New Roman"/>
          <w:sz w:val="24"/>
          <w:szCs w:val="24"/>
        </w:rPr>
        <w:t>基本因子及特征因子：</w:t>
      </w:r>
      <w:r>
        <w:rPr>
          <w:rFonts w:ascii="Times New Roman" w:hAnsi="Times New Roman" w:eastAsia="宋体" w:cs="Times New Roman"/>
          <w:sz w:val="24"/>
          <w:szCs w:val="24"/>
        </w:rPr>
        <w:t>pH、氨氮、硝酸盐、亚硝酸盐、挥发性酚类、氰化物、砷、汞、铬</w:t>
      </w:r>
      <w:r>
        <w:rPr>
          <w:rFonts w:hint="eastAsia" w:ascii="Times New Roman" w:hAnsi="Times New Roman" w:eastAsia="宋体" w:cs="Times New Roman"/>
          <w:sz w:val="24"/>
          <w:szCs w:val="24"/>
        </w:rPr>
        <w:t>（</w:t>
      </w:r>
      <w:r>
        <w:rPr>
          <w:rFonts w:ascii="Times New Roman" w:hAnsi="Times New Roman" w:eastAsia="宋体" w:cs="Times New Roman"/>
          <w:sz w:val="24"/>
          <w:szCs w:val="24"/>
        </w:rPr>
        <w:t>六价</w:t>
      </w:r>
      <w:r>
        <w:rPr>
          <w:rFonts w:hint="eastAsia" w:ascii="Times New Roman" w:hAnsi="Times New Roman" w:eastAsia="宋体" w:cs="Times New Roman"/>
          <w:sz w:val="24"/>
          <w:szCs w:val="24"/>
        </w:rPr>
        <w:t>）</w:t>
      </w:r>
      <w:r>
        <w:rPr>
          <w:rFonts w:ascii="Times New Roman" w:hAnsi="Times New Roman" w:eastAsia="宋体" w:cs="Times New Roman"/>
          <w:sz w:val="24"/>
          <w:szCs w:val="24"/>
        </w:rPr>
        <w:t>、总硬度、铅、氟、镉、铁、锰、溶解性总固体、高锰酸盐指数、硫酸盐、氯化物、总大肠菌群、细菌总数</w:t>
      </w:r>
      <w:r>
        <w:rPr>
          <w:rFonts w:hint="eastAsia" w:ascii="Times New Roman" w:hAnsi="Times New Roman" w:eastAsia="宋体" w:cs="Times New Roman"/>
          <w:sz w:val="24"/>
          <w:szCs w:val="24"/>
        </w:rPr>
        <w:t>。</w:t>
      </w:r>
    </w:p>
    <w:p w14:paraId="76FC6BB4">
      <w:pPr>
        <w:bidi w:val="0"/>
        <w:rPr>
          <w:rFonts w:hint="eastAsia"/>
          <w:lang w:val="en-US" w:eastAsia="zh-CN"/>
        </w:rPr>
      </w:pPr>
      <w:r>
        <w:rPr>
          <w:rFonts w:hint="eastAsia" w:ascii="Times New Roman" w:hAnsi="Times New Roman" w:eastAsia="宋体" w:cs="Times New Roman"/>
          <w:sz w:val="24"/>
          <w:szCs w:val="24"/>
          <w:lang w:val="en-US" w:eastAsia="zh-CN"/>
        </w:rPr>
        <w:t>③</w:t>
      </w:r>
      <w:r>
        <w:rPr>
          <w:rFonts w:hint="eastAsia" w:ascii="Times New Roman" w:hAnsi="Times New Roman" w:eastAsia="宋体" w:cs="Times New Roman"/>
          <w:sz w:val="24"/>
          <w:szCs w:val="24"/>
        </w:rPr>
        <w:t>水温、水位、井深。</w:t>
      </w:r>
    </w:p>
    <w:p w14:paraId="02C7D3A7">
      <w:pPr>
        <w:bidi w:val="0"/>
        <w:rPr>
          <w:rFonts w:hint="default"/>
          <w:lang w:val="en-US" w:eastAsia="zh-CN"/>
        </w:rPr>
      </w:pPr>
      <w:r>
        <w:rPr>
          <w:rFonts w:hint="eastAsia"/>
          <w:lang w:val="en-US" w:eastAsia="zh-CN"/>
        </w:rPr>
        <w:t>（3）监测分析方法</w:t>
      </w:r>
    </w:p>
    <w:p w14:paraId="2CBE9BC7">
      <w:pPr>
        <w:bidi w:val="0"/>
        <w:rPr>
          <w:rFonts w:hint="default"/>
          <w:lang w:val="en-US" w:eastAsia="zh-CN"/>
        </w:rPr>
      </w:pPr>
      <w:r>
        <w:rPr>
          <w:rFonts w:hint="eastAsia"/>
          <w:lang w:val="en-US" w:eastAsia="zh-CN"/>
        </w:rPr>
        <w:t>本次地下水环境质量监测各监测因子的监测分析方法按照《地下水环境监测技术规范》（HJ164-2020）和《环境水质监测质量保证手册》中有关规定执行，具体见表4.2-6。</w:t>
      </w:r>
    </w:p>
    <w:p w14:paraId="2382CF95">
      <w:pPr>
        <w:pStyle w:val="30"/>
        <w:bidi w:val="0"/>
        <w:rPr>
          <w:rFonts w:hint="default"/>
          <w:lang w:val="en-US" w:eastAsia="zh-CN"/>
        </w:rPr>
      </w:pPr>
      <w:r>
        <w:rPr>
          <w:rFonts w:hint="eastAsia"/>
          <w:lang w:val="en-US" w:eastAsia="zh-CN"/>
        </w:rPr>
        <w:t>表4.2-6   地下水质量监测分析方法一览表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66"/>
        <w:gridCol w:w="1337"/>
        <w:gridCol w:w="1105"/>
        <w:gridCol w:w="1661"/>
        <w:gridCol w:w="2506"/>
        <w:gridCol w:w="1042"/>
      </w:tblGrid>
      <w:tr w14:paraId="630C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Align w:val="center"/>
          </w:tcPr>
          <w:p w14:paraId="0E7D12DD">
            <w:pPr>
              <w:pStyle w:val="19"/>
              <w:bidi w:val="0"/>
            </w:pPr>
            <w:r>
              <w:t>类别</w:t>
            </w:r>
          </w:p>
        </w:tc>
        <w:tc>
          <w:tcPr>
            <w:tcW w:w="794" w:type="pct"/>
            <w:vAlign w:val="center"/>
          </w:tcPr>
          <w:p w14:paraId="55D4E4ED">
            <w:pPr>
              <w:pStyle w:val="19"/>
              <w:bidi w:val="0"/>
            </w:pPr>
            <w:r>
              <w:t>项目名称</w:t>
            </w:r>
          </w:p>
        </w:tc>
        <w:tc>
          <w:tcPr>
            <w:tcW w:w="656" w:type="pct"/>
            <w:vAlign w:val="center"/>
          </w:tcPr>
          <w:p w14:paraId="0F90C638">
            <w:pPr>
              <w:pStyle w:val="19"/>
              <w:bidi w:val="0"/>
            </w:pPr>
            <w:r>
              <w:t>分析方法</w:t>
            </w:r>
          </w:p>
        </w:tc>
        <w:tc>
          <w:tcPr>
            <w:tcW w:w="986" w:type="pct"/>
            <w:vAlign w:val="center"/>
          </w:tcPr>
          <w:p w14:paraId="7293F788">
            <w:pPr>
              <w:pStyle w:val="19"/>
              <w:bidi w:val="0"/>
            </w:pPr>
            <w:r>
              <w:t>方法依据</w:t>
            </w:r>
          </w:p>
        </w:tc>
        <w:tc>
          <w:tcPr>
            <w:tcW w:w="1488" w:type="pct"/>
            <w:vAlign w:val="center"/>
          </w:tcPr>
          <w:p w14:paraId="0D5915FA">
            <w:pPr>
              <w:pStyle w:val="19"/>
              <w:bidi w:val="0"/>
            </w:pPr>
            <w:r>
              <w:t>仪器设备、型号及编号</w:t>
            </w:r>
          </w:p>
        </w:tc>
        <w:tc>
          <w:tcPr>
            <w:tcW w:w="618" w:type="pct"/>
            <w:vAlign w:val="center"/>
          </w:tcPr>
          <w:p w14:paraId="4CD1707D">
            <w:pPr>
              <w:pStyle w:val="19"/>
              <w:bidi w:val="0"/>
            </w:pPr>
            <w:r>
              <w:t>检出限</w:t>
            </w:r>
          </w:p>
        </w:tc>
      </w:tr>
      <w:tr w14:paraId="278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restart"/>
            <w:vAlign w:val="center"/>
          </w:tcPr>
          <w:p w14:paraId="19ACA101">
            <w:pPr>
              <w:pStyle w:val="19"/>
              <w:bidi w:val="0"/>
            </w:pPr>
            <w:r>
              <w:t>地下水</w:t>
            </w:r>
          </w:p>
        </w:tc>
        <w:tc>
          <w:tcPr>
            <w:tcW w:w="794" w:type="pct"/>
            <w:vAlign w:val="center"/>
          </w:tcPr>
          <w:p w14:paraId="27539373">
            <w:pPr>
              <w:pStyle w:val="19"/>
              <w:bidi w:val="0"/>
            </w:pPr>
            <w:r>
              <w:t>pH</w:t>
            </w:r>
          </w:p>
        </w:tc>
        <w:tc>
          <w:tcPr>
            <w:tcW w:w="656" w:type="pct"/>
            <w:vAlign w:val="center"/>
          </w:tcPr>
          <w:p w14:paraId="2C325C84">
            <w:pPr>
              <w:pStyle w:val="19"/>
              <w:bidi w:val="0"/>
            </w:pPr>
            <w:r>
              <w:t>玻璃电极法</w:t>
            </w:r>
          </w:p>
        </w:tc>
        <w:tc>
          <w:tcPr>
            <w:tcW w:w="986" w:type="pct"/>
            <w:vAlign w:val="center"/>
          </w:tcPr>
          <w:p w14:paraId="79C3CD51">
            <w:pPr>
              <w:pStyle w:val="19"/>
              <w:bidi w:val="0"/>
            </w:pPr>
            <w:r>
              <w:t>GB/T5750.4-2006</w:t>
            </w:r>
          </w:p>
        </w:tc>
        <w:tc>
          <w:tcPr>
            <w:tcW w:w="1488" w:type="pct"/>
            <w:vAlign w:val="center"/>
          </w:tcPr>
          <w:p w14:paraId="14EC9A9C">
            <w:pPr>
              <w:pStyle w:val="19"/>
              <w:bidi w:val="0"/>
            </w:pPr>
            <w:r>
              <w:t>便携式pH计PHBJ-260KDJC-YQ-052</w:t>
            </w:r>
          </w:p>
        </w:tc>
        <w:tc>
          <w:tcPr>
            <w:tcW w:w="618" w:type="pct"/>
            <w:vAlign w:val="center"/>
          </w:tcPr>
          <w:p w14:paraId="1D5884D2">
            <w:pPr>
              <w:pStyle w:val="19"/>
              <w:bidi w:val="0"/>
            </w:pPr>
            <w:r>
              <w:t>0.01（pH值）</w:t>
            </w:r>
          </w:p>
        </w:tc>
      </w:tr>
      <w:tr w14:paraId="664B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64D7B136">
            <w:pPr>
              <w:pStyle w:val="19"/>
              <w:bidi w:val="0"/>
            </w:pPr>
          </w:p>
        </w:tc>
        <w:tc>
          <w:tcPr>
            <w:tcW w:w="794" w:type="pct"/>
            <w:vAlign w:val="center"/>
          </w:tcPr>
          <w:p w14:paraId="63556604">
            <w:pPr>
              <w:pStyle w:val="19"/>
              <w:bidi w:val="0"/>
            </w:pPr>
            <w:r>
              <w:t>总硬度</w:t>
            </w:r>
          </w:p>
        </w:tc>
        <w:tc>
          <w:tcPr>
            <w:tcW w:w="656" w:type="pct"/>
            <w:vAlign w:val="center"/>
          </w:tcPr>
          <w:p w14:paraId="5C8CA1C9">
            <w:pPr>
              <w:pStyle w:val="19"/>
              <w:bidi w:val="0"/>
            </w:pPr>
            <w:r>
              <w:t>滴定法</w:t>
            </w:r>
          </w:p>
        </w:tc>
        <w:tc>
          <w:tcPr>
            <w:tcW w:w="986" w:type="pct"/>
            <w:vAlign w:val="center"/>
          </w:tcPr>
          <w:p w14:paraId="695C06E7">
            <w:pPr>
              <w:pStyle w:val="19"/>
              <w:bidi w:val="0"/>
            </w:pPr>
            <w:r>
              <w:t>GB/T5750.4-2006</w:t>
            </w:r>
          </w:p>
        </w:tc>
        <w:tc>
          <w:tcPr>
            <w:tcW w:w="1488" w:type="pct"/>
            <w:vAlign w:val="center"/>
          </w:tcPr>
          <w:p w14:paraId="0A6AC831">
            <w:pPr>
              <w:pStyle w:val="19"/>
              <w:bidi w:val="0"/>
            </w:pPr>
            <w:r>
              <w:t>滴定管KDJC-YQ-122</w:t>
            </w:r>
          </w:p>
        </w:tc>
        <w:tc>
          <w:tcPr>
            <w:tcW w:w="618" w:type="pct"/>
            <w:vAlign w:val="center"/>
          </w:tcPr>
          <w:p w14:paraId="4D172C30">
            <w:pPr>
              <w:pStyle w:val="19"/>
              <w:bidi w:val="0"/>
            </w:pPr>
            <w:r>
              <w:t>1.0mg/L</w:t>
            </w:r>
          </w:p>
        </w:tc>
      </w:tr>
      <w:tr w14:paraId="162D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56AF6C44">
            <w:pPr>
              <w:pStyle w:val="19"/>
              <w:bidi w:val="0"/>
            </w:pPr>
          </w:p>
        </w:tc>
        <w:tc>
          <w:tcPr>
            <w:tcW w:w="794" w:type="pct"/>
            <w:vAlign w:val="center"/>
          </w:tcPr>
          <w:p w14:paraId="66169DE4">
            <w:pPr>
              <w:pStyle w:val="19"/>
              <w:bidi w:val="0"/>
            </w:pPr>
            <w:r>
              <w:t>溶解性总固体</w:t>
            </w:r>
          </w:p>
        </w:tc>
        <w:tc>
          <w:tcPr>
            <w:tcW w:w="656" w:type="pct"/>
            <w:vAlign w:val="center"/>
          </w:tcPr>
          <w:p w14:paraId="7211ADE7">
            <w:pPr>
              <w:pStyle w:val="19"/>
              <w:bidi w:val="0"/>
            </w:pPr>
            <w:r>
              <w:t>称量法</w:t>
            </w:r>
          </w:p>
        </w:tc>
        <w:tc>
          <w:tcPr>
            <w:tcW w:w="986" w:type="pct"/>
            <w:vAlign w:val="center"/>
          </w:tcPr>
          <w:p w14:paraId="3CCE0644">
            <w:pPr>
              <w:pStyle w:val="19"/>
              <w:bidi w:val="0"/>
            </w:pPr>
            <w:r>
              <w:t>GB/T5750.4-2006</w:t>
            </w:r>
          </w:p>
        </w:tc>
        <w:tc>
          <w:tcPr>
            <w:tcW w:w="1488" w:type="pct"/>
            <w:vAlign w:val="center"/>
          </w:tcPr>
          <w:p w14:paraId="504361B1">
            <w:pPr>
              <w:pStyle w:val="19"/>
              <w:bidi w:val="0"/>
            </w:pPr>
            <w:r>
              <w:t>天平ML204T∕02KDJC-YQ-082</w:t>
            </w:r>
          </w:p>
        </w:tc>
        <w:tc>
          <w:tcPr>
            <w:tcW w:w="618" w:type="pct"/>
            <w:vAlign w:val="center"/>
          </w:tcPr>
          <w:p w14:paraId="1D8BD327">
            <w:pPr>
              <w:pStyle w:val="19"/>
              <w:bidi w:val="0"/>
            </w:pPr>
            <w:r>
              <w:t>——</w:t>
            </w:r>
          </w:p>
        </w:tc>
      </w:tr>
      <w:tr w14:paraId="30EC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1A187F70">
            <w:pPr>
              <w:pStyle w:val="19"/>
              <w:bidi w:val="0"/>
            </w:pPr>
          </w:p>
        </w:tc>
        <w:tc>
          <w:tcPr>
            <w:tcW w:w="794" w:type="pct"/>
            <w:vAlign w:val="center"/>
          </w:tcPr>
          <w:p w14:paraId="7910EC89">
            <w:pPr>
              <w:pStyle w:val="19"/>
              <w:bidi w:val="0"/>
            </w:pPr>
            <w:r>
              <w:t>耗氧量</w:t>
            </w:r>
          </w:p>
        </w:tc>
        <w:tc>
          <w:tcPr>
            <w:tcW w:w="656" w:type="pct"/>
            <w:vAlign w:val="center"/>
          </w:tcPr>
          <w:p w14:paraId="476034B2">
            <w:pPr>
              <w:pStyle w:val="19"/>
              <w:bidi w:val="0"/>
            </w:pPr>
            <w:r>
              <w:t>滴定法</w:t>
            </w:r>
          </w:p>
        </w:tc>
        <w:tc>
          <w:tcPr>
            <w:tcW w:w="986" w:type="pct"/>
            <w:vAlign w:val="center"/>
          </w:tcPr>
          <w:p w14:paraId="6B4140DB">
            <w:pPr>
              <w:pStyle w:val="19"/>
              <w:bidi w:val="0"/>
            </w:pPr>
            <w:r>
              <w:t>GB/T5750.7-2006</w:t>
            </w:r>
          </w:p>
        </w:tc>
        <w:tc>
          <w:tcPr>
            <w:tcW w:w="1488" w:type="pct"/>
            <w:vAlign w:val="center"/>
          </w:tcPr>
          <w:p w14:paraId="1A32AE0F">
            <w:pPr>
              <w:pStyle w:val="19"/>
              <w:bidi w:val="0"/>
            </w:pPr>
            <w:r>
              <w:t>滴定管KDJC-YQ-124</w:t>
            </w:r>
          </w:p>
        </w:tc>
        <w:tc>
          <w:tcPr>
            <w:tcW w:w="618" w:type="pct"/>
            <w:vAlign w:val="center"/>
          </w:tcPr>
          <w:p w14:paraId="1DB9CD2C">
            <w:pPr>
              <w:pStyle w:val="19"/>
              <w:bidi w:val="0"/>
            </w:pPr>
            <w:r>
              <w:t>0.05mg/L</w:t>
            </w:r>
          </w:p>
        </w:tc>
      </w:tr>
      <w:tr w14:paraId="7FA3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77567C76">
            <w:pPr>
              <w:pStyle w:val="19"/>
              <w:bidi w:val="0"/>
            </w:pPr>
          </w:p>
        </w:tc>
        <w:tc>
          <w:tcPr>
            <w:tcW w:w="794" w:type="pct"/>
            <w:vAlign w:val="center"/>
          </w:tcPr>
          <w:p w14:paraId="6F268332">
            <w:pPr>
              <w:pStyle w:val="19"/>
              <w:bidi w:val="0"/>
            </w:pPr>
            <w:r>
              <w:t>硝酸盐氮</w:t>
            </w:r>
          </w:p>
        </w:tc>
        <w:tc>
          <w:tcPr>
            <w:tcW w:w="656" w:type="pct"/>
            <w:vAlign w:val="center"/>
          </w:tcPr>
          <w:p w14:paraId="499B15E8">
            <w:pPr>
              <w:pStyle w:val="19"/>
              <w:bidi w:val="0"/>
            </w:pPr>
            <w:r>
              <w:t>分光光度法</w:t>
            </w:r>
          </w:p>
        </w:tc>
        <w:tc>
          <w:tcPr>
            <w:tcW w:w="986" w:type="pct"/>
            <w:vAlign w:val="center"/>
          </w:tcPr>
          <w:p w14:paraId="6AFEDD08">
            <w:pPr>
              <w:pStyle w:val="19"/>
              <w:bidi w:val="0"/>
            </w:pPr>
            <w:r>
              <w:rPr>
                <w:rFonts w:hint="eastAsia"/>
              </w:rPr>
              <w:t>GB/T5750.5-2006</w:t>
            </w:r>
          </w:p>
        </w:tc>
        <w:tc>
          <w:tcPr>
            <w:tcW w:w="1488" w:type="pct"/>
            <w:vAlign w:val="center"/>
          </w:tcPr>
          <w:p w14:paraId="429362A5">
            <w:pPr>
              <w:pStyle w:val="19"/>
              <w:bidi w:val="0"/>
            </w:pPr>
            <w:r>
              <w:t>紫外可见分光光度计 TU-1900 KDJC-YQ-077</w:t>
            </w:r>
          </w:p>
        </w:tc>
        <w:tc>
          <w:tcPr>
            <w:tcW w:w="618" w:type="pct"/>
            <w:vAlign w:val="center"/>
          </w:tcPr>
          <w:p w14:paraId="6A136C3C">
            <w:pPr>
              <w:pStyle w:val="19"/>
              <w:bidi w:val="0"/>
            </w:pPr>
            <w:r>
              <w:t>0.2mg/L</w:t>
            </w:r>
          </w:p>
        </w:tc>
      </w:tr>
      <w:tr w14:paraId="7ED7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7A4627FD">
            <w:pPr>
              <w:pStyle w:val="19"/>
              <w:bidi w:val="0"/>
            </w:pPr>
          </w:p>
        </w:tc>
        <w:tc>
          <w:tcPr>
            <w:tcW w:w="794" w:type="pct"/>
            <w:vAlign w:val="center"/>
          </w:tcPr>
          <w:p w14:paraId="0F9A3C1F">
            <w:pPr>
              <w:pStyle w:val="19"/>
              <w:bidi w:val="0"/>
            </w:pPr>
            <w:r>
              <w:t>亚硝酸盐氮</w:t>
            </w:r>
          </w:p>
        </w:tc>
        <w:tc>
          <w:tcPr>
            <w:tcW w:w="656" w:type="pct"/>
            <w:vAlign w:val="center"/>
          </w:tcPr>
          <w:p w14:paraId="3DD80F3A">
            <w:pPr>
              <w:pStyle w:val="19"/>
              <w:bidi w:val="0"/>
            </w:pPr>
            <w:r>
              <w:t>分光光度法</w:t>
            </w:r>
          </w:p>
        </w:tc>
        <w:tc>
          <w:tcPr>
            <w:tcW w:w="986" w:type="pct"/>
            <w:vAlign w:val="center"/>
          </w:tcPr>
          <w:p w14:paraId="0F5F5BC6">
            <w:pPr>
              <w:pStyle w:val="19"/>
              <w:bidi w:val="0"/>
            </w:pPr>
            <w:r>
              <w:rPr>
                <w:rFonts w:hint="eastAsia"/>
              </w:rPr>
              <w:t>GB/T5750.5-2006</w:t>
            </w:r>
          </w:p>
        </w:tc>
        <w:tc>
          <w:tcPr>
            <w:tcW w:w="1488" w:type="pct"/>
            <w:vAlign w:val="center"/>
          </w:tcPr>
          <w:p w14:paraId="26C67D24">
            <w:pPr>
              <w:pStyle w:val="19"/>
              <w:bidi w:val="0"/>
            </w:pPr>
            <w:r>
              <w:t>紫外可见分光光度计 TU-1900 KDJC-YQ-077</w:t>
            </w:r>
          </w:p>
        </w:tc>
        <w:tc>
          <w:tcPr>
            <w:tcW w:w="618" w:type="pct"/>
            <w:vAlign w:val="center"/>
          </w:tcPr>
          <w:p w14:paraId="2CD315AB">
            <w:pPr>
              <w:pStyle w:val="19"/>
              <w:bidi w:val="0"/>
            </w:pPr>
            <w:r>
              <w:t>0.001mg/L</w:t>
            </w:r>
          </w:p>
        </w:tc>
      </w:tr>
      <w:tr w14:paraId="019B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4067C6AC">
            <w:pPr>
              <w:pStyle w:val="19"/>
              <w:bidi w:val="0"/>
            </w:pPr>
          </w:p>
        </w:tc>
        <w:tc>
          <w:tcPr>
            <w:tcW w:w="794" w:type="pct"/>
            <w:vAlign w:val="center"/>
          </w:tcPr>
          <w:p w14:paraId="7C433080">
            <w:pPr>
              <w:pStyle w:val="19"/>
              <w:bidi w:val="0"/>
            </w:pPr>
            <w:r>
              <w:t>氨氮</w:t>
            </w:r>
          </w:p>
        </w:tc>
        <w:tc>
          <w:tcPr>
            <w:tcW w:w="656" w:type="pct"/>
            <w:vAlign w:val="center"/>
          </w:tcPr>
          <w:p w14:paraId="07A5A92C">
            <w:pPr>
              <w:pStyle w:val="19"/>
              <w:bidi w:val="0"/>
            </w:pPr>
            <w:r>
              <w:t>分光光度法</w:t>
            </w:r>
          </w:p>
        </w:tc>
        <w:tc>
          <w:tcPr>
            <w:tcW w:w="986" w:type="pct"/>
            <w:vAlign w:val="center"/>
          </w:tcPr>
          <w:p w14:paraId="274EB067">
            <w:pPr>
              <w:pStyle w:val="19"/>
              <w:bidi w:val="0"/>
            </w:pPr>
            <w:r>
              <w:t>GB/T5750.5-2006</w:t>
            </w:r>
          </w:p>
        </w:tc>
        <w:tc>
          <w:tcPr>
            <w:tcW w:w="1488" w:type="pct"/>
            <w:vAlign w:val="center"/>
          </w:tcPr>
          <w:p w14:paraId="7308699B">
            <w:pPr>
              <w:pStyle w:val="19"/>
              <w:bidi w:val="0"/>
            </w:pPr>
            <w:r>
              <w:t>紫外可见分光光度计 TU-1900 KDJC-YQ-077</w:t>
            </w:r>
          </w:p>
        </w:tc>
        <w:tc>
          <w:tcPr>
            <w:tcW w:w="618" w:type="pct"/>
            <w:vAlign w:val="center"/>
          </w:tcPr>
          <w:p w14:paraId="3F59E355">
            <w:pPr>
              <w:pStyle w:val="19"/>
              <w:bidi w:val="0"/>
            </w:pPr>
            <w:r>
              <w:t>0.02mg/L</w:t>
            </w:r>
          </w:p>
        </w:tc>
      </w:tr>
      <w:tr w14:paraId="5D6F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3FB5A02E">
            <w:pPr>
              <w:pStyle w:val="19"/>
              <w:bidi w:val="0"/>
            </w:pPr>
          </w:p>
        </w:tc>
        <w:tc>
          <w:tcPr>
            <w:tcW w:w="794" w:type="pct"/>
            <w:vAlign w:val="center"/>
          </w:tcPr>
          <w:p w14:paraId="15C97059">
            <w:pPr>
              <w:pStyle w:val="19"/>
              <w:bidi w:val="0"/>
            </w:pPr>
            <w:r>
              <w:t>氰化物</w:t>
            </w:r>
          </w:p>
        </w:tc>
        <w:tc>
          <w:tcPr>
            <w:tcW w:w="656" w:type="pct"/>
            <w:vAlign w:val="center"/>
          </w:tcPr>
          <w:p w14:paraId="15EF752F">
            <w:pPr>
              <w:pStyle w:val="19"/>
              <w:bidi w:val="0"/>
            </w:pPr>
            <w:r>
              <w:t>分光光度法</w:t>
            </w:r>
          </w:p>
        </w:tc>
        <w:tc>
          <w:tcPr>
            <w:tcW w:w="986" w:type="pct"/>
            <w:vAlign w:val="center"/>
          </w:tcPr>
          <w:p w14:paraId="215363FA">
            <w:pPr>
              <w:pStyle w:val="19"/>
              <w:bidi w:val="0"/>
            </w:pPr>
            <w:r>
              <w:rPr>
                <w:rFonts w:hint="eastAsia"/>
              </w:rPr>
              <w:t>GB/T5750.5-2006</w:t>
            </w:r>
          </w:p>
        </w:tc>
        <w:tc>
          <w:tcPr>
            <w:tcW w:w="1488" w:type="pct"/>
            <w:vAlign w:val="center"/>
          </w:tcPr>
          <w:p w14:paraId="4E4543BB">
            <w:pPr>
              <w:pStyle w:val="19"/>
              <w:bidi w:val="0"/>
            </w:pPr>
            <w:r>
              <w:t>紫外可见分光光度计 TU-1900 KDJC-YQ-077</w:t>
            </w:r>
          </w:p>
        </w:tc>
        <w:tc>
          <w:tcPr>
            <w:tcW w:w="618" w:type="pct"/>
            <w:vAlign w:val="center"/>
          </w:tcPr>
          <w:p w14:paraId="007CE9A5">
            <w:pPr>
              <w:pStyle w:val="19"/>
              <w:bidi w:val="0"/>
            </w:pPr>
            <w:r>
              <w:t>0.002mg/L</w:t>
            </w:r>
          </w:p>
        </w:tc>
      </w:tr>
      <w:tr w14:paraId="7FCC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58415849">
            <w:pPr>
              <w:pStyle w:val="19"/>
              <w:bidi w:val="0"/>
            </w:pPr>
          </w:p>
        </w:tc>
        <w:tc>
          <w:tcPr>
            <w:tcW w:w="794" w:type="pct"/>
            <w:vAlign w:val="center"/>
          </w:tcPr>
          <w:p w14:paraId="7ED7F875">
            <w:pPr>
              <w:pStyle w:val="19"/>
              <w:bidi w:val="0"/>
            </w:pPr>
            <w:r>
              <w:t>氟化物</w:t>
            </w:r>
          </w:p>
        </w:tc>
        <w:tc>
          <w:tcPr>
            <w:tcW w:w="656" w:type="pct"/>
            <w:vAlign w:val="center"/>
          </w:tcPr>
          <w:p w14:paraId="3DEE2511">
            <w:pPr>
              <w:pStyle w:val="19"/>
              <w:bidi w:val="0"/>
            </w:pPr>
            <w:r>
              <w:t>离子选择电极法</w:t>
            </w:r>
          </w:p>
        </w:tc>
        <w:tc>
          <w:tcPr>
            <w:tcW w:w="986" w:type="pct"/>
            <w:vAlign w:val="center"/>
          </w:tcPr>
          <w:p w14:paraId="6FCBDA63">
            <w:pPr>
              <w:pStyle w:val="19"/>
              <w:bidi w:val="0"/>
            </w:pPr>
            <w:r>
              <w:t>GB/T5750.5-2006</w:t>
            </w:r>
          </w:p>
        </w:tc>
        <w:tc>
          <w:tcPr>
            <w:tcW w:w="1488" w:type="pct"/>
            <w:vAlign w:val="center"/>
          </w:tcPr>
          <w:p w14:paraId="5B0982AE">
            <w:pPr>
              <w:pStyle w:val="19"/>
              <w:bidi w:val="0"/>
            </w:pPr>
            <w:r>
              <w:t>PHS-25型pH计PHS-25</w:t>
            </w:r>
          </w:p>
          <w:p w14:paraId="6DB8D773">
            <w:pPr>
              <w:pStyle w:val="19"/>
              <w:bidi w:val="0"/>
            </w:pPr>
            <w:r>
              <w:t>KDJC-YQ-127</w:t>
            </w:r>
          </w:p>
        </w:tc>
        <w:tc>
          <w:tcPr>
            <w:tcW w:w="618" w:type="pct"/>
            <w:vAlign w:val="center"/>
          </w:tcPr>
          <w:p w14:paraId="11B6E30E">
            <w:pPr>
              <w:pStyle w:val="19"/>
              <w:bidi w:val="0"/>
            </w:pPr>
            <w:r>
              <w:t>0.2mg/L</w:t>
            </w:r>
          </w:p>
        </w:tc>
      </w:tr>
      <w:tr w14:paraId="57B2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725657B3">
            <w:pPr>
              <w:pStyle w:val="19"/>
              <w:bidi w:val="0"/>
            </w:pPr>
          </w:p>
        </w:tc>
        <w:tc>
          <w:tcPr>
            <w:tcW w:w="794" w:type="pct"/>
            <w:vAlign w:val="center"/>
          </w:tcPr>
          <w:p w14:paraId="6D166029">
            <w:pPr>
              <w:pStyle w:val="19"/>
              <w:bidi w:val="0"/>
            </w:pPr>
            <w:r>
              <w:t>硫化物</w:t>
            </w:r>
          </w:p>
        </w:tc>
        <w:tc>
          <w:tcPr>
            <w:tcW w:w="656" w:type="pct"/>
            <w:vAlign w:val="center"/>
          </w:tcPr>
          <w:p w14:paraId="46A3C7C8">
            <w:pPr>
              <w:pStyle w:val="19"/>
              <w:bidi w:val="0"/>
            </w:pPr>
            <w:r>
              <w:t>分光光度法</w:t>
            </w:r>
          </w:p>
        </w:tc>
        <w:tc>
          <w:tcPr>
            <w:tcW w:w="986" w:type="pct"/>
            <w:vAlign w:val="center"/>
          </w:tcPr>
          <w:p w14:paraId="7F4A247E">
            <w:pPr>
              <w:pStyle w:val="19"/>
              <w:bidi w:val="0"/>
            </w:pPr>
            <w:r>
              <w:rPr>
                <w:rFonts w:hint="eastAsia"/>
              </w:rPr>
              <w:t>GB/T5750.5-2006</w:t>
            </w:r>
          </w:p>
        </w:tc>
        <w:tc>
          <w:tcPr>
            <w:tcW w:w="1488" w:type="pct"/>
            <w:vAlign w:val="center"/>
          </w:tcPr>
          <w:p w14:paraId="3D3CB7DE">
            <w:pPr>
              <w:pStyle w:val="19"/>
              <w:bidi w:val="0"/>
            </w:pPr>
            <w:r>
              <w:t>紫外可见分光光度计 TU-1900 KDJC-YQ-077</w:t>
            </w:r>
          </w:p>
        </w:tc>
        <w:tc>
          <w:tcPr>
            <w:tcW w:w="618" w:type="pct"/>
            <w:vAlign w:val="center"/>
          </w:tcPr>
          <w:p w14:paraId="4FE792F7">
            <w:pPr>
              <w:pStyle w:val="19"/>
              <w:bidi w:val="0"/>
            </w:pPr>
            <w:r>
              <w:t>0.02mg/L</w:t>
            </w:r>
          </w:p>
        </w:tc>
      </w:tr>
      <w:tr w14:paraId="5B78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64ADAF55">
            <w:pPr>
              <w:pStyle w:val="19"/>
              <w:bidi w:val="0"/>
            </w:pPr>
          </w:p>
        </w:tc>
        <w:tc>
          <w:tcPr>
            <w:tcW w:w="794" w:type="pct"/>
            <w:vAlign w:val="center"/>
          </w:tcPr>
          <w:p w14:paraId="596DE095">
            <w:pPr>
              <w:pStyle w:val="19"/>
              <w:bidi w:val="0"/>
            </w:pPr>
            <w:r>
              <w:t>铜</w:t>
            </w:r>
          </w:p>
        </w:tc>
        <w:tc>
          <w:tcPr>
            <w:tcW w:w="656" w:type="pct"/>
            <w:vAlign w:val="center"/>
          </w:tcPr>
          <w:p w14:paraId="6CDFAD5F">
            <w:pPr>
              <w:pStyle w:val="19"/>
              <w:bidi w:val="0"/>
            </w:pPr>
            <w:r>
              <w:t>原子吸收分光光度法</w:t>
            </w:r>
          </w:p>
        </w:tc>
        <w:tc>
          <w:tcPr>
            <w:tcW w:w="986" w:type="pct"/>
            <w:vAlign w:val="center"/>
          </w:tcPr>
          <w:p w14:paraId="1FF2C5F5">
            <w:pPr>
              <w:pStyle w:val="19"/>
              <w:bidi w:val="0"/>
            </w:pPr>
            <w:r>
              <w:t>GB/T5750.6-2006</w:t>
            </w:r>
          </w:p>
        </w:tc>
        <w:tc>
          <w:tcPr>
            <w:tcW w:w="1488" w:type="pct"/>
            <w:vAlign w:val="center"/>
          </w:tcPr>
          <w:p w14:paraId="370A835F">
            <w:pPr>
              <w:pStyle w:val="19"/>
              <w:bidi w:val="0"/>
            </w:pPr>
            <w:r>
              <w:t>原子吸收分光光度计SP-3805AA</w:t>
            </w:r>
            <w:r>
              <w:rPr>
                <w:rFonts w:hint="eastAsia"/>
                <w:lang w:val="en-US" w:eastAsia="zh-CN"/>
              </w:rPr>
              <w:t xml:space="preserve"> </w:t>
            </w:r>
            <w:r>
              <w:t>KDJC-YQ-076</w:t>
            </w:r>
          </w:p>
        </w:tc>
        <w:tc>
          <w:tcPr>
            <w:tcW w:w="618" w:type="pct"/>
            <w:vAlign w:val="center"/>
          </w:tcPr>
          <w:p w14:paraId="1C0A22CA">
            <w:pPr>
              <w:pStyle w:val="19"/>
              <w:bidi w:val="0"/>
            </w:pPr>
            <w:r>
              <w:t>0.02mg/L</w:t>
            </w:r>
          </w:p>
        </w:tc>
      </w:tr>
      <w:tr w14:paraId="2BEB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1A16118B">
            <w:pPr>
              <w:pStyle w:val="19"/>
              <w:bidi w:val="0"/>
            </w:pPr>
          </w:p>
        </w:tc>
        <w:tc>
          <w:tcPr>
            <w:tcW w:w="794" w:type="pct"/>
            <w:vAlign w:val="center"/>
          </w:tcPr>
          <w:p w14:paraId="2B379634">
            <w:pPr>
              <w:pStyle w:val="19"/>
              <w:bidi w:val="0"/>
            </w:pPr>
            <w:r>
              <w:t>锌</w:t>
            </w:r>
          </w:p>
        </w:tc>
        <w:tc>
          <w:tcPr>
            <w:tcW w:w="656" w:type="pct"/>
            <w:vAlign w:val="center"/>
          </w:tcPr>
          <w:p w14:paraId="6581C941">
            <w:pPr>
              <w:pStyle w:val="19"/>
              <w:bidi w:val="0"/>
            </w:pPr>
            <w:r>
              <w:t>原子吸收分光光度法</w:t>
            </w:r>
          </w:p>
        </w:tc>
        <w:tc>
          <w:tcPr>
            <w:tcW w:w="986" w:type="pct"/>
            <w:vAlign w:val="center"/>
          </w:tcPr>
          <w:p w14:paraId="5B4192EC">
            <w:pPr>
              <w:pStyle w:val="19"/>
              <w:bidi w:val="0"/>
            </w:pPr>
            <w:r>
              <w:t>GB/T5750.6-2006</w:t>
            </w:r>
          </w:p>
        </w:tc>
        <w:tc>
          <w:tcPr>
            <w:tcW w:w="1488" w:type="pct"/>
            <w:vAlign w:val="center"/>
          </w:tcPr>
          <w:p w14:paraId="1EA7F2BD">
            <w:pPr>
              <w:pStyle w:val="19"/>
              <w:bidi w:val="0"/>
            </w:pPr>
            <w:r>
              <w:t>原子吸收分光光度计SP-3805AA</w:t>
            </w:r>
            <w:r>
              <w:rPr>
                <w:rFonts w:hint="eastAsia"/>
                <w:lang w:val="en-US" w:eastAsia="zh-CN"/>
              </w:rPr>
              <w:t xml:space="preserve"> </w:t>
            </w:r>
            <w:r>
              <w:t>KDJC-YQ-076</w:t>
            </w:r>
          </w:p>
        </w:tc>
        <w:tc>
          <w:tcPr>
            <w:tcW w:w="618" w:type="pct"/>
            <w:vAlign w:val="center"/>
          </w:tcPr>
          <w:p w14:paraId="6E5F7FDD">
            <w:pPr>
              <w:pStyle w:val="19"/>
              <w:bidi w:val="0"/>
            </w:pPr>
            <w:r>
              <w:t>0.004mg/L</w:t>
            </w:r>
          </w:p>
        </w:tc>
      </w:tr>
      <w:tr w14:paraId="10A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5DB2A590">
            <w:pPr>
              <w:pStyle w:val="19"/>
              <w:bidi w:val="0"/>
            </w:pPr>
          </w:p>
        </w:tc>
        <w:tc>
          <w:tcPr>
            <w:tcW w:w="794" w:type="pct"/>
            <w:vAlign w:val="center"/>
          </w:tcPr>
          <w:p w14:paraId="66BC3074">
            <w:pPr>
              <w:pStyle w:val="19"/>
              <w:bidi w:val="0"/>
            </w:pPr>
            <w:r>
              <w:t>镍</w:t>
            </w:r>
          </w:p>
        </w:tc>
        <w:tc>
          <w:tcPr>
            <w:tcW w:w="656" w:type="pct"/>
            <w:vAlign w:val="center"/>
          </w:tcPr>
          <w:p w14:paraId="7B3D7CDB">
            <w:pPr>
              <w:pStyle w:val="19"/>
              <w:bidi w:val="0"/>
            </w:pPr>
            <w:r>
              <w:t>原子吸收分光光度法</w:t>
            </w:r>
          </w:p>
        </w:tc>
        <w:tc>
          <w:tcPr>
            <w:tcW w:w="986" w:type="pct"/>
            <w:vAlign w:val="center"/>
          </w:tcPr>
          <w:p w14:paraId="47BFACEC">
            <w:pPr>
              <w:pStyle w:val="19"/>
              <w:bidi w:val="0"/>
            </w:pPr>
            <w:r>
              <w:t>GB/T5750.6-2006</w:t>
            </w:r>
          </w:p>
        </w:tc>
        <w:tc>
          <w:tcPr>
            <w:tcW w:w="1488" w:type="pct"/>
            <w:vAlign w:val="center"/>
          </w:tcPr>
          <w:p w14:paraId="4F371790">
            <w:pPr>
              <w:pStyle w:val="19"/>
              <w:bidi w:val="0"/>
            </w:pPr>
            <w:r>
              <w:t>原子吸收分光光度计SP-3805AA</w:t>
            </w:r>
            <w:r>
              <w:rPr>
                <w:rFonts w:hint="eastAsia"/>
                <w:lang w:val="en-US" w:eastAsia="zh-CN"/>
              </w:rPr>
              <w:t xml:space="preserve"> </w:t>
            </w:r>
            <w:r>
              <w:t>KDJC-YQ-076</w:t>
            </w:r>
          </w:p>
        </w:tc>
        <w:tc>
          <w:tcPr>
            <w:tcW w:w="618" w:type="pct"/>
            <w:vAlign w:val="center"/>
          </w:tcPr>
          <w:p w14:paraId="691EA4A0">
            <w:pPr>
              <w:pStyle w:val="19"/>
              <w:bidi w:val="0"/>
            </w:pPr>
            <w:r>
              <w:t>5μg/L</w:t>
            </w:r>
          </w:p>
        </w:tc>
      </w:tr>
      <w:tr w14:paraId="4F93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45763F67">
            <w:pPr>
              <w:pStyle w:val="19"/>
              <w:bidi w:val="0"/>
            </w:pPr>
          </w:p>
        </w:tc>
        <w:tc>
          <w:tcPr>
            <w:tcW w:w="794" w:type="pct"/>
            <w:vAlign w:val="center"/>
          </w:tcPr>
          <w:p w14:paraId="11B01E78">
            <w:pPr>
              <w:pStyle w:val="19"/>
              <w:bidi w:val="0"/>
            </w:pPr>
            <w:r>
              <w:t>砷</w:t>
            </w:r>
          </w:p>
        </w:tc>
        <w:tc>
          <w:tcPr>
            <w:tcW w:w="656" w:type="pct"/>
            <w:vAlign w:val="center"/>
          </w:tcPr>
          <w:p w14:paraId="3EC7F3BC">
            <w:pPr>
              <w:pStyle w:val="19"/>
              <w:bidi w:val="0"/>
            </w:pPr>
            <w:r>
              <w:t>原子荧光法</w:t>
            </w:r>
          </w:p>
        </w:tc>
        <w:tc>
          <w:tcPr>
            <w:tcW w:w="986" w:type="pct"/>
            <w:vAlign w:val="center"/>
          </w:tcPr>
          <w:p w14:paraId="63FB11E6">
            <w:pPr>
              <w:pStyle w:val="19"/>
              <w:bidi w:val="0"/>
            </w:pPr>
            <w:r>
              <w:t>GB/T5750.6-2006</w:t>
            </w:r>
          </w:p>
        </w:tc>
        <w:tc>
          <w:tcPr>
            <w:tcW w:w="1488" w:type="pct"/>
            <w:vAlign w:val="center"/>
          </w:tcPr>
          <w:p w14:paraId="5969CF15">
            <w:pPr>
              <w:pStyle w:val="19"/>
              <w:bidi w:val="0"/>
            </w:pPr>
            <w:r>
              <w:t>原子荧光光度计AFS-8220</w:t>
            </w:r>
          </w:p>
          <w:p w14:paraId="56381D3B">
            <w:pPr>
              <w:pStyle w:val="19"/>
              <w:bidi w:val="0"/>
            </w:pPr>
            <w:r>
              <w:t>KDJC-YQ-063</w:t>
            </w:r>
          </w:p>
        </w:tc>
        <w:tc>
          <w:tcPr>
            <w:tcW w:w="618" w:type="pct"/>
            <w:vAlign w:val="center"/>
          </w:tcPr>
          <w:p w14:paraId="755A73F4">
            <w:pPr>
              <w:pStyle w:val="19"/>
              <w:bidi w:val="0"/>
            </w:pPr>
            <w:r>
              <w:t>1.0μg/L</w:t>
            </w:r>
          </w:p>
        </w:tc>
      </w:tr>
      <w:tr w14:paraId="6B6B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4C981205">
            <w:pPr>
              <w:pStyle w:val="19"/>
              <w:bidi w:val="0"/>
            </w:pPr>
          </w:p>
        </w:tc>
        <w:tc>
          <w:tcPr>
            <w:tcW w:w="794" w:type="pct"/>
            <w:vAlign w:val="center"/>
          </w:tcPr>
          <w:p w14:paraId="3FB7E292">
            <w:pPr>
              <w:pStyle w:val="19"/>
              <w:bidi w:val="0"/>
            </w:pPr>
            <w:r>
              <w:t>汞</w:t>
            </w:r>
          </w:p>
        </w:tc>
        <w:tc>
          <w:tcPr>
            <w:tcW w:w="656" w:type="pct"/>
            <w:vAlign w:val="center"/>
          </w:tcPr>
          <w:p w14:paraId="5010FE2A">
            <w:pPr>
              <w:pStyle w:val="19"/>
              <w:bidi w:val="0"/>
            </w:pPr>
            <w:r>
              <w:t>原子荧光法</w:t>
            </w:r>
          </w:p>
        </w:tc>
        <w:tc>
          <w:tcPr>
            <w:tcW w:w="986" w:type="pct"/>
            <w:vAlign w:val="center"/>
          </w:tcPr>
          <w:p w14:paraId="53971A8C">
            <w:pPr>
              <w:pStyle w:val="19"/>
              <w:bidi w:val="0"/>
            </w:pPr>
            <w:r>
              <w:t>GB/T5750.6-2006</w:t>
            </w:r>
          </w:p>
        </w:tc>
        <w:tc>
          <w:tcPr>
            <w:tcW w:w="1488" w:type="pct"/>
            <w:vAlign w:val="center"/>
          </w:tcPr>
          <w:p w14:paraId="143D0C37">
            <w:pPr>
              <w:pStyle w:val="19"/>
              <w:bidi w:val="0"/>
            </w:pPr>
            <w:r>
              <w:t>原子荧光光度计AFS-8220</w:t>
            </w:r>
          </w:p>
          <w:p w14:paraId="6BF83659">
            <w:pPr>
              <w:pStyle w:val="19"/>
              <w:bidi w:val="0"/>
            </w:pPr>
            <w:r>
              <w:t>KDJC-YQ-063</w:t>
            </w:r>
          </w:p>
        </w:tc>
        <w:tc>
          <w:tcPr>
            <w:tcW w:w="618" w:type="pct"/>
            <w:vAlign w:val="center"/>
          </w:tcPr>
          <w:p w14:paraId="5E048986">
            <w:pPr>
              <w:pStyle w:val="19"/>
              <w:bidi w:val="0"/>
            </w:pPr>
            <w:r>
              <w:t>0.1μg/L</w:t>
            </w:r>
          </w:p>
        </w:tc>
      </w:tr>
      <w:tr w14:paraId="6CE0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0BCB9970">
            <w:pPr>
              <w:pStyle w:val="19"/>
              <w:bidi w:val="0"/>
            </w:pPr>
          </w:p>
        </w:tc>
        <w:tc>
          <w:tcPr>
            <w:tcW w:w="794" w:type="pct"/>
            <w:vAlign w:val="center"/>
          </w:tcPr>
          <w:p w14:paraId="02F0C67C">
            <w:pPr>
              <w:pStyle w:val="19"/>
              <w:bidi w:val="0"/>
            </w:pPr>
            <w:r>
              <w:t>镉</w:t>
            </w:r>
          </w:p>
        </w:tc>
        <w:tc>
          <w:tcPr>
            <w:tcW w:w="656" w:type="pct"/>
            <w:vAlign w:val="center"/>
          </w:tcPr>
          <w:p w14:paraId="4139A907">
            <w:pPr>
              <w:pStyle w:val="19"/>
              <w:bidi w:val="0"/>
            </w:pPr>
            <w:r>
              <w:t>原子吸收分光光度法</w:t>
            </w:r>
          </w:p>
        </w:tc>
        <w:tc>
          <w:tcPr>
            <w:tcW w:w="986" w:type="pct"/>
            <w:vAlign w:val="center"/>
          </w:tcPr>
          <w:p w14:paraId="257A17AA">
            <w:pPr>
              <w:pStyle w:val="19"/>
              <w:bidi w:val="0"/>
            </w:pPr>
            <w:r>
              <w:t>GB/T5750.6-2006</w:t>
            </w:r>
          </w:p>
        </w:tc>
        <w:tc>
          <w:tcPr>
            <w:tcW w:w="1488" w:type="pct"/>
            <w:vAlign w:val="center"/>
          </w:tcPr>
          <w:p w14:paraId="1A828BD1">
            <w:pPr>
              <w:pStyle w:val="19"/>
              <w:bidi w:val="0"/>
            </w:pPr>
            <w:r>
              <w:t>原子吸收分光光度计SP-3805AA</w:t>
            </w:r>
            <w:r>
              <w:rPr>
                <w:rFonts w:hint="eastAsia"/>
                <w:lang w:val="en-US" w:eastAsia="zh-CN"/>
              </w:rPr>
              <w:t xml:space="preserve"> </w:t>
            </w:r>
            <w:r>
              <w:t>KDJC-YQ-076</w:t>
            </w:r>
          </w:p>
        </w:tc>
        <w:tc>
          <w:tcPr>
            <w:tcW w:w="618" w:type="pct"/>
            <w:vAlign w:val="center"/>
          </w:tcPr>
          <w:p w14:paraId="0607C1DC">
            <w:pPr>
              <w:pStyle w:val="19"/>
              <w:bidi w:val="0"/>
            </w:pPr>
            <w:r>
              <w:t>0.5μg/L</w:t>
            </w:r>
          </w:p>
        </w:tc>
      </w:tr>
      <w:tr w14:paraId="3129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3240CF8A">
            <w:pPr>
              <w:pStyle w:val="19"/>
              <w:bidi w:val="0"/>
            </w:pPr>
          </w:p>
        </w:tc>
        <w:tc>
          <w:tcPr>
            <w:tcW w:w="794" w:type="pct"/>
            <w:vAlign w:val="center"/>
          </w:tcPr>
          <w:p w14:paraId="1D5E696B">
            <w:pPr>
              <w:pStyle w:val="19"/>
              <w:bidi w:val="0"/>
            </w:pPr>
            <w:r>
              <w:t>六价铬</w:t>
            </w:r>
          </w:p>
        </w:tc>
        <w:tc>
          <w:tcPr>
            <w:tcW w:w="656" w:type="pct"/>
            <w:vAlign w:val="center"/>
          </w:tcPr>
          <w:p w14:paraId="294BA27A">
            <w:pPr>
              <w:pStyle w:val="19"/>
              <w:bidi w:val="0"/>
            </w:pPr>
            <w:r>
              <w:t>分光光度法</w:t>
            </w:r>
          </w:p>
        </w:tc>
        <w:tc>
          <w:tcPr>
            <w:tcW w:w="986" w:type="pct"/>
            <w:vAlign w:val="center"/>
          </w:tcPr>
          <w:p w14:paraId="04232572">
            <w:pPr>
              <w:pStyle w:val="19"/>
              <w:bidi w:val="0"/>
            </w:pPr>
            <w:r>
              <w:t>GB/T5750.6-2006</w:t>
            </w:r>
          </w:p>
        </w:tc>
        <w:tc>
          <w:tcPr>
            <w:tcW w:w="1488" w:type="pct"/>
            <w:vAlign w:val="center"/>
          </w:tcPr>
          <w:p w14:paraId="19F2B36F">
            <w:pPr>
              <w:pStyle w:val="19"/>
              <w:bidi w:val="0"/>
            </w:pPr>
            <w:r>
              <w:t>紫外可见分光光度计 TU-1900 KDJC-YQ-077</w:t>
            </w:r>
          </w:p>
        </w:tc>
        <w:tc>
          <w:tcPr>
            <w:tcW w:w="618" w:type="pct"/>
            <w:vAlign w:val="center"/>
          </w:tcPr>
          <w:p w14:paraId="762A4499">
            <w:pPr>
              <w:pStyle w:val="19"/>
              <w:bidi w:val="0"/>
            </w:pPr>
            <w:r>
              <w:t>0.004mg/L</w:t>
            </w:r>
          </w:p>
        </w:tc>
      </w:tr>
      <w:tr w14:paraId="0E48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3662C19B">
            <w:pPr>
              <w:pStyle w:val="19"/>
              <w:bidi w:val="0"/>
            </w:pPr>
          </w:p>
        </w:tc>
        <w:tc>
          <w:tcPr>
            <w:tcW w:w="794" w:type="pct"/>
            <w:vAlign w:val="center"/>
          </w:tcPr>
          <w:p w14:paraId="67C45455">
            <w:pPr>
              <w:pStyle w:val="19"/>
              <w:bidi w:val="0"/>
            </w:pPr>
            <w:r>
              <w:t>铅</w:t>
            </w:r>
          </w:p>
        </w:tc>
        <w:tc>
          <w:tcPr>
            <w:tcW w:w="656" w:type="pct"/>
            <w:vAlign w:val="center"/>
          </w:tcPr>
          <w:p w14:paraId="0F0CD7A6">
            <w:pPr>
              <w:pStyle w:val="19"/>
              <w:bidi w:val="0"/>
            </w:pPr>
            <w:r>
              <w:t>原子吸收分光光度法</w:t>
            </w:r>
          </w:p>
        </w:tc>
        <w:tc>
          <w:tcPr>
            <w:tcW w:w="986" w:type="pct"/>
            <w:vAlign w:val="center"/>
          </w:tcPr>
          <w:p w14:paraId="7828BA4D">
            <w:pPr>
              <w:pStyle w:val="19"/>
              <w:bidi w:val="0"/>
            </w:pPr>
            <w:r>
              <w:t>GB/T5750.6-2006</w:t>
            </w:r>
          </w:p>
        </w:tc>
        <w:tc>
          <w:tcPr>
            <w:tcW w:w="1488" w:type="pct"/>
            <w:vAlign w:val="center"/>
          </w:tcPr>
          <w:p w14:paraId="212008ED">
            <w:pPr>
              <w:pStyle w:val="19"/>
              <w:bidi w:val="0"/>
            </w:pPr>
            <w:r>
              <w:t>原子吸收分光光度计SP-3805AAKDJC-YQ-076</w:t>
            </w:r>
          </w:p>
        </w:tc>
        <w:tc>
          <w:tcPr>
            <w:tcW w:w="618" w:type="pct"/>
            <w:vAlign w:val="center"/>
          </w:tcPr>
          <w:p w14:paraId="32DF4B6D">
            <w:pPr>
              <w:pStyle w:val="19"/>
              <w:bidi w:val="0"/>
            </w:pPr>
            <w:r>
              <w:t>2.5μg/L</w:t>
            </w:r>
          </w:p>
        </w:tc>
      </w:tr>
      <w:tr w14:paraId="2547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3B8A6E50">
            <w:pPr>
              <w:pStyle w:val="19"/>
              <w:bidi w:val="0"/>
            </w:pPr>
          </w:p>
        </w:tc>
        <w:tc>
          <w:tcPr>
            <w:tcW w:w="794" w:type="pct"/>
            <w:vAlign w:val="center"/>
          </w:tcPr>
          <w:p w14:paraId="2EBC8312">
            <w:pPr>
              <w:pStyle w:val="19"/>
              <w:bidi w:val="0"/>
            </w:pPr>
            <w:r>
              <w:t>总大肠菌群</w:t>
            </w:r>
          </w:p>
        </w:tc>
        <w:tc>
          <w:tcPr>
            <w:tcW w:w="656" w:type="pct"/>
            <w:vAlign w:val="center"/>
          </w:tcPr>
          <w:p w14:paraId="555011EA">
            <w:pPr>
              <w:pStyle w:val="19"/>
              <w:bidi w:val="0"/>
            </w:pPr>
            <w:r>
              <w:t>多管发酵法</w:t>
            </w:r>
          </w:p>
        </w:tc>
        <w:tc>
          <w:tcPr>
            <w:tcW w:w="986" w:type="pct"/>
            <w:vAlign w:val="center"/>
          </w:tcPr>
          <w:p w14:paraId="53672A21">
            <w:pPr>
              <w:pStyle w:val="19"/>
              <w:bidi w:val="0"/>
            </w:pPr>
            <w:r>
              <w:t>GB/T 5750.12-2006</w:t>
            </w:r>
          </w:p>
        </w:tc>
        <w:tc>
          <w:tcPr>
            <w:tcW w:w="1488" w:type="pct"/>
            <w:vAlign w:val="center"/>
          </w:tcPr>
          <w:p w14:paraId="206B1AC6">
            <w:pPr>
              <w:pStyle w:val="19"/>
              <w:bidi w:val="0"/>
            </w:pPr>
            <w:r>
              <w:t>生化培养箱 SPX-250B-ZKDJC-YQ-072</w:t>
            </w:r>
          </w:p>
        </w:tc>
        <w:tc>
          <w:tcPr>
            <w:tcW w:w="618" w:type="pct"/>
            <w:vAlign w:val="center"/>
          </w:tcPr>
          <w:p w14:paraId="2CC2B794">
            <w:pPr>
              <w:pStyle w:val="19"/>
              <w:bidi w:val="0"/>
            </w:pPr>
            <w:r>
              <w:t>2 MPN/</w:t>
            </w:r>
            <w:r>
              <w:rPr>
                <w:rFonts w:hint="eastAsia"/>
                <w:lang w:val="en-US" w:eastAsia="zh-CN"/>
              </w:rPr>
              <w:t xml:space="preserve"> </w:t>
            </w:r>
            <w:r>
              <w:t>100mL</w:t>
            </w:r>
          </w:p>
        </w:tc>
      </w:tr>
      <w:tr w14:paraId="77C3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7A5BB33F">
            <w:pPr>
              <w:pStyle w:val="19"/>
              <w:bidi w:val="0"/>
            </w:pPr>
          </w:p>
        </w:tc>
        <w:tc>
          <w:tcPr>
            <w:tcW w:w="794" w:type="pct"/>
            <w:vAlign w:val="center"/>
          </w:tcPr>
          <w:p w14:paraId="4BE3128C">
            <w:pPr>
              <w:pStyle w:val="19"/>
              <w:bidi w:val="0"/>
            </w:pPr>
            <w:r>
              <w:t>硫酸盐</w:t>
            </w:r>
          </w:p>
        </w:tc>
        <w:tc>
          <w:tcPr>
            <w:tcW w:w="656" w:type="pct"/>
            <w:vAlign w:val="center"/>
          </w:tcPr>
          <w:p w14:paraId="22E9ED6C">
            <w:pPr>
              <w:pStyle w:val="19"/>
              <w:bidi w:val="0"/>
            </w:pPr>
            <w:r>
              <w:t>分光光度法</w:t>
            </w:r>
          </w:p>
        </w:tc>
        <w:tc>
          <w:tcPr>
            <w:tcW w:w="986" w:type="pct"/>
            <w:vAlign w:val="center"/>
          </w:tcPr>
          <w:p w14:paraId="1A7A294A">
            <w:pPr>
              <w:pStyle w:val="19"/>
              <w:bidi w:val="0"/>
            </w:pPr>
            <w:r>
              <w:t>GB/T5750.5-2006</w:t>
            </w:r>
          </w:p>
        </w:tc>
        <w:tc>
          <w:tcPr>
            <w:tcW w:w="1488" w:type="pct"/>
            <w:vAlign w:val="center"/>
          </w:tcPr>
          <w:p w14:paraId="60602E93">
            <w:pPr>
              <w:pStyle w:val="19"/>
              <w:bidi w:val="0"/>
            </w:pPr>
            <w:r>
              <w:t>紫外可见分光光度计TU-1900 KDJC-YQ-077</w:t>
            </w:r>
          </w:p>
        </w:tc>
        <w:tc>
          <w:tcPr>
            <w:tcW w:w="618" w:type="pct"/>
            <w:vAlign w:val="center"/>
          </w:tcPr>
          <w:p w14:paraId="70D0C56C">
            <w:pPr>
              <w:pStyle w:val="19"/>
              <w:bidi w:val="0"/>
            </w:pPr>
            <w:r>
              <w:t>5mg/L</w:t>
            </w:r>
          </w:p>
        </w:tc>
      </w:tr>
      <w:tr w14:paraId="2E12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2602EE2E">
            <w:pPr>
              <w:pStyle w:val="19"/>
              <w:bidi w:val="0"/>
            </w:pPr>
          </w:p>
        </w:tc>
        <w:tc>
          <w:tcPr>
            <w:tcW w:w="794" w:type="pct"/>
            <w:vAlign w:val="center"/>
          </w:tcPr>
          <w:p w14:paraId="1A04E20D">
            <w:pPr>
              <w:pStyle w:val="19"/>
              <w:bidi w:val="0"/>
            </w:pPr>
            <w:r>
              <w:t>氯化物</w:t>
            </w:r>
          </w:p>
        </w:tc>
        <w:tc>
          <w:tcPr>
            <w:tcW w:w="656" w:type="pct"/>
            <w:vAlign w:val="center"/>
          </w:tcPr>
          <w:p w14:paraId="535973FE">
            <w:pPr>
              <w:pStyle w:val="19"/>
              <w:bidi w:val="0"/>
            </w:pPr>
            <w:r>
              <w:t>硝酸银</w:t>
            </w:r>
            <w:r>
              <w:rPr>
                <w:rFonts w:hint="eastAsia"/>
              </w:rPr>
              <w:t>滴定法</w:t>
            </w:r>
          </w:p>
        </w:tc>
        <w:tc>
          <w:tcPr>
            <w:tcW w:w="986" w:type="pct"/>
            <w:vAlign w:val="center"/>
          </w:tcPr>
          <w:p w14:paraId="6BB727F7">
            <w:pPr>
              <w:pStyle w:val="19"/>
              <w:bidi w:val="0"/>
            </w:pPr>
            <w:r>
              <w:rPr>
                <w:rFonts w:hint="eastAsia"/>
              </w:rPr>
              <w:t>GB/T5750.5-2006</w:t>
            </w:r>
          </w:p>
        </w:tc>
        <w:tc>
          <w:tcPr>
            <w:tcW w:w="1488" w:type="pct"/>
            <w:vAlign w:val="center"/>
          </w:tcPr>
          <w:p w14:paraId="0666DD19">
            <w:pPr>
              <w:pStyle w:val="19"/>
              <w:bidi w:val="0"/>
            </w:pPr>
            <w:r>
              <w:t>紫外可见分光光度计TU-1900 KDJC-YQ-077</w:t>
            </w:r>
          </w:p>
        </w:tc>
        <w:tc>
          <w:tcPr>
            <w:tcW w:w="618" w:type="pct"/>
            <w:vAlign w:val="center"/>
          </w:tcPr>
          <w:p w14:paraId="3856188E">
            <w:pPr>
              <w:pStyle w:val="19"/>
              <w:bidi w:val="0"/>
            </w:pPr>
            <w:r>
              <w:t>1.0mg/L</w:t>
            </w:r>
          </w:p>
        </w:tc>
      </w:tr>
      <w:tr w14:paraId="0D27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357291F7">
            <w:pPr>
              <w:pStyle w:val="19"/>
              <w:bidi w:val="0"/>
            </w:pPr>
          </w:p>
        </w:tc>
        <w:tc>
          <w:tcPr>
            <w:tcW w:w="794" w:type="pct"/>
            <w:vAlign w:val="center"/>
          </w:tcPr>
          <w:p w14:paraId="2E347E24">
            <w:pPr>
              <w:pStyle w:val="19"/>
              <w:bidi w:val="0"/>
            </w:pPr>
            <w:r>
              <w:t>Ca</w:t>
            </w:r>
            <w:r>
              <w:rPr>
                <w:vertAlign w:val="superscript"/>
              </w:rPr>
              <w:t>2+</w:t>
            </w:r>
          </w:p>
        </w:tc>
        <w:tc>
          <w:tcPr>
            <w:tcW w:w="656" w:type="pct"/>
            <w:vAlign w:val="center"/>
          </w:tcPr>
          <w:p w14:paraId="7FCA7E0A">
            <w:pPr>
              <w:pStyle w:val="19"/>
              <w:bidi w:val="0"/>
            </w:pPr>
            <w:r>
              <w:t>离子色谱法</w:t>
            </w:r>
          </w:p>
        </w:tc>
        <w:tc>
          <w:tcPr>
            <w:tcW w:w="986" w:type="pct"/>
            <w:vAlign w:val="center"/>
          </w:tcPr>
          <w:p w14:paraId="6EA2F434">
            <w:pPr>
              <w:pStyle w:val="19"/>
              <w:bidi w:val="0"/>
            </w:pPr>
            <w:r>
              <w:t>HJ 812-2016</w:t>
            </w:r>
          </w:p>
        </w:tc>
        <w:tc>
          <w:tcPr>
            <w:tcW w:w="1488" w:type="pct"/>
            <w:vAlign w:val="center"/>
          </w:tcPr>
          <w:p w14:paraId="2CEA9951">
            <w:pPr>
              <w:pStyle w:val="19"/>
              <w:bidi w:val="0"/>
            </w:pPr>
            <w:r>
              <w:t>离子色谱仪CIC-D100KDJC-YQ-195</w:t>
            </w:r>
          </w:p>
        </w:tc>
        <w:tc>
          <w:tcPr>
            <w:tcW w:w="618" w:type="pct"/>
            <w:vAlign w:val="center"/>
          </w:tcPr>
          <w:p w14:paraId="73E0226C">
            <w:pPr>
              <w:pStyle w:val="19"/>
              <w:bidi w:val="0"/>
            </w:pPr>
            <w:r>
              <w:t>0.03mg/L</w:t>
            </w:r>
          </w:p>
        </w:tc>
      </w:tr>
      <w:tr w14:paraId="3D96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1C16A421">
            <w:pPr>
              <w:pStyle w:val="19"/>
              <w:bidi w:val="0"/>
            </w:pPr>
          </w:p>
        </w:tc>
        <w:tc>
          <w:tcPr>
            <w:tcW w:w="794" w:type="pct"/>
            <w:vAlign w:val="center"/>
          </w:tcPr>
          <w:p w14:paraId="0B504F3B">
            <w:pPr>
              <w:pStyle w:val="19"/>
              <w:bidi w:val="0"/>
            </w:pPr>
            <w:r>
              <w:t>Mg</w:t>
            </w:r>
            <w:r>
              <w:rPr>
                <w:vertAlign w:val="superscript"/>
              </w:rPr>
              <w:t>2+</w:t>
            </w:r>
          </w:p>
        </w:tc>
        <w:tc>
          <w:tcPr>
            <w:tcW w:w="656" w:type="pct"/>
            <w:vAlign w:val="center"/>
          </w:tcPr>
          <w:p w14:paraId="42F0F567">
            <w:pPr>
              <w:pStyle w:val="19"/>
              <w:bidi w:val="0"/>
            </w:pPr>
            <w:r>
              <w:t>离子色谱法</w:t>
            </w:r>
          </w:p>
        </w:tc>
        <w:tc>
          <w:tcPr>
            <w:tcW w:w="986" w:type="pct"/>
            <w:vAlign w:val="center"/>
          </w:tcPr>
          <w:p w14:paraId="378EA298">
            <w:pPr>
              <w:pStyle w:val="19"/>
              <w:bidi w:val="0"/>
            </w:pPr>
            <w:r>
              <w:t>HJ 812-2016</w:t>
            </w:r>
          </w:p>
        </w:tc>
        <w:tc>
          <w:tcPr>
            <w:tcW w:w="1488" w:type="pct"/>
            <w:vAlign w:val="center"/>
          </w:tcPr>
          <w:p w14:paraId="6D47D0E3">
            <w:pPr>
              <w:pStyle w:val="19"/>
              <w:bidi w:val="0"/>
            </w:pPr>
            <w:r>
              <w:t>离子色谱仪 CIC-D100KDJC-YQ-195</w:t>
            </w:r>
          </w:p>
        </w:tc>
        <w:tc>
          <w:tcPr>
            <w:tcW w:w="618" w:type="pct"/>
            <w:vAlign w:val="center"/>
          </w:tcPr>
          <w:p w14:paraId="33747B7B">
            <w:pPr>
              <w:pStyle w:val="19"/>
              <w:bidi w:val="0"/>
            </w:pPr>
            <w:r>
              <w:t>0.02mg/L</w:t>
            </w:r>
          </w:p>
        </w:tc>
      </w:tr>
      <w:tr w14:paraId="0AE6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205CE38B">
            <w:pPr>
              <w:pStyle w:val="19"/>
              <w:bidi w:val="0"/>
            </w:pPr>
          </w:p>
        </w:tc>
        <w:tc>
          <w:tcPr>
            <w:tcW w:w="794" w:type="pct"/>
            <w:vAlign w:val="center"/>
          </w:tcPr>
          <w:p w14:paraId="3E59DFDF">
            <w:pPr>
              <w:pStyle w:val="19"/>
              <w:bidi w:val="0"/>
            </w:pPr>
            <w:r>
              <w:t>Na</w:t>
            </w:r>
            <w:r>
              <w:rPr>
                <w:vertAlign w:val="superscript"/>
              </w:rPr>
              <w:t>+</w:t>
            </w:r>
          </w:p>
        </w:tc>
        <w:tc>
          <w:tcPr>
            <w:tcW w:w="656" w:type="pct"/>
            <w:vAlign w:val="center"/>
          </w:tcPr>
          <w:p w14:paraId="63EDE9ED">
            <w:pPr>
              <w:pStyle w:val="19"/>
              <w:bidi w:val="0"/>
            </w:pPr>
            <w:r>
              <w:t>离子色谱法</w:t>
            </w:r>
          </w:p>
        </w:tc>
        <w:tc>
          <w:tcPr>
            <w:tcW w:w="986" w:type="pct"/>
            <w:vAlign w:val="center"/>
          </w:tcPr>
          <w:p w14:paraId="58DFBC66">
            <w:pPr>
              <w:pStyle w:val="19"/>
              <w:bidi w:val="0"/>
            </w:pPr>
            <w:r>
              <w:t>HJ 812-2016</w:t>
            </w:r>
          </w:p>
        </w:tc>
        <w:tc>
          <w:tcPr>
            <w:tcW w:w="1488" w:type="pct"/>
            <w:vAlign w:val="center"/>
          </w:tcPr>
          <w:p w14:paraId="456298AB">
            <w:pPr>
              <w:pStyle w:val="19"/>
              <w:bidi w:val="0"/>
            </w:pPr>
            <w:r>
              <w:t>离子色谱仪 CIC-D100KDJC-YQ-195</w:t>
            </w:r>
          </w:p>
        </w:tc>
        <w:tc>
          <w:tcPr>
            <w:tcW w:w="618" w:type="pct"/>
            <w:vAlign w:val="center"/>
          </w:tcPr>
          <w:p w14:paraId="7C95247C">
            <w:pPr>
              <w:pStyle w:val="19"/>
              <w:bidi w:val="0"/>
            </w:pPr>
            <w:r>
              <w:t>0.02mg/L</w:t>
            </w:r>
          </w:p>
        </w:tc>
      </w:tr>
      <w:tr w14:paraId="76C2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4BFCA48F">
            <w:pPr>
              <w:pStyle w:val="19"/>
              <w:bidi w:val="0"/>
            </w:pPr>
          </w:p>
        </w:tc>
        <w:tc>
          <w:tcPr>
            <w:tcW w:w="794" w:type="pct"/>
            <w:vAlign w:val="center"/>
          </w:tcPr>
          <w:p w14:paraId="00E0C91E">
            <w:pPr>
              <w:pStyle w:val="19"/>
              <w:bidi w:val="0"/>
            </w:pPr>
            <w:r>
              <w:t>K</w:t>
            </w:r>
            <w:r>
              <w:rPr>
                <w:vertAlign w:val="superscript"/>
              </w:rPr>
              <w:t>+</w:t>
            </w:r>
          </w:p>
        </w:tc>
        <w:tc>
          <w:tcPr>
            <w:tcW w:w="656" w:type="pct"/>
            <w:vAlign w:val="center"/>
          </w:tcPr>
          <w:p w14:paraId="558FFFB0">
            <w:pPr>
              <w:pStyle w:val="19"/>
              <w:bidi w:val="0"/>
            </w:pPr>
            <w:r>
              <w:t>离子色谱法</w:t>
            </w:r>
          </w:p>
        </w:tc>
        <w:tc>
          <w:tcPr>
            <w:tcW w:w="986" w:type="pct"/>
            <w:vAlign w:val="center"/>
          </w:tcPr>
          <w:p w14:paraId="2DAB5900">
            <w:pPr>
              <w:pStyle w:val="19"/>
              <w:bidi w:val="0"/>
            </w:pPr>
            <w:r>
              <w:t>HJ 812-2016</w:t>
            </w:r>
          </w:p>
        </w:tc>
        <w:tc>
          <w:tcPr>
            <w:tcW w:w="1488" w:type="pct"/>
            <w:vAlign w:val="center"/>
          </w:tcPr>
          <w:p w14:paraId="26064DA6">
            <w:pPr>
              <w:pStyle w:val="19"/>
              <w:bidi w:val="0"/>
            </w:pPr>
            <w:r>
              <w:t>离子色谱仪 CIC-D100KDJC-YQ-195</w:t>
            </w:r>
          </w:p>
        </w:tc>
        <w:tc>
          <w:tcPr>
            <w:tcW w:w="618" w:type="pct"/>
            <w:vAlign w:val="center"/>
          </w:tcPr>
          <w:p w14:paraId="3A6ED4BD">
            <w:pPr>
              <w:pStyle w:val="19"/>
              <w:bidi w:val="0"/>
            </w:pPr>
            <w:r>
              <w:t>0.02mg/L</w:t>
            </w:r>
          </w:p>
        </w:tc>
      </w:tr>
      <w:tr w14:paraId="1372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55" w:type="pct"/>
            <w:vMerge w:val="continue"/>
            <w:vAlign w:val="center"/>
          </w:tcPr>
          <w:p w14:paraId="0E99A1ED">
            <w:pPr>
              <w:pStyle w:val="19"/>
              <w:bidi w:val="0"/>
            </w:pPr>
          </w:p>
        </w:tc>
        <w:tc>
          <w:tcPr>
            <w:tcW w:w="794" w:type="pct"/>
            <w:vAlign w:val="center"/>
          </w:tcPr>
          <w:p w14:paraId="683226F9">
            <w:pPr>
              <w:pStyle w:val="19"/>
              <w:bidi w:val="0"/>
            </w:pPr>
            <w:r>
              <w:t>重碳酸盐</w:t>
            </w:r>
          </w:p>
        </w:tc>
        <w:tc>
          <w:tcPr>
            <w:tcW w:w="656" w:type="pct"/>
            <w:vAlign w:val="center"/>
          </w:tcPr>
          <w:p w14:paraId="2F88224E">
            <w:pPr>
              <w:pStyle w:val="19"/>
              <w:bidi w:val="0"/>
            </w:pPr>
            <w:r>
              <w:t>滴定法</w:t>
            </w:r>
          </w:p>
        </w:tc>
        <w:tc>
          <w:tcPr>
            <w:tcW w:w="986" w:type="pct"/>
            <w:vAlign w:val="center"/>
          </w:tcPr>
          <w:p w14:paraId="74C5D228">
            <w:pPr>
              <w:pStyle w:val="19"/>
              <w:bidi w:val="0"/>
            </w:pPr>
            <w:r>
              <w:t>国家环保总局（2003）（第四版）（增补版）</w:t>
            </w:r>
          </w:p>
        </w:tc>
        <w:tc>
          <w:tcPr>
            <w:tcW w:w="1488" w:type="pct"/>
            <w:vAlign w:val="center"/>
          </w:tcPr>
          <w:p w14:paraId="03311BD8">
            <w:pPr>
              <w:pStyle w:val="19"/>
              <w:bidi w:val="0"/>
            </w:pPr>
            <w:r>
              <w:t>滴定管KDJC-YQ-124</w:t>
            </w:r>
          </w:p>
        </w:tc>
        <w:tc>
          <w:tcPr>
            <w:tcW w:w="618" w:type="pct"/>
            <w:vAlign w:val="center"/>
          </w:tcPr>
          <w:p w14:paraId="09D6C0EF">
            <w:pPr>
              <w:pStyle w:val="19"/>
              <w:bidi w:val="0"/>
            </w:pPr>
            <w:r>
              <w:t>——</w:t>
            </w:r>
          </w:p>
        </w:tc>
      </w:tr>
    </w:tbl>
    <w:p w14:paraId="3A923038">
      <w:pPr>
        <w:bidi w:val="0"/>
        <w:rPr>
          <w:rFonts w:hint="default"/>
          <w:lang w:val="en-US" w:eastAsia="zh-CN"/>
        </w:rPr>
      </w:pPr>
      <w:r>
        <w:rPr>
          <w:rFonts w:hint="eastAsia"/>
          <w:lang w:val="en-US" w:eastAsia="zh-CN"/>
        </w:rPr>
        <w:t>（4）评价标准</w:t>
      </w:r>
    </w:p>
    <w:p w14:paraId="451F5A83">
      <w:pPr>
        <w:bidi w:val="0"/>
        <w:rPr>
          <w:rFonts w:hint="default"/>
          <w:lang w:val="en-US" w:eastAsia="zh-CN"/>
        </w:rPr>
      </w:pPr>
      <w:r>
        <w:rPr>
          <w:rFonts w:hint="eastAsia"/>
          <w:lang w:val="en-US" w:eastAsia="zh-CN"/>
        </w:rPr>
        <w:t>地下水环境质量评价执行《地下水质量标准》（GB/T14848-2017）中的</w:t>
      </w:r>
      <w:r>
        <w:rPr>
          <w:rFonts w:hint="default"/>
          <w:lang w:val="en-US" w:eastAsia="zh-CN"/>
        </w:rPr>
        <w:t>Ⅲ</w:t>
      </w:r>
      <w:r>
        <w:rPr>
          <w:rFonts w:hint="eastAsia"/>
          <w:lang w:val="en-US" w:eastAsia="zh-CN"/>
        </w:rPr>
        <w:t>类标准，具体见表4</w:t>
      </w:r>
      <w:r>
        <w:rPr>
          <w:rFonts w:hint="default"/>
          <w:lang w:val="en-US" w:eastAsia="zh-CN"/>
        </w:rPr>
        <w:t>.2-</w:t>
      </w:r>
      <w:r>
        <w:rPr>
          <w:rFonts w:hint="eastAsia"/>
          <w:lang w:val="en-US" w:eastAsia="zh-CN"/>
        </w:rPr>
        <w:t>7。</w:t>
      </w:r>
    </w:p>
    <w:p w14:paraId="218C21DD">
      <w:pPr>
        <w:bidi w:val="0"/>
        <w:rPr>
          <w:rFonts w:hint="default"/>
          <w:lang w:val="en-US" w:eastAsia="zh-CN"/>
        </w:rPr>
      </w:pPr>
      <w:r>
        <w:rPr>
          <w:rFonts w:hint="eastAsia"/>
          <w:lang w:val="en-US" w:eastAsia="zh-CN"/>
        </w:rPr>
        <w:t>（5）评价方法</w:t>
      </w:r>
    </w:p>
    <w:p w14:paraId="078DF2CF">
      <w:pPr>
        <w:bidi w:val="0"/>
      </w:pPr>
      <w:r>
        <w:rPr>
          <w:rFonts w:hint="eastAsia"/>
          <w:lang w:val="en-US" w:eastAsia="zh-CN"/>
        </w:rPr>
        <w:t>①</w:t>
      </w:r>
      <w:r>
        <w:t>评价方法采用对标法，公式如下：</w:t>
      </w:r>
    </w:p>
    <w:p w14:paraId="4861F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14:textFill>
            <w14:solidFill>
              <w14:schemeClr w14:val="tx1"/>
            </w14:solidFill>
          </w14:textFill>
        </w:rPr>
      </w:pPr>
      <w:r>
        <w:rPr>
          <w:rFonts w:cs="Times New Roman"/>
          <w:color w:val="000000" w:themeColor="text1"/>
          <w:position w:val="-30"/>
          <w:highlight w:val="none"/>
          <w14:textFill>
            <w14:solidFill>
              <w14:schemeClr w14:val="tx1"/>
            </w14:solidFill>
          </w14:textFill>
        </w:rPr>
        <w:object>
          <v:shape id="_x0000_i1025" o:spt="75" type="#_x0000_t75" style="height:33.75pt;width:39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14:paraId="65C8A046">
      <w:pPr>
        <w:bidi w:val="0"/>
      </w:pPr>
      <w:r>
        <w:t>式中：Pi—第i种污染物的占标率(pH除外)；</w:t>
      </w:r>
    </w:p>
    <w:p w14:paraId="62FF3148">
      <w:pPr>
        <w:bidi w:val="0"/>
        <w:ind w:firstLine="1200" w:firstLineChars="500"/>
      </w:pPr>
      <w:r>
        <w:t>Ci—i污染物的实测浓度，mg/L；</w:t>
      </w:r>
    </w:p>
    <w:p w14:paraId="601E8825">
      <w:pPr>
        <w:bidi w:val="0"/>
        <w:ind w:firstLine="1200" w:firstLineChars="500"/>
      </w:pPr>
      <w:r>
        <w:t>Si—i污染物评价标准，mg/L。</w:t>
      </w:r>
    </w:p>
    <w:p w14:paraId="50E37BD9">
      <w:pPr>
        <w:bidi w:val="0"/>
      </w:pPr>
      <w:r>
        <w:rPr>
          <w:rFonts w:hint="eastAsia"/>
          <w:lang w:val="en-US" w:eastAsia="zh-CN"/>
        </w:rPr>
        <w:t>②</w:t>
      </w:r>
      <w:r>
        <w:t>对于pH，其标准指数按下式计算：</w:t>
      </w:r>
    </w:p>
    <w:p w14:paraId="633346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highlight w:val="none"/>
          <w14:textFill>
            <w14:solidFill>
              <w14:schemeClr w14:val="tx1"/>
            </w14:solidFill>
          </w14:textFill>
        </w:rPr>
      </w:pPr>
      <w:r>
        <w:rPr>
          <w:rFonts w:cs="Times New Roman"/>
          <w:color w:val="000000" w:themeColor="text1"/>
          <w:position w:val="-34"/>
          <w:highlight w:val="none"/>
          <w14:textFill>
            <w14:solidFill>
              <w14:schemeClr w14:val="tx1"/>
            </w14:solidFill>
          </w14:textFill>
        </w:rPr>
        <w:object>
          <v:shape id="_x0000_i1026" o:spt="75" type="#_x0000_t75" style="height:38.25pt;width:92.3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pH</w:t>
      </w:r>
      <w:r>
        <w:rPr>
          <w:color w:val="000000" w:themeColor="text1"/>
          <w:highlight w:val="none"/>
          <w:vertAlign w:val="subscript"/>
          <w14:textFill>
            <w14:solidFill>
              <w14:schemeClr w14:val="tx1"/>
            </w14:solidFill>
          </w14:textFill>
        </w:rPr>
        <w:t>Ci</w:t>
      </w:r>
      <w:r>
        <w:rPr>
          <w:color w:val="000000" w:themeColor="text1"/>
          <w:highlight w:val="none"/>
          <w14:textFill>
            <w14:solidFill>
              <w14:schemeClr w14:val="tx1"/>
            </w14:solidFill>
          </w14:textFill>
        </w:rPr>
        <w:t>≤7.0</w:t>
      </w:r>
      <w:r>
        <w:rPr>
          <w:rFonts w:hint="eastAsia"/>
          <w:color w:val="000000" w:themeColor="text1"/>
          <w:highlight w:val="none"/>
          <w:lang w:eastAsia="zh-CN"/>
          <w14:textFill>
            <w14:solidFill>
              <w14:schemeClr w14:val="tx1"/>
            </w14:solidFill>
          </w14:textFill>
        </w:rPr>
        <w:t>）</w:t>
      </w:r>
    </w:p>
    <w:p w14:paraId="4BA6C1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highlight w:val="none"/>
          <w14:textFill>
            <w14:solidFill>
              <w14:schemeClr w14:val="tx1"/>
            </w14:solidFill>
          </w14:textFill>
        </w:rPr>
      </w:pPr>
      <w:r>
        <w:rPr>
          <w:rFonts w:cs="Times New Roman"/>
          <w:color w:val="000000" w:themeColor="text1"/>
          <w:position w:val="-30"/>
          <w:highlight w:val="none"/>
          <w14:textFill>
            <w14:solidFill>
              <w14:schemeClr w14:val="tx1"/>
            </w14:solidFill>
          </w14:textFill>
        </w:rPr>
        <w:object>
          <v:shape id="_x0000_i1027" o:spt="75" type="#_x0000_t75" style="height:36pt;width:87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7" r:id="rId25">
            <o:LockedField>false</o:LockedField>
          </o:OLEObject>
        </w:object>
      </w:r>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pH</w:t>
      </w:r>
      <w:r>
        <w:rPr>
          <w:color w:val="000000" w:themeColor="text1"/>
          <w:highlight w:val="none"/>
          <w:vertAlign w:val="subscript"/>
          <w14:textFill>
            <w14:solidFill>
              <w14:schemeClr w14:val="tx1"/>
            </w14:solidFill>
          </w14:textFill>
        </w:rPr>
        <w:t>Ci</w:t>
      </w:r>
      <w:r>
        <w:rPr>
          <w:color w:val="000000" w:themeColor="text1"/>
          <w:highlight w:val="none"/>
          <w14:textFill>
            <w14:solidFill>
              <w14:schemeClr w14:val="tx1"/>
            </w14:solidFill>
          </w14:textFill>
        </w:rPr>
        <w:t>＞7.0</w:t>
      </w:r>
      <w:r>
        <w:rPr>
          <w:rFonts w:hint="eastAsia"/>
          <w:color w:val="000000" w:themeColor="text1"/>
          <w:highlight w:val="none"/>
          <w:lang w:eastAsia="zh-CN"/>
          <w14:textFill>
            <w14:solidFill>
              <w14:schemeClr w14:val="tx1"/>
            </w14:solidFill>
          </w14:textFill>
        </w:rPr>
        <w:t>）</w:t>
      </w:r>
    </w:p>
    <w:p w14:paraId="20C4D5A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w:t>
      </w:r>
      <w:r>
        <w:rPr>
          <w:color w:val="000000" w:themeColor="text1"/>
          <w:highlight w:val="none"/>
          <w:vertAlign w:val="subscript"/>
          <w14:textFill>
            <w14:solidFill>
              <w14:schemeClr w14:val="tx1"/>
            </w14:solidFill>
          </w14:textFill>
        </w:rPr>
        <w:t>pH</w:t>
      </w:r>
      <w:r>
        <w:rPr>
          <w:color w:val="000000" w:themeColor="text1"/>
          <w:highlight w:val="none"/>
          <w14:textFill>
            <w14:solidFill>
              <w14:schemeClr w14:val="tx1"/>
            </w14:solidFill>
          </w14:textFill>
        </w:rPr>
        <w:t>—pH的标准指数；</w:t>
      </w:r>
    </w:p>
    <w:p w14:paraId="1EF4E13F">
      <w:pPr>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w:t>
      </w:r>
      <w:r>
        <w:rPr>
          <w:color w:val="000000" w:themeColor="text1"/>
          <w:highlight w:val="none"/>
          <w:vertAlign w:val="subscript"/>
          <w14:textFill>
            <w14:solidFill>
              <w14:schemeClr w14:val="tx1"/>
            </w14:solidFill>
          </w14:textFill>
        </w:rPr>
        <w:t>ci</w:t>
      </w:r>
      <w:r>
        <w:rPr>
          <w:color w:val="000000" w:themeColor="text1"/>
          <w:highlight w:val="none"/>
          <w14:textFill>
            <w14:solidFill>
              <w14:schemeClr w14:val="tx1"/>
            </w14:solidFill>
          </w14:textFill>
        </w:rPr>
        <w:t>—pH的现状监测结果；</w:t>
      </w:r>
    </w:p>
    <w:p w14:paraId="49FC99BC">
      <w:pPr>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w:t>
      </w:r>
      <w:r>
        <w:rPr>
          <w:color w:val="000000" w:themeColor="text1"/>
          <w:highlight w:val="none"/>
          <w:vertAlign w:val="subscript"/>
          <w14:textFill>
            <w14:solidFill>
              <w14:schemeClr w14:val="tx1"/>
            </w14:solidFill>
          </w14:textFill>
        </w:rPr>
        <w:t>sd</w:t>
      </w:r>
      <w:r>
        <w:rPr>
          <w:color w:val="000000" w:themeColor="text1"/>
          <w:highlight w:val="none"/>
          <w14:textFill>
            <w14:solidFill>
              <w14:schemeClr w14:val="tx1"/>
            </w14:solidFill>
          </w14:textFill>
        </w:rPr>
        <w:t>—pH采用标准的下限值；</w:t>
      </w:r>
    </w:p>
    <w:p w14:paraId="75B1188F">
      <w:pPr>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w:t>
      </w:r>
      <w:r>
        <w:rPr>
          <w:color w:val="000000" w:themeColor="text1"/>
          <w:highlight w:val="none"/>
          <w:vertAlign w:val="subscript"/>
          <w14:textFill>
            <w14:solidFill>
              <w14:schemeClr w14:val="tx1"/>
            </w14:solidFill>
          </w14:textFill>
        </w:rPr>
        <w:t>su</w:t>
      </w:r>
      <w:r>
        <w:rPr>
          <w:color w:val="000000" w:themeColor="text1"/>
          <w:highlight w:val="none"/>
          <w14:textFill>
            <w14:solidFill>
              <w14:schemeClr w14:val="tx1"/>
            </w14:solidFill>
          </w14:textFill>
        </w:rPr>
        <w:t>—pH采用标准的上限值。</w:t>
      </w:r>
    </w:p>
    <w:p w14:paraId="044AB744">
      <w:pPr>
        <w:bidi w:val="0"/>
        <w:rPr>
          <w:rFonts w:hint="default"/>
          <w:lang w:val="en-US" w:eastAsia="zh-CN"/>
        </w:rPr>
      </w:pPr>
      <w:r>
        <w:rPr>
          <w:rFonts w:hint="eastAsia"/>
          <w:lang w:val="en-US" w:eastAsia="zh-CN"/>
        </w:rPr>
        <w:t>（6）监测结果</w:t>
      </w:r>
    </w:p>
    <w:p w14:paraId="5F0DBC95">
      <w:pPr>
        <w:bidi w:val="0"/>
        <w:rPr>
          <w:rFonts w:hint="default"/>
          <w:lang w:val="en-US" w:eastAsia="zh-CN"/>
        </w:rPr>
      </w:pPr>
      <w:r>
        <w:rPr>
          <w:rFonts w:hint="eastAsia"/>
          <w:lang w:val="en-US" w:eastAsia="zh-CN"/>
        </w:rPr>
        <w:t>本项目地下水监测结果见表4.2-7。</w:t>
      </w:r>
    </w:p>
    <w:p w14:paraId="6B992DD1">
      <w:pPr>
        <w:pStyle w:val="30"/>
        <w:bidi w:val="0"/>
        <w:rPr>
          <w:rFonts w:hint="default"/>
          <w:vertAlign w:val="baseline"/>
          <w:lang w:val="en-US" w:eastAsia="zh-CN"/>
        </w:rPr>
      </w:pPr>
      <w:r>
        <w:rPr>
          <w:rFonts w:hint="eastAsia"/>
          <w:lang w:val="en-US" w:eastAsia="zh-CN"/>
        </w:rPr>
        <w:t>表4.2-7   地下水环境质量现状监测结果一览表</w:t>
      </w:r>
    </w:p>
    <w:tbl>
      <w:tblPr>
        <w:tblStyle w:val="21"/>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5"/>
        <w:gridCol w:w="1169"/>
        <w:gridCol w:w="1324"/>
        <w:gridCol w:w="889"/>
        <w:gridCol w:w="889"/>
        <w:gridCol w:w="889"/>
        <w:gridCol w:w="887"/>
        <w:gridCol w:w="2"/>
        <w:gridCol w:w="889"/>
        <w:gridCol w:w="890"/>
      </w:tblGrid>
      <w:tr w14:paraId="731F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vMerge w:val="restart"/>
            <w:tcBorders>
              <w:tl2br w:val="nil"/>
              <w:tr2bl w:val="nil"/>
            </w:tcBorders>
            <w:vAlign w:val="center"/>
          </w:tcPr>
          <w:p w14:paraId="40BF20A0">
            <w:pPr>
              <w:pStyle w:val="19"/>
            </w:pPr>
            <w:r>
              <w:t>序号</w:t>
            </w:r>
          </w:p>
        </w:tc>
        <w:tc>
          <w:tcPr>
            <w:tcW w:w="701" w:type="pct"/>
            <w:vMerge w:val="restart"/>
            <w:tcBorders>
              <w:tl2br w:val="nil"/>
              <w:tr2bl w:val="nil"/>
            </w:tcBorders>
            <w:vAlign w:val="center"/>
          </w:tcPr>
          <w:p w14:paraId="35027948">
            <w:pPr>
              <w:pStyle w:val="19"/>
            </w:pPr>
            <w:r>
              <w:t>监测项目</w:t>
            </w:r>
          </w:p>
        </w:tc>
        <w:tc>
          <w:tcPr>
            <w:tcW w:w="794" w:type="pct"/>
            <w:vMerge w:val="restart"/>
            <w:tcBorders>
              <w:tl2br w:val="nil"/>
              <w:tr2bl w:val="nil"/>
            </w:tcBorders>
            <w:vAlign w:val="center"/>
          </w:tcPr>
          <w:p w14:paraId="71C8612C">
            <w:pPr>
              <w:pStyle w:val="19"/>
            </w:pPr>
            <w:r>
              <w:t>地下水环境质量标准</w:t>
            </w:r>
          </w:p>
        </w:tc>
        <w:tc>
          <w:tcPr>
            <w:tcW w:w="1065" w:type="pct"/>
            <w:gridSpan w:val="2"/>
            <w:tcBorders>
              <w:tl2br w:val="nil"/>
              <w:tr2bl w:val="nil"/>
            </w:tcBorders>
            <w:vAlign w:val="center"/>
          </w:tcPr>
          <w:p w14:paraId="1D0D76AA">
            <w:pPr>
              <w:pStyle w:val="19"/>
              <w:rPr>
                <w:rFonts w:hint="default" w:eastAsia="宋体"/>
                <w:vertAlign w:val="baseline"/>
                <w:lang w:val="en-US" w:eastAsia="zh-CN"/>
              </w:rPr>
            </w:pPr>
            <w:r>
              <w:rPr>
                <w:rFonts w:hint="eastAsia"/>
                <w:lang w:val="en-US" w:eastAsia="zh-CN"/>
              </w:rPr>
              <w:t>DXS-2</w:t>
            </w:r>
            <w:r>
              <w:rPr>
                <w:rFonts w:hint="eastAsia"/>
                <w:vertAlign w:val="superscript"/>
                <w:lang w:val="en-US" w:eastAsia="zh-CN"/>
              </w:rPr>
              <w:t>#</w:t>
            </w:r>
            <w:r>
              <w:rPr>
                <w:rFonts w:hint="eastAsia"/>
                <w:vertAlign w:val="baseline"/>
                <w:lang w:val="en-US" w:eastAsia="zh-CN"/>
              </w:rPr>
              <w:t>-1-1</w:t>
            </w:r>
          </w:p>
        </w:tc>
        <w:tc>
          <w:tcPr>
            <w:tcW w:w="1065" w:type="pct"/>
            <w:gridSpan w:val="2"/>
            <w:tcBorders>
              <w:tl2br w:val="nil"/>
              <w:tr2bl w:val="nil"/>
            </w:tcBorders>
            <w:vAlign w:val="center"/>
          </w:tcPr>
          <w:p w14:paraId="6325BD11">
            <w:pPr>
              <w:pStyle w:val="19"/>
            </w:pPr>
            <w:r>
              <w:rPr>
                <w:rFonts w:hint="eastAsia"/>
                <w:lang w:val="en-US" w:eastAsia="zh-CN"/>
              </w:rPr>
              <w:t>DXS-2</w:t>
            </w:r>
            <w:r>
              <w:rPr>
                <w:rFonts w:hint="eastAsia"/>
                <w:vertAlign w:val="superscript"/>
                <w:lang w:val="en-US" w:eastAsia="zh-CN"/>
              </w:rPr>
              <w:t>#</w:t>
            </w:r>
            <w:r>
              <w:rPr>
                <w:rFonts w:hint="eastAsia"/>
                <w:vertAlign w:val="baseline"/>
                <w:lang w:val="en-US" w:eastAsia="zh-CN"/>
              </w:rPr>
              <w:t>-1-1</w:t>
            </w:r>
          </w:p>
        </w:tc>
        <w:tc>
          <w:tcPr>
            <w:tcW w:w="1068" w:type="pct"/>
            <w:gridSpan w:val="3"/>
            <w:tcBorders>
              <w:tl2br w:val="nil"/>
              <w:tr2bl w:val="nil"/>
            </w:tcBorders>
            <w:vAlign w:val="center"/>
          </w:tcPr>
          <w:p w14:paraId="008C6368">
            <w:pPr>
              <w:pStyle w:val="19"/>
            </w:pPr>
            <w:r>
              <w:rPr>
                <w:rFonts w:hint="eastAsia"/>
                <w:lang w:val="en-US" w:eastAsia="zh-CN"/>
              </w:rPr>
              <w:t>DXS-2</w:t>
            </w:r>
            <w:r>
              <w:rPr>
                <w:rFonts w:hint="eastAsia"/>
                <w:vertAlign w:val="superscript"/>
                <w:lang w:val="en-US" w:eastAsia="zh-CN"/>
              </w:rPr>
              <w:t>#</w:t>
            </w:r>
            <w:r>
              <w:rPr>
                <w:rFonts w:hint="eastAsia"/>
                <w:vertAlign w:val="baseline"/>
                <w:lang w:val="en-US" w:eastAsia="zh-CN"/>
              </w:rPr>
              <w:t>-1-1</w:t>
            </w:r>
          </w:p>
        </w:tc>
      </w:tr>
      <w:tr w14:paraId="0A70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303" w:type="pct"/>
            <w:vMerge w:val="continue"/>
            <w:tcBorders>
              <w:tl2br w:val="nil"/>
              <w:tr2bl w:val="nil"/>
            </w:tcBorders>
            <w:vAlign w:val="center"/>
          </w:tcPr>
          <w:p w14:paraId="283C2376">
            <w:pPr>
              <w:pStyle w:val="19"/>
            </w:pPr>
          </w:p>
        </w:tc>
        <w:tc>
          <w:tcPr>
            <w:tcW w:w="701" w:type="pct"/>
            <w:vMerge w:val="continue"/>
            <w:tcBorders>
              <w:tl2br w:val="nil"/>
              <w:tr2bl w:val="nil"/>
            </w:tcBorders>
            <w:vAlign w:val="center"/>
          </w:tcPr>
          <w:p w14:paraId="2C08E2B7">
            <w:pPr>
              <w:pStyle w:val="19"/>
            </w:pPr>
          </w:p>
        </w:tc>
        <w:tc>
          <w:tcPr>
            <w:tcW w:w="794" w:type="pct"/>
            <w:vMerge w:val="continue"/>
            <w:tcBorders>
              <w:tl2br w:val="nil"/>
              <w:tr2bl w:val="nil"/>
            </w:tcBorders>
            <w:vAlign w:val="center"/>
          </w:tcPr>
          <w:p w14:paraId="2E7E2540">
            <w:pPr>
              <w:pStyle w:val="19"/>
            </w:pPr>
          </w:p>
        </w:tc>
        <w:tc>
          <w:tcPr>
            <w:tcW w:w="533" w:type="pct"/>
            <w:tcBorders>
              <w:tl2br w:val="nil"/>
              <w:tr2bl w:val="nil"/>
            </w:tcBorders>
            <w:vAlign w:val="center"/>
          </w:tcPr>
          <w:p w14:paraId="7A9E4DB9">
            <w:pPr>
              <w:pStyle w:val="19"/>
            </w:pPr>
            <w:r>
              <w:t>监测结果</w:t>
            </w:r>
          </w:p>
        </w:tc>
        <w:tc>
          <w:tcPr>
            <w:tcW w:w="533" w:type="pct"/>
            <w:tcBorders>
              <w:tl2br w:val="nil"/>
              <w:tr2bl w:val="nil"/>
            </w:tcBorders>
            <w:vAlign w:val="center"/>
          </w:tcPr>
          <w:p w14:paraId="3562E2FD">
            <w:pPr>
              <w:pStyle w:val="19"/>
            </w:pPr>
            <w:r>
              <w:t>标准指数</w:t>
            </w:r>
          </w:p>
        </w:tc>
        <w:tc>
          <w:tcPr>
            <w:tcW w:w="533" w:type="pct"/>
            <w:tcBorders>
              <w:tl2br w:val="nil"/>
              <w:tr2bl w:val="nil"/>
            </w:tcBorders>
            <w:vAlign w:val="center"/>
          </w:tcPr>
          <w:p w14:paraId="43BAAB4B">
            <w:pPr>
              <w:pStyle w:val="19"/>
            </w:pPr>
            <w:r>
              <w:t>监测结果</w:t>
            </w:r>
          </w:p>
        </w:tc>
        <w:tc>
          <w:tcPr>
            <w:tcW w:w="533" w:type="pct"/>
            <w:gridSpan w:val="2"/>
            <w:tcBorders>
              <w:tl2br w:val="nil"/>
              <w:tr2bl w:val="nil"/>
            </w:tcBorders>
            <w:vAlign w:val="center"/>
          </w:tcPr>
          <w:p w14:paraId="5F5EFD6D">
            <w:pPr>
              <w:pStyle w:val="19"/>
            </w:pPr>
            <w:r>
              <w:t>标准指数</w:t>
            </w:r>
          </w:p>
        </w:tc>
        <w:tc>
          <w:tcPr>
            <w:tcW w:w="533" w:type="pct"/>
            <w:tcBorders>
              <w:tl2br w:val="nil"/>
              <w:tr2bl w:val="nil"/>
            </w:tcBorders>
            <w:vAlign w:val="center"/>
          </w:tcPr>
          <w:p w14:paraId="218594AE">
            <w:pPr>
              <w:pStyle w:val="19"/>
            </w:pPr>
            <w:r>
              <w:t>监测结果</w:t>
            </w:r>
          </w:p>
        </w:tc>
        <w:tc>
          <w:tcPr>
            <w:tcW w:w="533" w:type="pct"/>
            <w:tcBorders>
              <w:tl2br w:val="nil"/>
              <w:tr2bl w:val="nil"/>
            </w:tcBorders>
            <w:vAlign w:val="center"/>
          </w:tcPr>
          <w:p w14:paraId="71076AAD">
            <w:pPr>
              <w:pStyle w:val="19"/>
            </w:pPr>
            <w:r>
              <w:t>标准指数</w:t>
            </w:r>
          </w:p>
        </w:tc>
      </w:tr>
      <w:tr w14:paraId="7060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303" w:type="pct"/>
            <w:tcBorders>
              <w:tl2br w:val="nil"/>
              <w:tr2bl w:val="nil"/>
            </w:tcBorders>
            <w:vAlign w:val="center"/>
          </w:tcPr>
          <w:p w14:paraId="1FDE0F9C">
            <w:pPr>
              <w:pStyle w:val="19"/>
              <w:numPr>
                <w:ilvl w:val="0"/>
                <w:numId w:val="10"/>
              </w:numPr>
            </w:pPr>
          </w:p>
        </w:tc>
        <w:tc>
          <w:tcPr>
            <w:tcW w:w="701" w:type="pct"/>
            <w:tcBorders>
              <w:tl2br w:val="nil"/>
              <w:tr2bl w:val="nil"/>
            </w:tcBorders>
            <w:vAlign w:val="center"/>
          </w:tcPr>
          <w:p w14:paraId="0ED09797">
            <w:pPr>
              <w:pStyle w:val="19"/>
            </w:pPr>
            <w:r>
              <w:t>pH值</w:t>
            </w:r>
          </w:p>
        </w:tc>
        <w:tc>
          <w:tcPr>
            <w:tcW w:w="794" w:type="pct"/>
            <w:tcBorders>
              <w:tl2br w:val="nil"/>
              <w:tr2bl w:val="nil"/>
            </w:tcBorders>
            <w:vAlign w:val="center"/>
          </w:tcPr>
          <w:p w14:paraId="3ABCCEEC">
            <w:pPr>
              <w:pStyle w:val="19"/>
            </w:pPr>
            <w:r>
              <w:t>6.5≤pH≤8.5</w:t>
            </w:r>
          </w:p>
        </w:tc>
        <w:tc>
          <w:tcPr>
            <w:tcW w:w="533" w:type="pct"/>
            <w:tcBorders>
              <w:tl2br w:val="nil"/>
              <w:tr2bl w:val="nil"/>
            </w:tcBorders>
            <w:vAlign w:val="center"/>
          </w:tcPr>
          <w:p w14:paraId="763C0650">
            <w:pPr>
              <w:pStyle w:val="19"/>
              <w:rPr>
                <w:rFonts w:hint="default" w:eastAsia="宋体"/>
                <w:lang w:val="en-US" w:eastAsia="zh-CN"/>
              </w:rPr>
            </w:pPr>
            <w:r>
              <w:rPr>
                <w:rFonts w:hint="eastAsia"/>
                <w:lang w:val="en-US" w:eastAsia="zh-CN"/>
              </w:rPr>
              <w:t>7.1</w:t>
            </w:r>
          </w:p>
        </w:tc>
        <w:tc>
          <w:tcPr>
            <w:tcW w:w="533" w:type="pct"/>
            <w:tcBorders>
              <w:tl2br w:val="nil"/>
              <w:tr2bl w:val="nil"/>
            </w:tcBorders>
            <w:vAlign w:val="center"/>
          </w:tcPr>
          <w:p w14:paraId="54BD36C9">
            <w:pPr>
              <w:pStyle w:val="19"/>
              <w:rPr>
                <w:rFonts w:hint="default" w:eastAsia="宋体"/>
                <w:lang w:val="en-US" w:eastAsia="zh-CN"/>
              </w:rPr>
            </w:pPr>
            <w:r>
              <w:rPr>
                <w:rFonts w:hint="eastAsia"/>
                <w:lang w:val="en-US" w:eastAsia="zh-CN"/>
              </w:rPr>
              <w:t>0.07</w:t>
            </w:r>
          </w:p>
        </w:tc>
        <w:tc>
          <w:tcPr>
            <w:tcW w:w="533" w:type="pct"/>
            <w:tcBorders>
              <w:tl2br w:val="nil"/>
              <w:tr2bl w:val="nil"/>
            </w:tcBorders>
            <w:vAlign w:val="center"/>
          </w:tcPr>
          <w:p w14:paraId="1D9074B2">
            <w:pPr>
              <w:pStyle w:val="19"/>
              <w:rPr>
                <w:rFonts w:hint="default" w:eastAsia="宋体"/>
                <w:lang w:val="en-US" w:eastAsia="zh-CN"/>
              </w:rPr>
            </w:pPr>
            <w:r>
              <w:rPr>
                <w:rFonts w:hint="eastAsia"/>
                <w:lang w:val="en-US" w:eastAsia="zh-CN"/>
              </w:rPr>
              <w:t>7.2</w:t>
            </w:r>
          </w:p>
        </w:tc>
        <w:tc>
          <w:tcPr>
            <w:tcW w:w="533" w:type="pct"/>
            <w:gridSpan w:val="2"/>
            <w:tcBorders>
              <w:tl2br w:val="nil"/>
              <w:tr2bl w:val="nil"/>
            </w:tcBorders>
            <w:vAlign w:val="center"/>
          </w:tcPr>
          <w:p w14:paraId="45B3CEF5">
            <w:pPr>
              <w:pStyle w:val="19"/>
              <w:rPr>
                <w:rFonts w:hint="default" w:eastAsia="宋体"/>
                <w:lang w:val="en-US" w:eastAsia="zh-CN"/>
              </w:rPr>
            </w:pPr>
            <w:r>
              <w:rPr>
                <w:rFonts w:hint="eastAsia"/>
                <w:lang w:val="en-US" w:eastAsia="zh-CN"/>
              </w:rPr>
              <w:t>0.13</w:t>
            </w:r>
          </w:p>
        </w:tc>
        <w:tc>
          <w:tcPr>
            <w:tcW w:w="533" w:type="pct"/>
            <w:tcBorders>
              <w:tl2br w:val="nil"/>
              <w:tr2bl w:val="nil"/>
            </w:tcBorders>
            <w:vAlign w:val="center"/>
          </w:tcPr>
          <w:p w14:paraId="5D5C2881">
            <w:pPr>
              <w:pStyle w:val="19"/>
              <w:rPr>
                <w:rFonts w:hint="default" w:eastAsia="宋体"/>
                <w:lang w:val="en-US" w:eastAsia="zh-CN"/>
              </w:rPr>
            </w:pPr>
            <w:r>
              <w:rPr>
                <w:rFonts w:hint="eastAsia"/>
                <w:lang w:val="en-US" w:eastAsia="zh-CN"/>
              </w:rPr>
              <w:t>6.9</w:t>
            </w:r>
          </w:p>
        </w:tc>
        <w:tc>
          <w:tcPr>
            <w:tcW w:w="533" w:type="pct"/>
            <w:tcBorders>
              <w:tl2br w:val="nil"/>
              <w:tr2bl w:val="nil"/>
            </w:tcBorders>
            <w:vAlign w:val="center"/>
          </w:tcPr>
          <w:p w14:paraId="3DCF6858">
            <w:pPr>
              <w:pStyle w:val="19"/>
              <w:rPr>
                <w:rFonts w:hint="default" w:eastAsia="宋体"/>
                <w:lang w:val="en-US" w:eastAsia="zh-CN"/>
              </w:rPr>
            </w:pPr>
            <w:r>
              <w:rPr>
                <w:rFonts w:hint="eastAsia"/>
                <w:lang w:val="en-US" w:eastAsia="zh-CN"/>
              </w:rPr>
              <w:t>0.2</w:t>
            </w:r>
          </w:p>
        </w:tc>
      </w:tr>
      <w:tr w14:paraId="60ED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3FEDD749">
            <w:pPr>
              <w:pStyle w:val="19"/>
              <w:numPr>
                <w:ilvl w:val="0"/>
                <w:numId w:val="10"/>
              </w:numPr>
            </w:pPr>
          </w:p>
        </w:tc>
        <w:tc>
          <w:tcPr>
            <w:tcW w:w="701" w:type="pct"/>
            <w:tcBorders>
              <w:tl2br w:val="nil"/>
              <w:tr2bl w:val="nil"/>
            </w:tcBorders>
            <w:vAlign w:val="center"/>
          </w:tcPr>
          <w:p w14:paraId="00BED380">
            <w:pPr>
              <w:pStyle w:val="19"/>
            </w:pPr>
            <w:r>
              <w:t>总硬度</w:t>
            </w:r>
          </w:p>
        </w:tc>
        <w:tc>
          <w:tcPr>
            <w:tcW w:w="794" w:type="pct"/>
            <w:tcBorders>
              <w:tl2br w:val="nil"/>
              <w:tr2bl w:val="nil"/>
            </w:tcBorders>
            <w:vAlign w:val="center"/>
          </w:tcPr>
          <w:p w14:paraId="6EC2EA0C">
            <w:pPr>
              <w:pStyle w:val="19"/>
            </w:pPr>
            <w:r>
              <w:t>≤450mg/L</w:t>
            </w:r>
          </w:p>
        </w:tc>
        <w:tc>
          <w:tcPr>
            <w:tcW w:w="533" w:type="pct"/>
            <w:tcBorders>
              <w:tl2br w:val="nil"/>
              <w:tr2bl w:val="nil"/>
            </w:tcBorders>
            <w:shd w:val="clear" w:color="auto" w:fill="auto"/>
            <w:vAlign w:val="center"/>
          </w:tcPr>
          <w:p w14:paraId="7D172464">
            <w:pPr>
              <w:pStyle w:val="19"/>
              <w:rPr>
                <w:rFonts w:hint="default" w:eastAsia="宋体"/>
                <w:lang w:val="en-US" w:eastAsia="zh-CN"/>
              </w:rPr>
            </w:pPr>
            <w:r>
              <w:rPr>
                <w:rFonts w:hint="eastAsia"/>
                <w:lang w:val="en-US" w:eastAsia="zh-CN"/>
              </w:rPr>
              <w:t>113</w:t>
            </w:r>
          </w:p>
        </w:tc>
        <w:tc>
          <w:tcPr>
            <w:tcW w:w="533" w:type="pct"/>
            <w:tcBorders>
              <w:tl2br w:val="nil"/>
              <w:tr2bl w:val="nil"/>
            </w:tcBorders>
            <w:shd w:val="clear" w:color="auto" w:fill="auto"/>
            <w:vAlign w:val="center"/>
          </w:tcPr>
          <w:p w14:paraId="5EABF8EB">
            <w:pPr>
              <w:pStyle w:val="19"/>
              <w:rPr>
                <w:rFonts w:hint="default" w:eastAsia="宋体"/>
                <w:lang w:val="en-US" w:eastAsia="zh-CN"/>
              </w:rPr>
            </w:pPr>
            <w:r>
              <w:rPr>
                <w:rFonts w:hint="eastAsia"/>
                <w:lang w:val="en-US" w:eastAsia="zh-CN"/>
              </w:rPr>
              <w:t>0.25</w:t>
            </w:r>
          </w:p>
        </w:tc>
        <w:tc>
          <w:tcPr>
            <w:tcW w:w="533" w:type="pct"/>
            <w:tcBorders>
              <w:tl2br w:val="nil"/>
              <w:tr2bl w:val="nil"/>
            </w:tcBorders>
            <w:shd w:val="clear" w:color="auto" w:fill="auto"/>
            <w:vAlign w:val="center"/>
          </w:tcPr>
          <w:p w14:paraId="77FC8A67">
            <w:pPr>
              <w:pStyle w:val="19"/>
              <w:rPr>
                <w:rFonts w:hint="default" w:eastAsia="宋体"/>
                <w:lang w:val="en-US" w:eastAsia="zh-CN"/>
              </w:rPr>
            </w:pPr>
            <w:r>
              <w:rPr>
                <w:rFonts w:hint="eastAsia"/>
                <w:lang w:val="en-US" w:eastAsia="zh-CN"/>
              </w:rPr>
              <w:t>98</w:t>
            </w:r>
          </w:p>
        </w:tc>
        <w:tc>
          <w:tcPr>
            <w:tcW w:w="533" w:type="pct"/>
            <w:gridSpan w:val="2"/>
            <w:tcBorders>
              <w:tl2br w:val="nil"/>
              <w:tr2bl w:val="nil"/>
            </w:tcBorders>
            <w:shd w:val="clear" w:color="auto" w:fill="auto"/>
            <w:vAlign w:val="center"/>
          </w:tcPr>
          <w:p w14:paraId="610E4F97">
            <w:pPr>
              <w:pStyle w:val="19"/>
              <w:rPr>
                <w:rFonts w:hint="default" w:eastAsia="宋体"/>
                <w:lang w:val="en-US" w:eastAsia="zh-CN"/>
              </w:rPr>
            </w:pPr>
            <w:r>
              <w:rPr>
                <w:rFonts w:hint="eastAsia"/>
                <w:lang w:val="en-US" w:eastAsia="zh-CN"/>
              </w:rPr>
              <w:t>0.22</w:t>
            </w:r>
          </w:p>
        </w:tc>
        <w:tc>
          <w:tcPr>
            <w:tcW w:w="533" w:type="pct"/>
            <w:tcBorders>
              <w:tl2br w:val="nil"/>
              <w:tr2bl w:val="nil"/>
            </w:tcBorders>
            <w:shd w:val="clear" w:color="auto" w:fill="auto"/>
            <w:vAlign w:val="center"/>
          </w:tcPr>
          <w:p w14:paraId="4366C779">
            <w:pPr>
              <w:pStyle w:val="19"/>
              <w:rPr>
                <w:rFonts w:hint="default" w:eastAsia="宋体"/>
                <w:lang w:val="en-US" w:eastAsia="zh-CN"/>
              </w:rPr>
            </w:pPr>
            <w:r>
              <w:rPr>
                <w:rFonts w:hint="eastAsia"/>
                <w:lang w:val="en-US" w:eastAsia="zh-CN"/>
              </w:rPr>
              <w:t>114</w:t>
            </w:r>
          </w:p>
        </w:tc>
        <w:tc>
          <w:tcPr>
            <w:tcW w:w="533" w:type="pct"/>
            <w:tcBorders>
              <w:tl2br w:val="nil"/>
              <w:tr2bl w:val="nil"/>
            </w:tcBorders>
            <w:shd w:val="clear" w:color="auto" w:fill="auto"/>
            <w:vAlign w:val="center"/>
          </w:tcPr>
          <w:p w14:paraId="696F7E6E">
            <w:pPr>
              <w:pStyle w:val="19"/>
              <w:rPr>
                <w:rFonts w:hint="default" w:eastAsia="宋体"/>
                <w:lang w:val="en-US" w:eastAsia="zh-CN"/>
              </w:rPr>
            </w:pPr>
            <w:r>
              <w:rPr>
                <w:rFonts w:hint="eastAsia"/>
                <w:lang w:val="en-US" w:eastAsia="zh-CN"/>
              </w:rPr>
              <w:t>0.25</w:t>
            </w:r>
          </w:p>
        </w:tc>
      </w:tr>
      <w:tr w14:paraId="74CA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5A5C60FE">
            <w:pPr>
              <w:pStyle w:val="19"/>
              <w:numPr>
                <w:ilvl w:val="0"/>
                <w:numId w:val="10"/>
              </w:numPr>
            </w:pPr>
          </w:p>
        </w:tc>
        <w:tc>
          <w:tcPr>
            <w:tcW w:w="701" w:type="pct"/>
            <w:tcBorders>
              <w:tl2br w:val="nil"/>
              <w:tr2bl w:val="nil"/>
            </w:tcBorders>
            <w:vAlign w:val="center"/>
          </w:tcPr>
          <w:p w14:paraId="47B5D146">
            <w:pPr>
              <w:pStyle w:val="19"/>
              <w:rPr>
                <w:rFonts w:hint="default" w:eastAsia="宋体"/>
                <w:lang w:val="en-US" w:eastAsia="zh-CN"/>
              </w:rPr>
            </w:pPr>
            <w:r>
              <w:rPr>
                <w:rFonts w:hint="eastAsia"/>
                <w:lang w:val="en-US" w:eastAsia="zh-CN"/>
              </w:rPr>
              <w:t>耗氧量（高猛酸盐指数）</w:t>
            </w:r>
          </w:p>
        </w:tc>
        <w:tc>
          <w:tcPr>
            <w:tcW w:w="794" w:type="pct"/>
            <w:tcBorders>
              <w:tl2br w:val="nil"/>
              <w:tr2bl w:val="nil"/>
            </w:tcBorders>
            <w:vAlign w:val="center"/>
          </w:tcPr>
          <w:p w14:paraId="1E888B08">
            <w:pPr>
              <w:pStyle w:val="19"/>
            </w:pPr>
            <w:r>
              <w:t>≤</w:t>
            </w:r>
            <w:r>
              <w:rPr>
                <w:rFonts w:hint="eastAsia"/>
                <w:lang w:val="en-US" w:eastAsia="zh-CN"/>
              </w:rPr>
              <w:t>3.</w:t>
            </w:r>
            <w:r>
              <w:t>0mg/L</w:t>
            </w:r>
          </w:p>
        </w:tc>
        <w:tc>
          <w:tcPr>
            <w:tcW w:w="533" w:type="pct"/>
            <w:tcBorders>
              <w:tl2br w:val="nil"/>
              <w:tr2bl w:val="nil"/>
            </w:tcBorders>
            <w:shd w:val="clear" w:color="auto" w:fill="auto"/>
            <w:vAlign w:val="center"/>
          </w:tcPr>
          <w:p w14:paraId="6372112E">
            <w:pPr>
              <w:pStyle w:val="19"/>
              <w:rPr>
                <w:rFonts w:hint="default"/>
                <w:lang w:val="en-US" w:eastAsia="zh-CN"/>
              </w:rPr>
            </w:pPr>
            <w:r>
              <w:rPr>
                <w:rFonts w:hint="eastAsia"/>
                <w:lang w:val="en-US" w:eastAsia="zh-CN"/>
              </w:rPr>
              <w:t>2.1</w:t>
            </w:r>
          </w:p>
        </w:tc>
        <w:tc>
          <w:tcPr>
            <w:tcW w:w="533" w:type="pct"/>
            <w:tcBorders>
              <w:tl2br w:val="nil"/>
              <w:tr2bl w:val="nil"/>
            </w:tcBorders>
            <w:shd w:val="clear" w:color="auto" w:fill="auto"/>
            <w:vAlign w:val="center"/>
          </w:tcPr>
          <w:p w14:paraId="4BDFC868">
            <w:pPr>
              <w:pStyle w:val="19"/>
              <w:rPr>
                <w:rFonts w:hint="default" w:eastAsia="宋体"/>
                <w:lang w:val="en-US" w:eastAsia="zh-CN"/>
              </w:rPr>
            </w:pPr>
            <w:r>
              <w:rPr>
                <w:rFonts w:hint="eastAsia"/>
                <w:lang w:val="en-US" w:eastAsia="zh-CN"/>
              </w:rPr>
              <w:t>0.7</w:t>
            </w:r>
          </w:p>
        </w:tc>
        <w:tc>
          <w:tcPr>
            <w:tcW w:w="533" w:type="pct"/>
            <w:tcBorders>
              <w:tl2br w:val="nil"/>
              <w:tr2bl w:val="nil"/>
            </w:tcBorders>
            <w:shd w:val="clear" w:color="auto" w:fill="auto"/>
            <w:vAlign w:val="center"/>
          </w:tcPr>
          <w:p w14:paraId="785E17BA">
            <w:pPr>
              <w:pStyle w:val="19"/>
              <w:rPr>
                <w:rFonts w:hint="default"/>
                <w:lang w:val="en-US" w:eastAsia="zh-CN"/>
              </w:rPr>
            </w:pPr>
            <w:r>
              <w:rPr>
                <w:rFonts w:hint="eastAsia"/>
                <w:lang w:val="en-US" w:eastAsia="zh-CN"/>
              </w:rPr>
              <w:t>1.9</w:t>
            </w:r>
          </w:p>
        </w:tc>
        <w:tc>
          <w:tcPr>
            <w:tcW w:w="533" w:type="pct"/>
            <w:gridSpan w:val="2"/>
            <w:tcBorders>
              <w:tl2br w:val="nil"/>
              <w:tr2bl w:val="nil"/>
            </w:tcBorders>
            <w:shd w:val="clear" w:color="auto" w:fill="auto"/>
            <w:vAlign w:val="center"/>
          </w:tcPr>
          <w:p w14:paraId="7407B61F">
            <w:pPr>
              <w:pStyle w:val="19"/>
              <w:rPr>
                <w:rFonts w:hint="default" w:eastAsia="宋体"/>
                <w:lang w:val="en-US" w:eastAsia="zh-CN"/>
              </w:rPr>
            </w:pPr>
            <w:r>
              <w:rPr>
                <w:rFonts w:hint="eastAsia"/>
                <w:lang w:val="en-US" w:eastAsia="zh-CN"/>
              </w:rPr>
              <w:t>0.63</w:t>
            </w:r>
          </w:p>
        </w:tc>
        <w:tc>
          <w:tcPr>
            <w:tcW w:w="533" w:type="pct"/>
            <w:tcBorders>
              <w:tl2br w:val="nil"/>
              <w:tr2bl w:val="nil"/>
            </w:tcBorders>
            <w:shd w:val="clear" w:color="auto" w:fill="auto"/>
            <w:vAlign w:val="center"/>
          </w:tcPr>
          <w:p w14:paraId="18A7BD65">
            <w:pPr>
              <w:pStyle w:val="19"/>
              <w:rPr>
                <w:rFonts w:hint="default"/>
                <w:lang w:val="en-US" w:eastAsia="zh-CN"/>
              </w:rPr>
            </w:pPr>
            <w:r>
              <w:rPr>
                <w:rFonts w:hint="eastAsia"/>
                <w:lang w:val="en-US" w:eastAsia="zh-CN"/>
              </w:rPr>
              <w:t>2.0</w:t>
            </w:r>
          </w:p>
        </w:tc>
        <w:tc>
          <w:tcPr>
            <w:tcW w:w="533" w:type="pct"/>
            <w:tcBorders>
              <w:tl2br w:val="nil"/>
              <w:tr2bl w:val="nil"/>
            </w:tcBorders>
            <w:shd w:val="clear" w:color="auto" w:fill="auto"/>
            <w:vAlign w:val="center"/>
          </w:tcPr>
          <w:p w14:paraId="04BB485F">
            <w:pPr>
              <w:pStyle w:val="19"/>
              <w:rPr>
                <w:rFonts w:hint="default" w:eastAsia="宋体"/>
                <w:lang w:val="en-US" w:eastAsia="zh-CN"/>
              </w:rPr>
            </w:pPr>
            <w:r>
              <w:rPr>
                <w:rFonts w:hint="eastAsia"/>
                <w:lang w:val="en-US" w:eastAsia="zh-CN"/>
              </w:rPr>
              <w:t>0.67</w:t>
            </w:r>
          </w:p>
        </w:tc>
      </w:tr>
      <w:tr w14:paraId="3302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351890C2">
            <w:pPr>
              <w:pStyle w:val="19"/>
              <w:numPr>
                <w:ilvl w:val="0"/>
                <w:numId w:val="10"/>
              </w:numPr>
            </w:pPr>
          </w:p>
        </w:tc>
        <w:tc>
          <w:tcPr>
            <w:tcW w:w="701" w:type="pct"/>
            <w:tcBorders>
              <w:tl2br w:val="nil"/>
              <w:tr2bl w:val="nil"/>
            </w:tcBorders>
            <w:vAlign w:val="center"/>
          </w:tcPr>
          <w:p w14:paraId="6F4B36F3">
            <w:pPr>
              <w:pStyle w:val="19"/>
            </w:pPr>
            <w:r>
              <w:t>溶解性总固体</w:t>
            </w:r>
          </w:p>
        </w:tc>
        <w:tc>
          <w:tcPr>
            <w:tcW w:w="794" w:type="pct"/>
            <w:tcBorders>
              <w:tl2br w:val="nil"/>
              <w:tr2bl w:val="nil"/>
            </w:tcBorders>
            <w:vAlign w:val="center"/>
          </w:tcPr>
          <w:p w14:paraId="3A13539B">
            <w:pPr>
              <w:pStyle w:val="19"/>
            </w:pPr>
            <w:r>
              <w:t>≤1000mg/L</w:t>
            </w:r>
          </w:p>
        </w:tc>
        <w:tc>
          <w:tcPr>
            <w:tcW w:w="533" w:type="pct"/>
            <w:tcBorders>
              <w:tl2br w:val="nil"/>
              <w:tr2bl w:val="nil"/>
            </w:tcBorders>
            <w:shd w:val="clear" w:color="auto" w:fill="auto"/>
            <w:vAlign w:val="center"/>
          </w:tcPr>
          <w:p w14:paraId="260BBDF4">
            <w:pPr>
              <w:pStyle w:val="19"/>
              <w:rPr>
                <w:rFonts w:hint="default" w:eastAsia="宋体"/>
                <w:lang w:val="en-US" w:eastAsia="zh-CN"/>
              </w:rPr>
            </w:pPr>
            <w:r>
              <w:rPr>
                <w:rFonts w:hint="eastAsia"/>
                <w:lang w:val="en-US" w:eastAsia="zh-CN"/>
              </w:rPr>
              <w:t>314</w:t>
            </w:r>
          </w:p>
        </w:tc>
        <w:tc>
          <w:tcPr>
            <w:tcW w:w="533" w:type="pct"/>
            <w:tcBorders>
              <w:tl2br w:val="nil"/>
              <w:tr2bl w:val="nil"/>
            </w:tcBorders>
            <w:shd w:val="clear" w:color="auto" w:fill="auto"/>
            <w:vAlign w:val="center"/>
          </w:tcPr>
          <w:p w14:paraId="67A88B7B">
            <w:pPr>
              <w:pStyle w:val="19"/>
              <w:rPr>
                <w:rFonts w:hint="default" w:eastAsia="宋体"/>
                <w:lang w:val="en-US" w:eastAsia="zh-CN"/>
              </w:rPr>
            </w:pPr>
            <w:r>
              <w:rPr>
                <w:rFonts w:hint="eastAsia"/>
                <w:lang w:val="en-US" w:eastAsia="zh-CN"/>
              </w:rPr>
              <w:t>0.314</w:t>
            </w:r>
          </w:p>
        </w:tc>
        <w:tc>
          <w:tcPr>
            <w:tcW w:w="533" w:type="pct"/>
            <w:tcBorders>
              <w:tl2br w:val="nil"/>
              <w:tr2bl w:val="nil"/>
            </w:tcBorders>
            <w:shd w:val="clear" w:color="auto" w:fill="auto"/>
            <w:vAlign w:val="center"/>
          </w:tcPr>
          <w:p w14:paraId="2134AD7F">
            <w:pPr>
              <w:pStyle w:val="19"/>
              <w:rPr>
                <w:rFonts w:hint="default" w:eastAsia="宋体"/>
                <w:lang w:val="en-US" w:eastAsia="zh-CN"/>
              </w:rPr>
            </w:pPr>
            <w:r>
              <w:rPr>
                <w:rFonts w:hint="eastAsia"/>
                <w:lang w:val="en-US" w:eastAsia="zh-CN"/>
              </w:rPr>
              <w:t>304</w:t>
            </w:r>
          </w:p>
        </w:tc>
        <w:tc>
          <w:tcPr>
            <w:tcW w:w="533" w:type="pct"/>
            <w:gridSpan w:val="2"/>
            <w:tcBorders>
              <w:tl2br w:val="nil"/>
              <w:tr2bl w:val="nil"/>
            </w:tcBorders>
            <w:shd w:val="clear" w:color="auto" w:fill="auto"/>
            <w:vAlign w:val="center"/>
          </w:tcPr>
          <w:p w14:paraId="753E3415">
            <w:pPr>
              <w:pStyle w:val="19"/>
              <w:rPr>
                <w:rFonts w:hint="default" w:eastAsia="宋体"/>
                <w:lang w:val="en-US" w:eastAsia="zh-CN"/>
              </w:rPr>
            </w:pPr>
            <w:r>
              <w:rPr>
                <w:rFonts w:hint="eastAsia"/>
                <w:lang w:val="en-US" w:eastAsia="zh-CN"/>
              </w:rPr>
              <w:t>0.304</w:t>
            </w:r>
          </w:p>
        </w:tc>
        <w:tc>
          <w:tcPr>
            <w:tcW w:w="533" w:type="pct"/>
            <w:tcBorders>
              <w:tl2br w:val="nil"/>
              <w:tr2bl w:val="nil"/>
            </w:tcBorders>
            <w:shd w:val="clear" w:color="auto" w:fill="auto"/>
            <w:vAlign w:val="center"/>
          </w:tcPr>
          <w:p w14:paraId="36654B42">
            <w:pPr>
              <w:pStyle w:val="19"/>
              <w:rPr>
                <w:rFonts w:hint="default" w:eastAsia="宋体"/>
                <w:lang w:val="en-US" w:eastAsia="zh-CN"/>
              </w:rPr>
            </w:pPr>
            <w:r>
              <w:rPr>
                <w:rFonts w:hint="eastAsia"/>
                <w:lang w:val="en-US" w:eastAsia="zh-CN"/>
              </w:rPr>
              <w:t>320</w:t>
            </w:r>
          </w:p>
        </w:tc>
        <w:tc>
          <w:tcPr>
            <w:tcW w:w="533" w:type="pct"/>
            <w:tcBorders>
              <w:tl2br w:val="nil"/>
              <w:tr2bl w:val="nil"/>
            </w:tcBorders>
            <w:shd w:val="clear" w:color="auto" w:fill="auto"/>
            <w:vAlign w:val="center"/>
          </w:tcPr>
          <w:p w14:paraId="328D6C34">
            <w:pPr>
              <w:pStyle w:val="19"/>
              <w:rPr>
                <w:rFonts w:hint="default" w:eastAsia="宋体"/>
                <w:lang w:val="en-US" w:eastAsia="zh-CN"/>
              </w:rPr>
            </w:pPr>
            <w:r>
              <w:rPr>
                <w:rFonts w:hint="eastAsia"/>
                <w:lang w:val="en-US" w:eastAsia="zh-CN"/>
              </w:rPr>
              <w:t>0.32</w:t>
            </w:r>
          </w:p>
        </w:tc>
      </w:tr>
      <w:tr w14:paraId="35FF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040C3270">
            <w:pPr>
              <w:pStyle w:val="19"/>
              <w:numPr>
                <w:ilvl w:val="0"/>
                <w:numId w:val="10"/>
              </w:numPr>
            </w:pPr>
          </w:p>
        </w:tc>
        <w:tc>
          <w:tcPr>
            <w:tcW w:w="701" w:type="pct"/>
            <w:tcBorders>
              <w:tl2br w:val="nil"/>
              <w:tr2bl w:val="nil"/>
            </w:tcBorders>
            <w:vAlign w:val="center"/>
          </w:tcPr>
          <w:p w14:paraId="1565A1BF">
            <w:pPr>
              <w:pStyle w:val="19"/>
              <w:ind w:firstLine="0" w:firstLineChars="0"/>
              <w:rPr>
                <w:rFonts w:ascii="Times New Roman" w:hAnsi="Times New Roman" w:eastAsia="宋体" w:cs="Times New Roman"/>
                <w:kern w:val="2"/>
                <w:sz w:val="21"/>
                <w:szCs w:val="22"/>
                <w:lang w:val="en-US" w:eastAsia="zh-CN" w:bidi="ar-SA"/>
              </w:rPr>
            </w:pPr>
            <w:r>
              <w:t>氨氮</w:t>
            </w:r>
          </w:p>
        </w:tc>
        <w:tc>
          <w:tcPr>
            <w:tcW w:w="794" w:type="pct"/>
            <w:tcBorders>
              <w:tl2br w:val="nil"/>
              <w:tr2bl w:val="nil"/>
            </w:tcBorders>
            <w:vAlign w:val="center"/>
          </w:tcPr>
          <w:p w14:paraId="27096EBC">
            <w:pPr>
              <w:pStyle w:val="19"/>
              <w:ind w:firstLine="0" w:firstLineChars="0"/>
              <w:rPr>
                <w:rFonts w:ascii="Times New Roman" w:hAnsi="Times New Roman" w:eastAsia="宋体" w:cs="Times New Roman"/>
                <w:kern w:val="2"/>
                <w:sz w:val="21"/>
                <w:szCs w:val="22"/>
                <w:lang w:val="en-US" w:eastAsia="zh-CN" w:bidi="ar-SA"/>
              </w:rPr>
            </w:pPr>
            <w:r>
              <w:t>≤0.50mg/L</w:t>
            </w:r>
          </w:p>
        </w:tc>
        <w:tc>
          <w:tcPr>
            <w:tcW w:w="533" w:type="pct"/>
            <w:tcBorders>
              <w:tl2br w:val="nil"/>
              <w:tr2bl w:val="nil"/>
            </w:tcBorders>
            <w:vAlign w:val="center"/>
          </w:tcPr>
          <w:p w14:paraId="7809C577">
            <w:pPr>
              <w:pStyle w:val="19"/>
              <w:rPr>
                <w:rFonts w:hint="default" w:eastAsia="宋体"/>
                <w:lang w:val="en-US" w:eastAsia="zh-CN"/>
              </w:rPr>
            </w:pPr>
            <w:r>
              <w:rPr>
                <w:rFonts w:hint="eastAsia"/>
                <w:lang w:val="en-US" w:eastAsia="zh-CN"/>
              </w:rPr>
              <w:t>0.030</w:t>
            </w:r>
          </w:p>
        </w:tc>
        <w:tc>
          <w:tcPr>
            <w:tcW w:w="533" w:type="pct"/>
            <w:tcBorders>
              <w:tl2br w:val="nil"/>
              <w:tr2bl w:val="nil"/>
            </w:tcBorders>
            <w:vAlign w:val="center"/>
          </w:tcPr>
          <w:p w14:paraId="35231EE2">
            <w:pPr>
              <w:pStyle w:val="19"/>
              <w:rPr>
                <w:rFonts w:hint="default" w:eastAsia="宋体"/>
                <w:lang w:val="en-US" w:eastAsia="zh-CN"/>
              </w:rPr>
            </w:pPr>
            <w:r>
              <w:rPr>
                <w:rFonts w:hint="eastAsia"/>
                <w:lang w:val="en-US" w:eastAsia="zh-CN"/>
              </w:rPr>
              <w:t>0.06</w:t>
            </w:r>
          </w:p>
        </w:tc>
        <w:tc>
          <w:tcPr>
            <w:tcW w:w="533" w:type="pct"/>
            <w:tcBorders>
              <w:tl2br w:val="nil"/>
              <w:tr2bl w:val="nil"/>
            </w:tcBorders>
            <w:vAlign w:val="center"/>
          </w:tcPr>
          <w:p w14:paraId="49E5EBD2">
            <w:pPr>
              <w:pStyle w:val="19"/>
              <w:rPr>
                <w:rFonts w:hint="default" w:eastAsia="宋体"/>
                <w:lang w:val="en-US" w:eastAsia="zh-CN"/>
              </w:rPr>
            </w:pPr>
            <w:r>
              <w:rPr>
                <w:rFonts w:hint="eastAsia"/>
                <w:lang w:val="en-US" w:eastAsia="zh-CN"/>
              </w:rPr>
              <w:t>0.042</w:t>
            </w:r>
          </w:p>
        </w:tc>
        <w:tc>
          <w:tcPr>
            <w:tcW w:w="533" w:type="pct"/>
            <w:gridSpan w:val="2"/>
            <w:tcBorders>
              <w:tl2br w:val="nil"/>
              <w:tr2bl w:val="nil"/>
            </w:tcBorders>
            <w:vAlign w:val="center"/>
          </w:tcPr>
          <w:p w14:paraId="709602C3">
            <w:pPr>
              <w:pStyle w:val="19"/>
              <w:rPr>
                <w:rFonts w:hint="default" w:eastAsia="宋体"/>
                <w:lang w:val="en-US" w:eastAsia="zh-CN"/>
              </w:rPr>
            </w:pPr>
            <w:r>
              <w:rPr>
                <w:rFonts w:hint="eastAsia"/>
                <w:lang w:val="en-US" w:eastAsia="zh-CN"/>
              </w:rPr>
              <w:t>0.084</w:t>
            </w:r>
          </w:p>
        </w:tc>
        <w:tc>
          <w:tcPr>
            <w:tcW w:w="533" w:type="pct"/>
            <w:tcBorders>
              <w:tl2br w:val="nil"/>
              <w:tr2bl w:val="nil"/>
            </w:tcBorders>
            <w:vAlign w:val="center"/>
          </w:tcPr>
          <w:p w14:paraId="1750265D">
            <w:pPr>
              <w:pStyle w:val="19"/>
              <w:rPr>
                <w:rFonts w:hint="default" w:eastAsia="宋体"/>
                <w:lang w:val="en-US" w:eastAsia="zh-CN"/>
              </w:rPr>
            </w:pPr>
            <w:r>
              <w:rPr>
                <w:rFonts w:hint="eastAsia"/>
                <w:lang w:val="en-US" w:eastAsia="zh-CN"/>
              </w:rPr>
              <w:t>0.035</w:t>
            </w:r>
          </w:p>
        </w:tc>
        <w:tc>
          <w:tcPr>
            <w:tcW w:w="533" w:type="pct"/>
            <w:tcBorders>
              <w:tl2br w:val="nil"/>
              <w:tr2bl w:val="nil"/>
            </w:tcBorders>
            <w:vAlign w:val="center"/>
          </w:tcPr>
          <w:p w14:paraId="6699A84F">
            <w:pPr>
              <w:pStyle w:val="19"/>
              <w:rPr>
                <w:rFonts w:hint="default" w:eastAsia="宋体"/>
                <w:lang w:val="en-US" w:eastAsia="zh-CN"/>
              </w:rPr>
            </w:pPr>
            <w:r>
              <w:rPr>
                <w:rFonts w:hint="eastAsia"/>
                <w:lang w:val="en-US" w:eastAsia="zh-CN"/>
              </w:rPr>
              <w:t>0.07</w:t>
            </w:r>
          </w:p>
        </w:tc>
      </w:tr>
      <w:tr w14:paraId="5492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14B0A2FE">
            <w:pPr>
              <w:pStyle w:val="19"/>
              <w:numPr>
                <w:ilvl w:val="0"/>
                <w:numId w:val="10"/>
              </w:numPr>
            </w:pPr>
          </w:p>
        </w:tc>
        <w:tc>
          <w:tcPr>
            <w:tcW w:w="701" w:type="pct"/>
            <w:tcBorders>
              <w:tl2br w:val="nil"/>
              <w:tr2bl w:val="nil"/>
            </w:tcBorders>
            <w:vAlign w:val="center"/>
          </w:tcPr>
          <w:p w14:paraId="036C69FF">
            <w:pPr>
              <w:pStyle w:val="19"/>
              <w:ind w:firstLine="0" w:firstLineChars="0"/>
              <w:rPr>
                <w:rFonts w:hint="eastAsia" w:ascii="Times New Roman" w:hAnsi="Times New Roman" w:eastAsia="宋体" w:cs="Times New Roman"/>
                <w:kern w:val="2"/>
                <w:sz w:val="21"/>
                <w:szCs w:val="22"/>
                <w:lang w:val="en-US" w:eastAsia="zh-CN" w:bidi="ar-SA"/>
              </w:rPr>
            </w:pPr>
            <w:r>
              <w:t>硝酸盐</w:t>
            </w:r>
            <w:r>
              <w:rPr>
                <w:rFonts w:hint="eastAsia"/>
                <w:lang w:val="en-US" w:eastAsia="zh-CN"/>
              </w:rPr>
              <w:t>氮</w:t>
            </w:r>
          </w:p>
        </w:tc>
        <w:tc>
          <w:tcPr>
            <w:tcW w:w="794" w:type="pct"/>
            <w:tcBorders>
              <w:tl2br w:val="nil"/>
              <w:tr2bl w:val="nil"/>
            </w:tcBorders>
            <w:vAlign w:val="center"/>
          </w:tcPr>
          <w:p w14:paraId="480CCB71">
            <w:pPr>
              <w:pStyle w:val="19"/>
              <w:ind w:firstLine="0" w:firstLineChars="0"/>
              <w:rPr>
                <w:rFonts w:ascii="Times New Roman" w:hAnsi="Times New Roman" w:eastAsia="宋体" w:cs="Times New Roman"/>
                <w:kern w:val="2"/>
                <w:sz w:val="21"/>
                <w:szCs w:val="22"/>
                <w:lang w:val="en-US" w:eastAsia="zh-CN" w:bidi="ar-SA"/>
              </w:rPr>
            </w:pPr>
            <w:r>
              <w:t>≤20.0mg/L</w:t>
            </w:r>
          </w:p>
        </w:tc>
        <w:tc>
          <w:tcPr>
            <w:tcW w:w="533" w:type="pct"/>
            <w:tcBorders>
              <w:tl2br w:val="nil"/>
              <w:tr2bl w:val="nil"/>
            </w:tcBorders>
            <w:vAlign w:val="center"/>
          </w:tcPr>
          <w:p w14:paraId="14BF5794">
            <w:pPr>
              <w:pStyle w:val="19"/>
              <w:rPr>
                <w:rFonts w:hint="default" w:eastAsia="宋体"/>
                <w:lang w:val="en-US" w:eastAsia="zh-CN"/>
              </w:rPr>
            </w:pPr>
            <w:r>
              <w:rPr>
                <w:rFonts w:hint="eastAsia"/>
                <w:lang w:val="en-US" w:eastAsia="zh-CN"/>
              </w:rPr>
              <w:t>0.08</w:t>
            </w:r>
          </w:p>
        </w:tc>
        <w:tc>
          <w:tcPr>
            <w:tcW w:w="533" w:type="pct"/>
            <w:tcBorders>
              <w:tl2br w:val="nil"/>
              <w:tr2bl w:val="nil"/>
            </w:tcBorders>
            <w:vAlign w:val="center"/>
          </w:tcPr>
          <w:p w14:paraId="188A3831">
            <w:pPr>
              <w:pStyle w:val="19"/>
              <w:rPr>
                <w:rFonts w:hint="default" w:eastAsia="宋体"/>
                <w:lang w:val="en-US" w:eastAsia="zh-CN"/>
              </w:rPr>
            </w:pPr>
            <w:r>
              <w:rPr>
                <w:rFonts w:hint="eastAsia"/>
                <w:lang w:val="en-US" w:eastAsia="zh-CN"/>
              </w:rPr>
              <w:t>0.004</w:t>
            </w:r>
          </w:p>
        </w:tc>
        <w:tc>
          <w:tcPr>
            <w:tcW w:w="533" w:type="pct"/>
            <w:tcBorders>
              <w:tl2br w:val="nil"/>
              <w:tr2bl w:val="nil"/>
            </w:tcBorders>
            <w:vAlign w:val="center"/>
          </w:tcPr>
          <w:p w14:paraId="69398ACC">
            <w:pPr>
              <w:pStyle w:val="19"/>
              <w:rPr>
                <w:rFonts w:hint="default" w:eastAsia="宋体"/>
                <w:lang w:val="en-US" w:eastAsia="zh-CN"/>
              </w:rPr>
            </w:pPr>
            <w:r>
              <w:rPr>
                <w:rFonts w:hint="eastAsia"/>
                <w:lang w:val="en-US" w:eastAsia="zh-CN"/>
              </w:rPr>
              <w:t>0.39</w:t>
            </w:r>
          </w:p>
        </w:tc>
        <w:tc>
          <w:tcPr>
            <w:tcW w:w="533" w:type="pct"/>
            <w:gridSpan w:val="2"/>
            <w:tcBorders>
              <w:tl2br w:val="nil"/>
              <w:tr2bl w:val="nil"/>
            </w:tcBorders>
            <w:vAlign w:val="center"/>
          </w:tcPr>
          <w:p w14:paraId="66A2F68A">
            <w:pPr>
              <w:pStyle w:val="19"/>
              <w:rPr>
                <w:rFonts w:hint="default" w:eastAsia="宋体"/>
                <w:lang w:val="en-US" w:eastAsia="zh-CN"/>
              </w:rPr>
            </w:pPr>
            <w:r>
              <w:rPr>
                <w:rFonts w:hint="eastAsia"/>
                <w:lang w:val="en-US" w:eastAsia="zh-CN"/>
              </w:rPr>
              <w:t>0.0195</w:t>
            </w:r>
          </w:p>
        </w:tc>
        <w:tc>
          <w:tcPr>
            <w:tcW w:w="533" w:type="pct"/>
            <w:tcBorders>
              <w:tl2br w:val="nil"/>
              <w:tr2bl w:val="nil"/>
            </w:tcBorders>
            <w:vAlign w:val="center"/>
          </w:tcPr>
          <w:p w14:paraId="58B9E105">
            <w:pPr>
              <w:pStyle w:val="19"/>
              <w:rPr>
                <w:rFonts w:hint="default" w:eastAsia="宋体"/>
                <w:lang w:val="en-US" w:eastAsia="zh-CN"/>
              </w:rPr>
            </w:pPr>
            <w:r>
              <w:rPr>
                <w:rFonts w:hint="eastAsia"/>
                <w:lang w:val="en-US" w:eastAsia="zh-CN"/>
              </w:rPr>
              <w:t>0.08</w:t>
            </w:r>
          </w:p>
        </w:tc>
        <w:tc>
          <w:tcPr>
            <w:tcW w:w="533" w:type="pct"/>
            <w:tcBorders>
              <w:tl2br w:val="nil"/>
              <w:tr2bl w:val="nil"/>
            </w:tcBorders>
            <w:vAlign w:val="center"/>
          </w:tcPr>
          <w:p w14:paraId="3C9A3015">
            <w:pPr>
              <w:pStyle w:val="19"/>
              <w:rPr>
                <w:rFonts w:hint="default" w:eastAsia="宋体"/>
                <w:lang w:val="en-US" w:eastAsia="zh-CN"/>
              </w:rPr>
            </w:pPr>
            <w:r>
              <w:rPr>
                <w:rFonts w:hint="eastAsia"/>
                <w:lang w:val="en-US" w:eastAsia="zh-CN"/>
              </w:rPr>
              <w:t>0.004</w:t>
            </w:r>
          </w:p>
        </w:tc>
      </w:tr>
      <w:tr w14:paraId="2001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2C1648B1">
            <w:pPr>
              <w:pStyle w:val="19"/>
              <w:numPr>
                <w:ilvl w:val="0"/>
                <w:numId w:val="10"/>
              </w:numPr>
            </w:pPr>
          </w:p>
        </w:tc>
        <w:tc>
          <w:tcPr>
            <w:tcW w:w="701" w:type="pct"/>
            <w:tcBorders>
              <w:tl2br w:val="nil"/>
              <w:tr2bl w:val="nil"/>
            </w:tcBorders>
            <w:vAlign w:val="center"/>
          </w:tcPr>
          <w:p w14:paraId="5D4D45B6">
            <w:pPr>
              <w:pStyle w:val="19"/>
              <w:ind w:firstLine="0" w:firstLineChars="0"/>
              <w:rPr>
                <w:rFonts w:hint="eastAsia" w:ascii="Times New Roman" w:hAnsi="Times New Roman" w:eastAsia="宋体" w:cs="Times New Roman"/>
                <w:kern w:val="2"/>
                <w:sz w:val="21"/>
                <w:szCs w:val="22"/>
                <w:lang w:val="en-US" w:eastAsia="zh-CN" w:bidi="ar-SA"/>
              </w:rPr>
            </w:pPr>
            <w:r>
              <w:t>亚硝酸盐</w:t>
            </w:r>
            <w:r>
              <w:rPr>
                <w:rFonts w:hint="eastAsia"/>
                <w:lang w:eastAsia="zh-CN"/>
              </w:rPr>
              <w:t>氮</w:t>
            </w:r>
          </w:p>
        </w:tc>
        <w:tc>
          <w:tcPr>
            <w:tcW w:w="794" w:type="pct"/>
            <w:tcBorders>
              <w:tl2br w:val="nil"/>
              <w:tr2bl w:val="nil"/>
            </w:tcBorders>
            <w:vAlign w:val="center"/>
          </w:tcPr>
          <w:p w14:paraId="0AC12B1B">
            <w:pPr>
              <w:pStyle w:val="19"/>
              <w:ind w:firstLine="0" w:firstLineChars="0"/>
              <w:rPr>
                <w:rFonts w:ascii="Times New Roman" w:hAnsi="Times New Roman" w:eastAsia="宋体" w:cs="Times New Roman"/>
                <w:kern w:val="2"/>
                <w:sz w:val="21"/>
                <w:szCs w:val="22"/>
                <w:lang w:val="en-US" w:eastAsia="zh-CN" w:bidi="ar-SA"/>
              </w:rPr>
            </w:pPr>
            <w:r>
              <w:t>≤1.00mg/L</w:t>
            </w:r>
          </w:p>
        </w:tc>
        <w:tc>
          <w:tcPr>
            <w:tcW w:w="533" w:type="pct"/>
            <w:tcBorders>
              <w:tl2br w:val="nil"/>
              <w:tr2bl w:val="nil"/>
            </w:tcBorders>
            <w:vAlign w:val="center"/>
          </w:tcPr>
          <w:p w14:paraId="0FE337FD">
            <w:pPr>
              <w:pStyle w:val="19"/>
              <w:rPr>
                <w:rFonts w:hint="default" w:eastAsia="宋体"/>
                <w:lang w:val="en-US" w:eastAsia="zh-CN"/>
              </w:rPr>
            </w:pPr>
            <w:r>
              <w:rPr>
                <w:rFonts w:hint="eastAsia"/>
                <w:lang w:val="en-US" w:eastAsia="zh-CN"/>
              </w:rPr>
              <w:t>＜0.003</w:t>
            </w:r>
          </w:p>
        </w:tc>
        <w:tc>
          <w:tcPr>
            <w:tcW w:w="533" w:type="pct"/>
            <w:tcBorders>
              <w:tl2br w:val="nil"/>
              <w:tr2bl w:val="nil"/>
            </w:tcBorders>
            <w:vAlign w:val="center"/>
          </w:tcPr>
          <w:p w14:paraId="50030DFF">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3272F435">
            <w:pPr>
              <w:pStyle w:val="19"/>
            </w:pPr>
            <w:r>
              <w:rPr>
                <w:rFonts w:hint="eastAsia"/>
                <w:lang w:val="en-US" w:eastAsia="zh-CN"/>
              </w:rPr>
              <w:t>＜0.003</w:t>
            </w:r>
          </w:p>
        </w:tc>
        <w:tc>
          <w:tcPr>
            <w:tcW w:w="533" w:type="pct"/>
            <w:gridSpan w:val="2"/>
            <w:tcBorders>
              <w:tl2br w:val="nil"/>
              <w:tr2bl w:val="nil"/>
            </w:tcBorders>
            <w:vAlign w:val="center"/>
          </w:tcPr>
          <w:p w14:paraId="414FF00D">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657A96F9">
            <w:pPr>
              <w:pStyle w:val="19"/>
            </w:pPr>
            <w:r>
              <w:rPr>
                <w:rFonts w:hint="eastAsia"/>
                <w:lang w:val="en-US" w:eastAsia="zh-CN"/>
              </w:rPr>
              <w:t>＜0.003</w:t>
            </w:r>
          </w:p>
        </w:tc>
        <w:tc>
          <w:tcPr>
            <w:tcW w:w="533" w:type="pct"/>
            <w:tcBorders>
              <w:tl2br w:val="nil"/>
              <w:tr2bl w:val="nil"/>
            </w:tcBorders>
            <w:vAlign w:val="center"/>
          </w:tcPr>
          <w:p w14:paraId="31779AC4">
            <w:pPr>
              <w:pStyle w:val="19"/>
              <w:rPr>
                <w:rFonts w:hint="eastAsia" w:eastAsia="宋体"/>
                <w:lang w:val="en-US" w:eastAsia="zh-CN"/>
              </w:rPr>
            </w:pPr>
            <w:r>
              <w:rPr>
                <w:rFonts w:hint="eastAsia"/>
                <w:lang w:val="en-US" w:eastAsia="zh-CN"/>
              </w:rPr>
              <w:t>/</w:t>
            </w:r>
          </w:p>
        </w:tc>
      </w:tr>
      <w:tr w14:paraId="12D0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7C27F7D5">
            <w:pPr>
              <w:pStyle w:val="19"/>
              <w:numPr>
                <w:ilvl w:val="0"/>
                <w:numId w:val="10"/>
              </w:numPr>
            </w:pPr>
          </w:p>
        </w:tc>
        <w:tc>
          <w:tcPr>
            <w:tcW w:w="701" w:type="pct"/>
            <w:tcBorders>
              <w:tl2br w:val="nil"/>
              <w:tr2bl w:val="nil"/>
            </w:tcBorders>
            <w:vAlign w:val="center"/>
          </w:tcPr>
          <w:p w14:paraId="4D780E90">
            <w:pPr>
              <w:pStyle w:val="19"/>
              <w:ind w:firstLine="0" w:firstLineChars="0"/>
              <w:rPr>
                <w:rFonts w:ascii="Times New Roman" w:hAnsi="Times New Roman" w:eastAsia="宋体" w:cs="Times New Roman"/>
                <w:kern w:val="2"/>
                <w:sz w:val="21"/>
                <w:szCs w:val="22"/>
                <w:lang w:val="en-US" w:eastAsia="zh-CN" w:bidi="ar-SA"/>
              </w:rPr>
            </w:pPr>
            <w:r>
              <w:t>氟化物</w:t>
            </w:r>
          </w:p>
        </w:tc>
        <w:tc>
          <w:tcPr>
            <w:tcW w:w="794" w:type="pct"/>
            <w:tcBorders>
              <w:tl2br w:val="nil"/>
              <w:tr2bl w:val="nil"/>
            </w:tcBorders>
            <w:vAlign w:val="center"/>
          </w:tcPr>
          <w:p w14:paraId="22362BB9">
            <w:pPr>
              <w:pStyle w:val="19"/>
              <w:ind w:firstLine="0" w:firstLineChars="0"/>
              <w:rPr>
                <w:rFonts w:ascii="Times New Roman" w:hAnsi="Times New Roman" w:eastAsia="宋体" w:cs="Times New Roman"/>
                <w:kern w:val="2"/>
                <w:sz w:val="21"/>
                <w:szCs w:val="22"/>
                <w:lang w:val="en-US" w:eastAsia="zh-CN" w:bidi="ar-SA"/>
              </w:rPr>
            </w:pPr>
            <w:r>
              <w:t>≤1.0mg/L</w:t>
            </w:r>
          </w:p>
        </w:tc>
        <w:tc>
          <w:tcPr>
            <w:tcW w:w="533" w:type="pct"/>
            <w:tcBorders>
              <w:tl2br w:val="nil"/>
              <w:tr2bl w:val="nil"/>
            </w:tcBorders>
            <w:vAlign w:val="center"/>
          </w:tcPr>
          <w:p w14:paraId="15E4E59B">
            <w:pPr>
              <w:pStyle w:val="19"/>
              <w:rPr>
                <w:rFonts w:hint="default" w:eastAsia="宋体"/>
                <w:lang w:val="en-US" w:eastAsia="zh-CN"/>
              </w:rPr>
            </w:pPr>
            <w:r>
              <w:rPr>
                <w:rFonts w:hint="eastAsia"/>
                <w:lang w:val="en-US" w:eastAsia="zh-CN"/>
              </w:rPr>
              <w:t>0.32</w:t>
            </w:r>
          </w:p>
        </w:tc>
        <w:tc>
          <w:tcPr>
            <w:tcW w:w="533" w:type="pct"/>
            <w:tcBorders>
              <w:tl2br w:val="nil"/>
              <w:tr2bl w:val="nil"/>
            </w:tcBorders>
            <w:vAlign w:val="center"/>
          </w:tcPr>
          <w:p w14:paraId="40B2ECEE">
            <w:pPr>
              <w:pStyle w:val="19"/>
              <w:rPr>
                <w:rFonts w:hint="default" w:eastAsia="宋体"/>
                <w:lang w:val="en-US" w:eastAsia="zh-CN"/>
              </w:rPr>
            </w:pPr>
            <w:r>
              <w:rPr>
                <w:rFonts w:hint="eastAsia"/>
                <w:lang w:val="en-US" w:eastAsia="zh-CN"/>
              </w:rPr>
              <w:t>0.32</w:t>
            </w:r>
          </w:p>
        </w:tc>
        <w:tc>
          <w:tcPr>
            <w:tcW w:w="533" w:type="pct"/>
            <w:tcBorders>
              <w:tl2br w:val="nil"/>
              <w:tr2bl w:val="nil"/>
            </w:tcBorders>
            <w:vAlign w:val="center"/>
          </w:tcPr>
          <w:p w14:paraId="3DD9BE62">
            <w:pPr>
              <w:pStyle w:val="19"/>
              <w:rPr>
                <w:rFonts w:hint="default" w:eastAsia="宋体"/>
                <w:lang w:val="en-US" w:eastAsia="zh-CN"/>
              </w:rPr>
            </w:pPr>
            <w:r>
              <w:rPr>
                <w:rFonts w:hint="eastAsia"/>
                <w:lang w:val="en-US" w:eastAsia="zh-CN"/>
              </w:rPr>
              <w:t>0.33</w:t>
            </w:r>
          </w:p>
        </w:tc>
        <w:tc>
          <w:tcPr>
            <w:tcW w:w="533" w:type="pct"/>
            <w:gridSpan w:val="2"/>
            <w:tcBorders>
              <w:tl2br w:val="nil"/>
              <w:tr2bl w:val="nil"/>
            </w:tcBorders>
            <w:vAlign w:val="center"/>
          </w:tcPr>
          <w:p w14:paraId="39BBFE56">
            <w:pPr>
              <w:pStyle w:val="19"/>
              <w:rPr>
                <w:rFonts w:hint="default" w:eastAsia="宋体"/>
                <w:lang w:val="en-US" w:eastAsia="zh-CN"/>
              </w:rPr>
            </w:pPr>
            <w:r>
              <w:rPr>
                <w:rFonts w:hint="eastAsia"/>
                <w:lang w:val="en-US" w:eastAsia="zh-CN"/>
              </w:rPr>
              <w:t>0.33</w:t>
            </w:r>
          </w:p>
        </w:tc>
        <w:tc>
          <w:tcPr>
            <w:tcW w:w="533" w:type="pct"/>
            <w:tcBorders>
              <w:tl2br w:val="nil"/>
              <w:tr2bl w:val="nil"/>
            </w:tcBorders>
            <w:vAlign w:val="center"/>
          </w:tcPr>
          <w:p w14:paraId="2BF877B3">
            <w:pPr>
              <w:pStyle w:val="19"/>
              <w:rPr>
                <w:rFonts w:hint="default" w:eastAsia="宋体"/>
                <w:lang w:val="en-US" w:eastAsia="zh-CN"/>
              </w:rPr>
            </w:pPr>
            <w:r>
              <w:rPr>
                <w:rFonts w:hint="eastAsia"/>
                <w:lang w:val="en-US" w:eastAsia="zh-CN"/>
              </w:rPr>
              <w:t>0.31</w:t>
            </w:r>
          </w:p>
        </w:tc>
        <w:tc>
          <w:tcPr>
            <w:tcW w:w="533" w:type="pct"/>
            <w:tcBorders>
              <w:tl2br w:val="nil"/>
              <w:tr2bl w:val="nil"/>
            </w:tcBorders>
            <w:vAlign w:val="center"/>
          </w:tcPr>
          <w:p w14:paraId="1BB63033">
            <w:pPr>
              <w:pStyle w:val="19"/>
              <w:rPr>
                <w:rFonts w:hint="default" w:eastAsia="宋体"/>
                <w:lang w:val="en-US" w:eastAsia="zh-CN"/>
              </w:rPr>
            </w:pPr>
            <w:r>
              <w:rPr>
                <w:rFonts w:hint="eastAsia"/>
                <w:lang w:val="en-US" w:eastAsia="zh-CN"/>
              </w:rPr>
              <w:t>0.31</w:t>
            </w:r>
          </w:p>
        </w:tc>
      </w:tr>
      <w:tr w14:paraId="0F0D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1458A38">
            <w:pPr>
              <w:pStyle w:val="19"/>
              <w:numPr>
                <w:ilvl w:val="0"/>
                <w:numId w:val="10"/>
              </w:numPr>
            </w:pPr>
          </w:p>
        </w:tc>
        <w:tc>
          <w:tcPr>
            <w:tcW w:w="701" w:type="pct"/>
            <w:tcBorders>
              <w:tl2br w:val="nil"/>
              <w:tr2bl w:val="nil"/>
            </w:tcBorders>
            <w:vAlign w:val="center"/>
          </w:tcPr>
          <w:p w14:paraId="3B5A5691">
            <w:pPr>
              <w:pStyle w:val="19"/>
              <w:ind w:firstLine="0" w:firstLineChars="0"/>
              <w:rPr>
                <w:rFonts w:ascii="Times New Roman" w:hAnsi="Times New Roman" w:eastAsia="宋体" w:cs="Times New Roman"/>
                <w:kern w:val="2"/>
                <w:sz w:val="21"/>
                <w:szCs w:val="22"/>
                <w:lang w:val="en-US" w:eastAsia="zh-CN" w:bidi="ar-SA"/>
              </w:rPr>
            </w:pPr>
            <w:r>
              <w:t>氰化物</w:t>
            </w:r>
          </w:p>
        </w:tc>
        <w:tc>
          <w:tcPr>
            <w:tcW w:w="794" w:type="pct"/>
            <w:tcBorders>
              <w:tl2br w:val="nil"/>
              <w:tr2bl w:val="nil"/>
            </w:tcBorders>
            <w:vAlign w:val="center"/>
          </w:tcPr>
          <w:p w14:paraId="381068BE">
            <w:pPr>
              <w:pStyle w:val="19"/>
              <w:ind w:firstLine="0" w:firstLineChars="0"/>
              <w:rPr>
                <w:rFonts w:ascii="Times New Roman" w:hAnsi="Times New Roman" w:eastAsia="宋体" w:cs="Times New Roman"/>
                <w:kern w:val="2"/>
                <w:sz w:val="21"/>
                <w:szCs w:val="22"/>
                <w:lang w:val="en-US" w:eastAsia="zh-CN" w:bidi="ar-SA"/>
              </w:rPr>
            </w:pPr>
            <w:r>
              <w:t>≤0.05mg/L</w:t>
            </w:r>
          </w:p>
        </w:tc>
        <w:tc>
          <w:tcPr>
            <w:tcW w:w="533" w:type="pct"/>
            <w:tcBorders>
              <w:tl2br w:val="nil"/>
              <w:tr2bl w:val="nil"/>
            </w:tcBorders>
            <w:vAlign w:val="center"/>
          </w:tcPr>
          <w:p w14:paraId="5058B1E4">
            <w:pPr>
              <w:pStyle w:val="19"/>
              <w:rPr>
                <w:rFonts w:hint="default"/>
                <w:lang w:val="en-US"/>
              </w:rPr>
            </w:pPr>
            <w:r>
              <w:rPr>
                <w:rFonts w:hint="eastAsia"/>
                <w:lang w:val="en-US" w:eastAsia="zh-CN"/>
              </w:rPr>
              <w:t>＜0.002</w:t>
            </w:r>
          </w:p>
        </w:tc>
        <w:tc>
          <w:tcPr>
            <w:tcW w:w="533" w:type="pct"/>
            <w:tcBorders>
              <w:tl2br w:val="nil"/>
              <w:tr2bl w:val="nil"/>
            </w:tcBorders>
            <w:vAlign w:val="center"/>
          </w:tcPr>
          <w:p w14:paraId="56EA4F49">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4B452211">
            <w:pPr>
              <w:pStyle w:val="19"/>
            </w:pPr>
            <w:r>
              <w:rPr>
                <w:rFonts w:hint="eastAsia"/>
                <w:lang w:val="en-US" w:eastAsia="zh-CN"/>
              </w:rPr>
              <w:t>＜0.002</w:t>
            </w:r>
          </w:p>
        </w:tc>
        <w:tc>
          <w:tcPr>
            <w:tcW w:w="533" w:type="pct"/>
            <w:gridSpan w:val="2"/>
            <w:tcBorders>
              <w:tl2br w:val="nil"/>
              <w:tr2bl w:val="nil"/>
            </w:tcBorders>
            <w:vAlign w:val="center"/>
          </w:tcPr>
          <w:p w14:paraId="040D2D26">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314B2043">
            <w:pPr>
              <w:pStyle w:val="19"/>
            </w:pPr>
            <w:r>
              <w:rPr>
                <w:rFonts w:hint="eastAsia"/>
                <w:lang w:val="en-US" w:eastAsia="zh-CN"/>
              </w:rPr>
              <w:t>＜0.002</w:t>
            </w:r>
          </w:p>
        </w:tc>
        <w:tc>
          <w:tcPr>
            <w:tcW w:w="533" w:type="pct"/>
            <w:tcBorders>
              <w:tl2br w:val="nil"/>
              <w:tr2bl w:val="nil"/>
            </w:tcBorders>
            <w:vAlign w:val="center"/>
          </w:tcPr>
          <w:p w14:paraId="5A0E8BE7">
            <w:pPr>
              <w:pStyle w:val="19"/>
              <w:rPr>
                <w:rFonts w:hint="eastAsia" w:eastAsia="宋体"/>
                <w:lang w:val="en-US" w:eastAsia="zh-CN"/>
              </w:rPr>
            </w:pPr>
            <w:r>
              <w:rPr>
                <w:rFonts w:hint="eastAsia"/>
                <w:lang w:val="en-US" w:eastAsia="zh-CN"/>
              </w:rPr>
              <w:t>/</w:t>
            </w:r>
          </w:p>
        </w:tc>
      </w:tr>
      <w:tr w14:paraId="2791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7DC0BD9A">
            <w:pPr>
              <w:pStyle w:val="19"/>
              <w:numPr>
                <w:ilvl w:val="0"/>
                <w:numId w:val="10"/>
              </w:numPr>
            </w:pPr>
          </w:p>
        </w:tc>
        <w:tc>
          <w:tcPr>
            <w:tcW w:w="701" w:type="pct"/>
            <w:tcBorders>
              <w:tl2br w:val="nil"/>
              <w:tr2bl w:val="nil"/>
            </w:tcBorders>
            <w:vAlign w:val="center"/>
          </w:tcPr>
          <w:p w14:paraId="2EA7D71A">
            <w:pPr>
              <w:pStyle w:val="19"/>
              <w:ind w:firstLine="0" w:firstLineChars="0"/>
              <w:rPr>
                <w:rFonts w:ascii="Times New Roman" w:hAnsi="Times New Roman" w:eastAsia="宋体" w:cs="Times New Roman"/>
                <w:kern w:val="2"/>
                <w:sz w:val="21"/>
                <w:szCs w:val="22"/>
                <w:lang w:val="en-US" w:eastAsia="zh-CN" w:bidi="ar-SA"/>
              </w:rPr>
            </w:pPr>
            <w:r>
              <w:t>挥发性酚类</w:t>
            </w:r>
          </w:p>
        </w:tc>
        <w:tc>
          <w:tcPr>
            <w:tcW w:w="794" w:type="pct"/>
            <w:tcBorders>
              <w:tl2br w:val="nil"/>
              <w:tr2bl w:val="nil"/>
            </w:tcBorders>
            <w:vAlign w:val="center"/>
          </w:tcPr>
          <w:p w14:paraId="051BF756">
            <w:pPr>
              <w:pStyle w:val="19"/>
              <w:ind w:firstLine="0" w:firstLineChars="0"/>
              <w:rPr>
                <w:rFonts w:ascii="Times New Roman" w:hAnsi="Times New Roman" w:eastAsia="宋体" w:cs="Times New Roman"/>
                <w:kern w:val="2"/>
                <w:sz w:val="21"/>
                <w:szCs w:val="22"/>
                <w:lang w:val="en-US" w:eastAsia="zh-CN" w:bidi="ar-SA"/>
              </w:rPr>
            </w:pPr>
            <w:r>
              <w:t>≤0.002mg/L</w:t>
            </w:r>
          </w:p>
        </w:tc>
        <w:tc>
          <w:tcPr>
            <w:tcW w:w="533" w:type="pct"/>
            <w:tcBorders>
              <w:tl2br w:val="nil"/>
              <w:tr2bl w:val="nil"/>
            </w:tcBorders>
            <w:vAlign w:val="center"/>
          </w:tcPr>
          <w:p w14:paraId="01E93CAA">
            <w:pPr>
              <w:pStyle w:val="19"/>
              <w:rPr>
                <w:rFonts w:hint="default"/>
                <w:lang w:val="en-US"/>
              </w:rPr>
            </w:pPr>
            <w:r>
              <w:rPr>
                <w:rFonts w:hint="eastAsia"/>
                <w:lang w:val="en-US" w:eastAsia="zh-CN"/>
              </w:rPr>
              <w:t>＜0.0003</w:t>
            </w:r>
          </w:p>
        </w:tc>
        <w:tc>
          <w:tcPr>
            <w:tcW w:w="533" w:type="pct"/>
            <w:tcBorders>
              <w:tl2br w:val="nil"/>
              <w:tr2bl w:val="nil"/>
            </w:tcBorders>
            <w:vAlign w:val="center"/>
          </w:tcPr>
          <w:p w14:paraId="2333EF7C">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6751558C">
            <w:pPr>
              <w:pStyle w:val="19"/>
            </w:pPr>
            <w:r>
              <w:rPr>
                <w:rFonts w:hint="eastAsia"/>
                <w:lang w:val="en-US" w:eastAsia="zh-CN"/>
              </w:rPr>
              <w:t>＜0.0003</w:t>
            </w:r>
          </w:p>
        </w:tc>
        <w:tc>
          <w:tcPr>
            <w:tcW w:w="533" w:type="pct"/>
            <w:gridSpan w:val="2"/>
            <w:tcBorders>
              <w:tl2br w:val="nil"/>
              <w:tr2bl w:val="nil"/>
            </w:tcBorders>
            <w:vAlign w:val="center"/>
          </w:tcPr>
          <w:p w14:paraId="59307658">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20B83F05">
            <w:pPr>
              <w:pStyle w:val="19"/>
            </w:pPr>
            <w:r>
              <w:rPr>
                <w:rFonts w:hint="eastAsia"/>
                <w:lang w:val="en-US" w:eastAsia="zh-CN"/>
              </w:rPr>
              <w:t>＜0.0003</w:t>
            </w:r>
          </w:p>
        </w:tc>
        <w:tc>
          <w:tcPr>
            <w:tcW w:w="533" w:type="pct"/>
            <w:tcBorders>
              <w:tl2br w:val="nil"/>
              <w:tr2bl w:val="nil"/>
            </w:tcBorders>
            <w:vAlign w:val="center"/>
          </w:tcPr>
          <w:p w14:paraId="2F7EC2DF">
            <w:pPr>
              <w:pStyle w:val="19"/>
              <w:rPr>
                <w:rFonts w:hint="eastAsia" w:eastAsia="宋体"/>
                <w:lang w:val="en-US" w:eastAsia="zh-CN"/>
              </w:rPr>
            </w:pPr>
            <w:r>
              <w:rPr>
                <w:rFonts w:hint="eastAsia"/>
                <w:lang w:val="en-US" w:eastAsia="zh-CN"/>
              </w:rPr>
              <w:t>/</w:t>
            </w:r>
          </w:p>
        </w:tc>
      </w:tr>
      <w:tr w14:paraId="334B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AFC81B8">
            <w:pPr>
              <w:pStyle w:val="19"/>
              <w:numPr>
                <w:ilvl w:val="0"/>
                <w:numId w:val="10"/>
              </w:numPr>
            </w:pPr>
          </w:p>
        </w:tc>
        <w:tc>
          <w:tcPr>
            <w:tcW w:w="701" w:type="pct"/>
            <w:tcBorders>
              <w:tl2br w:val="nil"/>
              <w:tr2bl w:val="nil"/>
            </w:tcBorders>
            <w:vAlign w:val="center"/>
          </w:tcPr>
          <w:p w14:paraId="4101E701">
            <w:pPr>
              <w:pStyle w:val="19"/>
              <w:ind w:firstLine="0" w:firstLineChars="0"/>
              <w:rPr>
                <w:rFonts w:ascii="Times New Roman" w:hAnsi="Times New Roman" w:eastAsia="宋体" w:cs="Times New Roman"/>
                <w:kern w:val="2"/>
                <w:sz w:val="21"/>
                <w:szCs w:val="22"/>
                <w:lang w:val="en-US" w:eastAsia="zh-CN" w:bidi="ar-SA"/>
              </w:rPr>
            </w:pPr>
            <w:r>
              <w:rPr>
                <w:rFonts w:hint="eastAsia"/>
              </w:rPr>
              <w:t>氯化物</w:t>
            </w:r>
          </w:p>
        </w:tc>
        <w:tc>
          <w:tcPr>
            <w:tcW w:w="794" w:type="pct"/>
            <w:tcBorders>
              <w:tl2br w:val="nil"/>
              <w:tr2bl w:val="nil"/>
            </w:tcBorders>
            <w:vAlign w:val="center"/>
          </w:tcPr>
          <w:p w14:paraId="3B4AFA59">
            <w:pPr>
              <w:pStyle w:val="19"/>
              <w:ind w:firstLine="0" w:firstLineChars="0"/>
              <w:rPr>
                <w:rFonts w:ascii="Times New Roman" w:hAnsi="Times New Roman" w:eastAsia="宋体" w:cs="Times New Roman"/>
                <w:kern w:val="2"/>
                <w:sz w:val="21"/>
                <w:szCs w:val="22"/>
                <w:lang w:val="en-US" w:eastAsia="zh-CN" w:bidi="ar-SA"/>
              </w:rPr>
            </w:pPr>
            <w:r>
              <w:t>≤250mg/L</w:t>
            </w:r>
          </w:p>
        </w:tc>
        <w:tc>
          <w:tcPr>
            <w:tcW w:w="533" w:type="pct"/>
            <w:tcBorders>
              <w:tl2br w:val="nil"/>
              <w:tr2bl w:val="nil"/>
            </w:tcBorders>
            <w:vAlign w:val="center"/>
          </w:tcPr>
          <w:p w14:paraId="4E90D50E">
            <w:pPr>
              <w:pStyle w:val="19"/>
              <w:rPr>
                <w:rFonts w:hint="default" w:eastAsia="宋体"/>
                <w:lang w:val="en-US" w:eastAsia="zh-CN"/>
              </w:rPr>
            </w:pPr>
            <w:r>
              <w:rPr>
                <w:rFonts w:hint="eastAsia"/>
                <w:lang w:val="en-US" w:eastAsia="zh-CN"/>
              </w:rPr>
              <w:t>34</w:t>
            </w:r>
          </w:p>
        </w:tc>
        <w:tc>
          <w:tcPr>
            <w:tcW w:w="533" w:type="pct"/>
            <w:tcBorders>
              <w:tl2br w:val="nil"/>
              <w:tr2bl w:val="nil"/>
            </w:tcBorders>
            <w:vAlign w:val="center"/>
          </w:tcPr>
          <w:p w14:paraId="6C114D23">
            <w:pPr>
              <w:pStyle w:val="19"/>
              <w:rPr>
                <w:rFonts w:hint="default" w:eastAsia="宋体"/>
                <w:lang w:val="en-US" w:eastAsia="zh-CN"/>
              </w:rPr>
            </w:pPr>
            <w:r>
              <w:rPr>
                <w:rFonts w:hint="eastAsia"/>
                <w:lang w:val="en-US" w:eastAsia="zh-CN"/>
              </w:rPr>
              <w:t>0.136</w:t>
            </w:r>
          </w:p>
        </w:tc>
        <w:tc>
          <w:tcPr>
            <w:tcW w:w="533" w:type="pct"/>
            <w:tcBorders>
              <w:tl2br w:val="nil"/>
              <w:tr2bl w:val="nil"/>
            </w:tcBorders>
            <w:vAlign w:val="center"/>
          </w:tcPr>
          <w:p w14:paraId="3D49B4B4">
            <w:pPr>
              <w:pStyle w:val="19"/>
              <w:rPr>
                <w:rFonts w:hint="default" w:eastAsia="宋体"/>
                <w:lang w:val="en-US" w:eastAsia="zh-CN"/>
              </w:rPr>
            </w:pPr>
            <w:r>
              <w:rPr>
                <w:rFonts w:hint="eastAsia"/>
                <w:lang w:val="en-US" w:eastAsia="zh-CN"/>
              </w:rPr>
              <w:t>38</w:t>
            </w:r>
          </w:p>
        </w:tc>
        <w:tc>
          <w:tcPr>
            <w:tcW w:w="533" w:type="pct"/>
            <w:gridSpan w:val="2"/>
            <w:tcBorders>
              <w:tl2br w:val="nil"/>
              <w:tr2bl w:val="nil"/>
            </w:tcBorders>
            <w:vAlign w:val="center"/>
          </w:tcPr>
          <w:p w14:paraId="52EF44AC">
            <w:pPr>
              <w:pStyle w:val="19"/>
              <w:rPr>
                <w:rFonts w:hint="default" w:eastAsia="宋体"/>
                <w:lang w:val="en-US" w:eastAsia="zh-CN"/>
              </w:rPr>
            </w:pPr>
            <w:r>
              <w:rPr>
                <w:rFonts w:hint="eastAsia"/>
                <w:lang w:val="en-US" w:eastAsia="zh-CN"/>
              </w:rPr>
              <w:t>0.152</w:t>
            </w:r>
          </w:p>
        </w:tc>
        <w:tc>
          <w:tcPr>
            <w:tcW w:w="533" w:type="pct"/>
            <w:tcBorders>
              <w:tl2br w:val="nil"/>
              <w:tr2bl w:val="nil"/>
            </w:tcBorders>
            <w:vAlign w:val="center"/>
          </w:tcPr>
          <w:p w14:paraId="6B0560AC">
            <w:pPr>
              <w:pStyle w:val="19"/>
              <w:rPr>
                <w:rFonts w:hint="default" w:eastAsia="宋体"/>
                <w:lang w:val="en-US" w:eastAsia="zh-CN"/>
              </w:rPr>
            </w:pPr>
            <w:r>
              <w:rPr>
                <w:rFonts w:hint="eastAsia"/>
                <w:lang w:val="en-US" w:eastAsia="zh-CN"/>
              </w:rPr>
              <w:t>34</w:t>
            </w:r>
          </w:p>
        </w:tc>
        <w:tc>
          <w:tcPr>
            <w:tcW w:w="533" w:type="pct"/>
            <w:tcBorders>
              <w:tl2br w:val="nil"/>
              <w:tr2bl w:val="nil"/>
            </w:tcBorders>
            <w:vAlign w:val="center"/>
          </w:tcPr>
          <w:p w14:paraId="2A8B4678">
            <w:pPr>
              <w:pStyle w:val="19"/>
              <w:rPr>
                <w:rFonts w:hint="default" w:eastAsia="宋体"/>
                <w:lang w:val="en-US" w:eastAsia="zh-CN"/>
              </w:rPr>
            </w:pPr>
            <w:r>
              <w:rPr>
                <w:rFonts w:hint="eastAsia"/>
                <w:lang w:val="en-US" w:eastAsia="zh-CN"/>
              </w:rPr>
              <w:t>0.136</w:t>
            </w:r>
          </w:p>
        </w:tc>
      </w:tr>
      <w:tr w14:paraId="40E5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D5092B6">
            <w:pPr>
              <w:pStyle w:val="19"/>
              <w:numPr>
                <w:ilvl w:val="0"/>
                <w:numId w:val="10"/>
              </w:numPr>
            </w:pPr>
          </w:p>
        </w:tc>
        <w:tc>
          <w:tcPr>
            <w:tcW w:w="701" w:type="pct"/>
            <w:tcBorders>
              <w:tl2br w:val="nil"/>
              <w:tr2bl w:val="nil"/>
            </w:tcBorders>
            <w:vAlign w:val="center"/>
          </w:tcPr>
          <w:p w14:paraId="263E54F0">
            <w:pPr>
              <w:pStyle w:val="19"/>
              <w:ind w:firstLine="0" w:firstLineChars="0"/>
              <w:rPr>
                <w:rFonts w:ascii="Times New Roman" w:hAnsi="Times New Roman" w:eastAsia="宋体" w:cs="Times New Roman"/>
                <w:kern w:val="2"/>
                <w:sz w:val="21"/>
                <w:szCs w:val="22"/>
                <w:lang w:val="en-US" w:eastAsia="zh-CN" w:bidi="ar-SA"/>
              </w:rPr>
            </w:pPr>
            <w:r>
              <w:rPr>
                <w:rFonts w:hint="eastAsia"/>
              </w:rPr>
              <w:t>硫酸盐</w:t>
            </w:r>
          </w:p>
        </w:tc>
        <w:tc>
          <w:tcPr>
            <w:tcW w:w="794" w:type="pct"/>
            <w:tcBorders>
              <w:tl2br w:val="nil"/>
              <w:tr2bl w:val="nil"/>
            </w:tcBorders>
            <w:vAlign w:val="center"/>
          </w:tcPr>
          <w:p w14:paraId="607529CA">
            <w:pPr>
              <w:pStyle w:val="19"/>
              <w:ind w:firstLine="0" w:firstLineChars="0"/>
              <w:rPr>
                <w:rFonts w:ascii="Times New Roman" w:hAnsi="Times New Roman" w:eastAsia="宋体" w:cs="Times New Roman"/>
                <w:kern w:val="2"/>
                <w:sz w:val="21"/>
                <w:szCs w:val="22"/>
                <w:lang w:val="en-US" w:eastAsia="zh-CN" w:bidi="ar-SA"/>
              </w:rPr>
            </w:pPr>
            <w:r>
              <w:t>≤250mg/L</w:t>
            </w:r>
          </w:p>
        </w:tc>
        <w:tc>
          <w:tcPr>
            <w:tcW w:w="533" w:type="pct"/>
            <w:tcBorders>
              <w:tl2br w:val="nil"/>
              <w:tr2bl w:val="nil"/>
            </w:tcBorders>
            <w:vAlign w:val="center"/>
          </w:tcPr>
          <w:p w14:paraId="396C6947">
            <w:pPr>
              <w:pStyle w:val="19"/>
              <w:rPr>
                <w:rFonts w:hint="default" w:eastAsia="宋体"/>
                <w:lang w:val="en-US" w:eastAsia="zh-CN"/>
              </w:rPr>
            </w:pPr>
            <w:r>
              <w:rPr>
                <w:rFonts w:hint="eastAsia"/>
                <w:lang w:val="en-US" w:eastAsia="zh-CN"/>
              </w:rPr>
              <w:t>40</w:t>
            </w:r>
          </w:p>
        </w:tc>
        <w:tc>
          <w:tcPr>
            <w:tcW w:w="533" w:type="pct"/>
            <w:tcBorders>
              <w:tl2br w:val="nil"/>
              <w:tr2bl w:val="nil"/>
            </w:tcBorders>
            <w:vAlign w:val="center"/>
          </w:tcPr>
          <w:p w14:paraId="52FE908F">
            <w:pPr>
              <w:pStyle w:val="19"/>
              <w:rPr>
                <w:rFonts w:hint="default" w:eastAsia="宋体"/>
                <w:lang w:val="en-US" w:eastAsia="zh-CN"/>
              </w:rPr>
            </w:pPr>
            <w:r>
              <w:rPr>
                <w:rFonts w:hint="eastAsia"/>
                <w:lang w:val="en-US" w:eastAsia="zh-CN"/>
              </w:rPr>
              <w:t>0.16</w:t>
            </w:r>
          </w:p>
        </w:tc>
        <w:tc>
          <w:tcPr>
            <w:tcW w:w="533" w:type="pct"/>
            <w:tcBorders>
              <w:tl2br w:val="nil"/>
              <w:tr2bl w:val="nil"/>
            </w:tcBorders>
            <w:vAlign w:val="center"/>
          </w:tcPr>
          <w:p w14:paraId="7127035C">
            <w:pPr>
              <w:pStyle w:val="19"/>
              <w:rPr>
                <w:rFonts w:hint="default" w:eastAsia="宋体"/>
                <w:lang w:val="en-US" w:eastAsia="zh-CN"/>
              </w:rPr>
            </w:pPr>
            <w:r>
              <w:rPr>
                <w:rFonts w:hint="eastAsia"/>
                <w:lang w:val="en-US" w:eastAsia="zh-CN"/>
              </w:rPr>
              <w:t>38</w:t>
            </w:r>
          </w:p>
        </w:tc>
        <w:tc>
          <w:tcPr>
            <w:tcW w:w="533" w:type="pct"/>
            <w:gridSpan w:val="2"/>
            <w:tcBorders>
              <w:tl2br w:val="nil"/>
              <w:tr2bl w:val="nil"/>
            </w:tcBorders>
            <w:vAlign w:val="center"/>
          </w:tcPr>
          <w:p w14:paraId="0431D3E3">
            <w:pPr>
              <w:pStyle w:val="19"/>
              <w:rPr>
                <w:rFonts w:hint="default" w:eastAsia="宋体"/>
                <w:lang w:val="en-US" w:eastAsia="zh-CN"/>
              </w:rPr>
            </w:pPr>
            <w:r>
              <w:rPr>
                <w:rFonts w:hint="eastAsia"/>
                <w:lang w:val="en-US" w:eastAsia="zh-CN"/>
              </w:rPr>
              <w:t>0.152</w:t>
            </w:r>
          </w:p>
        </w:tc>
        <w:tc>
          <w:tcPr>
            <w:tcW w:w="533" w:type="pct"/>
            <w:tcBorders>
              <w:tl2br w:val="nil"/>
              <w:tr2bl w:val="nil"/>
            </w:tcBorders>
            <w:vAlign w:val="center"/>
          </w:tcPr>
          <w:p w14:paraId="2E88189A">
            <w:pPr>
              <w:pStyle w:val="19"/>
              <w:rPr>
                <w:rFonts w:hint="default" w:eastAsia="宋体"/>
                <w:lang w:val="en-US" w:eastAsia="zh-CN"/>
              </w:rPr>
            </w:pPr>
            <w:r>
              <w:rPr>
                <w:rFonts w:hint="eastAsia"/>
                <w:lang w:val="en-US" w:eastAsia="zh-CN"/>
              </w:rPr>
              <w:t>39</w:t>
            </w:r>
          </w:p>
        </w:tc>
        <w:tc>
          <w:tcPr>
            <w:tcW w:w="533" w:type="pct"/>
            <w:tcBorders>
              <w:tl2br w:val="nil"/>
              <w:tr2bl w:val="nil"/>
            </w:tcBorders>
            <w:vAlign w:val="center"/>
          </w:tcPr>
          <w:p w14:paraId="620E10C4">
            <w:pPr>
              <w:pStyle w:val="19"/>
              <w:rPr>
                <w:rFonts w:hint="default" w:eastAsia="宋体"/>
                <w:lang w:val="en-US" w:eastAsia="zh-CN"/>
              </w:rPr>
            </w:pPr>
            <w:r>
              <w:rPr>
                <w:rFonts w:hint="eastAsia"/>
                <w:lang w:val="en-US" w:eastAsia="zh-CN"/>
              </w:rPr>
              <w:t>0.156</w:t>
            </w:r>
          </w:p>
        </w:tc>
      </w:tr>
      <w:tr w14:paraId="26AF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970EBFD">
            <w:pPr>
              <w:pStyle w:val="19"/>
              <w:numPr>
                <w:ilvl w:val="0"/>
                <w:numId w:val="10"/>
              </w:numPr>
            </w:pPr>
          </w:p>
        </w:tc>
        <w:tc>
          <w:tcPr>
            <w:tcW w:w="701" w:type="pct"/>
            <w:tcBorders>
              <w:tl2br w:val="nil"/>
              <w:tr2bl w:val="nil"/>
            </w:tcBorders>
            <w:vAlign w:val="center"/>
          </w:tcPr>
          <w:p w14:paraId="4107B695">
            <w:pPr>
              <w:pStyle w:val="19"/>
              <w:ind w:firstLine="0" w:firstLineChars="0"/>
              <w:rPr>
                <w:rFonts w:ascii="Times New Roman" w:hAnsi="Times New Roman" w:eastAsia="宋体" w:cs="Times New Roman"/>
                <w:kern w:val="2"/>
                <w:sz w:val="21"/>
                <w:szCs w:val="22"/>
                <w:lang w:val="en-US" w:eastAsia="zh-CN" w:bidi="ar-SA"/>
              </w:rPr>
            </w:pPr>
            <w:r>
              <w:rPr>
                <w:rFonts w:hint="eastAsia"/>
              </w:rPr>
              <w:t>碳酸根</w:t>
            </w:r>
          </w:p>
        </w:tc>
        <w:tc>
          <w:tcPr>
            <w:tcW w:w="794" w:type="pct"/>
            <w:tcBorders>
              <w:tl2br w:val="nil"/>
              <w:tr2bl w:val="nil"/>
            </w:tcBorders>
            <w:vAlign w:val="center"/>
          </w:tcPr>
          <w:p w14:paraId="5F146CF4">
            <w:pPr>
              <w:pStyle w:val="19"/>
              <w:ind w:firstLine="0" w:firstLineChars="0"/>
              <w:rPr>
                <w:rFonts w:ascii="Times New Roman" w:hAnsi="Times New Roman" w:eastAsia="宋体" w:cs="Times New Roman"/>
                <w:kern w:val="2"/>
                <w:sz w:val="21"/>
                <w:szCs w:val="22"/>
                <w:lang w:val="en-US" w:eastAsia="zh-CN" w:bidi="ar-SA"/>
              </w:rPr>
            </w:pPr>
            <w:r>
              <w:rPr>
                <w:rFonts w:hint="eastAsia"/>
              </w:rPr>
              <w:t>/</w:t>
            </w:r>
          </w:p>
        </w:tc>
        <w:tc>
          <w:tcPr>
            <w:tcW w:w="533" w:type="pct"/>
            <w:tcBorders>
              <w:tl2br w:val="nil"/>
              <w:tr2bl w:val="nil"/>
            </w:tcBorders>
            <w:vAlign w:val="center"/>
          </w:tcPr>
          <w:p w14:paraId="6B3858E1">
            <w:pPr>
              <w:pStyle w:val="19"/>
            </w:pPr>
            <w:r>
              <w:rPr>
                <w:rFonts w:hint="eastAsia"/>
                <w:lang w:val="en-US" w:eastAsia="zh-CN"/>
              </w:rPr>
              <w:t>＜5</w:t>
            </w:r>
          </w:p>
        </w:tc>
        <w:tc>
          <w:tcPr>
            <w:tcW w:w="533" w:type="pct"/>
            <w:tcBorders>
              <w:tl2br w:val="nil"/>
              <w:tr2bl w:val="nil"/>
            </w:tcBorders>
            <w:vAlign w:val="center"/>
          </w:tcPr>
          <w:p w14:paraId="105A7725">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2FCC6997">
            <w:pPr>
              <w:pStyle w:val="19"/>
            </w:pPr>
            <w:r>
              <w:rPr>
                <w:rFonts w:hint="eastAsia"/>
                <w:lang w:val="en-US" w:eastAsia="zh-CN"/>
              </w:rPr>
              <w:t>＜5</w:t>
            </w:r>
          </w:p>
        </w:tc>
        <w:tc>
          <w:tcPr>
            <w:tcW w:w="533" w:type="pct"/>
            <w:gridSpan w:val="2"/>
            <w:tcBorders>
              <w:tl2br w:val="nil"/>
              <w:tr2bl w:val="nil"/>
            </w:tcBorders>
            <w:vAlign w:val="center"/>
          </w:tcPr>
          <w:p w14:paraId="180893AB">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29346EF4">
            <w:pPr>
              <w:pStyle w:val="19"/>
            </w:pPr>
            <w:r>
              <w:rPr>
                <w:rFonts w:hint="eastAsia"/>
                <w:lang w:val="en-US" w:eastAsia="zh-CN"/>
              </w:rPr>
              <w:t>＜5</w:t>
            </w:r>
          </w:p>
        </w:tc>
        <w:tc>
          <w:tcPr>
            <w:tcW w:w="533" w:type="pct"/>
            <w:tcBorders>
              <w:tl2br w:val="nil"/>
              <w:tr2bl w:val="nil"/>
            </w:tcBorders>
            <w:vAlign w:val="center"/>
          </w:tcPr>
          <w:p w14:paraId="7F064C48">
            <w:pPr>
              <w:pStyle w:val="19"/>
              <w:rPr>
                <w:rFonts w:hint="eastAsia" w:eastAsia="宋体"/>
                <w:lang w:val="en-US" w:eastAsia="zh-CN"/>
              </w:rPr>
            </w:pPr>
            <w:r>
              <w:rPr>
                <w:rFonts w:hint="eastAsia"/>
                <w:lang w:val="en-US" w:eastAsia="zh-CN"/>
              </w:rPr>
              <w:t>/</w:t>
            </w:r>
          </w:p>
        </w:tc>
      </w:tr>
      <w:tr w14:paraId="2714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61BAD224">
            <w:pPr>
              <w:pStyle w:val="19"/>
              <w:numPr>
                <w:ilvl w:val="0"/>
                <w:numId w:val="10"/>
              </w:numPr>
            </w:pPr>
          </w:p>
        </w:tc>
        <w:tc>
          <w:tcPr>
            <w:tcW w:w="701" w:type="pct"/>
            <w:tcBorders>
              <w:tl2br w:val="nil"/>
              <w:tr2bl w:val="nil"/>
            </w:tcBorders>
            <w:vAlign w:val="center"/>
          </w:tcPr>
          <w:p w14:paraId="634CD3A9">
            <w:pPr>
              <w:pStyle w:val="19"/>
              <w:ind w:firstLine="0" w:firstLineChars="0"/>
              <w:rPr>
                <w:rFonts w:ascii="Times New Roman" w:hAnsi="Times New Roman" w:eastAsia="宋体" w:cs="Times New Roman"/>
                <w:kern w:val="2"/>
                <w:sz w:val="21"/>
                <w:szCs w:val="22"/>
                <w:lang w:val="en-US" w:eastAsia="zh-CN" w:bidi="ar-SA"/>
              </w:rPr>
            </w:pPr>
            <w:r>
              <w:rPr>
                <w:rFonts w:hint="eastAsia"/>
              </w:rPr>
              <w:t>碳酸氢根</w:t>
            </w:r>
          </w:p>
        </w:tc>
        <w:tc>
          <w:tcPr>
            <w:tcW w:w="794" w:type="pct"/>
            <w:tcBorders>
              <w:tl2br w:val="nil"/>
              <w:tr2bl w:val="nil"/>
            </w:tcBorders>
            <w:vAlign w:val="center"/>
          </w:tcPr>
          <w:p w14:paraId="6ED4C779">
            <w:pPr>
              <w:pStyle w:val="19"/>
              <w:ind w:firstLine="0" w:firstLineChars="0"/>
              <w:rPr>
                <w:rFonts w:ascii="Times New Roman" w:hAnsi="Times New Roman" w:eastAsia="宋体" w:cs="Times New Roman"/>
                <w:kern w:val="2"/>
                <w:sz w:val="21"/>
                <w:szCs w:val="22"/>
                <w:lang w:val="en-US" w:eastAsia="zh-CN" w:bidi="ar-SA"/>
              </w:rPr>
            </w:pPr>
            <w:r>
              <w:rPr>
                <w:rFonts w:hint="eastAsia"/>
              </w:rPr>
              <w:t>/</w:t>
            </w:r>
          </w:p>
        </w:tc>
        <w:tc>
          <w:tcPr>
            <w:tcW w:w="533" w:type="pct"/>
            <w:tcBorders>
              <w:tl2br w:val="nil"/>
              <w:tr2bl w:val="nil"/>
            </w:tcBorders>
            <w:vAlign w:val="center"/>
          </w:tcPr>
          <w:p w14:paraId="0497EEED">
            <w:pPr>
              <w:pStyle w:val="19"/>
              <w:rPr>
                <w:rFonts w:hint="default" w:eastAsia="宋体"/>
                <w:lang w:val="en-US" w:eastAsia="zh-CN"/>
              </w:rPr>
            </w:pPr>
            <w:r>
              <w:rPr>
                <w:rFonts w:hint="eastAsia"/>
                <w:lang w:val="en-US" w:eastAsia="zh-CN"/>
              </w:rPr>
              <w:t>127</w:t>
            </w:r>
          </w:p>
        </w:tc>
        <w:tc>
          <w:tcPr>
            <w:tcW w:w="533" w:type="pct"/>
            <w:tcBorders>
              <w:tl2br w:val="nil"/>
              <w:tr2bl w:val="nil"/>
            </w:tcBorders>
            <w:vAlign w:val="center"/>
          </w:tcPr>
          <w:p w14:paraId="28806768">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6E9C295D">
            <w:pPr>
              <w:pStyle w:val="19"/>
              <w:rPr>
                <w:rFonts w:hint="default" w:eastAsia="宋体"/>
                <w:lang w:val="en-US" w:eastAsia="zh-CN"/>
              </w:rPr>
            </w:pPr>
            <w:r>
              <w:rPr>
                <w:rFonts w:hint="eastAsia"/>
                <w:lang w:val="en-US" w:eastAsia="zh-CN"/>
              </w:rPr>
              <w:t>115</w:t>
            </w:r>
          </w:p>
        </w:tc>
        <w:tc>
          <w:tcPr>
            <w:tcW w:w="533" w:type="pct"/>
            <w:gridSpan w:val="2"/>
            <w:tcBorders>
              <w:tl2br w:val="nil"/>
              <w:tr2bl w:val="nil"/>
            </w:tcBorders>
            <w:vAlign w:val="center"/>
          </w:tcPr>
          <w:p w14:paraId="5539BAB0">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5E365AE5">
            <w:pPr>
              <w:pStyle w:val="19"/>
              <w:rPr>
                <w:rFonts w:hint="default" w:eastAsia="宋体"/>
                <w:lang w:val="en-US" w:eastAsia="zh-CN"/>
              </w:rPr>
            </w:pPr>
            <w:r>
              <w:rPr>
                <w:rFonts w:hint="eastAsia"/>
                <w:lang w:val="en-US" w:eastAsia="zh-CN"/>
              </w:rPr>
              <w:t>129</w:t>
            </w:r>
          </w:p>
        </w:tc>
        <w:tc>
          <w:tcPr>
            <w:tcW w:w="533" w:type="pct"/>
            <w:tcBorders>
              <w:tl2br w:val="nil"/>
              <w:tr2bl w:val="nil"/>
            </w:tcBorders>
            <w:vAlign w:val="center"/>
          </w:tcPr>
          <w:p w14:paraId="333662C9">
            <w:pPr>
              <w:pStyle w:val="19"/>
              <w:rPr>
                <w:rFonts w:hint="eastAsia" w:eastAsia="宋体"/>
                <w:lang w:val="en-US" w:eastAsia="zh-CN"/>
              </w:rPr>
            </w:pPr>
            <w:r>
              <w:rPr>
                <w:rFonts w:hint="eastAsia"/>
                <w:lang w:val="en-US" w:eastAsia="zh-CN"/>
              </w:rPr>
              <w:t>/</w:t>
            </w:r>
          </w:p>
        </w:tc>
      </w:tr>
      <w:tr w14:paraId="11AB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555ED51">
            <w:pPr>
              <w:pStyle w:val="19"/>
              <w:numPr>
                <w:ilvl w:val="0"/>
                <w:numId w:val="10"/>
              </w:numPr>
            </w:pPr>
          </w:p>
        </w:tc>
        <w:tc>
          <w:tcPr>
            <w:tcW w:w="701" w:type="pct"/>
            <w:tcBorders>
              <w:tl2br w:val="nil"/>
              <w:tr2bl w:val="nil"/>
            </w:tcBorders>
            <w:vAlign w:val="center"/>
          </w:tcPr>
          <w:p w14:paraId="5E665BFE">
            <w:pPr>
              <w:pStyle w:val="19"/>
              <w:ind w:firstLine="0" w:firstLineChars="0"/>
              <w:rPr>
                <w:rFonts w:ascii="Times New Roman" w:hAnsi="Times New Roman" w:eastAsia="宋体" w:cs="Times New Roman"/>
                <w:kern w:val="2"/>
                <w:sz w:val="21"/>
                <w:szCs w:val="22"/>
                <w:lang w:val="en-US" w:eastAsia="zh-CN" w:bidi="ar-SA"/>
              </w:rPr>
            </w:pPr>
            <w:r>
              <w:rPr>
                <w:rFonts w:hint="eastAsia"/>
              </w:rPr>
              <w:t>钾离子</w:t>
            </w:r>
          </w:p>
        </w:tc>
        <w:tc>
          <w:tcPr>
            <w:tcW w:w="794" w:type="pct"/>
            <w:tcBorders>
              <w:tl2br w:val="nil"/>
              <w:tr2bl w:val="nil"/>
            </w:tcBorders>
            <w:vAlign w:val="center"/>
          </w:tcPr>
          <w:p w14:paraId="6C8F4DA0">
            <w:pPr>
              <w:pStyle w:val="19"/>
              <w:ind w:firstLine="0" w:firstLineChars="0"/>
              <w:rPr>
                <w:rFonts w:ascii="Times New Roman" w:hAnsi="Times New Roman" w:eastAsia="宋体" w:cs="Times New Roman"/>
                <w:kern w:val="2"/>
                <w:sz w:val="21"/>
                <w:szCs w:val="22"/>
                <w:lang w:val="en-US" w:eastAsia="zh-CN" w:bidi="ar-SA"/>
              </w:rPr>
            </w:pPr>
            <w:r>
              <w:rPr>
                <w:rFonts w:hint="eastAsia"/>
              </w:rPr>
              <w:t>/</w:t>
            </w:r>
          </w:p>
        </w:tc>
        <w:tc>
          <w:tcPr>
            <w:tcW w:w="533" w:type="pct"/>
            <w:tcBorders>
              <w:tl2br w:val="nil"/>
              <w:tr2bl w:val="nil"/>
            </w:tcBorders>
            <w:vAlign w:val="center"/>
          </w:tcPr>
          <w:p w14:paraId="49024016">
            <w:pPr>
              <w:pStyle w:val="19"/>
              <w:rPr>
                <w:rFonts w:hint="default" w:eastAsia="宋体"/>
                <w:lang w:val="en-US" w:eastAsia="zh-CN"/>
              </w:rPr>
            </w:pPr>
            <w:r>
              <w:rPr>
                <w:rFonts w:hint="eastAsia"/>
                <w:lang w:val="en-US" w:eastAsia="zh-CN"/>
              </w:rPr>
              <w:t>0.50</w:t>
            </w:r>
          </w:p>
        </w:tc>
        <w:tc>
          <w:tcPr>
            <w:tcW w:w="533" w:type="pct"/>
            <w:tcBorders>
              <w:tl2br w:val="nil"/>
              <w:tr2bl w:val="nil"/>
            </w:tcBorders>
            <w:vAlign w:val="center"/>
          </w:tcPr>
          <w:p w14:paraId="5BB404E6">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3C1A265D">
            <w:pPr>
              <w:pStyle w:val="19"/>
              <w:rPr>
                <w:rFonts w:hint="default" w:eastAsia="宋体"/>
                <w:lang w:val="en-US" w:eastAsia="zh-CN"/>
              </w:rPr>
            </w:pPr>
            <w:r>
              <w:rPr>
                <w:rFonts w:hint="eastAsia"/>
                <w:lang w:val="en-US" w:eastAsia="zh-CN"/>
              </w:rPr>
              <w:t>0.41</w:t>
            </w:r>
          </w:p>
        </w:tc>
        <w:tc>
          <w:tcPr>
            <w:tcW w:w="533" w:type="pct"/>
            <w:gridSpan w:val="2"/>
            <w:tcBorders>
              <w:tl2br w:val="nil"/>
              <w:tr2bl w:val="nil"/>
            </w:tcBorders>
            <w:vAlign w:val="center"/>
          </w:tcPr>
          <w:p w14:paraId="3A686FA4">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3CA9D196">
            <w:pPr>
              <w:pStyle w:val="19"/>
              <w:rPr>
                <w:rFonts w:hint="default" w:eastAsia="宋体"/>
                <w:lang w:val="en-US" w:eastAsia="zh-CN"/>
              </w:rPr>
            </w:pPr>
            <w:r>
              <w:rPr>
                <w:rFonts w:hint="eastAsia"/>
                <w:lang w:val="en-US" w:eastAsia="zh-CN"/>
              </w:rPr>
              <w:t>0.44</w:t>
            </w:r>
          </w:p>
        </w:tc>
        <w:tc>
          <w:tcPr>
            <w:tcW w:w="533" w:type="pct"/>
            <w:tcBorders>
              <w:tl2br w:val="nil"/>
              <w:tr2bl w:val="nil"/>
            </w:tcBorders>
            <w:vAlign w:val="center"/>
          </w:tcPr>
          <w:p w14:paraId="1A710D53">
            <w:pPr>
              <w:pStyle w:val="19"/>
              <w:rPr>
                <w:rFonts w:hint="eastAsia" w:eastAsia="宋体"/>
                <w:lang w:val="en-US" w:eastAsia="zh-CN"/>
              </w:rPr>
            </w:pPr>
            <w:r>
              <w:rPr>
                <w:rFonts w:hint="eastAsia"/>
                <w:lang w:val="en-US" w:eastAsia="zh-CN"/>
              </w:rPr>
              <w:t>/</w:t>
            </w:r>
          </w:p>
        </w:tc>
      </w:tr>
      <w:tr w14:paraId="5ADF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36481145">
            <w:pPr>
              <w:pStyle w:val="19"/>
              <w:numPr>
                <w:ilvl w:val="0"/>
                <w:numId w:val="10"/>
              </w:numPr>
            </w:pPr>
          </w:p>
        </w:tc>
        <w:tc>
          <w:tcPr>
            <w:tcW w:w="701" w:type="pct"/>
            <w:tcBorders>
              <w:tl2br w:val="nil"/>
              <w:tr2bl w:val="nil"/>
            </w:tcBorders>
            <w:vAlign w:val="center"/>
          </w:tcPr>
          <w:p w14:paraId="7175020C">
            <w:pPr>
              <w:pStyle w:val="19"/>
              <w:ind w:firstLine="0" w:firstLineChars="0"/>
              <w:rPr>
                <w:rFonts w:ascii="Times New Roman" w:hAnsi="Times New Roman" w:eastAsia="宋体" w:cs="Times New Roman"/>
                <w:kern w:val="2"/>
                <w:sz w:val="21"/>
                <w:szCs w:val="22"/>
                <w:lang w:val="en-US" w:eastAsia="zh-CN" w:bidi="ar-SA"/>
              </w:rPr>
            </w:pPr>
            <w:r>
              <w:rPr>
                <w:rFonts w:hint="eastAsia"/>
              </w:rPr>
              <w:t>钠离子</w:t>
            </w:r>
          </w:p>
        </w:tc>
        <w:tc>
          <w:tcPr>
            <w:tcW w:w="794" w:type="pct"/>
            <w:tcBorders>
              <w:tl2br w:val="nil"/>
              <w:tr2bl w:val="nil"/>
            </w:tcBorders>
            <w:vAlign w:val="center"/>
          </w:tcPr>
          <w:p w14:paraId="75D7DFD8">
            <w:pPr>
              <w:pStyle w:val="19"/>
              <w:ind w:firstLine="0" w:firstLineChars="0"/>
              <w:rPr>
                <w:rFonts w:ascii="Times New Roman" w:hAnsi="Times New Roman" w:eastAsia="宋体" w:cs="Times New Roman"/>
                <w:kern w:val="2"/>
                <w:sz w:val="21"/>
                <w:szCs w:val="22"/>
                <w:lang w:val="en-US" w:eastAsia="zh-CN" w:bidi="ar-SA"/>
              </w:rPr>
            </w:pPr>
            <w:r>
              <w:t>≤200mg/L</w:t>
            </w:r>
          </w:p>
        </w:tc>
        <w:tc>
          <w:tcPr>
            <w:tcW w:w="533" w:type="pct"/>
            <w:tcBorders>
              <w:tl2br w:val="nil"/>
              <w:tr2bl w:val="nil"/>
            </w:tcBorders>
            <w:vAlign w:val="center"/>
          </w:tcPr>
          <w:p w14:paraId="4D832F6E">
            <w:pPr>
              <w:pStyle w:val="19"/>
              <w:rPr>
                <w:rFonts w:hint="default" w:eastAsia="宋体"/>
                <w:lang w:val="en-US" w:eastAsia="zh-CN"/>
              </w:rPr>
            </w:pPr>
            <w:r>
              <w:rPr>
                <w:rFonts w:hint="eastAsia"/>
                <w:lang w:val="en-US" w:eastAsia="zh-CN"/>
              </w:rPr>
              <w:t>46.6</w:t>
            </w:r>
          </w:p>
        </w:tc>
        <w:tc>
          <w:tcPr>
            <w:tcW w:w="533" w:type="pct"/>
            <w:tcBorders>
              <w:tl2br w:val="nil"/>
              <w:tr2bl w:val="nil"/>
            </w:tcBorders>
            <w:vAlign w:val="center"/>
          </w:tcPr>
          <w:p w14:paraId="79C39617">
            <w:pPr>
              <w:pStyle w:val="19"/>
              <w:rPr>
                <w:rFonts w:hint="default" w:eastAsia="宋体"/>
                <w:lang w:val="en-US" w:eastAsia="zh-CN"/>
              </w:rPr>
            </w:pPr>
            <w:r>
              <w:rPr>
                <w:rFonts w:hint="eastAsia"/>
                <w:lang w:val="en-US" w:eastAsia="zh-CN"/>
              </w:rPr>
              <w:t>0.233</w:t>
            </w:r>
          </w:p>
        </w:tc>
        <w:tc>
          <w:tcPr>
            <w:tcW w:w="533" w:type="pct"/>
            <w:tcBorders>
              <w:tl2br w:val="nil"/>
              <w:tr2bl w:val="nil"/>
            </w:tcBorders>
            <w:vAlign w:val="center"/>
          </w:tcPr>
          <w:p w14:paraId="6ED15212">
            <w:pPr>
              <w:pStyle w:val="19"/>
              <w:rPr>
                <w:rFonts w:hint="default" w:eastAsia="宋体"/>
                <w:lang w:val="en-US" w:eastAsia="zh-CN"/>
              </w:rPr>
            </w:pPr>
            <w:r>
              <w:rPr>
                <w:rFonts w:hint="eastAsia"/>
                <w:lang w:val="en-US" w:eastAsia="zh-CN"/>
              </w:rPr>
              <w:t>48.5</w:t>
            </w:r>
          </w:p>
        </w:tc>
        <w:tc>
          <w:tcPr>
            <w:tcW w:w="533" w:type="pct"/>
            <w:gridSpan w:val="2"/>
            <w:tcBorders>
              <w:tl2br w:val="nil"/>
              <w:tr2bl w:val="nil"/>
            </w:tcBorders>
            <w:vAlign w:val="center"/>
          </w:tcPr>
          <w:p w14:paraId="715D4899">
            <w:pPr>
              <w:pStyle w:val="19"/>
              <w:rPr>
                <w:rFonts w:hint="default" w:eastAsia="宋体"/>
                <w:lang w:val="en-US" w:eastAsia="zh-CN"/>
              </w:rPr>
            </w:pPr>
            <w:r>
              <w:rPr>
                <w:rFonts w:hint="eastAsia"/>
                <w:lang w:val="en-US" w:eastAsia="zh-CN"/>
              </w:rPr>
              <w:t>0.243</w:t>
            </w:r>
          </w:p>
        </w:tc>
        <w:tc>
          <w:tcPr>
            <w:tcW w:w="533" w:type="pct"/>
            <w:tcBorders>
              <w:tl2br w:val="nil"/>
              <w:tr2bl w:val="nil"/>
            </w:tcBorders>
            <w:vAlign w:val="center"/>
          </w:tcPr>
          <w:p w14:paraId="7ABD5831">
            <w:pPr>
              <w:pStyle w:val="19"/>
              <w:rPr>
                <w:rFonts w:hint="default" w:eastAsia="宋体"/>
                <w:lang w:val="en-US" w:eastAsia="zh-CN"/>
              </w:rPr>
            </w:pPr>
            <w:r>
              <w:rPr>
                <w:rFonts w:hint="eastAsia"/>
                <w:lang w:val="en-US" w:eastAsia="zh-CN"/>
              </w:rPr>
              <w:t>44.0</w:t>
            </w:r>
          </w:p>
        </w:tc>
        <w:tc>
          <w:tcPr>
            <w:tcW w:w="533" w:type="pct"/>
            <w:tcBorders>
              <w:tl2br w:val="nil"/>
              <w:tr2bl w:val="nil"/>
            </w:tcBorders>
            <w:vAlign w:val="center"/>
          </w:tcPr>
          <w:p w14:paraId="7E0FEF01">
            <w:pPr>
              <w:pStyle w:val="19"/>
              <w:rPr>
                <w:rFonts w:hint="default" w:eastAsia="宋体"/>
                <w:lang w:val="en-US" w:eastAsia="zh-CN"/>
              </w:rPr>
            </w:pPr>
            <w:r>
              <w:rPr>
                <w:rFonts w:hint="eastAsia"/>
                <w:lang w:val="en-US" w:eastAsia="zh-CN"/>
              </w:rPr>
              <w:t>0.22</w:t>
            </w:r>
          </w:p>
        </w:tc>
      </w:tr>
      <w:tr w14:paraId="4E2C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3DFEA1D7">
            <w:pPr>
              <w:pStyle w:val="19"/>
              <w:numPr>
                <w:ilvl w:val="0"/>
                <w:numId w:val="10"/>
              </w:numPr>
            </w:pPr>
          </w:p>
        </w:tc>
        <w:tc>
          <w:tcPr>
            <w:tcW w:w="701" w:type="pct"/>
            <w:tcBorders>
              <w:tl2br w:val="nil"/>
              <w:tr2bl w:val="nil"/>
            </w:tcBorders>
            <w:vAlign w:val="center"/>
          </w:tcPr>
          <w:p w14:paraId="46B07C3F">
            <w:pPr>
              <w:pStyle w:val="19"/>
              <w:ind w:firstLine="0" w:firstLineChars="0"/>
              <w:rPr>
                <w:rFonts w:ascii="Times New Roman" w:hAnsi="Times New Roman" w:eastAsia="宋体" w:cs="Times New Roman"/>
                <w:kern w:val="2"/>
                <w:sz w:val="21"/>
                <w:szCs w:val="22"/>
                <w:lang w:val="en-US" w:eastAsia="zh-CN" w:bidi="ar-SA"/>
              </w:rPr>
            </w:pPr>
            <w:r>
              <w:rPr>
                <w:rFonts w:hint="eastAsia"/>
              </w:rPr>
              <w:t>镁离子</w:t>
            </w:r>
          </w:p>
        </w:tc>
        <w:tc>
          <w:tcPr>
            <w:tcW w:w="794" w:type="pct"/>
            <w:tcBorders>
              <w:tl2br w:val="nil"/>
              <w:tr2bl w:val="nil"/>
            </w:tcBorders>
            <w:vAlign w:val="center"/>
          </w:tcPr>
          <w:p w14:paraId="4FCED74A">
            <w:pPr>
              <w:pStyle w:val="19"/>
              <w:ind w:firstLine="0" w:firstLineChars="0"/>
              <w:rPr>
                <w:rFonts w:ascii="Times New Roman" w:hAnsi="Times New Roman" w:eastAsia="宋体" w:cs="Times New Roman"/>
                <w:kern w:val="2"/>
                <w:sz w:val="21"/>
                <w:szCs w:val="22"/>
                <w:lang w:val="en-US" w:eastAsia="zh-CN" w:bidi="ar-SA"/>
              </w:rPr>
            </w:pPr>
            <w:r>
              <w:rPr>
                <w:rFonts w:hint="eastAsia"/>
              </w:rPr>
              <w:t>/</w:t>
            </w:r>
          </w:p>
        </w:tc>
        <w:tc>
          <w:tcPr>
            <w:tcW w:w="533" w:type="pct"/>
            <w:tcBorders>
              <w:tl2br w:val="nil"/>
              <w:tr2bl w:val="nil"/>
            </w:tcBorders>
            <w:vAlign w:val="center"/>
          </w:tcPr>
          <w:p w14:paraId="69D41CEF">
            <w:pPr>
              <w:pStyle w:val="19"/>
              <w:rPr>
                <w:rFonts w:hint="default" w:eastAsia="宋体"/>
                <w:lang w:val="en-US" w:eastAsia="zh-CN"/>
              </w:rPr>
            </w:pPr>
            <w:r>
              <w:rPr>
                <w:rFonts w:hint="eastAsia"/>
                <w:lang w:val="en-US" w:eastAsia="zh-CN"/>
              </w:rPr>
              <w:t>7.78</w:t>
            </w:r>
          </w:p>
        </w:tc>
        <w:tc>
          <w:tcPr>
            <w:tcW w:w="533" w:type="pct"/>
            <w:tcBorders>
              <w:tl2br w:val="nil"/>
              <w:tr2bl w:val="nil"/>
            </w:tcBorders>
            <w:vAlign w:val="center"/>
          </w:tcPr>
          <w:p w14:paraId="521CF3E6">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795664CC">
            <w:pPr>
              <w:pStyle w:val="19"/>
              <w:rPr>
                <w:rFonts w:hint="default" w:eastAsia="宋体"/>
                <w:lang w:val="en-US" w:eastAsia="zh-CN"/>
              </w:rPr>
            </w:pPr>
            <w:r>
              <w:rPr>
                <w:rFonts w:hint="eastAsia"/>
                <w:lang w:val="en-US" w:eastAsia="zh-CN"/>
              </w:rPr>
              <w:t>4.00</w:t>
            </w:r>
          </w:p>
        </w:tc>
        <w:tc>
          <w:tcPr>
            <w:tcW w:w="533" w:type="pct"/>
            <w:gridSpan w:val="2"/>
            <w:tcBorders>
              <w:tl2br w:val="nil"/>
              <w:tr2bl w:val="nil"/>
            </w:tcBorders>
            <w:vAlign w:val="center"/>
          </w:tcPr>
          <w:p w14:paraId="047E0ABF">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7F5F5D6C">
            <w:pPr>
              <w:pStyle w:val="19"/>
              <w:rPr>
                <w:rFonts w:hint="default" w:eastAsia="宋体"/>
                <w:lang w:val="en-US" w:eastAsia="zh-CN"/>
              </w:rPr>
            </w:pPr>
            <w:r>
              <w:rPr>
                <w:rFonts w:hint="eastAsia"/>
                <w:lang w:val="en-US" w:eastAsia="zh-CN"/>
              </w:rPr>
              <w:t>7.91</w:t>
            </w:r>
          </w:p>
        </w:tc>
        <w:tc>
          <w:tcPr>
            <w:tcW w:w="533" w:type="pct"/>
            <w:tcBorders>
              <w:tl2br w:val="nil"/>
              <w:tr2bl w:val="nil"/>
            </w:tcBorders>
            <w:vAlign w:val="center"/>
          </w:tcPr>
          <w:p w14:paraId="247199CE">
            <w:pPr>
              <w:pStyle w:val="19"/>
              <w:rPr>
                <w:rFonts w:hint="eastAsia" w:eastAsia="宋体"/>
                <w:lang w:val="en-US" w:eastAsia="zh-CN"/>
              </w:rPr>
            </w:pPr>
            <w:r>
              <w:rPr>
                <w:rFonts w:hint="eastAsia"/>
                <w:lang w:val="en-US" w:eastAsia="zh-CN"/>
              </w:rPr>
              <w:t>/</w:t>
            </w:r>
          </w:p>
        </w:tc>
      </w:tr>
      <w:tr w14:paraId="6517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3A7DC8C8">
            <w:pPr>
              <w:pStyle w:val="19"/>
              <w:numPr>
                <w:ilvl w:val="0"/>
                <w:numId w:val="10"/>
              </w:numPr>
            </w:pPr>
          </w:p>
        </w:tc>
        <w:tc>
          <w:tcPr>
            <w:tcW w:w="701" w:type="pct"/>
            <w:tcBorders>
              <w:tl2br w:val="nil"/>
              <w:tr2bl w:val="nil"/>
            </w:tcBorders>
            <w:vAlign w:val="center"/>
          </w:tcPr>
          <w:p w14:paraId="14D5E399">
            <w:pPr>
              <w:pStyle w:val="19"/>
              <w:ind w:firstLine="0" w:firstLineChars="0"/>
              <w:rPr>
                <w:rFonts w:ascii="Times New Roman" w:hAnsi="Times New Roman" w:eastAsia="宋体" w:cs="Times New Roman"/>
                <w:kern w:val="2"/>
                <w:sz w:val="21"/>
                <w:szCs w:val="22"/>
                <w:lang w:val="en-US" w:eastAsia="zh-CN" w:bidi="ar-SA"/>
              </w:rPr>
            </w:pPr>
            <w:r>
              <w:rPr>
                <w:rFonts w:hint="eastAsia"/>
              </w:rPr>
              <w:t>钙离子</w:t>
            </w:r>
          </w:p>
        </w:tc>
        <w:tc>
          <w:tcPr>
            <w:tcW w:w="794" w:type="pct"/>
            <w:tcBorders>
              <w:tl2br w:val="nil"/>
              <w:tr2bl w:val="nil"/>
            </w:tcBorders>
            <w:vAlign w:val="center"/>
          </w:tcPr>
          <w:p w14:paraId="15373FAC">
            <w:pPr>
              <w:pStyle w:val="19"/>
              <w:ind w:firstLine="0" w:firstLineChars="0"/>
              <w:rPr>
                <w:rFonts w:ascii="Times New Roman" w:hAnsi="Times New Roman" w:eastAsia="宋体" w:cs="Times New Roman"/>
                <w:kern w:val="2"/>
                <w:sz w:val="21"/>
                <w:szCs w:val="22"/>
                <w:lang w:val="en-US" w:eastAsia="zh-CN" w:bidi="ar-SA"/>
              </w:rPr>
            </w:pPr>
            <w:r>
              <w:rPr>
                <w:rFonts w:hint="eastAsia"/>
              </w:rPr>
              <w:t>/</w:t>
            </w:r>
          </w:p>
        </w:tc>
        <w:tc>
          <w:tcPr>
            <w:tcW w:w="533" w:type="pct"/>
            <w:tcBorders>
              <w:tl2br w:val="nil"/>
              <w:tr2bl w:val="nil"/>
            </w:tcBorders>
            <w:vAlign w:val="center"/>
          </w:tcPr>
          <w:p w14:paraId="35E548AA">
            <w:pPr>
              <w:pStyle w:val="19"/>
              <w:rPr>
                <w:rFonts w:hint="default" w:eastAsia="宋体"/>
                <w:lang w:val="en-US" w:eastAsia="zh-CN"/>
              </w:rPr>
            </w:pPr>
            <w:r>
              <w:rPr>
                <w:rFonts w:hint="eastAsia"/>
                <w:lang w:val="en-US" w:eastAsia="zh-CN"/>
              </w:rPr>
              <w:t>31.8</w:t>
            </w:r>
          </w:p>
        </w:tc>
        <w:tc>
          <w:tcPr>
            <w:tcW w:w="533" w:type="pct"/>
            <w:tcBorders>
              <w:tl2br w:val="nil"/>
              <w:tr2bl w:val="nil"/>
            </w:tcBorders>
            <w:vAlign w:val="center"/>
          </w:tcPr>
          <w:p w14:paraId="2653391B">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48137D27">
            <w:pPr>
              <w:pStyle w:val="19"/>
              <w:rPr>
                <w:rFonts w:hint="default" w:eastAsia="宋体"/>
                <w:lang w:val="en-US" w:eastAsia="zh-CN"/>
              </w:rPr>
            </w:pPr>
            <w:r>
              <w:rPr>
                <w:rFonts w:hint="eastAsia"/>
                <w:lang w:val="en-US" w:eastAsia="zh-CN"/>
              </w:rPr>
              <w:t>33.1</w:t>
            </w:r>
          </w:p>
        </w:tc>
        <w:tc>
          <w:tcPr>
            <w:tcW w:w="533" w:type="pct"/>
            <w:gridSpan w:val="2"/>
            <w:tcBorders>
              <w:tl2br w:val="nil"/>
              <w:tr2bl w:val="nil"/>
            </w:tcBorders>
            <w:vAlign w:val="center"/>
          </w:tcPr>
          <w:p w14:paraId="3864DD9C">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262F5942">
            <w:pPr>
              <w:pStyle w:val="19"/>
              <w:rPr>
                <w:rFonts w:hint="default" w:eastAsia="宋体"/>
                <w:lang w:val="en-US" w:eastAsia="zh-CN"/>
              </w:rPr>
            </w:pPr>
            <w:r>
              <w:rPr>
                <w:rFonts w:hint="eastAsia"/>
                <w:lang w:val="en-US" w:eastAsia="zh-CN"/>
              </w:rPr>
              <w:t>33.2</w:t>
            </w:r>
          </w:p>
        </w:tc>
        <w:tc>
          <w:tcPr>
            <w:tcW w:w="533" w:type="pct"/>
            <w:tcBorders>
              <w:tl2br w:val="nil"/>
              <w:tr2bl w:val="nil"/>
            </w:tcBorders>
            <w:vAlign w:val="center"/>
          </w:tcPr>
          <w:p w14:paraId="25E88909">
            <w:pPr>
              <w:pStyle w:val="19"/>
              <w:rPr>
                <w:rFonts w:hint="eastAsia" w:eastAsia="宋体"/>
                <w:lang w:val="en-US" w:eastAsia="zh-CN"/>
              </w:rPr>
            </w:pPr>
            <w:r>
              <w:rPr>
                <w:rFonts w:hint="eastAsia"/>
                <w:lang w:val="en-US" w:eastAsia="zh-CN"/>
              </w:rPr>
              <w:t>/</w:t>
            </w:r>
          </w:p>
        </w:tc>
      </w:tr>
      <w:tr w14:paraId="1DE2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E00B240">
            <w:pPr>
              <w:pStyle w:val="19"/>
              <w:numPr>
                <w:ilvl w:val="0"/>
                <w:numId w:val="10"/>
              </w:numPr>
            </w:pPr>
          </w:p>
        </w:tc>
        <w:tc>
          <w:tcPr>
            <w:tcW w:w="701" w:type="pct"/>
            <w:tcBorders>
              <w:tl2br w:val="nil"/>
              <w:tr2bl w:val="nil"/>
            </w:tcBorders>
            <w:vAlign w:val="center"/>
          </w:tcPr>
          <w:p w14:paraId="43994E4F">
            <w:pPr>
              <w:pStyle w:val="19"/>
              <w:ind w:firstLine="0" w:firstLineChars="0"/>
              <w:rPr>
                <w:rFonts w:hint="eastAsia" w:ascii="Times New Roman" w:hAnsi="Times New Roman" w:eastAsia="宋体" w:cs="Times New Roman"/>
                <w:kern w:val="2"/>
                <w:sz w:val="21"/>
                <w:szCs w:val="22"/>
                <w:lang w:val="en-US" w:eastAsia="zh-CN" w:bidi="ar-SA"/>
              </w:rPr>
            </w:pPr>
            <w:r>
              <w:t>砷</w:t>
            </w:r>
          </w:p>
        </w:tc>
        <w:tc>
          <w:tcPr>
            <w:tcW w:w="794" w:type="pct"/>
            <w:tcBorders>
              <w:tl2br w:val="nil"/>
              <w:tr2bl w:val="nil"/>
            </w:tcBorders>
            <w:vAlign w:val="center"/>
          </w:tcPr>
          <w:p w14:paraId="329706F4">
            <w:pPr>
              <w:pStyle w:val="19"/>
              <w:ind w:firstLine="0" w:firstLineChars="0"/>
              <w:rPr>
                <w:rFonts w:ascii="Times New Roman" w:hAnsi="Times New Roman" w:eastAsia="宋体" w:cs="Times New Roman"/>
                <w:kern w:val="2"/>
                <w:sz w:val="21"/>
                <w:szCs w:val="22"/>
                <w:lang w:val="en-US" w:eastAsia="zh-CN" w:bidi="ar-SA"/>
              </w:rPr>
            </w:pPr>
            <w:r>
              <w:t>≤10μg/L</w:t>
            </w:r>
          </w:p>
        </w:tc>
        <w:tc>
          <w:tcPr>
            <w:tcW w:w="533" w:type="pct"/>
            <w:tcBorders>
              <w:tl2br w:val="nil"/>
              <w:tr2bl w:val="nil"/>
            </w:tcBorders>
            <w:vAlign w:val="center"/>
          </w:tcPr>
          <w:p w14:paraId="7E6C8FCE">
            <w:pPr>
              <w:pStyle w:val="19"/>
              <w:rPr>
                <w:rFonts w:hint="default" w:eastAsia="宋体"/>
                <w:lang w:val="en-US" w:eastAsia="zh-CN"/>
              </w:rPr>
            </w:pPr>
            <w:r>
              <w:rPr>
                <w:rFonts w:hint="eastAsia"/>
                <w:lang w:val="en-US" w:eastAsia="zh-CN"/>
              </w:rPr>
              <w:t>0.8</w:t>
            </w:r>
          </w:p>
        </w:tc>
        <w:tc>
          <w:tcPr>
            <w:tcW w:w="533" w:type="pct"/>
            <w:tcBorders>
              <w:tl2br w:val="nil"/>
              <w:tr2bl w:val="nil"/>
            </w:tcBorders>
            <w:vAlign w:val="center"/>
          </w:tcPr>
          <w:p w14:paraId="0146C689">
            <w:pPr>
              <w:pStyle w:val="19"/>
              <w:rPr>
                <w:rFonts w:hint="default" w:eastAsia="宋体"/>
                <w:lang w:val="en-US" w:eastAsia="zh-CN"/>
              </w:rPr>
            </w:pPr>
            <w:r>
              <w:rPr>
                <w:rFonts w:hint="eastAsia"/>
                <w:lang w:val="en-US" w:eastAsia="zh-CN"/>
              </w:rPr>
              <w:t>0.08</w:t>
            </w:r>
          </w:p>
        </w:tc>
        <w:tc>
          <w:tcPr>
            <w:tcW w:w="533" w:type="pct"/>
            <w:tcBorders>
              <w:tl2br w:val="nil"/>
              <w:tr2bl w:val="nil"/>
            </w:tcBorders>
            <w:vAlign w:val="center"/>
          </w:tcPr>
          <w:p w14:paraId="1686A36A">
            <w:pPr>
              <w:pStyle w:val="19"/>
              <w:rPr>
                <w:rFonts w:hint="default" w:eastAsia="宋体"/>
                <w:lang w:val="en-US" w:eastAsia="zh-CN"/>
              </w:rPr>
            </w:pPr>
            <w:r>
              <w:rPr>
                <w:rFonts w:hint="eastAsia"/>
                <w:lang w:val="en-US" w:eastAsia="zh-CN"/>
              </w:rPr>
              <w:t>0.9</w:t>
            </w:r>
          </w:p>
        </w:tc>
        <w:tc>
          <w:tcPr>
            <w:tcW w:w="533" w:type="pct"/>
            <w:gridSpan w:val="2"/>
            <w:tcBorders>
              <w:tl2br w:val="nil"/>
              <w:tr2bl w:val="nil"/>
            </w:tcBorders>
            <w:vAlign w:val="center"/>
          </w:tcPr>
          <w:p w14:paraId="31A7B6AE">
            <w:pPr>
              <w:pStyle w:val="19"/>
              <w:rPr>
                <w:rFonts w:hint="default" w:eastAsia="宋体"/>
                <w:lang w:val="en-US" w:eastAsia="zh-CN"/>
              </w:rPr>
            </w:pPr>
            <w:r>
              <w:rPr>
                <w:rFonts w:hint="eastAsia"/>
                <w:lang w:val="en-US" w:eastAsia="zh-CN"/>
              </w:rPr>
              <w:t>0.09</w:t>
            </w:r>
          </w:p>
        </w:tc>
        <w:tc>
          <w:tcPr>
            <w:tcW w:w="533" w:type="pct"/>
            <w:tcBorders>
              <w:tl2br w:val="nil"/>
              <w:tr2bl w:val="nil"/>
            </w:tcBorders>
            <w:vAlign w:val="center"/>
          </w:tcPr>
          <w:p w14:paraId="4E5B2955">
            <w:pPr>
              <w:pStyle w:val="19"/>
              <w:rPr>
                <w:rFonts w:hint="default" w:eastAsia="宋体"/>
                <w:lang w:val="en-US" w:eastAsia="zh-CN"/>
              </w:rPr>
            </w:pPr>
            <w:r>
              <w:rPr>
                <w:rFonts w:hint="eastAsia"/>
                <w:lang w:val="en-US" w:eastAsia="zh-CN"/>
              </w:rPr>
              <w:t>0.9</w:t>
            </w:r>
          </w:p>
        </w:tc>
        <w:tc>
          <w:tcPr>
            <w:tcW w:w="533" w:type="pct"/>
            <w:tcBorders>
              <w:tl2br w:val="nil"/>
              <w:tr2bl w:val="nil"/>
            </w:tcBorders>
            <w:vAlign w:val="center"/>
          </w:tcPr>
          <w:p w14:paraId="7122D3F8">
            <w:pPr>
              <w:pStyle w:val="19"/>
              <w:rPr>
                <w:rFonts w:hint="default" w:eastAsia="宋体"/>
                <w:lang w:val="en-US" w:eastAsia="zh-CN"/>
              </w:rPr>
            </w:pPr>
            <w:r>
              <w:rPr>
                <w:rFonts w:hint="eastAsia"/>
                <w:lang w:val="en-US" w:eastAsia="zh-CN"/>
              </w:rPr>
              <w:t>0.09</w:t>
            </w:r>
          </w:p>
        </w:tc>
      </w:tr>
      <w:tr w14:paraId="454F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123AFAD8">
            <w:pPr>
              <w:pStyle w:val="19"/>
              <w:numPr>
                <w:ilvl w:val="0"/>
                <w:numId w:val="10"/>
              </w:numPr>
            </w:pPr>
          </w:p>
        </w:tc>
        <w:tc>
          <w:tcPr>
            <w:tcW w:w="701" w:type="pct"/>
            <w:tcBorders>
              <w:tl2br w:val="nil"/>
              <w:tr2bl w:val="nil"/>
            </w:tcBorders>
            <w:vAlign w:val="center"/>
          </w:tcPr>
          <w:p w14:paraId="47D2F5C4">
            <w:pPr>
              <w:pStyle w:val="19"/>
              <w:ind w:firstLine="0" w:firstLineChars="0"/>
              <w:rPr>
                <w:rFonts w:hint="eastAsia" w:ascii="Times New Roman" w:hAnsi="Times New Roman" w:eastAsia="宋体" w:cs="Times New Roman"/>
                <w:kern w:val="2"/>
                <w:sz w:val="21"/>
                <w:szCs w:val="22"/>
                <w:lang w:val="en-US" w:eastAsia="zh-CN" w:bidi="ar-SA"/>
              </w:rPr>
            </w:pPr>
            <w:r>
              <w:t>汞</w:t>
            </w:r>
          </w:p>
        </w:tc>
        <w:tc>
          <w:tcPr>
            <w:tcW w:w="794" w:type="pct"/>
            <w:tcBorders>
              <w:tl2br w:val="nil"/>
              <w:tr2bl w:val="nil"/>
            </w:tcBorders>
            <w:vAlign w:val="center"/>
          </w:tcPr>
          <w:p w14:paraId="2D7FA4DF">
            <w:pPr>
              <w:pStyle w:val="19"/>
              <w:ind w:firstLine="0" w:firstLineChars="0"/>
              <w:rPr>
                <w:rFonts w:ascii="Times New Roman" w:hAnsi="Times New Roman" w:eastAsia="宋体" w:cs="Times New Roman"/>
                <w:kern w:val="2"/>
                <w:sz w:val="21"/>
                <w:szCs w:val="22"/>
                <w:lang w:val="en-US" w:eastAsia="zh-CN" w:bidi="ar-SA"/>
              </w:rPr>
            </w:pPr>
            <w:r>
              <w:t>≤1μg/L</w:t>
            </w:r>
          </w:p>
        </w:tc>
        <w:tc>
          <w:tcPr>
            <w:tcW w:w="533" w:type="pct"/>
            <w:tcBorders>
              <w:tl2br w:val="nil"/>
              <w:tr2bl w:val="nil"/>
            </w:tcBorders>
            <w:vAlign w:val="center"/>
          </w:tcPr>
          <w:p w14:paraId="5F0A4D59">
            <w:pPr>
              <w:pStyle w:val="19"/>
              <w:rPr>
                <w:rFonts w:hint="default"/>
                <w:lang w:val="en-US"/>
              </w:rPr>
            </w:pPr>
            <w:r>
              <w:rPr>
                <w:rFonts w:hint="eastAsia"/>
                <w:lang w:val="en-US" w:eastAsia="zh-CN"/>
              </w:rPr>
              <w:t>＜0.04</w:t>
            </w:r>
          </w:p>
        </w:tc>
        <w:tc>
          <w:tcPr>
            <w:tcW w:w="533" w:type="pct"/>
            <w:tcBorders>
              <w:tl2br w:val="nil"/>
              <w:tr2bl w:val="nil"/>
            </w:tcBorders>
            <w:vAlign w:val="center"/>
          </w:tcPr>
          <w:p w14:paraId="0229CBC7">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22A362D2">
            <w:pPr>
              <w:pStyle w:val="19"/>
            </w:pPr>
            <w:r>
              <w:rPr>
                <w:rFonts w:hint="eastAsia"/>
                <w:lang w:val="en-US" w:eastAsia="zh-CN"/>
              </w:rPr>
              <w:t>＜0.04</w:t>
            </w:r>
          </w:p>
        </w:tc>
        <w:tc>
          <w:tcPr>
            <w:tcW w:w="533" w:type="pct"/>
            <w:gridSpan w:val="2"/>
            <w:tcBorders>
              <w:tl2br w:val="nil"/>
              <w:tr2bl w:val="nil"/>
            </w:tcBorders>
            <w:vAlign w:val="center"/>
          </w:tcPr>
          <w:p w14:paraId="1DFB95EE">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4C1C5C9A">
            <w:pPr>
              <w:pStyle w:val="19"/>
            </w:pPr>
            <w:r>
              <w:rPr>
                <w:rFonts w:hint="eastAsia"/>
                <w:lang w:val="en-US" w:eastAsia="zh-CN"/>
              </w:rPr>
              <w:t>＜0.04</w:t>
            </w:r>
          </w:p>
        </w:tc>
        <w:tc>
          <w:tcPr>
            <w:tcW w:w="533" w:type="pct"/>
            <w:tcBorders>
              <w:tl2br w:val="nil"/>
              <w:tr2bl w:val="nil"/>
            </w:tcBorders>
            <w:vAlign w:val="center"/>
          </w:tcPr>
          <w:p w14:paraId="526B1D49">
            <w:pPr>
              <w:pStyle w:val="19"/>
              <w:rPr>
                <w:rFonts w:hint="eastAsia" w:eastAsia="宋体"/>
                <w:lang w:val="en-US" w:eastAsia="zh-CN"/>
              </w:rPr>
            </w:pPr>
            <w:r>
              <w:rPr>
                <w:rFonts w:hint="eastAsia"/>
                <w:lang w:val="en-US" w:eastAsia="zh-CN"/>
              </w:rPr>
              <w:t>/</w:t>
            </w:r>
          </w:p>
        </w:tc>
      </w:tr>
      <w:tr w14:paraId="46D8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303" w:type="pct"/>
            <w:tcBorders>
              <w:tl2br w:val="nil"/>
              <w:tr2bl w:val="nil"/>
            </w:tcBorders>
            <w:vAlign w:val="center"/>
          </w:tcPr>
          <w:p w14:paraId="2C3B4C5C">
            <w:pPr>
              <w:pStyle w:val="19"/>
              <w:numPr>
                <w:ilvl w:val="0"/>
                <w:numId w:val="10"/>
              </w:numPr>
            </w:pPr>
          </w:p>
        </w:tc>
        <w:tc>
          <w:tcPr>
            <w:tcW w:w="701" w:type="pct"/>
            <w:tcBorders>
              <w:tl2br w:val="nil"/>
              <w:tr2bl w:val="nil"/>
            </w:tcBorders>
            <w:vAlign w:val="center"/>
          </w:tcPr>
          <w:p w14:paraId="175FFD0A">
            <w:pPr>
              <w:pStyle w:val="19"/>
              <w:ind w:firstLine="0" w:firstLineChars="0"/>
              <w:rPr>
                <w:rFonts w:hint="eastAsia" w:ascii="Times New Roman" w:hAnsi="Times New Roman" w:eastAsia="宋体" w:cs="Times New Roman"/>
                <w:kern w:val="2"/>
                <w:sz w:val="21"/>
                <w:szCs w:val="22"/>
                <w:lang w:val="en-US" w:eastAsia="zh-CN" w:bidi="ar-SA"/>
              </w:rPr>
            </w:pPr>
            <w:r>
              <w:t>铅</w:t>
            </w:r>
          </w:p>
        </w:tc>
        <w:tc>
          <w:tcPr>
            <w:tcW w:w="794" w:type="pct"/>
            <w:tcBorders>
              <w:tl2br w:val="nil"/>
              <w:tr2bl w:val="nil"/>
            </w:tcBorders>
            <w:vAlign w:val="center"/>
          </w:tcPr>
          <w:p w14:paraId="5E5E1598">
            <w:pPr>
              <w:pStyle w:val="19"/>
              <w:ind w:firstLine="0" w:firstLineChars="0"/>
              <w:rPr>
                <w:rFonts w:ascii="Times New Roman" w:hAnsi="Times New Roman" w:eastAsia="宋体" w:cs="Times New Roman"/>
                <w:kern w:val="2"/>
                <w:sz w:val="21"/>
                <w:szCs w:val="22"/>
                <w:lang w:val="en-US" w:eastAsia="zh-CN" w:bidi="ar-SA"/>
              </w:rPr>
            </w:pPr>
            <w:r>
              <w:t>≤10μg/L</w:t>
            </w:r>
          </w:p>
        </w:tc>
        <w:tc>
          <w:tcPr>
            <w:tcW w:w="533" w:type="pct"/>
            <w:tcBorders>
              <w:tl2br w:val="nil"/>
              <w:tr2bl w:val="nil"/>
            </w:tcBorders>
            <w:vAlign w:val="center"/>
          </w:tcPr>
          <w:p w14:paraId="75F49349">
            <w:pPr>
              <w:pStyle w:val="19"/>
              <w:rPr>
                <w:rFonts w:hint="default"/>
                <w:lang w:val="en-US"/>
              </w:rPr>
            </w:pPr>
            <w:r>
              <w:rPr>
                <w:rFonts w:hint="eastAsia"/>
                <w:lang w:val="en-US" w:eastAsia="zh-CN"/>
              </w:rPr>
              <w:t>＜10</w:t>
            </w:r>
          </w:p>
        </w:tc>
        <w:tc>
          <w:tcPr>
            <w:tcW w:w="533" w:type="pct"/>
            <w:tcBorders>
              <w:tl2br w:val="nil"/>
              <w:tr2bl w:val="nil"/>
            </w:tcBorders>
            <w:vAlign w:val="center"/>
          </w:tcPr>
          <w:p w14:paraId="55A4D91E">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28C4F8E9">
            <w:pPr>
              <w:pStyle w:val="19"/>
            </w:pPr>
            <w:r>
              <w:rPr>
                <w:rFonts w:hint="eastAsia"/>
                <w:lang w:val="en-US" w:eastAsia="zh-CN"/>
              </w:rPr>
              <w:t>＜10</w:t>
            </w:r>
          </w:p>
        </w:tc>
        <w:tc>
          <w:tcPr>
            <w:tcW w:w="533" w:type="pct"/>
            <w:gridSpan w:val="2"/>
            <w:tcBorders>
              <w:tl2br w:val="nil"/>
              <w:tr2bl w:val="nil"/>
            </w:tcBorders>
            <w:vAlign w:val="center"/>
          </w:tcPr>
          <w:p w14:paraId="2D3AFA6B">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3B00E6FF">
            <w:pPr>
              <w:pStyle w:val="19"/>
            </w:pPr>
            <w:r>
              <w:rPr>
                <w:rFonts w:hint="eastAsia"/>
                <w:lang w:val="en-US" w:eastAsia="zh-CN"/>
              </w:rPr>
              <w:t>＜10</w:t>
            </w:r>
          </w:p>
        </w:tc>
        <w:tc>
          <w:tcPr>
            <w:tcW w:w="533" w:type="pct"/>
            <w:tcBorders>
              <w:tl2br w:val="nil"/>
              <w:tr2bl w:val="nil"/>
            </w:tcBorders>
            <w:vAlign w:val="center"/>
          </w:tcPr>
          <w:p w14:paraId="44784F08">
            <w:pPr>
              <w:pStyle w:val="19"/>
              <w:rPr>
                <w:rFonts w:hint="eastAsia" w:eastAsia="宋体"/>
                <w:lang w:val="en-US" w:eastAsia="zh-CN"/>
              </w:rPr>
            </w:pPr>
            <w:r>
              <w:rPr>
                <w:rFonts w:hint="eastAsia"/>
                <w:lang w:val="en-US" w:eastAsia="zh-CN"/>
              </w:rPr>
              <w:t>/</w:t>
            </w:r>
          </w:p>
        </w:tc>
      </w:tr>
      <w:tr w14:paraId="2B4C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423C91E9">
            <w:pPr>
              <w:pStyle w:val="19"/>
              <w:numPr>
                <w:ilvl w:val="0"/>
                <w:numId w:val="10"/>
              </w:numPr>
            </w:pPr>
          </w:p>
        </w:tc>
        <w:tc>
          <w:tcPr>
            <w:tcW w:w="701" w:type="pct"/>
            <w:tcBorders>
              <w:tl2br w:val="nil"/>
              <w:tr2bl w:val="nil"/>
            </w:tcBorders>
            <w:vAlign w:val="center"/>
          </w:tcPr>
          <w:p w14:paraId="2B439318">
            <w:pPr>
              <w:pStyle w:val="19"/>
              <w:ind w:firstLine="0" w:firstLineChars="0"/>
              <w:rPr>
                <w:rFonts w:ascii="Times New Roman" w:hAnsi="Times New Roman" w:eastAsia="宋体" w:cs="Times New Roman"/>
                <w:kern w:val="2"/>
                <w:sz w:val="21"/>
                <w:szCs w:val="22"/>
                <w:lang w:val="en-US" w:eastAsia="zh-CN" w:bidi="ar-SA"/>
              </w:rPr>
            </w:pPr>
            <w:r>
              <w:t>六价铬</w:t>
            </w:r>
          </w:p>
        </w:tc>
        <w:tc>
          <w:tcPr>
            <w:tcW w:w="794" w:type="pct"/>
            <w:tcBorders>
              <w:tl2br w:val="nil"/>
              <w:tr2bl w:val="nil"/>
            </w:tcBorders>
            <w:vAlign w:val="center"/>
          </w:tcPr>
          <w:p w14:paraId="4AF4D228">
            <w:pPr>
              <w:pStyle w:val="19"/>
              <w:ind w:firstLine="0" w:firstLineChars="0"/>
              <w:rPr>
                <w:rFonts w:ascii="Times New Roman" w:hAnsi="Times New Roman" w:eastAsia="宋体" w:cs="Times New Roman"/>
                <w:kern w:val="2"/>
                <w:sz w:val="21"/>
                <w:szCs w:val="22"/>
                <w:lang w:val="en-US" w:eastAsia="zh-CN" w:bidi="ar-SA"/>
              </w:rPr>
            </w:pPr>
            <w:r>
              <w:t>≤0.05mg/L</w:t>
            </w:r>
          </w:p>
        </w:tc>
        <w:tc>
          <w:tcPr>
            <w:tcW w:w="533" w:type="pct"/>
            <w:tcBorders>
              <w:tl2br w:val="nil"/>
              <w:tr2bl w:val="nil"/>
            </w:tcBorders>
            <w:vAlign w:val="center"/>
          </w:tcPr>
          <w:p w14:paraId="5C2AD2AF">
            <w:pPr>
              <w:pStyle w:val="19"/>
              <w:rPr>
                <w:rFonts w:hint="default" w:eastAsia="宋体"/>
                <w:lang w:val="en-US" w:eastAsia="zh-CN"/>
              </w:rPr>
            </w:pPr>
            <w:r>
              <w:rPr>
                <w:rFonts w:hint="eastAsia"/>
                <w:lang w:val="en-US" w:eastAsia="zh-CN"/>
              </w:rPr>
              <w:t>0.004</w:t>
            </w:r>
          </w:p>
        </w:tc>
        <w:tc>
          <w:tcPr>
            <w:tcW w:w="533" w:type="pct"/>
            <w:tcBorders>
              <w:tl2br w:val="nil"/>
              <w:tr2bl w:val="nil"/>
            </w:tcBorders>
            <w:vAlign w:val="center"/>
          </w:tcPr>
          <w:p w14:paraId="386F2D3D">
            <w:pPr>
              <w:pStyle w:val="19"/>
              <w:rPr>
                <w:rFonts w:hint="default" w:eastAsia="宋体"/>
                <w:lang w:val="en-US" w:eastAsia="zh-CN"/>
              </w:rPr>
            </w:pPr>
            <w:r>
              <w:rPr>
                <w:rFonts w:hint="eastAsia"/>
                <w:lang w:val="en-US" w:eastAsia="zh-CN"/>
              </w:rPr>
              <w:t>0.08</w:t>
            </w:r>
          </w:p>
        </w:tc>
        <w:tc>
          <w:tcPr>
            <w:tcW w:w="533" w:type="pct"/>
            <w:tcBorders>
              <w:tl2br w:val="nil"/>
              <w:tr2bl w:val="nil"/>
            </w:tcBorders>
            <w:vAlign w:val="center"/>
          </w:tcPr>
          <w:p w14:paraId="4EEBF0A4">
            <w:pPr>
              <w:pStyle w:val="19"/>
              <w:rPr>
                <w:rFonts w:hint="default"/>
                <w:lang w:val="en-US"/>
              </w:rPr>
            </w:pPr>
            <w:r>
              <w:rPr>
                <w:rFonts w:hint="eastAsia"/>
                <w:lang w:val="en-US" w:eastAsia="zh-CN"/>
              </w:rPr>
              <w:t>＜0.004</w:t>
            </w:r>
          </w:p>
        </w:tc>
        <w:tc>
          <w:tcPr>
            <w:tcW w:w="533" w:type="pct"/>
            <w:gridSpan w:val="2"/>
            <w:tcBorders>
              <w:tl2br w:val="nil"/>
              <w:tr2bl w:val="nil"/>
            </w:tcBorders>
            <w:vAlign w:val="center"/>
          </w:tcPr>
          <w:p w14:paraId="7A61F2C3">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728AA2A1">
            <w:pPr>
              <w:pStyle w:val="19"/>
              <w:rPr>
                <w:rFonts w:hint="default"/>
                <w:lang w:val="en-US"/>
              </w:rPr>
            </w:pPr>
            <w:r>
              <w:rPr>
                <w:rFonts w:hint="eastAsia"/>
                <w:lang w:val="en-US" w:eastAsia="zh-CN"/>
              </w:rPr>
              <w:t>0.004</w:t>
            </w:r>
          </w:p>
        </w:tc>
        <w:tc>
          <w:tcPr>
            <w:tcW w:w="533" w:type="pct"/>
            <w:tcBorders>
              <w:tl2br w:val="nil"/>
              <w:tr2bl w:val="nil"/>
            </w:tcBorders>
            <w:vAlign w:val="center"/>
          </w:tcPr>
          <w:p w14:paraId="184CCA39">
            <w:pPr>
              <w:pStyle w:val="19"/>
              <w:rPr>
                <w:rFonts w:hint="default" w:eastAsia="宋体"/>
                <w:lang w:val="en-US" w:eastAsia="zh-CN"/>
              </w:rPr>
            </w:pPr>
            <w:r>
              <w:rPr>
                <w:rFonts w:hint="eastAsia"/>
                <w:lang w:val="en-US" w:eastAsia="zh-CN"/>
              </w:rPr>
              <w:t>0.08</w:t>
            </w:r>
          </w:p>
        </w:tc>
      </w:tr>
      <w:tr w14:paraId="1C66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01482FBA">
            <w:pPr>
              <w:pStyle w:val="19"/>
              <w:numPr>
                <w:ilvl w:val="0"/>
                <w:numId w:val="10"/>
              </w:numPr>
            </w:pPr>
          </w:p>
        </w:tc>
        <w:tc>
          <w:tcPr>
            <w:tcW w:w="701" w:type="pct"/>
            <w:tcBorders>
              <w:tl2br w:val="nil"/>
              <w:tr2bl w:val="nil"/>
            </w:tcBorders>
            <w:vAlign w:val="center"/>
          </w:tcPr>
          <w:p w14:paraId="33D0C99B">
            <w:pPr>
              <w:pStyle w:val="19"/>
              <w:ind w:firstLine="0" w:firstLineChars="0"/>
              <w:rPr>
                <w:rFonts w:hint="eastAsia" w:ascii="Times New Roman" w:hAnsi="Times New Roman" w:eastAsia="宋体" w:cs="Times New Roman"/>
                <w:kern w:val="2"/>
                <w:sz w:val="21"/>
                <w:szCs w:val="22"/>
                <w:lang w:val="en-US" w:eastAsia="zh-CN" w:bidi="ar-SA"/>
              </w:rPr>
            </w:pPr>
            <w:r>
              <w:t>镉</w:t>
            </w:r>
          </w:p>
        </w:tc>
        <w:tc>
          <w:tcPr>
            <w:tcW w:w="794" w:type="pct"/>
            <w:tcBorders>
              <w:tl2br w:val="nil"/>
              <w:tr2bl w:val="nil"/>
            </w:tcBorders>
            <w:vAlign w:val="center"/>
          </w:tcPr>
          <w:p w14:paraId="332FF5B2">
            <w:pPr>
              <w:pStyle w:val="19"/>
              <w:ind w:firstLine="0" w:firstLineChars="0"/>
              <w:rPr>
                <w:rFonts w:ascii="Times New Roman" w:hAnsi="Times New Roman" w:eastAsia="宋体" w:cs="Times New Roman"/>
                <w:kern w:val="2"/>
                <w:sz w:val="21"/>
                <w:szCs w:val="22"/>
                <w:lang w:val="en-US" w:eastAsia="zh-CN" w:bidi="ar-SA"/>
              </w:rPr>
            </w:pPr>
            <w:r>
              <w:t>≤5μg/L</w:t>
            </w:r>
          </w:p>
        </w:tc>
        <w:tc>
          <w:tcPr>
            <w:tcW w:w="533" w:type="pct"/>
            <w:tcBorders>
              <w:tl2br w:val="nil"/>
              <w:tr2bl w:val="nil"/>
            </w:tcBorders>
            <w:vAlign w:val="center"/>
          </w:tcPr>
          <w:p w14:paraId="636BAA73">
            <w:pPr>
              <w:pStyle w:val="19"/>
              <w:rPr>
                <w:rFonts w:hint="default"/>
                <w:lang w:val="en-US"/>
              </w:rPr>
            </w:pPr>
            <w:r>
              <w:rPr>
                <w:rFonts w:hint="eastAsia"/>
                <w:lang w:val="en-US" w:eastAsia="zh-CN"/>
              </w:rPr>
              <w:t>＜1</w:t>
            </w:r>
          </w:p>
        </w:tc>
        <w:tc>
          <w:tcPr>
            <w:tcW w:w="533" w:type="pct"/>
            <w:tcBorders>
              <w:tl2br w:val="nil"/>
              <w:tr2bl w:val="nil"/>
            </w:tcBorders>
            <w:vAlign w:val="center"/>
          </w:tcPr>
          <w:p w14:paraId="47A42370">
            <w:pPr>
              <w:pStyle w:val="19"/>
              <w:rPr>
                <w:rFonts w:hint="default" w:eastAsia="宋体"/>
                <w:lang w:val="en-US" w:eastAsia="zh-CN"/>
              </w:rPr>
            </w:pPr>
            <w:r>
              <w:rPr>
                <w:rFonts w:hint="eastAsia"/>
                <w:lang w:val="en-US" w:eastAsia="zh-CN"/>
              </w:rPr>
              <w:t>/</w:t>
            </w:r>
          </w:p>
        </w:tc>
        <w:tc>
          <w:tcPr>
            <w:tcW w:w="533" w:type="pct"/>
            <w:tcBorders>
              <w:tl2br w:val="nil"/>
              <w:tr2bl w:val="nil"/>
            </w:tcBorders>
            <w:vAlign w:val="center"/>
          </w:tcPr>
          <w:p w14:paraId="1FAB5788">
            <w:pPr>
              <w:pStyle w:val="19"/>
            </w:pPr>
            <w:r>
              <w:rPr>
                <w:rFonts w:hint="eastAsia"/>
                <w:lang w:val="en-US" w:eastAsia="zh-CN"/>
              </w:rPr>
              <w:t>＜1</w:t>
            </w:r>
          </w:p>
        </w:tc>
        <w:tc>
          <w:tcPr>
            <w:tcW w:w="533" w:type="pct"/>
            <w:gridSpan w:val="2"/>
            <w:tcBorders>
              <w:tl2br w:val="nil"/>
              <w:tr2bl w:val="nil"/>
            </w:tcBorders>
            <w:vAlign w:val="center"/>
          </w:tcPr>
          <w:p w14:paraId="1D6E97D0">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71BB91CC">
            <w:pPr>
              <w:pStyle w:val="19"/>
            </w:pPr>
            <w:r>
              <w:rPr>
                <w:rFonts w:hint="eastAsia"/>
                <w:lang w:val="en-US" w:eastAsia="zh-CN"/>
              </w:rPr>
              <w:t>＜1</w:t>
            </w:r>
          </w:p>
        </w:tc>
        <w:tc>
          <w:tcPr>
            <w:tcW w:w="533" w:type="pct"/>
            <w:tcBorders>
              <w:tl2br w:val="nil"/>
              <w:tr2bl w:val="nil"/>
            </w:tcBorders>
            <w:vAlign w:val="center"/>
          </w:tcPr>
          <w:p w14:paraId="764B062D">
            <w:pPr>
              <w:pStyle w:val="19"/>
              <w:rPr>
                <w:rFonts w:hint="eastAsia" w:eastAsia="宋体"/>
                <w:lang w:val="en-US" w:eastAsia="zh-CN"/>
              </w:rPr>
            </w:pPr>
            <w:r>
              <w:rPr>
                <w:rFonts w:hint="eastAsia"/>
                <w:lang w:val="en-US" w:eastAsia="zh-CN"/>
              </w:rPr>
              <w:t>/</w:t>
            </w:r>
          </w:p>
        </w:tc>
      </w:tr>
      <w:tr w14:paraId="636E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3E41B46D">
            <w:pPr>
              <w:pStyle w:val="19"/>
              <w:numPr>
                <w:ilvl w:val="0"/>
                <w:numId w:val="10"/>
              </w:numPr>
            </w:pPr>
          </w:p>
        </w:tc>
        <w:tc>
          <w:tcPr>
            <w:tcW w:w="701" w:type="pct"/>
            <w:tcBorders>
              <w:tl2br w:val="nil"/>
              <w:tr2bl w:val="nil"/>
            </w:tcBorders>
            <w:vAlign w:val="center"/>
          </w:tcPr>
          <w:p w14:paraId="06E685D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铁</w:t>
            </w:r>
          </w:p>
        </w:tc>
        <w:tc>
          <w:tcPr>
            <w:tcW w:w="794" w:type="pct"/>
            <w:tcBorders>
              <w:tl2br w:val="nil"/>
              <w:tr2bl w:val="nil"/>
            </w:tcBorders>
            <w:vAlign w:val="center"/>
          </w:tcPr>
          <w:p w14:paraId="5670B42D">
            <w:pPr>
              <w:pStyle w:val="19"/>
            </w:pPr>
            <w:r>
              <w:t>≤</w:t>
            </w:r>
            <w:r>
              <w:rPr>
                <w:rFonts w:hint="eastAsia"/>
                <w:lang w:val="en-US" w:eastAsia="zh-CN"/>
              </w:rPr>
              <w:t>0.3m</w:t>
            </w:r>
            <w:r>
              <w:t>g/L</w:t>
            </w:r>
          </w:p>
        </w:tc>
        <w:tc>
          <w:tcPr>
            <w:tcW w:w="533" w:type="pct"/>
            <w:tcBorders>
              <w:tl2br w:val="nil"/>
              <w:tr2bl w:val="nil"/>
            </w:tcBorders>
            <w:vAlign w:val="center"/>
          </w:tcPr>
          <w:p w14:paraId="74725404">
            <w:pPr>
              <w:pStyle w:val="19"/>
              <w:rPr>
                <w:rFonts w:hint="default"/>
                <w:lang w:val="en-US"/>
              </w:rPr>
            </w:pPr>
            <w:r>
              <w:rPr>
                <w:rFonts w:hint="eastAsia"/>
                <w:lang w:val="en-US" w:eastAsia="zh-CN"/>
              </w:rPr>
              <w:t>＜0.03</w:t>
            </w:r>
          </w:p>
        </w:tc>
        <w:tc>
          <w:tcPr>
            <w:tcW w:w="533" w:type="pct"/>
            <w:tcBorders>
              <w:tl2br w:val="nil"/>
              <w:tr2bl w:val="nil"/>
            </w:tcBorders>
            <w:vAlign w:val="center"/>
          </w:tcPr>
          <w:p w14:paraId="687AD2FB">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356DBA04">
            <w:pPr>
              <w:pStyle w:val="19"/>
            </w:pPr>
            <w:r>
              <w:rPr>
                <w:rFonts w:hint="eastAsia"/>
                <w:lang w:val="en-US" w:eastAsia="zh-CN"/>
              </w:rPr>
              <w:t>＜0.03</w:t>
            </w:r>
          </w:p>
        </w:tc>
        <w:tc>
          <w:tcPr>
            <w:tcW w:w="533" w:type="pct"/>
            <w:gridSpan w:val="2"/>
            <w:tcBorders>
              <w:tl2br w:val="nil"/>
              <w:tr2bl w:val="nil"/>
            </w:tcBorders>
            <w:vAlign w:val="center"/>
          </w:tcPr>
          <w:p w14:paraId="487BF8E9">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66834E83">
            <w:pPr>
              <w:pStyle w:val="19"/>
            </w:pPr>
            <w:r>
              <w:rPr>
                <w:rFonts w:hint="eastAsia"/>
                <w:lang w:val="en-US" w:eastAsia="zh-CN"/>
              </w:rPr>
              <w:t>＜0.03</w:t>
            </w:r>
          </w:p>
        </w:tc>
        <w:tc>
          <w:tcPr>
            <w:tcW w:w="533" w:type="pct"/>
            <w:tcBorders>
              <w:tl2br w:val="nil"/>
              <w:tr2bl w:val="nil"/>
            </w:tcBorders>
            <w:vAlign w:val="center"/>
          </w:tcPr>
          <w:p w14:paraId="4996AF97">
            <w:pPr>
              <w:pStyle w:val="19"/>
              <w:rPr>
                <w:rFonts w:hint="eastAsia" w:eastAsia="宋体"/>
                <w:lang w:val="en-US" w:eastAsia="zh-CN"/>
              </w:rPr>
            </w:pPr>
            <w:r>
              <w:rPr>
                <w:rFonts w:hint="eastAsia"/>
                <w:lang w:val="en-US" w:eastAsia="zh-CN"/>
              </w:rPr>
              <w:t>/</w:t>
            </w:r>
          </w:p>
        </w:tc>
      </w:tr>
      <w:tr w14:paraId="7FE9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303" w:type="pct"/>
            <w:tcBorders>
              <w:tl2br w:val="nil"/>
              <w:tr2bl w:val="nil"/>
            </w:tcBorders>
            <w:vAlign w:val="center"/>
          </w:tcPr>
          <w:p w14:paraId="7606A774">
            <w:pPr>
              <w:pStyle w:val="19"/>
              <w:numPr>
                <w:ilvl w:val="0"/>
                <w:numId w:val="10"/>
              </w:numPr>
            </w:pPr>
          </w:p>
        </w:tc>
        <w:tc>
          <w:tcPr>
            <w:tcW w:w="701" w:type="pct"/>
            <w:tcBorders>
              <w:tl2br w:val="nil"/>
              <w:tr2bl w:val="nil"/>
            </w:tcBorders>
            <w:vAlign w:val="center"/>
          </w:tcPr>
          <w:p w14:paraId="4D9FB78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锰</w:t>
            </w:r>
          </w:p>
        </w:tc>
        <w:tc>
          <w:tcPr>
            <w:tcW w:w="794" w:type="pct"/>
            <w:tcBorders>
              <w:tl2br w:val="nil"/>
              <w:tr2bl w:val="nil"/>
            </w:tcBorders>
            <w:vAlign w:val="center"/>
          </w:tcPr>
          <w:p w14:paraId="11B5B81B">
            <w:pPr>
              <w:pStyle w:val="19"/>
              <w:ind w:firstLine="0" w:firstLineChars="0"/>
              <w:rPr>
                <w:rFonts w:ascii="Times New Roman" w:hAnsi="Times New Roman" w:eastAsia="宋体" w:cs="Times New Roman"/>
                <w:kern w:val="2"/>
                <w:sz w:val="21"/>
                <w:szCs w:val="22"/>
                <w:lang w:val="en-US" w:eastAsia="zh-CN" w:bidi="ar-SA"/>
              </w:rPr>
            </w:pPr>
            <w:r>
              <w:t>≤</w:t>
            </w:r>
            <w:r>
              <w:rPr>
                <w:rFonts w:hint="eastAsia"/>
                <w:lang w:val="en-US" w:eastAsia="zh-CN"/>
              </w:rPr>
              <w:t>0.10m</w:t>
            </w:r>
            <w:r>
              <w:t>g/L</w:t>
            </w:r>
          </w:p>
        </w:tc>
        <w:tc>
          <w:tcPr>
            <w:tcW w:w="533" w:type="pct"/>
            <w:tcBorders>
              <w:tl2br w:val="nil"/>
              <w:tr2bl w:val="nil"/>
            </w:tcBorders>
            <w:vAlign w:val="center"/>
          </w:tcPr>
          <w:p w14:paraId="0D6DA5E8">
            <w:pPr>
              <w:pStyle w:val="19"/>
              <w:rPr>
                <w:rFonts w:hint="default"/>
                <w:lang w:val="en-US"/>
              </w:rPr>
            </w:pPr>
            <w:r>
              <w:rPr>
                <w:rFonts w:hint="eastAsia"/>
                <w:lang w:val="en-US" w:eastAsia="zh-CN"/>
              </w:rPr>
              <w:t>＜0.01</w:t>
            </w:r>
          </w:p>
        </w:tc>
        <w:tc>
          <w:tcPr>
            <w:tcW w:w="533" w:type="pct"/>
            <w:tcBorders>
              <w:tl2br w:val="nil"/>
              <w:tr2bl w:val="nil"/>
            </w:tcBorders>
            <w:vAlign w:val="center"/>
          </w:tcPr>
          <w:p w14:paraId="3D4BA255">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43F51C26">
            <w:pPr>
              <w:pStyle w:val="19"/>
            </w:pPr>
            <w:r>
              <w:rPr>
                <w:rFonts w:hint="eastAsia"/>
                <w:lang w:val="en-US" w:eastAsia="zh-CN"/>
              </w:rPr>
              <w:t>＜0.01</w:t>
            </w:r>
          </w:p>
        </w:tc>
        <w:tc>
          <w:tcPr>
            <w:tcW w:w="533" w:type="pct"/>
            <w:gridSpan w:val="2"/>
            <w:tcBorders>
              <w:tl2br w:val="nil"/>
              <w:tr2bl w:val="nil"/>
            </w:tcBorders>
            <w:vAlign w:val="center"/>
          </w:tcPr>
          <w:p w14:paraId="3405AC67">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78319AB4">
            <w:pPr>
              <w:pStyle w:val="19"/>
            </w:pPr>
            <w:r>
              <w:rPr>
                <w:rFonts w:hint="eastAsia"/>
                <w:lang w:val="en-US" w:eastAsia="zh-CN"/>
              </w:rPr>
              <w:t>＜0.01</w:t>
            </w:r>
          </w:p>
        </w:tc>
        <w:tc>
          <w:tcPr>
            <w:tcW w:w="533" w:type="pct"/>
            <w:tcBorders>
              <w:tl2br w:val="nil"/>
              <w:tr2bl w:val="nil"/>
            </w:tcBorders>
            <w:vAlign w:val="center"/>
          </w:tcPr>
          <w:p w14:paraId="6A507D7F">
            <w:pPr>
              <w:pStyle w:val="19"/>
              <w:rPr>
                <w:rFonts w:hint="eastAsia" w:eastAsia="宋体"/>
                <w:lang w:val="en-US" w:eastAsia="zh-CN"/>
              </w:rPr>
            </w:pPr>
            <w:r>
              <w:rPr>
                <w:rFonts w:hint="eastAsia"/>
                <w:lang w:val="en-US" w:eastAsia="zh-CN"/>
              </w:rPr>
              <w:t>/</w:t>
            </w:r>
          </w:p>
        </w:tc>
      </w:tr>
      <w:tr w14:paraId="3BFD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733E7A2F">
            <w:pPr>
              <w:pStyle w:val="19"/>
              <w:numPr>
                <w:ilvl w:val="0"/>
                <w:numId w:val="10"/>
              </w:numPr>
            </w:pPr>
          </w:p>
        </w:tc>
        <w:tc>
          <w:tcPr>
            <w:tcW w:w="701" w:type="pct"/>
            <w:tcBorders>
              <w:tl2br w:val="nil"/>
              <w:tr2bl w:val="nil"/>
            </w:tcBorders>
            <w:vAlign w:val="center"/>
          </w:tcPr>
          <w:p w14:paraId="799ACB85">
            <w:pPr>
              <w:pStyle w:val="19"/>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菌落总数</w:t>
            </w:r>
          </w:p>
        </w:tc>
        <w:tc>
          <w:tcPr>
            <w:tcW w:w="794" w:type="pct"/>
            <w:tcBorders>
              <w:tl2br w:val="nil"/>
              <w:tr2bl w:val="nil"/>
            </w:tcBorders>
            <w:vAlign w:val="center"/>
          </w:tcPr>
          <w:p w14:paraId="7C86387B">
            <w:pPr>
              <w:pStyle w:val="19"/>
              <w:ind w:firstLine="0" w:firstLineChars="0"/>
              <w:rPr>
                <w:rFonts w:ascii="Times New Roman" w:hAnsi="Times New Roman" w:eastAsia="宋体" w:cs="Times New Roman"/>
                <w:kern w:val="2"/>
                <w:sz w:val="21"/>
                <w:szCs w:val="22"/>
                <w:lang w:val="en-US" w:eastAsia="zh-CN" w:bidi="ar-SA"/>
              </w:rPr>
            </w:pPr>
            <w:r>
              <w:t>≤100CFU/mL</w:t>
            </w:r>
          </w:p>
        </w:tc>
        <w:tc>
          <w:tcPr>
            <w:tcW w:w="533" w:type="pct"/>
            <w:tcBorders>
              <w:tl2br w:val="nil"/>
              <w:tr2bl w:val="nil"/>
            </w:tcBorders>
            <w:vAlign w:val="center"/>
          </w:tcPr>
          <w:p w14:paraId="1C3ECB0B">
            <w:pPr>
              <w:pStyle w:val="19"/>
              <w:rPr>
                <w:rFonts w:hint="default" w:eastAsia="宋体"/>
                <w:lang w:val="en-US" w:eastAsia="zh-CN"/>
              </w:rPr>
            </w:pPr>
            <w:r>
              <w:rPr>
                <w:rFonts w:hint="eastAsia"/>
                <w:lang w:val="en-US" w:eastAsia="zh-CN"/>
              </w:rPr>
              <w:t>12</w:t>
            </w:r>
          </w:p>
        </w:tc>
        <w:tc>
          <w:tcPr>
            <w:tcW w:w="533" w:type="pct"/>
            <w:tcBorders>
              <w:tl2br w:val="nil"/>
              <w:tr2bl w:val="nil"/>
            </w:tcBorders>
            <w:vAlign w:val="center"/>
          </w:tcPr>
          <w:p w14:paraId="40FDEB7F">
            <w:pPr>
              <w:pStyle w:val="19"/>
              <w:rPr>
                <w:rFonts w:hint="default" w:eastAsia="宋体"/>
                <w:lang w:val="en-US" w:eastAsia="zh-CN"/>
              </w:rPr>
            </w:pPr>
            <w:r>
              <w:rPr>
                <w:rFonts w:hint="eastAsia"/>
                <w:lang w:val="en-US" w:eastAsia="zh-CN"/>
              </w:rPr>
              <w:t>0.12</w:t>
            </w:r>
          </w:p>
        </w:tc>
        <w:tc>
          <w:tcPr>
            <w:tcW w:w="533" w:type="pct"/>
            <w:tcBorders>
              <w:tl2br w:val="nil"/>
              <w:tr2bl w:val="nil"/>
            </w:tcBorders>
            <w:vAlign w:val="center"/>
          </w:tcPr>
          <w:p w14:paraId="442D2249">
            <w:pPr>
              <w:pStyle w:val="19"/>
              <w:rPr>
                <w:rFonts w:hint="default" w:eastAsia="宋体"/>
                <w:lang w:val="en-US" w:eastAsia="zh-CN"/>
              </w:rPr>
            </w:pPr>
            <w:r>
              <w:rPr>
                <w:rFonts w:hint="eastAsia"/>
                <w:lang w:val="en-US" w:eastAsia="zh-CN"/>
              </w:rPr>
              <w:t>13</w:t>
            </w:r>
          </w:p>
        </w:tc>
        <w:tc>
          <w:tcPr>
            <w:tcW w:w="533" w:type="pct"/>
            <w:gridSpan w:val="2"/>
            <w:tcBorders>
              <w:tl2br w:val="nil"/>
              <w:tr2bl w:val="nil"/>
            </w:tcBorders>
            <w:vAlign w:val="center"/>
          </w:tcPr>
          <w:p w14:paraId="1B45F13F">
            <w:pPr>
              <w:pStyle w:val="19"/>
              <w:rPr>
                <w:rFonts w:hint="default" w:eastAsia="宋体"/>
                <w:lang w:val="en-US" w:eastAsia="zh-CN"/>
              </w:rPr>
            </w:pPr>
            <w:r>
              <w:rPr>
                <w:rFonts w:hint="eastAsia"/>
                <w:lang w:val="en-US" w:eastAsia="zh-CN"/>
              </w:rPr>
              <w:t>0.13</w:t>
            </w:r>
          </w:p>
        </w:tc>
        <w:tc>
          <w:tcPr>
            <w:tcW w:w="533" w:type="pct"/>
            <w:tcBorders>
              <w:tl2br w:val="nil"/>
              <w:tr2bl w:val="nil"/>
            </w:tcBorders>
            <w:vAlign w:val="center"/>
          </w:tcPr>
          <w:p w14:paraId="5F68615C">
            <w:pPr>
              <w:pStyle w:val="19"/>
              <w:rPr>
                <w:rFonts w:hint="default" w:eastAsia="宋体"/>
                <w:lang w:val="en-US" w:eastAsia="zh-CN"/>
              </w:rPr>
            </w:pPr>
            <w:r>
              <w:rPr>
                <w:rFonts w:hint="eastAsia"/>
                <w:lang w:val="en-US" w:eastAsia="zh-CN"/>
              </w:rPr>
              <w:t>16</w:t>
            </w:r>
          </w:p>
        </w:tc>
        <w:tc>
          <w:tcPr>
            <w:tcW w:w="533" w:type="pct"/>
            <w:tcBorders>
              <w:tl2br w:val="nil"/>
              <w:tr2bl w:val="nil"/>
            </w:tcBorders>
            <w:vAlign w:val="center"/>
          </w:tcPr>
          <w:p w14:paraId="6324D91F">
            <w:pPr>
              <w:pStyle w:val="19"/>
              <w:rPr>
                <w:rFonts w:hint="default" w:eastAsia="宋体"/>
                <w:lang w:val="en-US" w:eastAsia="zh-CN"/>
              </w:rPr>
            </w:pPr>
            <w:r>
              <w:rPr>
                <w:rFonts w:hint="eastAsia"/>
                <w:lang w:val="en-US" w:eastAsia="zh-CN"/>
              </w:rPr>
              <w:t>0.16</w:t>
            </w:r>
          </w:p>
        </w:tc>
      </w:tr>
      <w:tr w14:paraId="1D24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303" w:type="pct"/>
            <w:tcBorders>
              <w:tl2br w:val="nil"/>
              <w:tr2bl w:val="nil"/>
            </w:tcBorders>
            <w:vAlign w:val="center"/>
          </w:tcPr>
          <w:p w14:paraId="2C7A79B6">
            <w:pPr>
              <w:pStyle w:val="19"/>
              <w:numPr>
                <w:ilvl w:val="0"/>
                <w:numId w:val="10"/>
              </w:numPr>
            </w:pPr>
          </w:p>
        </w:tc>
        <w:tc>
          <w:tcPr>
            <w:tcW w:w="701" w:type="pct"/>
            <w:tcBorders>
              <w:tl2br w:val="nil"/>
              <w:tr2bl w:val="nil"/>
            </w:tcBorders>
            <w:vAlign w:val="center"/>
          </w:tcPr>
          <w:p w14:paraId="2BA64FF7">
            <w:pPr>
              <w:pStyle w:val="19"/>
              <w:ind w:firstLine="0" w:firstLineChars="0"/>
              <w:rPr>
                <w:rFonts w:hint="eastAsia" w:ascii="Times New Roman" w:hAnsi="Times New Roman" w:eastAsia="宋体" w:cs="Times New Roman"/>
                <w:kern w:val="2"/>
                <w:sz w:val="21"/>
                <w:szCs w:val="22"/>
                <w:lang w:val="en-US" w:eastAsia="zh-CN" w:bidi="ar-SA"/>
              </w:rPr>
            </w:pPr>
            <w:r>
              <w:t>总大肠菌群</w:t>
            </w:r>
          </w:p>
        </w:tc>
        <w:tc>
          <w:tcPr>
            <w:tcW w:w="794" w:type="pct"/>
            <w:tcBorders>
              <w:tl2br w:val="nil"/>
              <w:tr2bl w:val="nil"/>
            </w:tcBorders>
            <w:vAlign w:val="center"/>
          </w:tcPr>
          <w:p w14:paraId="77CECCE0">
            <w:pPr>
              <w:pStyle w:val="19"/>
              <w:ind w:firstLine="0" w:firstLineChars="0"/>
              <w:rPr>
                <w:rFonts w:ascii="Times New Roman" w:hAnsi="Times New Roman" w:eastAsia="宋体" w:cs="Times New Roman"/>
                <w:kern w:val="2"/>
                <w:sz w:val="21"/>
                <w:szCs w:val="22"/>
                <w:lang w:val="en-US" w:eastAsia="zh-CN" w:bidi="ar-SA"/>
              </w:rPr>
            </w:pPr>
            <w:r>
              <w:t>≤MPN/100mL</w:t>
            </w:r>
          </w:p>
        </w:tc>
        <w:tc>
          <w:tcPr>
            <w:tcW w:w="533" w:type="pct"/>
            <w:tcBorders>
              <w:tl2br w:val="nil"/>
              <w:tr2bl w:val="nil"/>
            </w:tcBorders>
            <w:vAlign w:val="center"/>
          </w:tcPr>
          <w:p w14:paraId="7C8F2F12">
            <w:pPr>
              <w:pStyle w:val="19"/>
              <w:rPr>
                <w:rFonts w:hint="default"/>
                <w:lang w:val="en-US"/>
              </w:rPr>
            </w:pPr>
            <w:r>
              <w:rPr>
                <w:rFonts w:hint="eastAsia"/>
                <w:lang w:val="en-US" w:eastAsia="zh-CN"/>
              </w:rPr>
              <w:t>＜10</w:t>
            </w:r>
          </w:p>
        </w:tc>
        <w:tc>
          <w:tcPr>
            <w:tcW w:w="533" w:type="pct"/>
            <w:tcBorders>
              <w:tl2br w:val="nil"/>
              <w:tr2bl w:val="nil"/>
            </w:tcBorders>
            <w:vAlign w:val="center"/>
          </w:tcPr>
          <w:p w14:paraId="75F4A2F2">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7AA4D6BF">
            <w:pPr>
              <w:pStyle w:val="19"/>
            </w:pPr>
            <w:r>
              <w:rPr>
                <w:rFonts w:hint="eastAsia"/>
                <w:lang w:val="en-US" w:eastAsia="zh-CN"/>
              </w:rPr>
              <w:t>＜10</w:t>
            </w:r>
          </w:p>
        </w:tc>
        <w:tc>
          <w:tcPr>
            <w:tcW w:w="533" w:type="pct"/>
            <w:gridSpan w:val="2"/>
            <w:tcBorders>
              <w:tl2br w:val="nil"/>
              <w:tr2bl w:val="nil"/>
            </w:tcBorders>
            <w:vAlign w:val="center"/>
          </w:tcPr>
          <w:p w14:paraId="70D1FA50">
            <w:pPr>
              <w:pStyle w:val="19"/>
              <w:rPr>
                <w:rFonts w:hint="eastAsia" w:eastAsia="宋体"/>
                <w:lang w:val="en-US" w:eastAsia="zh-CN"/>
              </w:rPr>
            </w:pPr>
            <w:r>
              <w:rPr>
                <w:rFonts w:hint="eastAsia"/>
                <w:lang w:val="en-US" w:eastAsia="zh-CN"/>
              </w:rPr>
              <w:t>/</w:t>
            </w:r>
          </w:p>
        </w:tc>
        <w:tc>
          <w:tcPr>
            <w:tcW w:w="533" w:type="pct"/>
            <w:tcBorders>
              <w:tl2br w:val="nil"/>
              <w:tr2bl w:val="nil"/>
            </w:tcBorders>
            <w:vAlign w:val="center"/>
          </w:tcPr>
          <w:p w14:paraId="5EC8264F">
            <w:pPr>
              <w:pStyle w:val="19"/>
            </w:pPr>
            <w:r>
              <w:rPr>
                <w:rFonts w:hint="eastAsia"/>
                <w:lang w:val="en-US" w:eastAsia="zh-CN"/>
              </w:rPr>
              <w:t>＜10</w:t>
            </w:r>
          </w:p>
        </w:tc>
        <w:tc>
          <w:tcPr>
            <w:tcW w:w="533" w:type="pct"/>
            <w:tcBorders>
              <w:tl2br w:val="nil"/>
              <w:tr2bl w:val="nil"/>
            </w:tcBorders>
            <w:vAlign w:val="center"/>
          </w:tcPr>
          <w:p w14:paraId="7B19422F">
            <w:pPr>
              <w:pStyle w:val="19"/>
              <w:rPr>
                <w:rFonts w:hint="eastAsia" w:eastAsia="宋体"/>
                <w:lang w:val="en-US" w:eastAsia="zh-CN"/>
              </w:rPr>
            </w:pPr>
            <w:r>
              <w:rPr>
                <w:rFonts w:hint="eastAsia"/>
                <w:lang w:val="en-US" w:eastAsia="zh-CN"/>
              </w:rPr>
              <w:t>/</w:t>
            </w:r>
          </w:p>
        </w:tc>
      </w:tr>
    </w:tbl>
    <w:p w14:paraId="2DCD5BCC">
      <w:pPr>
        <w:pStyle w:val="2"/>
        <w:rPr>
          <w:rFonts w:hint="eastAsia"/>
          <w:lang w:val="en-US" w:eastAsia="zh-CN"/>
        </w:rPr>
      </w:pPr>
      <w:r>
        <w:rPr>
          <w:rFonts w:hint="eastAsia"/>
          <w:lang w:val="en-US" w:eastAsia="zh-CN"/>
        </w:rPr>
        <w:t>根据表4.2-7的统计结果，本项目地下水各监测点监测因子满足《地下水质量标准》（GB/T14848-2017）中</w:t>
      </w:r>
      <w:r>
        <w:rPr>
          <w:rFonts w:hint="default" w:ascii="Times New Roman" w:hAnsi="Times New Roman" w:cs="Times New Roman"/>
          <w:lang w:val="en-US" w:eastAsia="zh-CN"/>
        </w:rPr>
        <w:t>Ⅲ</w:t>
      </w:r>
      <w:r>
        <w:rPr>
          <w:rFonts w:hint="eastAsia"/>
          <w:lang w:val="en-US" w:eastAsia="zh-CN"/>
        </w:rPr>
        <w:t>类标准的要求。</w:t>
      </w:r>
    </w:p>
    <w:p w14:paraId="7CCFCFF0">
      <w:pPr>
        <w:pStyle w:val="27"/>
        <w:bidi w:val="0"/>
        <w:rPr>
          <w:rFonts w:hint="eastAsia"/>
          <w:lang w:val="en-US" w:eastAsia="zh-CN"/>
        </w:rPr>
      </w:pPr>
      <w:r>
        <w:rPr>
          <w:rFonts w:hint="eastAsia"/>
          <w:lang w:val="en-US" w:eastAsia="zh-CN"/>
        </w:rPr>
        <w:t>声环境质量现状监测与评价</w:t>
      </w:r>
    </w:p>
    <w:p w14:paraId="545B968F">
      <w:pPr>
        <w:ind w:firstLine="480"/>
      </w:pPr>
      <w:r>
        <w:rPr>
          <w:rFonts w:hint="eastAsia"/>
        </w:rPr>
        <w:t>（1）监测布点</w:t>
      </w:r>
    </w:p>
    <w:p w14:paraId="028CFA4E">
      <w:pPr>
        <w:ind w:firstLine="480"/>
      </w:pPr>
      <w:r>
        <w:rPr>
          <w:rFonts w:hint="eastAsia"/>
        </w:rPr>
        <w:t>厂界四周外1m处</w:t>
      </w:r>
      <w:r>
        <w:rPr>
          <w:rFonts w:hint="eastAsia"/>
          <w:lang w:eastAsia="zh-CN"/>
        </w:rPr>
        <w:t>，</w:t>
      </w:r>
      <w:r>
        <w:rPr>
          <w:rFonts w:hint="eastAsia"/>
          <w:lang w:val="en-US" w:eastAsia="zh-CN"/>
        </w:rPr>
        <w:t>共计4个监测点</w:t>
      </w:r>
      <w:r>
        <w:rPr>
          <w:rFonts w:hint="eastAsia"/>
        </w:rPr>
        <w:t>。</w:t>
      </w:r>
    </w:p>
    <w:p w14:paraId="7B2C18C5">
      <w:pPr>
        <w:ind w:firstLine="480"/>
      </w:pPr>
      <w:r>
        <w:rPr>
          <w:rFonts w:hint="eastAsia"/>
        </w:rPr>
        <w:t>（2）监测项目</w:t>
      </w:r>
    </w:p>
    <w:p w14:paraId="361ED13C">
      <w:pPr>
        <w:ind w:firstLine="480"/>
      </w:pPr>
      <w:r>
        <w:rPr>
          <w:rFonts w:hint="eastAsia"/>
        </w:rPr>
        <w:t>等效</w:t>
      </w:r>
      <w:r>
        <w:rPr>
          <w:rFonts w:hint="eastAsia"/>
          <w:lang w:val="en-US" w:eastAsia="zh-CN"/>
        </w:rPr>
        <w:t>连续A</w:t>
      </w:r>
      <w:r>
        <w:rPr>
          <w:rFonts w:hint="eastAsia"/>
        </w:rPr>
        <w:t>声级Leq[dB（A）]</w:t>
      </w:r>
    </w:p>
    <w:p w14:paraId="5E3A4507">
      <w:pPr>
        <w:ind w:firstLine="480"/>
      </w:pPr>
      <w:r>
        <w:rPr>
          <w:rFonts w:hint="eastAsia"/>
        </w:rPr>
        <w:t>（3）监测时间和频率</w:t>
      </w:r>
    </w:p>
    <w:p w14:paraId="0C1E72B6">
      <w:pPr>
        <w:ind w:firstLine="480"/>
      </w:pPr>
      <w:r>
        <w:rPr>
          <w:rFonts w:hint="eastAsia"/>
        </w:rPr>
        <w:t>本项目监测日期为202</w:t>
      </w:r>
      <w:r>
        <w:rPr>
          <w:rFonts w:hint="eastAsia"/>
          <w:lang w:val="en-US" w:eastAsia="zh-CN"/>
        </w:rPr>
        <w:t>4</w:t>
      </w:r>
      <w:r>
        <w:rPr>
          <w:rFonts w:hint="eastAsia"/>
        </w:rPr>
        <w:t>年</w:t>
      </w:r>
      <w:r>
        <w:rPr>
          <w:rFonts w:hint="eastAsia"/>
          <w:lang w:val="en-US" w:eastAsia="zh-CN"/>
        </w:rPr>
        <w:t>3</w:t>
      </w:r>
      <w:r>
        <w:rPr>
          <w:rFonts w:hint="eastAsia"/>
        </w:rPr>
        <w:t>月</w:t>
      </w:r>
      <w:r>
        <w:rPr>
          <w:rFonts w:hint="eastAsia"/>
          <w:lang w:val="en-US" w:eastAsia="zh-CN"/>
        </w:rPr>
        <w:t>9</w:t>
      </w:r>
      <w:r>
        <w:rPr>
          <w:rFonts w:hint="eastAsia"/>
        </w:rPr>
        <w:t>日</w:t>
      </w:r>
      <w:r>
        <w:rPr>
          <w:rFonts w:hint="eastAsia"/>
          <w:lang w:val="en-US" w:eastAsia="zh-CN"/>
        </w:rPr>
        <w:t>-3月10</w:t>
      </w:r>
      <w:r>
        <w:rPr>
          <w:rFonts w:hint="eastAsia"/>
        </w:rPr>
        <w:t>，分昼</w:t>
      </w:r>
      <w:r>
        <w:rPr>
          <w:rFonts w:hint="eastAsia"/>
          <w:lang w:val="en-US" w:eastAsia="zh-CN"/>
        </w:rPr>
        <w:t>间、</w:t>
      </w:r>
      <w:r>
        <w:rPr>
          <w:rFonts w:hint="eastAsia"/>
        </w:rPr>
        <w:t>夜</w:t>
      </w:r>
      <w:r>
        <w:rPr>
          <w:rFonts w:hint="eastAsia"/>
          <w:lang w:val="en-US" w:eastAsia="zh-CN"/>
        </w:rPr>
        <w:t>间</w:t>
      </w:r>
      <w:r>
        <w:rPr>
          <w:rFonts w:hint="eastAsia"/>
        </w:rPr>
        <w:t>监测，每个点位每次监测时间为10min。</w:t>
      </w:r>
    </w:p>
    <w:p w14:paraId="5D575DD1">
      <w:pPr>
        <w:ind w:firstLine="480"/>
      </w:pPr>
      <w:r>
        <w:rPr>
          <w:rFonts w:hint="eastAsia"/>
        </w:rPr>
        <w:t>（4）评价标准</w:t>
      </w:r>
    </w:p>
    <w:p w14:paraId="433438E6">
      <w:pPr>
        <w:ind w:firstLine="480"/>
      </w:pPr>
      <w:r>
        <w:rPr>
          <w:rFonts w:hint="eastAsia"/>
        </w:rPr>
        <w:t>厂界噪声执行《声环境质量标准》（GB3096-2008）中</w:t>
      </w:r>
      <w:r>
        <w:rPr>
          <w:rFonts w:hint="eastAsia"/>
          <w:lang w:val="en-US" w:eastAsia="zh-CN"/>
        </w:rPr>
        <w:t>2</w:t>
      </w:r>
      <w:r>
        <w:rPr>
          <w:rFonts w:hint="eastAsia"/>
        </w:rPr>
        <w:t>类标准。</w:t>
      </w:r>
    </w:p>
    <w:p w14:paraId="676EC3EB">
      <w:pPr>
        <w:ind w:firstLine="480"/>
      </w:pPr>
      <w:r>
        <w:rPr>
          <w:rFonts w:hint="eastAsia"/>
        </w:rPr>
        <w:t>（5）监测结果</w:t>
      </w:r>
    </w:p>
    <w:p w14:paraId="4696906B">
      <w:pPr>
        <w:ind w:firstLine="480"/>
      </w:pPr>
      <w:r>
        <w:rPr>
          <w:rFonts w:hint="eastAsia"/>
        </w:rPr>
        <w:t>本项目监测结果见下表。</w:t>
      </w:r>
    </w:p>
    <w:p w14:paraId="4063562B">
      <w:pPr>
        <w:pStyle w:val="30"/>
        <w:spacing w:before="65"/>
      </w:pPr>
      <w:r>
        <w:rPr>
          <w:rFonts w:hint="eastAsia"/>
        </w:rPr>
        <w:t>表4</w:t>
      </w:r>
      <w:r>
        <w:t>.</w:t>
      </w:r>
      <w:r>
        <w:rPr>
          <w:rFonts w:hint="eastAsia"/>
          <w:lang w:val="en-US" w:eastAsia="zh-CN"/>
        </w:rPr>
        <w:t>2</w:t>
      </w:r>
      <w:r>
        <w:t>-</w:t>
      </w:r>
      <w:r>
        <w:rPr>
          <w:rFonts w:hint="eastAsia"/>
          <w:lang w:val="en-US" w:eastAsia="zh-CN"/>
        </w:rPr>
        <w:t>8</w:t>
      </w:r>
      <w:r>
        <w:t xml:space="preserve">   </w:t>
      </w:r>
      <w:r>
        <w:rPr>
          <w:rFonts w:hint="eastAsia"/>
        </w:rPr>
        <w:t xml:space="preserve">本项目声环境质量现状监测结果一览表 </w:t>
      </w:r>
      <w:r>
        <w:t xml:space="preserve">  </w:t>
      </w:r>
      <w:r>
        <w:rPr>
          <w:rFonts w:hint="eastAsia"/>
        </w:rPr>
        <w:t>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685"/>
        <w:gridCol w:w="1685"/>
        <w:gridCol w:w="1247"/>
        <w:gridCol w:w="1216"/>
        <w:gridCol w:w="1354"/>
        <w:gridCol w:w="1126"/>
      </w:tblGrid>
      <w:tr w14:paraId="08DC817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restart"/>
            <w:tcBorders>
              <w:tl2br w:val="nil"/>
              <w:tr2bl w:val="nil"/>
            </w:tcBorders>
            <w:tcMar>
              <w:left w:w="0" w:type="dxa"/>
              <w:right w:w="0" w:type="dxa"/>
            </w:tcMar>
            <w:vAlign w:val="center"/>
          </w:tcPr>
          <w:p w14:paraId="1501DE05">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监测日期</w:t>
            </w:r>
          </w:p>
        </w:tc>
        <w:tc>
          <w:tcPr>
            <w:tcW w:w="1013" w:type="pct"/>
            <w:vMerge w:val="restart"/>
            <w:tcBorders>
              <w:tl2br w:val="nil"/>
              <w:tr2bl w:val="nil"/>
            </w:tcBorders>
            <w:tcMar>
              <w:left w:w="0" w:type="dxa"/>
              <w:right w:w="0" w:type="dxa"/>
            </w:tcMar>
            <w:vAlign w:val="center"/>
          </w:tcPr>
          <w:p w14:paraId="2C1AF4C4">
            <w:pPr>
              <w:adjustRightInd w:val="0"/>
              <w:snapToGrid w:val="0"/>
              <w:spacing w:line="240" w:lineRule="auto"/>
              <w:ind w:firstLine="0" w:firstLineChars="0"/>
              <w:jc w:val="center"/>
              <w:rPr>
                <w:sz w:val="21"/>
                <w:szCs w:val="20"/>
              </w:rPr>
            </w:pPr>
            <w:r>
              <w:rPr>
                <w:sz w:val="21"/>
                <w:szCs w:val="20"/>
              </w:rPr>
              <w:t>监测方位</w:t>
            </w:r>
          </w:p>
        </w:tc>
        <w:tc>
          <w:tcPr>
            <w:tcW w:w="1481" w:type="pct"/>
            <w:gridSpan w:val="2"/>
            <w:tcBorders>
              <w:tl2br w:val="nil"/>
              <w:tr2bl w:val="nil"/>
            </w:tcBorders>
            <w:tcMar>
              <w:left w:w="0" w:type="dxa"/>
              <w:right w:w="0" w:type="dxa"/>
            </w:tcMar>
            <w:vAlign w:val="center"/>
          </w:tcPr>
          <w:p w14:paraId="203C6BCA">
            <w:pPr>
              <w:adjustRightInd w:val="0"/>
              <w:snapToGrid w:val="0"/>
              <w:spacing w:line="240" w:lineRule="auto"/>
              <w:ind w:firstLine="0" w:firstLineChars="0"/>
              <w:jc w:val="center"/>
              <w:rPr>
                <w:sz w:val="21"/>
                <w:szCs w:val="20"/>
              </w:rPr>
            </w:pPr>
            <w:r>
              <w:rPr>
                <w:sz w:val="21"/>
                <w:szCs w:val="20"/>
              </w:rPr>
              <w:t>昼间</w:t>
            </w:r>
          </w:p>
        </w:tc>
        <w:tc>
          <w:tcPr>
            <w:tcW w:w="1491" w:type="pct"/>
            <w:gridSpan w:val="2"/>
            <w:tcBorders>
              <w:tl2br w:val="nil"/>
              <w:tr2bl w:val="nil"/>
            </w:tcBorders>
            <w:tcMar>
              <w:left w:w="0" w:type="dxa"/>
              <w:right w:w="0" w:type="dxa"/>
            </w:tcMar>
            <w:vAlign w:val="center"/>
          </w:tcPr>
          <w:p w14:paraId="533D1D71">
            <w:pPr>
              <w:adjustRightInd w:val="0"/>
              <w:snapToGrid w:val="0"/>
              <w:spacing w:line="240" w:lineRule="auto"/>
              <w:ind w:firstLine="0" w:firstLineChars="0"/>
              <w:jc w:val="center"/>
              <w:rPr>
                <w:sz w:val="21"/>
                <w:szCs w:val="20"/>
              </w:rPr>
            </w:pPr>
            <w:r>
              <w:rPr>
                <w:sz w:val="21"/>
                <w:szCs w:val="20"/>
              </w:rPr>
              <w:t>夜间</w:t>
            </w:r>
          </w:p>
        </w:tc>
      </w:tr>
      <w:tr w14:paraId="5366BB3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7C5E3626">
            <w:pPr>
              <w:adjustRightInd w:val="0"/>
              <w:snapToGrid w:val="0"/>
              <w:spacing w:line="240" w:lineRule="auto"/>
              <w:ind w:firstLine="0" w:firstLineChars="0"/>
              <w:jc w:val="center"/>
              <w:rPr>
                <w:sz w:val="21"/>
                <w:szCs w:val="20"/>
              </w:rPr>
            </w:pPr>
          </w:p>
        </w:tc>
        <w:tc>
          <w:tcPr>
            <w:tcW w:w="1013" w:type="pct"/>
            <w:vMerge w:val="continue"/>
            <w:tcBorders>
              <w:tl2br w:val="nil"/>
              <w:tr2bl w:val="nil"/>
            </w:tcBorders>
            <w:tcMar>
              <w:left w:w="0" w:type="dxa"/>
              <w:right w:w="0" w:type="dxa"/>
            </w:tcMar>
            <w:vAlign w:val="center"/>
          </w:tcPr>
          <w:p w14:paraId="4592C7C5">
            <w:pPr>
              <w:adjustRightInd w:val="0"/>
              <w:snapToGrid w:val="0"/>
              <w:spacing w:line="240" w:lineRule="auto"/>
              <w:ind w:firstLine="0" w:firstLineChars="0"/>
              <w:jc w:val="center"/>
              <w:rPr>
                <w:sz w:val="21"/>
                <w:szCs w:val="20"/>
              </w:rPr>
            </w:pPr>
          </w:p>
        </w:tc>
        <w:tc>
          <w:tcPr>
            <w:tcW w:w="750" w:type="pct"/>
            <w:tcBorders>
              <w:tl2br w:val="nil"/>
              <w:tr2bl w:val="nil"/>
            </w:tcBorders>
            <w:tcMar>
              <w:left w:w="0" w:type="dxa"/>
              <w:right w:w="0" w:type="dxa"/>
            </w:tcMar>
            <w:vAlign w:val="center"/>
          </w:tcPr>
          <w:p w14:paraId="24A869FB">
            <w:pPr>
              <w:adjustRightInd w:val="0"/>
              <w:snapToGrid w:val="0"/>
              <w:spacing w:line="240" w:lineRule="auto"/>
              <w:ind w:firstLine="0" w:firstLineChars="0"/>
              <w:jc w:val="center"/>
              <w:rPr>
                <w:sz w:val="21"/>
                <w:szCs w:val="20"/>
              </w:rPr>
            </w:pPr>
            <w:r>
              <w:rPr>
                <w:sz w:val="21"/>
                <w:szCs w:val="20"/>
              </w:rPr>
              <w:t>监测值</w:t>
            </w:r>
          </w:p>
        </w:tc>
        <w:tc>
          <w:tcPr>
            <w:tcW w:w="731" w:type="pct"/>
            <w:tcBorders>
              <w:tl2br w:val="nil"/>
              <w:tr2bl w:val="nil"/>
            </w:tcBorders>
            <w:tcMar>
              <w:left w:w="0" w:type="dxa"/>
              <w:right w:w="0" w:type="dxa"/>
            </w:tcMar>
            <w:vAlign w:val="center"/>
          </w:tcPr>
          <w:p w14:paraId="19AD84C2">
            <w:pPr>
              <w:adjustRightInd w:val="0"/>
              <w:snapToGrid w:val="0"/>
              <w:spacing w:line="240" w:lineRule="auto"/>
              <w:ind w:firstLine="0" w:firstLineChars="0"/>
              <w:jc w:val="center"/>
              <w:rPr>
                <w:sz w:val="21"/>
                <w:szCs w:val="20"/>
              </w:rPr>
            </w:pPr>
            <w:r>
              <w:rPr>
                <w:sz w:val="21"/>
                <w:szCs w:val="20"/>
              </w:rPr>
              <w:t>标准</w:t>
            </w:r>
          </w:p>
        </w:tc>
        <w:tc>
          <w:tcPr>
            <w:tcW w:w="814" w:type="pct"/>
            <w:tcBorders>
              <w:tl2br w:val="nil"/>
              <w:tr2bl w:val="nil"/>
            </w:tcBorders>
            <w:tcMar>
              <w:left w:w="0" w:type="dxa"/>
              <w:right w:w="0" w:type="dxa"/>
            </w:tcMar>
            <w:vAlign w:val="center"/>
          </w:tcPr>
          <w:p w14:paraId="548F43EE">
            <w:pPr>
              <w:adjustRightInd w:val="0"/>
              <w:snapToGrid w:val="0"/>
              <w:spacing w:line="240" w:lineRule="auto"/>
              <w:ind w:firstLine="0" w:firstLineChars="0"/>
              <w:jc w:val="center"/>
              <w:rPr>
                <w:sz w:val="21"/>
                <w:szCs w:val="20"/>
              </w:rPr>
            </w:pPr>
            <w:r>
              <w:rPr>
                <w:sz w:val="21"/>
                <w:szCs w:val="20"/>
              </w:rPr>
              <w:t>监测值</w:t>
            </w:r>
          </w:p>
        </w:tc>
        <w:tc>
          <w:tcPr>
            <w:tcW w:w="677" w:type="pct"/>
            <w:tcBorders>
              <w:tl2br w:val="nil"/>
              <w:tr2bl w:val="nil"/>
            </w:tcBorders>
            <w:tcMar>
              <w:left w:w="0" w:type="dxa"/>
              <w:right w:w="0" w:type="dxa"/>
            </w:tcMar>
            <w:vAlign w:val="center"/>
          </w:tcPr>
          <w:p w14:paraId="28D1DEA2">
            <w:pPr>
              <w:adjustRightInd w:val="0"/>
              <w:snapToGrid w:val="0"/>
              <w:spacing w:line="240" w:lineRule="auto"/>
              <w:ind w:firstLine="0" w:firstLineChars="0"/>
              <w:jc w:val="center"/>
              <w:rPr>
                <w:sz w:val="21"/>
                <w:szCs w:val="20"/>
              </w:rPr>
            </w:pPr>
            <w:r>
              <w:rPr>
                <w:sz w:val="21"/>
                <w:szCs w:val="20"/>
              </w:rPr>
              <w:t>标准</w:t>
            </w:r>
          </w:p>
        </w:tc>
      </w:tr>
      <w:tr w14:paraId="5D1AB53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67" w:hRule="exact"/>
          <w:tblHeader/>
          <w:jc w:val="center"/>
        </w:trPr>
        <w:tc>
          <w:tcPr>
            <w:tcW w:w="1013" w:type="pct"/>
            <w:vMerge w:val="restart"/>
            <w:tcBorders>
              <w:tl2br w:val="nil"/>
              <w:tr2bl w:val="nil"/>
            </w:tcBorders>
            <w:tcMar>
              <w:left w:w="0" w:type="dxa"/>
              <w:right w:w="0" w:type="dxa"/>
            </w:tcMar>
            <w:vAlign w:val="center"/>
          </w:tcPr>
          <w:p w14:paraId="4998B176">
            <w:pPr>
              <w:adjustRightInd w:val="0"/>
              <w:snapToGrid w:val="0"/>
              <w:spacing w:line="240" w:lineRule="auto"/>
              <w:ind w:firstLine="0" w:firstLineChars="0"/>
              <w:jc w:val="center"/>
              <w:rPr>
                <w:sz w:val="21"/>
                <w:szCs w:val="20"/>
              </w:rPr>
            </w:pPr>
            <w:r>
              <w:rPr>
                <w:rFonts w:hint="eastAsia"/>
                <w:sz w:val="21"/>
                <w:szCs w:val="20"/>
                <w:lang w:val="en-US" w:eastAsia="zh-CN"/>
              </w:rPr>
              <w:t>2024.3.9</w:t>
            </w:r>
          </w:p>
        </w:tc>
        <w:tc>
          <w:tcPr>
            <w:tcW w:w="1013" w:type="pct"/>
            <w:tcBorders>
              <w:tl2br w:val="nil"/>
              <w:tr2bl w:val="nil"/>
            </w:tcBorders>
            <w:tcMar>
              <w:left w:w="0" w:type="dxa"/>
              <w:right w:w="0" w:type="dxa"/>
            </w:tcMar>
            <w:vAlign w:val="center"/>
          </w:tcPr>
          <w:p w14:paraId="110A71CC">
            <w:pPr>
              <w:adjustRightInd w:val="0"/>
              <w:snapToGrid w:val="0"/>
              <w:spacing w:line="240" w:lineRule="auto"/>
              <w:ind w:firstLine="0" w:firstLineChars="0"/>
              <w:jc w:val="center"/>
              <w:rPr>
                <w:sz w:val="21"/>
                <w:szCs w:val="20"/>
              </w:rPr>
            </w:pPr>
            <w:r>
              <w:rPr>
                <w:sz w:val="21"/>
                <w:szCs w:val="20"/>
              </w:rPr>
              <w:t>厂区东侧</w:t>
            </w:r>
          </w:p>
        </w:tc>
        <w:tc>
          <w:tcPr>
            <w:tcW w:w="750" w:type="pct"/>
            <w:tcBorders>
              <w:tl2br w:val="nil"/>
              <w:tr2bl w:val="nil"/>
            </w:tcBorders>
            <w:tcMar>
              <w:left w:w="0" w:type="dxa"/>
              <w:right w:w="0" w:type="dxa"/>
            </w:tcMar>
            <w:vAlign w:val="center"/>
          </w:tcPr>
          <w:p w14:paraId="443329B0">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43</w:t>
            </w:r>
          </w:p>
        </w:tc>
        <w:tc>
          <w:tcPr>
            <w:tcW w:w="731" w:type="pct"/>
            <w:vMerge w:val="restart"/>
            <w:tcBorders>
              <w:tl2br w:val="nil"/>
              <w:tr2bl w:val="nil"/>
            </w:tcBorders>
            <w:tcMar>
              <w:left w:w="0" w:type="dxa"/>
              <w:right w:w="0" w:type="dxa"/>
            </w:tcMar>
            <w:vAlign w:val="center"/>
          </w:tcPr>
          <w:p w14:paraId="5853F3F0">
            <w:pPr>
              <w:adjustRightInd w:val="0"/>
              <w:snapToGrid w:val="0"/>
              <w:spacing w:line="240" w:lineRule="auto"/>
              <w:ind w:firstLine="0" w:firstLineChars="0"/>
              <w:jc w:val="center"/>
              <w:rPr>
                <w:rFonts w:hint="eastAsia" w:eastAsia="宋体"/>
                <w:bCs/>
                <w:sz w:val="21"/>
                <w:szCs w:val="21"/>
                <w:lang w:eastAsia="zh-CN"/>
              </w:rPr>
            </w:pPr>
            <w:r>
              <w:rPr>
                <w:bCs/>
                <w:sz w:val="21"/>
                <w:szCs w:val="21"/>
              </w:rPr>
              <w:t>6</w:t>
            </w:r>
            <w:r>
              <w:rPr>
                <w:rFonts w:hint="eastAsia"/>
                <w:bCs/>
                <w:sz w:val="21"/>
                <w:szCs w:val="21"/>
                <w:lang w:val="en-US" w:eastAsia="zh-CN"/>
              </w:rPr>
              <w:t>0</w:t>
            </w:r>
          </w:p>
        </w:tc>
        <w:tc>
          <w:tcPr>
            <w:tcW w:w="814" w:type="pct"/>
            <w:tcBorders>
              <w:tl2br w:val="nil"/>
              <w:tr2bl w:val="nil"/>
            </w:tcBorders>
            <w:tcMar>
              <w:left w:w="0" w:type="dxa"/>
              <w:right w:w="0" w:type="dxa"/>
            </w:tcMar>
            <w:vAlign w:val="center"/>
          </w:tcPr>
          <w:p w14:paraId="7247E9B0">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37</w:t>
            </w:r>
          </w:p>
        </w:tc>
        <w:tc>
          <w:tcPr>
            <w:tcW w:w="677" w:type="pct"/>
            <w:vMerge w:val="restart"/>
            <w:tcBorders>
              <w:tl2br w:val="nil"/>
              <w:tr2bl w:val="nil"/>
            </w:tcBorders>
            <w:tcMar>
              <w:left w:w="0" w:type="dxa"/>
              <w:right w:w="0" w:type="dxa"/>
            </w:tcMar>
            <w:vAlign w:val="center"/>
          </w:tcPr>
          <w:p w14:paraId="4D4F8A03">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50</w:t>
            </w:r>
          </w:p>
        </w:tc>
      </w:tr>
      <w:tr w14:paraId="59B4663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0255A3F2">
            <w:pPr>
              <w:adjustRightInd w:val="0"/>
              <w:snapToGrid w:val="0"/>
              <w:spacing w:line="240" w:lineRule="auto"/>
              <w:ind w:firstLine="0" w:firstLineChars="0"/>
              <w:jc w:val="center"/>
              <w:rPr>
                <w:sz w:val="21"/>
                <w:szCs w:val="20"/>
              </w:rPr>
            </w:pPr>
          </w:p>
        </w:tc>
        <w:tc>
          <w:tcPr>
            <w:tcW w:w="1013" w:type="pct"/>
            <w:tcBorders>
              <w:tl2br w:val="nil"/>
              <w:tr2bl w:val="nil"/>
            </w:tcBorders>
            <w:tcMar>
              <w:left w:w="0" w:type="dxa"/>
              <w:right w:w="0" w:type="dxa"/>
            </w:tcMar>
            <w:vAlign w:val="center"/>
          </w:tcPr>
          <w:p w14:paraId="1D484B2C">
            <w:pPr>
              <w:adjustRightInd w:val="0"/>
              <w:snapToGrid w:val="0"/>
              <w:spacing w:line="240" w:lineRule="auto"/>
              <w:ind w:firstLine="0" w:firstLineChars="0"/>
              <w:jc w:val="center"/>
              <w:rPr>
                <w:sz w:val="21"/>
                <w:szCs w:val="20"/>
              </w:rPr>
            </w:pPr>
            <w:r>
              <w:rPr>
                <w:sz w:val="21"/>
                <w:szCs w:val="20"/>
              </w:rPr>
              <w:t>厂区南侧</w:t>
            </w:r>
          </w:p>
        </w:tc>
        <w:tc>
          <w:tcPr>
            <w:tcW w:w="750" w:type="pct"/>
            <w:tcBorders>
              <w:tl2br w:val="nil"/>
              <w:tr2bl w:val="nil"/>
            </w:tcBorders>
            <w:tcMar>
              <w:left w:w="0" w:type="dxa"/>
              <w:right w:w="0" w:type="dxa"/>
            </w:tcMar>
            <w:vAlign w:val="center"/>
          </w:tcPr>
          <w:p w14:paraId="40506B65">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42</w:t>
            </w:r>
          </w:p>
        </w:tc>
        <w:tc>
          <w:tcPr>
            <w:tcW w:w="731" w:type="pct"/>
            <w:vMerge w:val="continue"/>
            <w:tcBorders>
              <w:tl2br w:val="nil"/>
              <w:tr2bl w:val="nil"/>
            </w:tcBorders>
            <w:tcMar>
              <w:left w:w="0" w:type="dxa"/>
              <w:right w:w="0" w:type="dxa"/>
            </w:tcMar>
            <w:vAlign w:val="center"/>
          </w:tcPr>
          <w:p w14:paraId="1D902D3F">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6B734765">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36</w:t>
            </w:r>
          </w:p>
        </w:tc>
        <w:tc>
          <w:tcPr>
            <w:tcW w:w="677" w:type="pct"/>
            <w:vMerge w:val="continue"/>
            <w:tcBorders>
              <w:tl2br w:val="nil"/>
              <w:tr2bl w:val="nil"/>
            </w:tcBorders>
            <w:tcMar>
              <w:left w:w="0" w:type="dxa"/>
              <w:right w:w="0" w:type="dxa"/>
            </w:tcMar>
            <w:vAlign w:val="center"/>
          </w:tcPr>
          <w:p w14:paraId="7D2076E3">
            <w:pPr>
              <w:adjustRightInd w:val="0"/>
              <w:snapToGrid w:val="0"/>
              <w:spacing w:line="240" w:lineRule="auto"/>
              <w:ind w:firstLine="0" w:firstLineChars="0"/>
              <w:jc w:val="center"/>
              <w:rPr>
                <w:bCs/>
                <w:sz w:val="21"/>
                <w:szCs w:val="21"/>
              </w:rPr>
            </w:pPr>
          </w:p>
        </w:tc>
      </w:tr>
      <w:tr w14:paraId="4EFF3D3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74D66373">
            <w:pPr>
              <w:adjustRightInd w:val="0"/>
              <w:snapToGrid w:val="0"/>
              <w:spacing w:line="240" w:lineRule="auto"/>
              <w:ind w:firstLine="0" w:firstLineChars="0"/>
              <w:jc w:val="center"/>
              <w:rPr>
                <w:sz w:val="21"/>
                <w:szCs w:val="20"/>
              </w:rPr>
            </w:pPr>
          </w:p>
        </w:tc>
        <w:tc>
          <w:tcPr>
            <w:tcW w:w="1013" w:type="pct"/>
            <w:tcBorders>
              <w:tl2br w:val="nil"/>
              <w:tr2bl w:val="nil"/>
            </w:tcBorders>
            <w:tcMar>
              <w:left w:w="0" w:type="dxa"/>
              <w:right w:w="0" w:type="dxa"/>
            </w:tcMar>
            <w:vAlign w:val="center"/>
          </w:tcPr>
          <w:p w14:paraId="64F79359">
            <w:pPr>
              <w:adjustRightInd w:val="0"/>
              <w:snapToGrid w:val="0"/>
              <w:spacing w:line="240" w:lineRule="auto"/>
              <w:ind w:firstLine="0" w:firstLineChars="0"/>
              <w:jc w:val="center"/>
              <w:rPr>
                <w:sz w:val="21"/>
                <w:szCs w:val="20"/>
              </w:rPr>
            </w:pPr>
            <w:r>
              <w:rPr>
                <w:sz w:val="21"/>
                <w:szCs w:val="20"/>
              </w:rPr>
              <w:t>厂区西侧</w:t>
            </w:r>
          </w:p>
        </w:tc>
        <w:tc>
          <w:tcPr>
            <w:tcW w:w="750" w:type="pct"/>
            <w:tcBorders>
              <w:tl2br w:val="nil"/>
              <w:tr2bl w:val="nil"/>
            </w:tcBorders>
            <w:tcMar>
              <w:left w:w="0" w:type="dxa"/>
              <w:right w:w="0" w:type="dxa"/>
            </w:tcMar>
            <w:vAlign w:val="center"/>
          </w:tcPr>
          <w:p w14:paraId="3B0A0E35">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41</w:t>
            </w:r>
          </w:p>
        </w:tc>
        <w:tc>
          <w:tcPr>
            <w:tcW w:w="731" w:type="pct"/>
            <w:vMerge w:val="continue"/>
            <w:tcBorders>
              <w:tl2br w:val="nil"/>
              <w:tr2bl w:val="nil"/>
            </w:tcBorders>
            <w:tcMar>
              <w:left w:w="0" w:type="dxa"/>
              <w:right w:w="0" w:type="dxa"/>
            </w:tcMar>
            <w:vAlign w:val="center"/>
          </w:tcPr>
          <w:p w14:paraId="42B4206F">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506956D3">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36</w:t>
            </w:r>
          </w:p>
        </w:tc>
        <w:tc>
          <w:tcPr>
            <w:tcW w:w="677" w:type="pct"/>
            <w:vMerge w:val="continue"/>
            <w:tcBorders>
              <w:tl2br w:val="nil"/>
              <w:tr2bl w:val="nil"/>
            </w:tcBorders>
            <w:tcMar>
              <w:left w:w="0" w:type="dxa"/>
              <w:right w:w="0" w:type="dxa"/>
            </w:tcMar>
            <w:vAlign w:val="center"/>
          </w:tcPr>
          <w:p w14:paraId="5F02E180">
            <w:pPr>
              <w:adjustRightInd w:val="0"/>
              <w:snapToGrid w:val="0"/>
              <w:spacing w:line="240" w:lineRule="auto"/>
              <w:ind w:firstLine="0" w:firstLineChars="0"/>
              <w:jc w:val="center"/>
              <w:rPr>
                <w:bCs/>
                <w:sz w:val="21"/>
                <w:szCs w:val="21"/>
              </w:rPr>
            </w:pPr>
          </w:p>
        </w:tc>
      </w:tr>
      <w:tr w14:paraId="3E65154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6810E691">
            <w:pPr>
              <w:adjustRightInd w:val="0"/>
              <w:snapToGrid w:val="0"/>
              <w:spacing w:line="240" w:lineRule="auto"/>
              <w:ind w:firstLine="0" w:firstLineChars="0"/>
              <w:jc w:val="center"/>
              <w:rPr>
                <w:sz w:val="21"/>
                <w:szCs w:val="20"/>
              </w:rPr>
            </w:pPr>
          </w:p>
        </w:tc>
        <w:tc>
          <w:tcPr>
            <w:tcW w:w="1013" w:type="pct"/>
            <w:tcBorders>
              <w:tl2br w:val="nil"/>
              <w:tr2bl w:val="nil"/>
            </w:tcBorders>
            <w:tcMar>
              <w:left w:w="0" w:type="dxa"/>
              <w:right w:w="0" w:type="dxa"/>
            </w:tcMar>
            <w:vAlign w:val="center"/>
          </w:tcPr>
          <w:p w14:paraId="03897D2F">
            <w:pPr>
              <w:adjustRightInd w:val="0"/>
              <w:snapToGrid w:val="0"/>
              <w:spacing w:line="240" w:lineRule="auto"/>
              <w:ind w:firstLine="0" w:firstLineChars="0"/>
              <w:jc w:val="center"/>
              <w:rPr>
                <w:sz w:val="21"/>
                <w:szCs w:val="20"/>
              </w:rPr>
            </w:pPr>
            <w:r>
              <w:rPr>
                <w:sz w:val="21"/>
                <w:szCs w:val="20"/>
              </w:rPr>
              <w:t>厂区北侧</w:t>
            </w:r>
          </w:p>
        </w:tc>
        <w:tc>
          <w:tcPr>
            <w:tcW w:w="750" w:type="pct"/>
            <w:tcBorders>
              <w:tl2br w:val="nil"/>
              <w:tr2bl w:val="nil"/>
            </w:tcBorders>
            <w:tcMar>
              <w:left w:w="0" w:type="dxa"/>
              <w:right w:w="0" w:type="dxa"/>
            </w:tcMar>
            <w:vAlign w:val="center"/>
          </w:tcPr>
          <w:p w14:paraId="2B998E5D">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42</w:t>
            </w:r>
          </w:p>
        </w:tc>
        <w:tc>
          <w:tcPr>
            <w:tcW w:w="731" w:type="pct"/>
            <w:vMerge w:val="continue"/>
            <w:tcBorders>
              <w:tl2br w:val="nil"/>
              <w:tr2bl w:val="nil"/>
            </w:tcBorders>
            <w:tcMar>
              <w:left w:w="0" w:type="dxa"/>
              <w:right w:w="0" w:type="dxa"/>
            </w:tcMar>
            <w:vAlign w:val="center"/>
          </w:tcPr>
          <w:p w14:paraId="56194136">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2180FED4">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37</w:t>
            </w:r>
          </w:p>
        </w:tc>
        <w:tc>
          <w:tcPr>
            <w:tcW w:w="677" w:type="pct"/>
            <w:vMerge w:val="continue"/>
            <w:tcBorders>
              <w:tl2br w:val="nil"/>
              <w:tr2bl w:val="nil"/>
            </w:tcBorders>
            <w:tcMar>
              <w:left w:w="0" w:type="dxa"/>
              <w:right w:w="0" w:type="dxa"/>
            </w:tcMar>
            <w:vAlign w:val="center"/>
          </w:tcPr>
          <w:p w14:paraId="7BDBE303">
            <w:pPr>
              <w:adjustRightInd w:val="0"/>
              <w:snapToGrid w:val="0"/>
              <w:spacing w:line="240" w:lineRule="auto"/>
              <w:ind w:firstLine="0" w:firstLineChars="0"/>
              <w:jc w:val="center"/>
              <w:rPr>
                <w:bCs/>
                <w:sz w:val="21"/>
                <w:szCs w:val="21"/>
              </w:rPr>
            </w:pPr>
          </w:p>
        </w:tc>
      </w:tr>
      <w:tr w14:paraId="32B14CF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restart"/>
            <w:tcBorders>
              <w:tl2br w:val="nil"/>
              <w:tr2bl w:val="nil"/>
            </w:tcBorders>
            <w:tcMar>
              <w:left w:w="0" w:type="dxa"/>
              <w:right w:w="0" w:type="dxa"/>
            </w:tcMar>
            <w:vAlign w:val="center"/>
          </w:tcPr>
          <w:p w14:paraId="1C1628B3">
            <w:pPr>
              <w:adjustRightInd w:val="0"/>
              <w:snapToGrid w:val="0"/>
              <w:spacing w:line="240" w:lineRule="auto"/>
              <w:ind w:firstLine="0" w:firstLineChars="0"/>
              <w:jc w:val="center"/>
              <w:rPr>
                <w:rFonts w:hint="default"/>
                <w:sz w:val="21"/>
                <w:szCs w:val="20"/>
                <w:lang w:val="en-US"/>
              </w:rPr>
            </w:pPr>
            <w:r>
              <w:rPr>
                <w:rFonts w:hint="eastAsia"/>
                <w:sz w:val="21"/>
                <w:szCs w:val="20"/>
                <w:lang w:val="en-US" w:eastAsia="zh-CN"/>
              </w:rPr>
              <w:t>2024.3.10</w:t>
            </w:r>
          </w:p>
        </w:tc>
        <w:tc>
          <w:tcPr>
            <w:tcW w:w="1013" w:type="pct"/>
            <w:tcBorders>
              <w:tl2br w:val="nil"/>
              <w:tr2bl w:val="nil"/>
            </w:tcBorders>
            <w:tcMar>
              <w:left w:w="0" w:type="dxa"/>
              <w:right w:w="0" w:type="dxa"/>
            </w:tcMar>
            <w:vAlign w:val="center"/>
          </w:tcPr>
          <w:p w14:paraId="71A9B0B2">
            <w:pPr>
              <w:adjustRightInd w:val="0"/>
              <w:snapToGrid w:val="0"/>
              <w:spacing w:line="240" w:lineRule="auto"/>
              <w:ind w:firstLine="0" w:firstLineChars="0"/>
              <w:jc w:val="center"/>
              <w:rPr>
                <w:rFonts w:ascii="Times New Roman" w:hAnsi="Times New Roman" w:eastAsia="宋体" w:cs="Times New Roman"/>
                <w:kern w:val="2"/>
                <w:sz w:val="21"/>
                <w:szCs w:val="20"/>
                <w:lang w:val="en-US" w:eastAsia="zh-CN" w:bidi="ar-SA"/>
              </w:rPr>
            </w:pPr>
            <w:r>
              <w:rPr>
                <w:sz w:val="21"/>
                <w:szCs w:val="20"/>
              </w:rPr>
              <w:t>厂区东侧</w:t>
            </w:r>
          </w:p>
        </w:tc>
        <w:tc>
          <w:tcPr>
            <w:tcW w:w="750" w:type="pct"/>
            <w:tcBorders>
              <w:tl2br w:val="nil"/>
              <w:tr2bl w:val="nil"/>
            </w:tcBorders>
            <w:tcMar>
              <w:left w:w="0" w:type="dxa"/>
              <w:right w:w="0" w:type="dxa"/>
            </w:tcMar>
            <w:vAlign w:val="center"/>
          </w:tcPr>
          <w:p w14:paraId="12C8509E">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43</w:t>
            </w:r>
          </w:p>
        </w:tc>
        <w:tc>
          <w:tcPr>
            <w:tcW w:w="731" w:type="pct"/>
            <w:vMerge w:val="continue"/>
            <w:tcBorders>
              <w:tl2br w:val="nil"/>
              <w:tr2bl w:val="nil"/>
            </w:tcBorders>
            <w:tcMar>
              <w:left w:w="0" w:type="dxa"/>
              <w:right w:w="0" w:type="dxa"/>
            </w:tcMar>
            <w:vAlign w:val="center"/>
          </w:tcPr>
          <w:p w14:paraId="5B6FE6D9">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5C34B878">
            <w:pPr>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37</w:t>
            </w:r>
          </w:p>
        </w:tc>
        <w:tc>
          <w:tcPr>
            <w:tcW w:w="677" w:type="pct"/>
            <w:vMerge w:val="continue"/>
            <w:tcBorders>
              <w:tl2br w:val="nil"/>
              <w:tr2bl w:val="nil"/>
            </w:tcBorders>
            <w:tcMar>
              <w:left w:w="0" w:type="dxa"/>
              <w:right w:w="0" w:type="dxa"/>
            </w:tcMar>
            <w:vAlign w:val="center"/>
          </w:tcPr>
          <w:p w14:paraId="3EE8B9DE">
            <w:pPr>
              <w:adjustRightInd w:val="0"/>
              <w:snapToGrid w:val="0"/>
              <w:spacing w:line="240" w:lineRule="auto"/>
              <w:ind w:firstLine="0" w:firstLineChars="0"/>
              <w:jc w:val="center"/>
              <w:rPr>
                <w:bCs/>
                <w:sz w:val="21"/>
                <w:szCs w:val="21"/>
              </w:rPr>
            </w:pPr>
          </w:p>
        </w:tc>
      </w:tr>
      <w:tr w14:paraId="7AB53F7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3D502B8F">
            <w:pPr>
              <w:adjustRightInd w:val="0"/>
              <w:snapToGrid w:val="0"/>
              <w:spacing w:line="240" w:lineRule="auto"/>
              <w:ind w:firstLine="0" w:firstLineChars="0"/>
              <w:jc w:val="center"/>
              <w:rPr>
                <w:sz w:val="21"/>
                <w:szCs w:val="20"/>
              </w:rPr>
            </w:pPr>
          </w:p>
        </w:tc>
        <w:tc>
          <w:tcPr>
            <w:tcW w:w="1013" w:type="pct"/>
            <w:tcBorders>
              <w:tl2br w:val="nil"/>
              <w:tr2bl w:val="nil"/>
            </w:tcBorders>
            <w:tcMar>
              <w:left w:w="0" w:type="dxa"/>
              <w:right w:w="0" w:type="dxa"/>
            </w:tcMar>
            <w:vAlign w:val="center"/>
          </w:tcPr>
          <w:p w14:paraId="5963649F">
            <w:pPr>
              <w:adjustRightInd w:val="0"/>
              <w:snapToGrid w:val="0"/>
              <w:spacing w:line="240" w:lineRule="auto"/>
              <w:ind w:firstLine="0" w:firstLineChars="0"/>
              <w:jc w:val="center"/>
              <w:rPr>
                <w:rFonts w:ascii="Times New Roman" w:hAnsi="Times New Roman" w:eastAsia="宋体" w:cs="Times New Roman"/>
                <w:kern w:val="2"/>
                <w:sz w:val="21"/>
                <w:szCs w:val="20"/>
                <w:lang w:val="en-US" w:eastAsia="zh-CN" w:bidi="ar-SA"/>
              </w:rPr>
            </w:pPr>
            <w:r>
              <w:rPr>
                <w:sz w:val="21"/>
                <w:szCs w:val="20"/>
              </w:rPr>
              <w:t>厂区南侧</w:t>
            </w:r>
          </w:p>
        </w:tc>
        <w:tc>
          <w:tcPr>
            <w:tcW w:w="750" w:type="pct"/>
            <w:tcBorders>
              <w:tl2br w:val="nil"/>
              <w:tr2bl w:val="nil"/>
            </w:tcBorders>
            <w:tcMar>
              <w:left w:w="0" w:type="dxa"/>
              <w:right w:w="0" w:type="dxa"/>
            </w:tcMar>
            <w:vAlign w:val="center"/>
          </w:tcPr>
          <w:p w14:paraId="6FD9E192">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42</w:t>
            </w:r>
          </w:p>
        </w:tc>
        <w:tc>
          <w:tcPr>
            <w:tcW w:w="731" w:type="pct"/>
            <w:vMerge w:val="continue"/>
            <w:tcBorders>
              <w:tl2br w:val="nil"/>
              <w:tr2bl w:val="nil"/>
            </w:tcBorders>
            <w:tcMar>
              <w:left w:w="0" w:type="dxa"/>
              <w:right w:w="0" w:type="dxa"/>
            </w:tcMar>
            <w:vAlign w:val="center"/>
          </w:tcPr>
          <w:p w14:paraId="3A8E2213">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60556A11">
            <w:pPr>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36</w:t>
            </w:r>
          </w:p>
        </w:tc>
        <w:tc>
          <w:tcPr>
            <w:tcW w:w="677" w:type="pct"/>
            <w:vMerge w:val="continue"/>
            <w:tcBorders>
              <w:tl2br w:val="nil"/>
              <w:tr2bl w:val="nil"/>
            </w:tcBorders>
            <w:tcMar>
              <w:left w:w="0" w:type="dxa"/>
              <w:right w:w="0" w:type="dxa"/>
            </w:tcMar>
            <w:vAlign w:val="center"/>
          </w:tcPr>
          <w:p w14:paraId="203004C0">
            <w:pPr>
              <w:adjustRightInd w:val="0"/>
              <w:snapToGrid w:val="0"/>
              <w:spacing w:line="240" w:lineRule="auto"/>
              <w:ind w:firstLine="0" w:firstLineChars="0"/>
              <w:jc w:val="center"/>
              <w:rPr>
                <w:bCs/>
                <w:sz w:val="21"/>
                <w:szCs w:val="21"/>
              </w:rPr>
            </w:pPr>
          </w:p>
        </w:tc>
      </w:tr>
      <w:tr w14:paraId="480D66F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4C52F161">
            <w:pPr>
              <w:adjustRightInd w:val="0"/>
              <w:snapToGrid w:val="0"/>
              <w:spacing w:line="240" w:lineRule="auto"/>
              <w:ind w:firstLine="0" w:firstLineChars="0"/>
              <w:jc w:val="center"/>
              <w:rPr>
                <w:sz w:val="21"/>
                <w:szCs w:val="20"/>
              </w:rPr>
            </w:pPr>
          </w:p>
        </w:tc>
        <w:tc>
          <w:tcPr>
            <w:tcW w:w="1013" w:type="pct"/>
            <w:tcBorders>
              <w:tl2br w:val="nil"/>
              <w:tr2bl w:val="nil"/>
            </w:tcBorders>
            <w:tcMar>
              <w:left w:w="0" w:type="dxa"/>
              <w:right w:w="0" w:type="dxa"/>
            </w:tcMar>
            <w:vAlign w:val="center"/>
          </w:tcPr>
          <w:p w14:paraId="6B46D5FC">
            <w:pPr>
              <w:adjustRightInd w:val="0"/>
              <w:snapToGrid w:val="0"/>
              <w:spacing w:line="240" w:lineRule="auto"/>
              <w:ind w:firstLine="0" w:firstLineChars="0"/>
              <w:jc w:val="center"/>
              <w:rPr>
                <w:rFonts w:ascii="Times New Roman" w:hAnsi="Times New Roman" w:eastAsia="宋体" w:cs="Times New Roman"/>
                <w:kern w:val="2"/>
                <w:sz w:val="21"/>
                <w:szCs w:val="20"/>
                <w:lang w:val="en-US" w:eastAsia="zh-CN" w:bidi="ar-SA"/>
              </w:rPr>
            </w:pPr>
            <w:r>
              <w:rPr>
                <w:sz w:val="21"/>
                <w:szCs w:val="20"/>
              </w:rPr>
              <w:t>厂区西侧</w:t>
            </w:r>
          </w:p>
        </w:tc>
        <w:tc>
          <w:tcPr>
            <w:tcW w:w="750" w:type="pct"/>
            <w:tcBorders>
              <w:tl2br w:val="nil"/>
              <w:tr2bl w:val="nil"/>
            </w:tcBorders>
            <w:tcMar>
              <w:left w:w="0" w:type="dxa"/>
              <w:right w:w="0" w:type="dxa"/>
            </w:tcMar>
            <w:vAlign w:val="center"/>
          </w:tcPr>
          <w:p w14:paraId="054B64C3">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41</w:t>
            </w:r>
          </w:p>
        </w:tc>
        <w:tc>
          <w:tcPr>
            <w:tcW w:w="731" w:type="pct"/>
            <w:vMerge w:val="continue"/>
            <w:tcBorders>
              <w:tl2br w:val="nil"/>
              <w:tr2bl w:val="nil"/>
            </w:tcBorders>
            <w:tcMar>
              <w:left w:w="0" w:type="dxa"/>
              <w:right w:w="0" w:type="dxa"/>
            </w:tcMar>
            <w:vAlign w:val="center"/>
          </w:tcPr>
          <w:p w14:paraId="2E827FE1">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77A357DD">
            <w:pPr>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36</w:t>
            </w:r>
          </w:p>
        </w:tc>
        <w:tc>
          <w:tcPr>
            <w:tcW w:w="677" w:type="pct"/>
            <w:vMerge w:val="continue"/>
            <w:tcBorders>
              <w:tl2br w:val="nil"/>
              <w:tr2bl w:val="nil"/>
            </w:tcBorders>
            <w:tcMar>
              <w:left w:w="0" w:type="dxa"/>
              <w:right w:w="0" w:type="dxa"/>
            </w:tcMar>
            <w:vAlign w:val="center"/>
          </w:tcPr>
          <w:p w14:paraId="6AE73304">
            <w:pPr>
              <w:adjustRightInd w:val="0"/>
              <w:snapToGrid w:val="0"/>
              <w:spacing w:line="240" w:lineRule="auto"/>
              <w:ind w:firstLine="0" w:firstLineChars="0"/>
              <w:jc w:val="center"/>
              <w:rPr>
                <w:bCs/>
                <w:sz w:val="21"/>
                <w:szCs w:val="21"/>
              </w:rPr>
            </w:pPr>
          </w:p>
        </w:tc>
      </w:tr>
      <w:tr w14:paraId="3DB78E9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013" w:type="pct"/>
            <w:vMerge w:val="continue"/>
            <w:tcBorders>
              <w:tl2br w:val="nil"/>
              <w:tr2bl w:val="nil"/>
            </w:tcBorders>
            <w:tcMar>
              <w:left w:w="0" w:type="dxa"/>
              <w:right w:w="0" w:type="dxa"/>
            </w:tcMar>
            <w:vAlign w:val="center"/>
          </w:tcPr>
          <w:p w14:paraId="0CEBD072">
            <w:pPr>
              <w:adjustRightInd w:val="0"/>
              <w:snapToGrid w:val="0"/>
              <w:spacing w:line="240" w:lineRule="auto"/>
              <w:ind w:firstLine="0" w:firstLineChars="0"/>
              <w:jc w:val="center"/>
              <w:rPr>
                <w:sz w:val="21"/>
                <w:szCs w:val="20"/>
              </w:rPr>
            </w:pPr>
          </w:p>
        </w:tc>
        <w:tc>
          <w:tcPr>
            <w:tcW w:w="1013" w:type="pct"/>
            <w:tcBorders>
              <w:tl2br w:val="nil"/>
              <w:tr2bl w:val="nil"/>
            </w:tcBorders>
            <w:tcMar>
              <w:left w:w="0" w:type="dxa"/>
              <w:right w:w="0" w:type="dxa"/>
            </w:tcMar>
            <w:vAlign w:val="center"/>
          </w:tcPr>
          <w:p w14:paraId="55DCE151">
            <w:pPr>
              <w:adjustRightInd w:val="0"/>
              <w:snapToGrid w:val="0"/>
              <w:spacing w:line="240" w:lineRule="auto"/>
              <w:ind w:firstLine="0" w:firstLineChars="0"/>
              <w:jc w:val="center"/>
              <w:rPr>
                <w:rFonts w:ascii="Times New Roman" w:hAnsi="Times New Roman" w:eastAsia="宋体" w:cs="Times New Roman"/>
                <w:kern w:val="2"/>
                <w:sz w:val="21"/>
                <w:szCs w:val="20"/>
                <w:lang w:val="en-US" w:eastAsia="zh-CN" w:bidi="ar-SA"/>
              </w:rPr>
            </w:pPr>
            <w:r>
              <w:rPr>
                <w:sz w:val="21"/>
                <w:szCs w:val="20"/>
              </w:rPr>
              <w:t>厂区北侧</w:t>
            </w:r>
          </w:p>
        </w:tc>
        <w:tc>
          <w:tcPr>
            <w:tcW w:w="750" w:type="pct"/>
            <w:tcBorders>
              <w:tl2br w:val="nil"/>
              <w:tr2bl w:val="nil"/>
            </w:tcBorders>
            <w:tcMar>
              <w:left w:w="0" w:type="dxa"/>
              <w:right w:w="0" w:type="dxa"/>
            </w:tcMar>
            <w:vAlign w:val="center"/>
          </w:tcPr>
          <w:p w14:paraId="34F9AC59">
            <w:pPr>
              <w:adjustRightInd w:val="0"/>
              <w:snapToGrid w:val="0"/>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42</w:t>
            </w:r>
          </w:p>
        </w:tc>
        <w:tc>
          <w:tcPr>
            <w:tcW w:w="731" w:type="pct"/>
            <w:vMerge w:val="continue"/>
            <w:tcBorders>
              <w:tl2br w:val="nil"/>
              <w:tr2bl w:val="nil"/>
            </w:tcBorders>
            <w:tcMar>
              <w:left w:w="0" w:type="dxa"/>
              <w:right w:w="0" w:type="dxa"/>
            </w:tcMar>
            <w:vAlign w:val="center"/>
          </w:tcPr>
          <w:p w14:paraId="1FBDC013">
            <w:pPr>
              <w:adjustRightInd w:val="0"/>
              <w:snapToGrid w:val="0"/>
              <w:spacing w:line="240" w:lineRule="auto"/>
              <w:ind w:firstLine="0" w:firstLineChars="0"/>
              <w:jc w:val="center"/>
              <w:rPr>
                <w:bCs/>
                <w:sz w:val="21"/>
                <w:szCs w:val="21"/>
              </w:rPr>
            </w:pPr>
          </w:p>
        </w:tc>
        <w:tc>
          <w:tcPr>
            <w:tcW w:w="814" w:type="pct"/>
            <w:tcBorders>
              <w:tl2br w:val="nil"/>
              <w:tr2bl w:val="nil"/>
            </w:tcBorders>
            <w:tcMar>
              <w:left w:w="0" w:type="dxa"/>
              <w:right w:w="0" w:type="dxa"/>
            </w:tcMar>
            <w:vAlign w:val="center"/>
          </w:tcPr>
          <w:p w14:paraId="499DED08">
            <w:pPr>
              <w:adjustRightInd w:val="0"/>
              <w:snapToGrid w:val="0"/>
              <w:spacing w:line="240" w:lineRule="auto"/>
              <w:ind w:firstLine="0" w:firstLineChars="0"/>
              <w:jc w:val="center"/>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37</w:t>
            </w:r>
          </w:p>
        </w:tc>
        <w:tc>
          <w:tcPr>
            <w:tcW w:w="677" w:type="pct"/>
            <w:vMerge w:val="continue"/>
            <w:tcBorders>
              <w:tl2br w:val="nil"/>
              <w:tr2bl w:val="nil"/>
            </w:tcBorders>
            <w:tcMar>
              <w:left w:w="0" w:type="dxa"/>
              <w:right w:w="0" w:type="dxa"/>
            </w:tcMar>
            <w:vAlign w:val="center"/>
          </w:tcPr>
          <w:p w14:paraId="6FD20E80">
            <w:pPr>
              <w:adjustRightInd w:val="0"/>
              <w:snapToGrid w:val="0"/>
              <w:spacing w:line="240" w:lineRule="auto"/>
              <w:ind w:firstLine="0" w:firstLineChars="0"/>
              <w:jc w:val="center"/>
              <w:rPr>
                <w:bCs/>
                <w:sz w:val="21"/>
                <w:szCs w:val="21"/>
              </w:rPr>
            </w:pPr>
          </w:p>
        </w:tc>
      </w:tr>
    </w:tbl>
    <w:p w14:paraId="23DCE025">
      <w:pPr>
        <w:bidi w:val="0"/>
        <w:rPr>
          <w:rFonts w:hint="eastAsia"/>
          <w:lang w:val="en-US" w:eastAsia="zh-CN"/>
        </w:rPr>
      </w:pPr>
      <w:r>
        <w:t>由噪声监测结果表明，项目区厂界四周噪声值均可达到《声环境质量标准》（GB3096-2008）</w:t>
      </w:r>
      <w:r>
        <w:rPr>
          <w:rFonts w:hint="eastAsia"/>
          <w:lang w:val="en-US" w:eastAsia="zh-CN"/>
        </w:rPr>
        <w:t>2</w:t>
      </w:r>
      <w:r>
        <w:t>类标准限值要求</w:t>
      </w:r>
      <w:r>
        <w:rPr>
          <w:rFonts w:hint="eastAsia"/>
        </w:rPr>
        <w:t>，本项目声环境</w:t>
      </w:r>
      <w:r>
        <w:t>质量良好。</w:t>
      </w:r>
    </w:p>
    <w:p w14:paraId="045EECC0">
      <w:pPr>
        <w:pStyle w:val="27"/>
        <w:bidi w:val="0"/>
        <w:rPr>
          <w:rFonts w:hint="eastAsia"/>
          <w:lang w:val="en-US" w:eastAsia="zh-CN"/>
        </w:rPr>
      </w:pPr>
      <w:r>
        <w:rPr>
          <w:rFonts w:hint="eastAsia"/>
          <w:lang w:val="en-US" w:eastAsia="zh-CN"/>
        </w:rPr>
        <w:t>土壤环境质量现状监测与评价</w:t>
      </w:r>
    </w:p>
    <w:p w14:paraId="22CBF9A2">
      <w:pPr>
        <w:bidi w:val="0"/>
        <w:rPr>
          <w:rFonts w:hint="default"/>
          <w:highlight w:val="none"/>
          <w:lang w:val="en-US" w:eastAsia="zh-CN"/>
        </w:rPr>
      </w:pPr>
      <w:r>
        <w:rPr>
          <w:rFonts w:hint="eastAsia"/>
          <w:highlight w:val="none"/>
          <w:lang w:val="en-US" w:eastAsia="zh-CN"/>
        </w:rPr>
        <w:t>本次土壤环境质量现状监测委托新疆锡水金山环境科技有限公司于2024年3月9日对本项目区土壤进行采样监测。</w:t>
      </w:r>
    </w:p>
    <w:p w14:paraId="17E91491">
      <w:pPr>
        <w:bidi w:val="0"/>
        <w:rPr>
          <w:rFonts w:hint="default"/>
          <w:lang w:val="en-US" w:eastAsia="zh-CN"/>
        </w:rPr>
      </w:pPr>
      <w:r>
        <w:rPr>
          <w:rFonts w:hint="eastAsia"/>
          <w:lang w:val="en-US" w:eastAsia="zh-CN"/>
        </w:rPr>
        <w:t>（1）监测布点</w:t>
      </w:r>
    </w:p>
    <w:p w14:paraId="538B113B">
      <w:pPr>
        <w:bidi w:val="0"/>
        <w:rPr>
          <w:rFonts w:hint="eastAsia"/>
          <w:lang w:val="en-US" w:eastAsia="zh-CN"/>
        </w:rPr>
      </w:pPr>
      <w:r>
        <w:rPr>
          <w:rFonts w:hint="default"/>
          <w:lang w:val="en-US" w:eastAsia="zh-CN"/>
        </w:rPr>
        <w:t>本项目共布设6个</w:t>
      </w:r>
      <w:r>
        <w:rPr>
          <w:rFonts w:hint="eastAsia"/>
          <w:lang w:val="en-US" w:eastAsia="zh-CN"/>
        </w:rPr>
        <w:t>土壤环境质量现状</w:t>
      </w:r>
      <w:r>
        <w:rPr>
          <w:rFonts w:hint="default"/>
          <w:lang w:val="en-US" w:eastAsia="zh-CN"/>
        </w:rPr>
        <w:t>监测点，其中厂区范围内布设3个柱状样，1个表层样；厂区外布设2个表层样，</w:t>
      </w:r>
      <w:r>
        <w:rPr>
          <w:rFonts w:hint="eastAsia"/>
          <w:lang w:val="en-US" w:eastAsia="zh-CN"/>
        </w:rPr>
        <w:t>具体见表4.2-9及监测布点图。</w:t>
      </w:r>
    </w:p>
    <w:p w14:paraId="3ECB1CCA">
      <w:pPr>
        <w:bidi w:val="0"/>
        <w:rPr>
          <w:rFonts w:hint="default"/>
          <w:lang w:val="en-US" w:eastAsia="zh-CN"/>
        </w:rPr>
      </w:pPr>
    </w:p>
    <w:p w14:paraId="1620C14B">
      <w:pPr>
        <w:pStyle w:val="30"/>
        <w:bidi w:val="0"/>
        <w:rPr>
          <w:rFonts w:hint="default"/>
          <w:lang w:val="en-US" w:eastAsia="zh-CN"/>
        </w:rPr>
      </w:pPr>
      <w:r>
        <w:rPr>
          <w:rFonts w:hint="eastAsia"/>
          <w:lang w:val="en-US" w:eastAsia="zh-CN"/>
        </w:rPr>
        <w:t>表4.2-9   土壤监测布点一览表</w:t>
      </w:r>
    </w:p>
    <w:tbl>
      <w:tblPr>
        <w:tblStyle w:val="21"/>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6"/>
        <w:gridCol w:w="1461"/>
        <w:gridCol w:w="2662"/>
        <w:gridCol w:w="2883"/>
        <w:gridCol w:w="714"/>
      </w:tblGrid>
      <w:tr w14:paraId="6757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4" w:type="pct"/>
            <w:tcBorders>
              <w:tl2br w:val="nil"/>
              <w:tr2bl w:val="nil"/>
            </w:tcBorders>
            <w:shd w:val="clear" w:color="auto" w:fill="auto"/>
            <w:vAlign w:val="center"/>
          </w:tcPr>
          <w:p w14:paraId="482A5895">
            <w:pPr>
              <w:pStyle w:val="19"/>
              <w:rPr>
                <w:highlight w:val="none"/>
              </w:rPr>
            </w:pPr>
            <w:r>
              <w:rPr>
                <w:rFonts w:hint="eastAsia"/>
                <w:highlight w:val="none"/>
              </w:rPr>
              <w:t>编号</w:t>
            </w:r>
          </w:p>
        </w:tc>
        <w:tc>
          <w:tcPr>
            <w:tcW w:w="877" w:type="pct"/>
            <w:tcBorders>
              <w:tl2br w:val="nil"/>
              <w:tr2bl w:val="nil"/>
            </w:tcBorders>
            <w:shd w:val="clear" w:color="auto" w:fill="auto"/>
            <w:vAlign w:val="center"/>
          </w:tcPr>
          <w:p w14:paraId="5571F5CB">
            <w:pPr>
              <w:pStyle w:val="19"/>
              <w:rPr>
                <w:highlight w:val="none"/>
              </w:rPr>
            </w:pPr>
            <w:r>
              <w:rPr>
                <w:rFonts w:hint="eastAsia"/>
                <w:highlight w:val="none"/>
              </w:rPr>
              <w:t>位置/坐标</w:t>
            </w:r>
          </w:p>
        </w:tc>
        <w:tc>
          <w:tcPr>
            <w:tcW w:w="1598" w:type="pct"/>
            <w:tcBorders>
              <w:tl2br w:val="nil"/>
              <w:tr2bl w:val="nil"/>
            </w:tcBorders>
            <w:shd w:val="clear" w:color="auto" w:fill="auto"/>
            <w:vAlign w:val="center"/>
          </w:tcPr>
          <w:p w14:paraId="1552BB47">
            <w:pPr>
              <w:pStyle w:val="19"/>
              <w:rPr>
                <w:highlight w:val="none"/>
              </w:rPr>
            </w:pPr>
            <w:r>
              <w:rPr>
                <w:rFonts w:hint="eastAsia"/>
                <w:highlight w:val="none"/>
              </w:rPr>
              <w:t>监测因子</w:t>
            </w:r>
          </w:p>
        </w:tc>
        <w:tc>
          <w:tcPr>
            <w:tcW w:w="1731" w:type="pct"/>
            <w:tcBorders>
              <w:tl2br w:val="nil"/>
              <w:tr2bl w:val="nil"/>
            </w:tcBorders>
            <w:shd w:val="clear" w:color="auto" w:fill="auto"/>
            <w:vAlign w:val="center"/>
          </w:tcPr>
          <w:p w14:paraId="7089F9B8">
            <w:pPr>
              <w:pStyle w:val="19"/>
              <w:rPr>
                <w:highlight w:val="none"/>
              </w:rPr>
            </w:pPr>
            <w:r>
              <w:rPr>
                <w:rFonts w:hint="eastAsia"/>
                <w:highlight w:val="none"/>
              </w:rPr>
              <w:t>评价标准</w:t>
            </w:r>
          </w:p>
        </w:tc>
        <w:tc>
          <w:tcPr>
            <w:tcW w:w="428" w:type="pct"/>
            <w:tcBorders>
              <w:tl2br w:val="nil"/>
              <w:tr2bl w:val="nil"/>
            </w:tcBorders>
            <w:shd w:val="clear" w:color="auto" w:fill="auto"/>
            <w:vAlign w:val="center"/>
          </w:tcPr>
          <w:p w14:paraId="6E46C6EC">
            <w:pPr>
              <w:pStyle w:val="19"/>
              <w:rPr>
                <w:highlight w:val="none"/>
              </w:rPr>
            </w:pPr>
            <w:r>
              <w:rPr>
                <w:rFonts w:hint="eastAsia"/>
                <w:highlight w:val="none"/>
              </w:rPr>
              <w:t>备注</w:t>
            </w:r>
          </w:p>
        </w:tc>
      </w:tr>
      <w:tr w14:paraId="1184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4" w:type="pct"/>
            <w:vMerge w:val="restart"/>
            <w:tcBorders>
              <w:tl2br w:val="nil"/>
              <w:tr2bl w:val="nil"/>
            </w:tcBorders>
            <w:shd w:val="clear" w:color="auto" w:fill="auto"/>
            <w:vAlign w:val="center"/>
          </w:tcPr>
          <w:p w14:paraId="445B367F">
            <w:pPr>
              <w:pStyle w:val="19"/>
              <w:rPr>
                <w:highlight w:val="none"/>
              </w:rPr>
            </w:pPr>
            <w:r>
              <w:rPr>
                <w:rFonts w:hint="eastAsia" w:ascii="Segoe UI Emoji" w:hAnsi="Segoe UI Emoji" w:eastAsia="Segoe UI Emoji" w:cs="Segoe UI Emoji"/>
                <w:highlight w:val="none"/>
              </w:rPr>
              <w:t>△</w:t>
            </w:r>
            <w:r>
              <w:rPr>
                <w:highlight w:val="none"/>
              </w:rPr>
              <w:t>1</w:t>
            </w:r>
          </w:p>
        </w:tc>
        <w:tc>
          <w:tcPr>
            <w:tcW w:w="877" w:type="pct"/>
            <w:tcBorders>
              <w:tl2br w:val="nil"/>
              <w:tr2bl w:val="nil"/>
            </w:tcBorders>
            <w:shd w:val="clear" w:color="auto" w:fill="auto"/>
            <w:vAlign w:val="center"/>
          </w:tcPr>
          <w:p w14:paraId="315CCD01">
            <w:pPr>
              <w:pStyle w:val="19"/>
              <w:jc w:val="both"/>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E：84°46′44.34″</w:t>
            </w:r>
          </w:p>
        </w:tc>
        <w:tc>
          <w:tcPr>
            <w:tcW w:w="1598" w:type="pct"/>
            <w:tcBorders>
              <w:tl2br w:val="nil"/>
              <w:tr2bl w:val="nil"/>
            </w:tcBorders>
            <w:shd w:val="clear" w:color="auto" w:fill="auto"/>
            <w:vAlign w:val="center"/>
          </w:tcPr>
          <w:p w14:paraId="5A9A1965">
            <w:pPr>
              <w:pStyle w:val="19"/>
              <w:rPr>
                <w:highlight w:val="none"/>
              </w:rPr>
            </w:pPr>
            <w:r>
              <w:rPr>
                <w:rFonts w:hint="eastAsia"/>
                <w:highlight w:val="none"/>
              </w:rPr>
              <w:t>基本4</w:t>
            </w:r>
            <w:r>
              <w:rPr>
                <w:highlight w:val="none"/>
              </w:rPr>
              <w:t>5</w:t>
            </w:r>
            <w:r>
              <w:rPr>
                <w:rFonts w:hint="eastAsia"/>
                <w:highlight w:val="none"/>
              </w:rPr>
              <w:t>项</w:t>
            </w:r>
          </w:p>
        </w:tc>
        <w:tc>
          <w:tcPr>
            <w:tcW w:w="1731" w:type="pct"/>
            <w:tcBorders>
              <w:tl2br w:val="nil"/>
              <w:tr2bl w:val="nil"/>
            </w:tcBorders>
            <w:shd w:val="clear" w:color="auto" w:fill="auto"/>
            <w:vAlign w:val="center"/>
          </w:tcPr>
          <w:p w14:paraId="2BC49FEB">
            <w:pPr>
              <w:pStyle w:val="19"/>
              <w:rPr>
                <w:highlight w:val="none"/>
              </w:rPr>
            </w:pPr>
            <w:r>
              <w:rPr>
                <w:highlight w:val="none"/>
              </w:rPr>
              <w:t>GB36600-2018</w:t>
            </w:r>
            <w:r>
              <w:rPr>
                <w:rFonts w:hint="eastAsia"/>
                <w:highlight w:val="none"/>
              </w:rPr>
              <w:t>筛选值二类用地</w:t>
            </w:r>
          </w:p>
        </w:tc>
        <w:tc>
          <w:tcPr>
            <w:tcW w:w="428" w:type="pct"/>
            <w:vMerge w:val="restart"/>
            <w:tcBorders>
              <w:tl2br w:val="nil"/>
              <w:tr2bl w:val="nil"/>
            </w:tcBorders>
            <w:shd w:val="clear" w:color="auto" w:fill="auto"/>
            <w:vAlign w:val="center"/>
          </w:tcPr>
          <w:p w14:paraId="62821B10">
            <w:pPr>
              <w:pStyle w:val="19"/>
              <w:rPr>
                <w:highlight w:val="none"/>
              </w:rPr>
            </w:pPr>
            <w:r>
              <w:rPr>
                <w:rFonts w:hint="eastAsia"/>
                <w:highlight w:val="none"/>
              </w:rPr>
              <w:t>表层样</w:t>
            </w:r>
          </w:p>
        </w:tc>
      </w:tr>
      <w:tr w14:paraId="3202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4" w:type="pct"/>
            <w:vMerge w:val="continue"/>
            <w:tcBorders>
              <w:tl2br w:val="nil"/>
              <w:tr2bl w:val="nil"/>
            </w:tcBorders>
            <w:shd w:val="clear" w:color="auto" w:fill="auto"/>
            <w:vAlign w:val="center"/>
          </w:tcPr>
          <w:p w14:paraId="73ECE6F1">
            <w:pPr>
              <w:pStyle w:val="19"/>
              <w:rPr>
                <w:rFonts w:hint="eastAsia" w:ascii="Segoe UI Emoji" w:hAnsi="Segoe UI Emoji" w:eastAsia="Segoe UI Emoji" w:cs="Segoe UI Emoji"/>
                <w:highlight w:val="none"/>
              </w:rPr>
            </w:pPr>
          </w:p>
        </w:tc>
        <w:tc>
          <w:tcPr>
            <w:tcW w:w="877" w:type="pct"/>
            <w:tcBorders>
              <w:tl2br w:val="nil"/>
              <w:tr2bl w:val="nil"/>
            </w:tcBorders>
            <w:shd w:val="clear" w:color="auto" w:fill="auto"/>
            <w:vAlign w:val="center"/>
          </w:tcPr>
          <w:p w14:paraId="7569E98B">
            <w:pPr>
              <w:pStyle w:val="19"/>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N：45°0′21.39″</w:t>
            </w:r>
          </w:p>
        </w:tc>
        <w:tc>
          <w:tcPr>
            <w:tcW w:w="1598" w:type="pct"/>
            <w:tcBorders>
              <w:tl2br w:val="nil"/>
              <w:tr2bl w:val="nil"/>
            </w:tcBorders>
            <w:shd w:val="clear" w:color="auto" w:fill="auto"/>
            <w:vAlign w:val="center"/>
          </w:tcPr>
          <w:p w14:paraId="0722D16F">
            <w:pPr>
              <w:pStyle w:val="19"/>
              <w:rPr>
                <w:rFonts w:hint="eastAsia" w:eastAsia="宋体"/>
                <w:highlight w:val="none"/>
                <w:lang w:eastAsia="zh-CN"/>
              </w:rPr>
            </w:pPr>
            <w:r>
              <w:rPr>
                <w:rFonts w:hint="eastAsia"/>
                <w:highlight w:val="none"/>
              </w:rPr>
              <w:t>六六六</w:t>
            </w:r>
            <w:r>
              <w:rPr>
                <w:rFonts w:hint="eastAsia"/>
                <w:highlight w:val="none"/>
                <w:lang w:eastAsia="zh-CN"/>
              </w:rPr>
              <w:t>、滴滴涕、寄生虫卵数</w:t>
            </w:r>
          </w:p>
        </w:tc>
        <w:tc>
          <w:tcPr>
            <w:tcW w:w="1731" w:type="pct"/>
            <w:tcBorders>
              <w:tl2br w:val="nil"/>
              <w:tr2bl w:val="nil"/>
            </w:tcBorders>
            <w:shd w:val="clear" w:color="auto" w:fill="auto"/>
            <w:vAlign w:val="center"/>
          </w:tcPr>
          <w:p w14:paraId="2AF7FFFA">
            <w:pPr>
              <w:pStyle w:val="19"/>
              <w:rPr>
                <w:rFonts w:hint="default" w:eastAsia="宋体"/>
                <w:highlight w:val="none"/>
                <w:lang w:val="en-US" w:eastAsia="zh-CN"/>
              </w:rPr>
            </w:pPr>
            <w:r>
              <w:rPr>
                <w:color w:val="000000"/>
                <w:highlight w:val="none"/>
              </w:rPr>
              <w:t>HJ568-2010</w:t>
            </w:r>
            <w:r>
              <w:rPr>
                <w:rFonts w:hint="eastAsia"/>
                <w:color w:val="000000"/>
                <w:highlight w:val="none"/>
                <w:lang w:val="en-US" w:eastAsia="zh-CN"/>
              </w:rPr>
              <w:t>中表4</w:t>
            </w:r>
          </w:p>
        </w:tc>
        <w:tc>
          <w:tcPr>
            <w:tcW w:w="428" w:type="pct"/>
            <w:vMerge w:val="continue"/>
            <w:tcBorders>
              <w:tl2br w:val="nil"/>
              <w:tr2bl w:val="nil"/>
            </w:tcBorders>
            <w:shd w:val="clear" w:color="auto" w:fill="auto"/>
            <w:vAlign w:val="center"/>
          </w:tcPr>
          <w:p w14:paraId="1CB4852D">
            <w:pPr>
              <w:pStyle w:val="19"/>
              <w:rPr>
                <w:rFonts w:hint="eastAsia"/>
                <w:highlight w:val="none"/>
              </w:rPr>
            </w:pPr>
          </w:p>
        </w:tc>
      </w:tr>
      <w:tr w14:paraId="16D0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364" w:type="pct"/>
            <w:vMerge w:val="restart"/>
            <w:tcBorders>
              <w:tl2br w:val="nil"/>
              <w:tr2bl w:val="nil"/>
            </w:tcBorders>
            <w:shd w:val="clear" w:color="auto" w:fill="auto"/>
            <w:vAlign w:val="center"/>
          </w:tcPr>
          <w:p w14:paraId="6DFB46EA">
            <w:pPr>
              <w:pStyle w:val="19"/>
              <w:rPr>
                <w:highlight w:val="none"/>
              </w:rPr>
            </w:pPr>
            <w:r>
              <w:rPr>
                <w:rFonts w:hint="eastAsia" w:ascii="Segoe UI Emoji" w:hAnsi="Segoe UI Emoji" w:eastAsia="Segoe UI Emoji" w:cs="Segoe UI Emoji"/>
                <w:highlight w:val="none"/>
              </w:rPr>
              <w:t>△</w:t>
            </w:r>
            <w:r>
              <w:rPr>
                <w:highlight w:val="none"/>
              </w:rPr>
              <w:t>2</w:t>
            </w:r>
          </w:p>
        </w:tc>
        <w:tc>
          <w:tcPr>
            <w:tcW w:w="877" w:type="pct"/>
            <w:tcBorders>
              <w:tl2br w:val="nil"/>
              <w:tr2bl w:val="nil"/>
            </w:tcBorders>
            <w:shd w:val="clear" w:color="auto" w:fill="auto"/>
            <w:vAlign w:val="center"/>
          </w:tcPr>
          <w:p w14:paraId="6FAEA608">
            <w:pPr>
              <w:pStyle w:val="19"/>
              <w:ind w:firstLine="0" w:firstLineChars="0"/>
              <w:jc w:val="both"/>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E：84°46′</w:t>
            </w:r>
            <w:r>
              <w:rPr>
                <w:rFonts w:hint="eastAsia" w:cs="Times New Roman"/>
                <w:highlight w:val="none"/>
                <w:lang w:val="en-US" w:eastAsia="zh-CN"/>
              </w:rPr>
              <w:t>27.65</w:t>
            </w:r>
            <w:r>
              <w:rPr>
                <w:rFonts w:hint="default" w:ascii="Times New Roman" w:hAnsi="Times New Roman" w:cs="Times New Roman"/>
                <w:highlight w:val="none"/>
                <w:lang w:val="en-US" w:eastAsia="zh-CN"/>
              </w:rPr>
              <w:t>″</w:t>
            </w:r>
          </w:p>
        </w:tc>
        <w:tc>
          <w:tcPr>
            <w:tcW w:w="1598" w:type="pct"/>
            <w:vMerge w:val="restart"/>
            <w:tcBorders>
              <w:tl2br w:val="nil"/>
              <w:tr2bl w:val="nil"/>
            </w:tcBorders>
            <w:shd w:val="clear" w:color="auto" w:fill="auto"/>
            <w:vAlign w:val="center"/>
          </w:tcPr>
          <w:p w14:paraId="4CEFA1A7">
            <w:pPr>
              <w:pStyle w:val="19"/>
              <w:rPr>
                <w:highlight w:val="none"/>
              </w:rPr>
            </w:pPr>
            <w:r>
              <w:rPr>
                <w:rFonts w:hint="eastAsia"/>
                <w:highlight w:val="none"/>
              </w:rPr>
              <w:t>砷、镉、铬</w:t>
            </w:r>
            <w:r>
              <w:rPr>
                <w:highlight w:val="none"/>
              </w:rPr>
              <w:t>(六价)</w:t>
            </w:r>
            <w:r>
              <w:rPr>
                <w:rFonts w:hint="eastAsia"/>
                <w:highlight w:val="none"/>
              </w:rPr>
              <w:t>、铜、铅、汞、镍</w:t>
            </w:r>
          </w:p>
        </w:tc>
        <w:tc>
          <w:tcPr>
            <w:tcW w:w="1731" w:type="pct"/>
            <w:vMerge w:val="restart"/>
            <w:tcBorders>
              <w:tl2br w:val="nil"/>
              <w:tr2bl w:val="nil"/>
            </w:tcBorders>
            <w:shd w:val="clear" w:color="auto" w:fill="auto"/>
            <w:vAlign w:val="center"/>
          </w:tcPr>
          <w:p w14:paraId="0984E16E">
            <w:pPr>
              <w:pStyle w:val="19"/>
              <w:rPr>
                <w:highlight w:val="none"/>
              </w:rPr>
            </w:pPr>
            <w:r>
              <w:rPr>
                <w:highlight w:val="none"/>
              </w:rPr>
              <w:t>GB36600-2018</w:t>
            </w:r>
            <w:r>
              <w:rPr>
                <w:rFonts w:hint="eastAsia"/>
                <w:highlight w:val="none"/>
              </w:rPr>
              <w:t>筛选值二类用地</w:t>
            </w:r>
          </w:p>
        </w:tc>
        <w:tc>
          <w:tcPr>
            <w:tcW w:w="428" w:type="pct"/>
            <w:vMerge w:val="restart"/>
            <w:tcBorders>
              <w:tl2br w:val="nil"/>
              <w:tr2bl w:val="nil"/>
            </w:tcBorders>
            <w:shd w:val="clear" w:color="auto" w:fill="auto"/>
            <w:vAlign w:val="center"/>
          </w:tcPr>
          <w:p w14:paraId="1AE1655E">
            <w:pPr>
              <w:pStyle w:val="19"/>
              <w:rPr>
                <w:highlight w:val="none"/>
              </w:rPr>
            </w:pPr>
            <w:r>
              <w:rPr>
                <w:rFonts w:hint="eastAsia"/>
                <w:highlight w:val="none"/>
              </w:rPr>
              <w:t>柱状样</w:t>
            </w:r>
          </w:p>
        </w:tc>
      </w:tr>
      <w:tr w14:paraId="3715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364" w:type="pct"/>
            <w:vMerge w:val="continue"/>
            <w:tcBorders>
              <w:tl2br w:val="nil"/>
              <w:tr2bl w:val="nil"/>
            </w:tcBorders>
            <w:shd w:val="clear" w:color="auto" w:fill="auto"/>
            <w:vAlign w:val="center"/>
          </w:tcPr>
          <w:p w14:paraId="528ED4EE">
            <w:pPr>
              <w:pStyle w:val="19"/>
            </w:pPr>
          </w:p>
        </w:tc>
        <w:tc>
          <w:tcPr>
            <w:tcW w:w="877" w:type="pct"/>
            <w:tcBorders>
              <w:tl2br w:val="nil"/>
              <w:tr2bl w:val="nil"/>
            </w:tcBorders>
            <w:shd w:val="clear" w:color="auto" w:fill="auto"/>
            <w:vAlign w:val="center"/>
          </w:tcPr>
          <w:p w14:paraId="1995B9B2">
            <w:pPr>
              <w:pStyle w:val="19"/>
              <w:ind w:firstLine="0" w:firstLineChars="0"/>
              <w:rPr>
                <w:rFonts w:hint="eastAsia"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N：45°0′</w:t>
            </w:r>
            <w:r>
              <w:rPr>
                <w:rFonts w:hint="eastAsia" w:cs="Times New Roman"/>
                <w:highlight w:val="none"/>
                <w:lang w:val="en-US" w:eastAsia="zh-CN"/>
              </w:rPr>
              <w:t>11.67</w:t>
            </w:r>
            <w:r>
              <w:rPr>
                <w:rFonts w:hint="default" w:ascii="Times New Roman" w:hAnsi="Times New Roman" w:cs="Times New Roman"/>
                <w:highlight w:val="none"/>
                <w:lang w:val="en-US" w:eastAsia="zh-CN"/>
              </w:rPr>
              <w:t>″</w:t>
            </w:r>
          </w:p>
        </w:tc>
        <w:tc>
          <w:tcPr>
            <w:tcW w:w="1598" w:type="pct"/>
            <w:vMerge w:val="continue"/>
            <w:tcBorders>
              <w:tl2br w:val="nil"/>
              <w:tr2bl w:val="nil"/>
            </w:tcBorders>
            <w:shd w:val="clear" w:color="auto" w:fill="auto"/>
            <w:vAlign w:val="center"/>
          </w:tcPr>
          <w:p w14:paraId="62EB3637">
            <w:pPr>
              <w:pStyle w:val="19"/>
              <w:rPr>
                <w:rFonts w:hint="eastAsia"/>
                <w:highlight w:val="yellow"/>
              </w:rPr>
            </w:pPr>
          </w:p>
        </w:tc>
        <w:tc>
          <w:tcPr>
            <w:tcW w:w="1731" w:type="pct"/>
            <w:vMerge w:val="continue"/>
            <w:tcBorders>
              <w:tl2br w:val="nil"/>
              <w:tr2bl w:val="nil"/>
            </w:tcBorders>
            <w:shd w:val="clear" w:color="auto" w:fill="auto"/>
            <w:vAlign w:val="center"/>
          </w:tcPr>
          <w:p w14:paraId="7D33A782">
            <w:pPr>
              <w:pStyle w:val="19"/>
              <w:rPr>
                <w:rFonts w:hint="eastAsia"/>
                <w:highlight w:val="yellow"/>
              </w:rPr>
            </w:pPr>
          </w:p>
        </w:tc>
        <w:tc>
          <w:tcPr>
            <w:tcW w:w="428" w:type="pct"/>
            <w:vMerge w:val="continue"/>
            <w:tcBorders>
              <w:tl2br w:val="nil"/>
              <w:tr2bl w:val="nil"/>
            </w:tcBorders>
            <w:shd w:val="clear" w:color="auto" w:fill="auto"/>
            <w:vAlign w:val="center"/>
          </w:tcPr>
          <w:p w14:paraId="6ECB0775">
            <w:pPr>
              <w:pStyle w:val="19"/>
              <w:rPr>
                <w:rFonts w:hint="eastAsia"/>
                <w:highlight w:val="yellow"/>
              </w:rPr>
            </w:pPr>
          </w:p>
        </w:tc>
      </w:tr>
      <w:tr w14:paraId="42E0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364" w:type="pct"/>
            <w:vMerge w:val="restart"/>
            <w:tcBorders>
              <w:tl2br w:val="nil"/>
              <w:tr2bl w:val="nil"/>
            </w:tcBorders>
            <w:shd w:val="clear" w:color="auto" w:fill="auto"/>
            <w:vAlign w:val="center"/>
          </w:tcPr>
          <w:p w14:paraId="0211939C">
            <w:pPr>
              <w:pStyle w:val="19"/>
              <w:rPr>
                <w:highlight w:val="none"/>
              </w:rPr>
            </w:pPr>
            <w:r>
              <w:rPr>
                <w:rFonts w:hint="eastAsia" w:ascii="Segoe UI Emoji" w:hAnsi="Segoe UI Emoji" w:eastAsia="Segoe UI Emoji" w:cs="Segoe UI Emoji"/>
                <w:highlight w:val="none"/>
              </w:rPr>
              <w:t>△</w:t>
            </w:r>
            <w:r>
              <w:rPr>
                <w:highlight w:val="none"/>
              </w:rPr>
              <w:t>3</w:t>
            </w:r>
          </w:p>
        </w:tc>
        <w:tc>
          <w:tcPr>
            <w:tcW w:w="877" w:type="pct"/>
            <w:tcBorders>
              <w:tl2br w:val="nil"/>
              <w:tr2bl w:val="nil"/>
            </w:tcBorders>
            <w:shd w:val="clear" w:color="auto" w:fill="auto"/>
            <w:vAlign w:val="center"/>
          </w:tcPr>
          <w:p w14:paraId="01107DBE">
            <w:pPr>
              <w:pStyle w:val="19"/>
              <w:ind w:firstLine="0" w:firstLineChars="0"/>
              <w:jc w:val="both"/>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E：84°46′</w:t>
            </w:r>
            <w:r>
              <w:rPr>
                <w:rFonts w:hint="eastAsia" w:cs="Times New Roman"/>
                <w:highlight w:val="none"/>
                <w:lang w:val="en-US" w:eastAsia="zh-CN"/>
              </w:rPr>
              <w:t>15.06</w:t>
            </w:r>
            <w:r>
              <w:rPr>
                <w:rFonts w:hint="default" w:ascii="Times New Roman" w:hAnsi="Times New Roman" w:cs="Times New Roman"/>
                <w:highlight w:val="none"/>
                <w:lang w:val="en-US" w:eastAsia="zh-CN"/>
              </w:rPr>
              <w:t>″</w:t>
            </w:r>
          </w:p>
        </w:tc>
        <w:tc>
          <w:tcPr>
            <w:tcW w:w="1598" w:type="pct"/>
            <w:vMerge w:val="continue"/>
            <w:tcBorders>
              <w:tl2br w:val="nil"/>
              <w:tr2bl w:val="nil"/>
            </w:tcBorders>
            <w:shd w:val="clear" w:color="auto" w:fill="auto"/>
            <w:vAlign w:val="center"/>
          </w:tcPr>
          <w:p w14:paraId="6BAB5E2B">
            <w:pPr>
              <w:pStyle w:val="19"/>
              <w:rPr>
                <w:highlight w:val="none"/>
              </w:rPr>
            </w:pPr>
          </w:p>
        </w:tc>
        <w:tc>
          <w:tcPr>
            <w:tcW w:w="1731" w:type="pct"/>
            <w:vMerge w:val="continue"/>
            <w:tcBorders>
              <w:tl2br w:val="nil"/>
              <w:tr2bl w:val="nil"/>
            </w:tcBorders>
            <w:shd w:val="clear" w:color="auto" w:fill="auto"/>
            <w:vAlign w:val="center"/>
          </w:tcPr>
          <w:p w14:paraId="5DC83C83">
            <w:pPr>
              <w:pStyle w:val="19"/>
              <w:rPr>
                <w:highlight w:val="none"/>
              </w:rPr>
            </w:pPr>
          </w:p>
        </w:tc>
        <w:tc>
          <w:tcPr>
            <w:tcW w:w="428" w:type="pct"/>
            <w:vMerge w:val="continue"/>
            <w:tcBorders>
              <w:tl2br w:val="nil"/>
              <w:tr2bl w:val="nil"/>
            </w:tcBorders>
            <w:shd w:val="clear" w:color="auto" w:fill="auto"/>
            <w:vAlign w:val="center"/>
          </w:tcPr>
          <w:p w14:paraId="6C7C5C77">
            <w:pPr>
              <w:pStyle w:val="19"/>
              <w:rPr>
                <w:highlight w:val="none"/>
              </w:rPr>
            </w:pPr>
          </w:p>
        </w:tc>
      </w:tr>
      <w:tr w14:paraId="14E2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364" w:type="pct"/>
            <w:vMerge w:val="continue"/>
            <w:tcBorders>
              <w:tl2br w:val="nil"/>
              <w:tr2bl w:val="nil"/>
            </w:tcBorders>
            <w:shd w:val="clear" w:color="auto" w:fill="auto"/>
            <w:vAlign w:val="center"/>
          </w:tcPr>
          <w:p w14:paraId="39F928AE">
            <w:pPr>
              <w:pStyle w:val="19"/>
            </w:pPr>
          </w:p>
        </w:tc>
        <w:tc>
          <w:tcPr>
            <w:tcW w:w="877" w:type="pct"/>
            <w:tcBorders>
              <w:tl2br w:val="nil"/>
              <w:tr2bl w:val="nil"/>
            </w:tcBorders>
            <w:shd w:val="clear" w:color="auto" w:fill="auto"/>
            <w:vAlign w:val="center"/>
          </w:tcPr>
          <w:p w14:paraId="58606746">
            <w:pPr>
              <w:pStyle w:val="19"/>
              <w:ind w:firstLine="0" w:firstLineChars="0"/>
              <w:rPr>
                <w:rFonts w:hint="eastAsia"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N：4</w:t>
            </w: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eastAsia" w:cs="Times New Roman"/>
                <w:highlight w:val="none"/>
                <w:lang w:val="en-US" w:eastAsia="zh-CN"/>
              </w:rPr>
              <w:t>59</w:t>
            </w:r>
            <w:r>
              <w:rPr>
                <w:rFonts w:hint="default" w:ascii="Times New Roman" w:hAnsi="Times New Roman" w:cs="Times New Roman"/>
                <w:highlight w:val="none"/>
                <w:lang w:val="en-US" w:eastAsia="zh-CN"/>
              </w:rPr>
              <w:t>′</w:t>
            </w:r>
            <w:r>
              <w:rPr>
                <w:rFonts w:hint="eastAsia" w:cs="Times New Roman"/>
                <w:highlight w:val="none"/>
                <w:lang w:val="en-US" w:eastAsia="zh-CN"/>
              </w:rPr>
              <w:t>58.83</w:t>
            </w:r>
            <w:r>
              <w:rPr>
                <w:rFonts w:hint="default" w:ascii="Times New Roman" w:hAnsi="Times New Roman" w:cs="Times New Roman"/>
                <w:highlight w:val="none"/>
                <w:lang w:val="en-US" w:eastAsia="zh-CN"/>
              </w:rPr>
              <w:t>″</w:t>
            </w:r>
          </w:p>
        </w:tc>
        <w:tc>
          <w:tcPr>
            <w:tcW w:w="1598" w:type="pct"/>
            <w:vMerge w:val="continue"/>
            <w:tcBorders>
              <w:tl2br w:val="nil"/>
              <w:tr2bl w:val="nil"/>
            </w:tcBorders>
            <w:shd w:val="clear" w:color="auto" w:fill="auto"/>
            <w:vAlign w:val="center"/>
          </w:tcPr>
          <w:p w14:paraId="3C13A231">
            <w:pPr>
              <w:pStyle w:val="19"/>
              <w:rPr>
                <w:rFonts w:hint="eastAsia"/>
                <w:highlight w:val="yellow"/>
              </w:rPr>
            </w:pPr>
          </w:p>
        </w:tc>
        <w:tc>
          <w:tcPr>
            <w:tcW w:w="1731" w:type="pct"/>
            <w:vMerge w:val="continue"/>
            <w:tcBorders>
              <w:tl2br w:val="nil"/>
              <w:tr2bl w:val="nil"/>
            </w:tcBorders>
            <w:shd w:val="clear" w:color="auto" w:fill="auto"/>
            <w:vAlign w:val="center"/>
          </w:tcPr>
          <w:p w14:paraId="4FE6CF16">
            <w:pPr>
              <w:pStyle w:val="19"/>
              <w:rPr>
                <w:rFonts w:hint="eastAsia"/>
                <w:highlight w:val="yellow"/>
              </w:rPr>
            </w:pPr>
          </w:p>
        </w:tc>
        <w:tc>
          <w:tcPr>
            <w:tcW w:w="428" w:type="pct"/>
            <w:vMerge w:val="continue"/>
            <w:tcBorders>
              <w:tl2br w:val="nil"/>
              <w:tr2bl w:val="nil"/>
            </w:tcBorders>
            <w:shd w:val="clear" w:color="auto" w:fill="auto"/>
            <w:vAlign w:val="center"/>
          </w:tcPr>
          <w:p w14:paraId="54991FE2">
            <w:pPr>
              <w:pStyle w:val="19"/>
              <w:rPr>
                <w:rFonts w:hint="eastAsia"/>
                <w:highlight w:val="yellow"/>
              </w:rPr>
            </w:pPr>
          </w:p>
        </w:tc>
      </w:tr>
      <w:tr w14:paraId="3090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364" w:type="pct"/>
            <w:vMerge w:val="restart"/>
            <w:tcBorders>
              <w:tl2br w:val="nil"/>
              <w:tr2bl w:val="nil"/>
            </w:tcBorders>
            <w:shd w:val="clear" w:color="auto" w:fill="auto"/>
            <w:vAlign w:val="center"/>
          </w:tcPr>
          <w:p w14:paraId="7E143B14">
            <w:pPr>
              <w:pStyle w:val="19"/>
              <w:rPr>
                <w:highlight w:val="none"/>
              </w:rPr>
            </w:pPr>
            <w:r>
              <w:rPr>
                <w:rFonts w:hint="eastAsia" w:ascii="Segoe UI Emoji" w:hAnsi="Segoe UI Emoji" w:eastAsia="Segoe UI Emoji" w:cs="Segoe UI Emoji"/>
                <w:highlight w:val="none"/>
              </w:rPr>
              <w:t>△</w:t>
            </w:r>
            <w:r>
              <w:rPr>
                <w:highlight w:val="none"/>
              </w:rPr>
              <w:t>4</w:t>
            </w:r>
          </w:p>
        </w:tc>
        <w:tc>
          <w:tcPr>
            <w:tcW w:w="877" w:type="pct"/>
            <w:tcBorders>
              <w:tl2br w:val="nil"/>
              <w:tr2bl w:val="nil"/>
            </w:tcBorders>
            <w:shd w:val="clear" w:color="auto" w:fill="auto"/>
            <w:vAlign w:val="center"/>
          </w:tcPr>
          <w:p w14:paraId="3F5BFE96">
            <w:pPr>
              <w:pStyle w:val="19"/>
              <w:ind w:firstLine="0" w:firstLineChars="0"/>
              <w:jc w:val="both"/>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E：84°46′</w:t>
            </w:r>
            <w:r>
              <w:rPr>
                <w:rFonts w:hint="eastAsia" w:cs="Times New Roman"/>
                <w:highlight w:val="none"/>
                <w:lang w:val="en-US" w:eastAsia="zh-CN"/>
              </w:rPr>
              <w:t>42.79</w:t>
            </w:r>
            <w:r>
              <w:rPr>
                <w:rFonts w:hint="default" w:ascii="Times New Roman" w:hAnsi="Times New Roman" w:cs="Times New Roman"/>
                <w:highlight w:val="none"/>
                <w:lang w:val="en-US" w:eastAsia="zh-CN"/>
              </w:rPr>
              <w:t>″</w:t>
            </w:r>
          </w:p>
        </w:tc>
        <w:tc>
          <w:tcPr>
            <w:tcW w:w="1598" w:type="pct"/>
            <w:vMerge w:val="continue"/>
            <w:tcBorders>
              <w:tl2br w:val="nil"/>
              <w:tr2bl w:val="nil"/>
            </w:tcBorders>
            <w:shd w:val="clear" w:color="auto" w:fill="auto"/>
            <w:vAlign w:val="center"/>
          </w:tcPr>
          <w:p w14:paraId="1A81163D">
            <w:pPr>
              <w:pStyle w:val="19"/>
              <w:rPr>
                <w:highlight w:val="none"/>
              </w:rPr>
            </w:pPr>
          </w:p>
        </w:tc>
        <w:tc>
          <w:tcPr>
            <w:tcW w:w="1731" w:type="pct"/>
            <w:vMerge w:val="continue"/>
            <w:tcBorders>
              <w:tl2br w:val="nil"/>
              <w:tr2bl w:val="nil"/>
            </w:tcBorders>
            <w:shd w:val="clear" w:color="auto" w:fill="auto"/>
            <w:vAlign w:val="center"/>
          </w:tcPr>
          <w:p w14:paraId="1FB370B5">
            <w:pPr>
              <w:pStyle w:val="19"/>
              <w:rPr>
                <w:highlight w:val="none"/>
              </w:rPr>
            </w:pPr>
          </w:p>
        </w:tc>
        <w:tc>
          <w:tcPr>
            <w:tcW w:w="428" w:type="pct"/>
            <w:vMerge w:val="continue"/>
            <w:tcBorders>
              <w:tl2br w:val="nil"/>
              <w:tr2bl w:val="nil"/>
            </w:tcBorders>
            <w:shd w:val="clear" w:color="auto" w:fill="auto"/>
            <w:vAlign w:val="center"/>
          </w:tcPr>
          <w:p w14:paraId="76867B49">
            <w:pPr>
              <w:pStyle w:val="19"/>
              <w:rPr>
                <w:highlight w:val="none"/>
              </w:rPr>
            </w:pPr>
          </w:p>
        </w:tc>
      </w:tr>
      <w:tr w14:paraId="5AB5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364" w:type="pct"/>
            <w:vMerge w:val="continue"/>
            <w:tcBorders>
              <w:tl2br w:val="nil"/>
              <w:tr2bl w:val="nil"/>
            </w:tcBorders>
            <w:shd w:val="clear" w:color="auto" w:fill="auto"/>
            <w:vAlign w:val="center"/>
          </w:tcPr>
          <w:p w14:paraId="5E6B76F0">
            <w:pPr>
              <w:pStyle w:val="19"/>
            </w:pPr>
          </w:p>
        </w:tc>
        <w:tc>
          <w:tcPr>
            <w:tcW w:w="877" w:type="pct"/>
            <w:tcBorders>
              <w:tl2br w:val="nil"/>
              <w:tr2bl w:val="nil"/>
            </w:tcBorders>
            <w:shd w:val="clear" w:color="auto" w:fill="auto"/>
            <w:vAlign w:val="center"/>
          </w:tcPr>
          <w:p w14:paraId="1769A57C">
            <w:pPr>
              <w:pStyle w:val="19"/>
              <w:ind w:firstLine="0" w:firstLineChars="0"/>
              <w:rPr>
                <w:rFonts w:hint="eastAsia"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N：45°0′2</w:t>
            </w:r>
            <w:r>
              <w:rPr>
                <w:rFonts w:hint="eastAsia" w:cs="Times New Roman"/>
                <w:highlight w:val="none"/>
                <w:lang w:val="en-US" w:eastAsia="zh-CN"/>
              </w:rPr>
              <w:t>5.93</w:t>
            </w:r>
            <w:r>
              <w:rPr>
                <w:rFonts w:hint="default" w:ascii="Times New Roman" w:hAnsi="Times New Roman" w:cs="Times New Roman"/>
                <w:highlight w:val="none"/>
                <w:lang w:val="en-US" w:eastAsia="zh-CN"/>
              </w:rPr>
              <w:t>″</w:t>
            </w:r>
          </w:p>
        </w:tc>
        <w:tc>
          <w:tcPr>
            <w:tcW w:w="1598" w:type="pct"/>
            <w:vMerge w:val="continue"/>
            <w:tcBorders>
              <w:tl2br w:val="nil"/>
              <w:tr2bl w:val="nil"/>
            </w:tcBorders>
            <w:shd w:val="clear" w:color="auto" w:fill="auto"/>
            <w:vAlign w:val="center"/>
          </w:tcPr>
          <w:p w14:paraId="555A7F4C">
            <w:pPr>
              <w:pStyle w:val="19"/>
              <w:rPr>
                <w:rFonts w:hint="eastAsia"/>
                <w:highlight w:val="yellow"/>
              </w:rPr>
            </w:pPr>
          </w:p>
        </w:tc>
        <w:tc>
          <w:tcPr>
            <w:tcW w:w="1731" w:type="pct"/>
            <w:vMerge w:val="continue"/>
            <w:tcBorders>
              <w:tl2br w:val="nil"/>
              <w:tr2bl w:val="nil"/>
            </w:tcBorders>
            <w:shd w:val="clear" w:color="auto" w:fill="auto"/>
            <w:vAlign w:val="center"/>
          </w:tcPr>
          <w:p w14:paraId="34969C36">
            <w:pPr>
              <w:pStyle w:val="19"/>
              <w:rPr>
                <w:rFonts w:hint="eastAsia"/>
                <w:highlight w:val="yellow"/>
              </w:rPr>
            </w:pPr>
          </w:p>
        </w:tc>
        <w:tc>
          <w:tcPr>
            <w:tcW w:w="428" w:type="pct"/>
            <w:vMerge w:val="continue"/>
            <w:tcBorders>
              <w:tl2br w:val="nil"/>
              <w:tr2bl w:val="nil"/>
            </w:tcBorders>
            <w:shd w:val="clear" w:color="auto" w:fill="auto"/>
            <w:vAlign w:val="center"/>
          </w:tcPr>
          <w:p w14:paraId="694FC991">
            <w:pPr>
              <w:pStyle w:val="19"/>
              <w:rPr>
                <w:rFonts w:hint="eastAsia"/>
                <w:highlight w:val="yellow"/>
              </w:rPr>
            </w:pPr>
          </w:p>
        </w:tc>
      </w:tr>
      <w:tr w14:paraId="3CEE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64" w:type="pct"/>
            <w:vMerge w:val="restart"/>
            <w:tcBorders>
              <w:tl2br w:val="nil"/>
              <w:tr2bl w:val="nil"/>
            </w:tcBorders>
            <w:shd w:val="clear" w:color="auto" w:fill="auto"/>
            <w:vAlign w:val="center"/>
          </w:tcPr>
          <w:p w14:paraId="3421E00D">
            <w:pPr>
              <w:pStyle w:val="19"/>
              <w:rPr>
                <w:highlight w:val="none"/>
              </w:rPr>
            </w:pPr>
            <w:r>
              <w:rPr>
                <w:rFonts w:hint="eastAsia" w:ascii="Segoe UI Emoji" w:hAnsi="Segoe UI Emoji" w:eastAsia="Segoe UI Emoji" w:cs="Segoe UI Emoji"/>
                <w:highlight w:val="none"/>
              </w:rPr>
              <w:t>△</w:t>
            </w:r>
            <w:r>
              <w:rPr>
                <w:highlight w:val="none"/>
              </w:rPr>
              <w:t>5</w:t>
            </w:r>
          </w:p>
        </w:tc>
        <w:tc>
          <w:tcPr>
            <w:tcW w:w="877" w:type="pct"/>
            <w:tcBorders>
              <w:tl2br w:val="nil"/>
              <w:tr2bl w:val="nil"/>
            </w:tcBorders>
            <w:shd w:val="clear" w:color="auto" w:fill="auto"/>
            <w:vAlign w:val="center"/>
          </w:tcPr>
          <w:p w14:paraId="17042983">
            <w:pPr>
              <w:pStyle w:val="19"/>
              <w:ind w:firstLine="0" w:firstLineChars="0"/>
              <w:jc w:val="both"/>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E：84°46′</w:t>
            </w:r>
            <w:r>
              <w:rPr>
                <w:rFonts w:hint="eastAsia" w:cs="Times New Roman"/>
                <w:highlight w:val="none"/>
                <w:lang w:val="en-US" w:eastAsia="zh-CN"/>
              </w:rPr>
              <w:t>35.69</w:t>
            </w:r>
            <w:r>
              <w:rPr>
                <w:rFonts w:hint="default" w:ascii="Times New Roman" w:hAnsi="Times New Roman" w:cs="Times New Roman"/>
                <w:highlight w:val="none"/>
                <w:lang w:val="en-US" w:eastAsia="zh-CN"/>
              </w:rPr>
              <w:t>″</w:t>
            </w:r>
          </w:p>
        </w:tc>
        <w:tc>
          <w:tcPr>
            <w:tcW w:w="1598" w:type="pct"/>
            <w:vMerge w:val="restart"/>
            <w:tcBorders>
              <w:tl2br w:val="nil"/>
              <w:tr2bl w:val="nil"/>
            </w:tcBorders>
            <w:shd w:val="clear" w:color="auto" w:fill="auto"/>
            <w:vAlign w:val="center"/>
          </w:tcPr>
          <w:p w14:paraId="18901EBB">
            <w:pPr>
              <w:pStyle w:val="19"/>
              <w:rPr>
                <w:highlight w:val="none"/>
              </w:rPr>
            </w:pPr>
            <w:r>
              <w:rPr>
                <w:rFonts w:hint="eastAsia"/>
                <w:highlight w:val="none"/>
              </w:rPr>
              <w:t>镉、汞、砷、铅、铬、铜、镍、锌</w:t>
            </w:r>
          </w:p>
        </w:tc>
        <w:tc>
          <w:tcPr>
            <w:tcW w:w="1731" w:type="pct"/>
            <w:vMerge w:val="restart"/>
            <w:tcBorders>
              <w:tl2br w:val="nil"/>
              <w:tr2bl w:val="nil"/>
            </w:tcBorders>
            <w:shd w:val="clear" w:color="auto" w:fill="auto"/>
            <w:vAlign w:val="center"/>
          </w:tcPr>
          <w:p w14:paraId="2B7FB52F">
            <w:pPr>
              <w:pStyle w:val="19"/>
              <w:rPr>
                <w:highlight w:val="none"/>
              </w:rPr>
            </w:pPr>
            <w:r>
              <w:rPr>
                <w:highlight w:val="none"/>
              </w:rPr>
              <w:t>GB15618-2018</w:t>
            </w:r>
            <w:r>
              <w:rPr>
                <w:rFonts w:hint="eastAsia"/>
                <w:highlight w:val="none"/>
              </w:rPr>
              <w:t>表1</w:t>
            </w:r>
          </w:p>
        </w:tc>
        <w:tc>
          <w:tcPr>
            <w:tcW w:w="428" w:type="pct"/>
            <w:vMerge w:val="restart"/>
            <w:tcBorders>
              <w:tl2br w:val="nil"/>
              <w:tr2bl w:val="nil"/>
            </w:tcBorders>
            <w:shd w:val="clear" w:color="auto" w:fill="auto"/>
            <w:vAlign w:val="center"/>
          </w:tcPr>
          <w:p w14:paraId="2F6918A9">
            <w:pPr>
              <w:pStyle w:val="19"/>
              <w:rPr>
                <w:highlight w:val="none"/>
              </w:rPr>
            </w:pPr>
            <w:r>
              <w:rPr>
                <w:rFonts w:hint="eastAsia"/>
                <w:highlight w:val="none"/>
              </w:rPr>
              <w:t>表层样</w:t>
            </w:r>
          </w:p>
        </w:tc>
      </w:tr>
      <w:tr w14:paraId="2733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64" w:type="pct"/>
            <w:vMerge w:val="continue"/>
            <w:tcBorders>
              <w:tl2br w:val="nil"/>
              <w:tr2bl w:val="nil"/>
            </w:tcBorders>
            <w:shd w:val="clear" w:color="auto" w:fill="auto"/>
            <w:vAlign w:val="center"/>
          </w:tcPr>
          <w:p w14:paraId="4BAF5EE3">
            <w:pPr>
              <w:pStyle w:val="19"/>
            </w:pPr>
          </w:p>
        </w:tc>
        <w:tc>
          <w:tcPr>
            <w:tcW w:w="877" w:type="pct"/>
            <w:tcBorders>
              <w:tl2br w:val="nil"/>
              <w:tr2bl w:val="nil"/>
            </w:tcBorders>
            <w:shd w:val="clear" w:color="auto" w:fill="auto"/>
            <w:vAlign w:val="center"/>
          </w:tcPr>
          <w:p w14:paraId="3FEFC52D">
            <w:pPr>
              <w:pStyle w:val="19"/>
              <w:ind w:firstLine="0" w:firstLineChars="0"/>
              <w:rPr>
                <w:rFonts w:hint="eastAsia"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N：45°0′</w:t>
            </w:r>
            <w:r>
              <w:rPr>
                <w:rFonts w:hint="eastAsia" w:cs="Times New Roman"/>
                <w:highlight w:val="none"/>
                <w:lang w:val="en-US" w:eastAsia="zh-CN"/>
              </w:rPr>
              <w:t>9.59</w:t>
            </w:r>
            <w:r>
              <w:rPr>
                <w:rFonts w:hint="default" w:ascii="Times New Roman" w:hAnsi="Times New Roman" w:cs="Times New Roman"/>
                <w:highlight w:val="none"/>
                <w:lang w:val="en-US" w:eastAsia="zh-CN"/>
              </w:rPr>
              <w:t>″</w:t>
            </w:r>
          </w:p>
        </w:tc>
        <w:tc>
          <w:tcPr>
            <w:tcW w:w="1598" w:type="pct"/>
            <w:vMerge w:val="continue"/>
            <w:tcBorders>
              <w:tl2br w:val="nil"/>
              <w:tr2bl w:val="nil"/>
            </w:tcBorders>
            <w:shd w:val="clear" w:color="auto" w:fill="auto"/>
            <w:vAlign w:val="center"/>
          </w:tcPr>
          <w:p w14:paraId="39FA8534">
            <w:pPr>
              <w:pStyle w:val="19"/>
              <w:rPr>
                <w:rFonts w:hint="eastAsia"/>
                <w:highlight w:val="yellow"/>
              </w:rPr>
            </w:pPr>
          </w:p>
        </w:tc>
        <w:tc>
          <w:tcPr>
            <w:tcW w:w="1731" w:type="pct"/>
            <w:vMerge w:val="continue"/>
            <w:tcBorders>
              <w:tl2br w:val="nil"/>
              <w:tr2bl w:val="nil"/>
            </w:tcBorders>
            <w:shd w:val="clear" w:color="auto" w:fill="auto"/>
            <w:vAlign w:val="center"/>
          </w:tcPr>
          <w:p w14:paraId="2A0081AA">
            <w:pPr>
              <w:pStyle w:val="19"/>
              <w:rPr>
                <w:rFonts w:hint="eastAsia"/>
                <w:highlight w:val="yellow"/>
              </w:rPr>
            </w:pPr>
          </w:p>
        </w:tc>
        <w:tc>
          <w:tcPr>
            <w:tcW w:w="428" w:type="pct"/>
            <w:vMerge w:val="continue"/>
            <w:tcBorders>
              <w:tl2br w:val="nil"/>
              <w:tr2bl w:val="nil"/>
            </w:tcBorders>
            <w:shd w:val="clear" w:color="auto" w:fill="auto"/>
            <w:vAlign w:val="center"/>
          </w:tcPr>
          <w:p w14:paraId="6015899A">
            <w:pPr>
              <w:pStyle w:val="19"/>
              <w:rPr>
                <w:rFonts w:hint="eastAsia"/>
                <w:highlight w:val="yellow"/>
              </w:rPr>
            </w:pPr>
          </w:p>
        </w:tc>
      </w:tr>
      <w:tr w14:paraId="4F04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4" w:type="pct"/>
            <w:vMerge w:val="restart"/>
            <w:tcBorders>
              <w:tl2br w:val="nil"/>
              <w:tr2bl w:val="nil"/>
            </w:tcBorders>
            <w:shd w:val="clear" w:color="auto" w:fill="auto"/>
            <w:vAlign w:val="center"/>
          </w:tcPr>
          <w:p w14:paraId="6D2BF118">
            <w:pPr>
              <w:pStyle w:val="19"/>
              <w:rPr>
                <w:highlight w:val="none"/>
              </w:rPr>
            </w:pPr>
            <w:r>
              <w:rPr>
                <w:rFonts w:hint="eastAsia" w:ascii="Segoe UI Emoji" w:hAnsi="Segoe UI Emoji" w:eastAsia="Segoe UI Emoji" w:cs="Segoe UI Emoji"/>
                <w:highlight w:val="none"/>
              </w:rPr>
              <w:t>△</w:t>
            </w:r>
            <w:r>
              <w:rPr>
                <w:highlight w:val="none"/>
              </w:rPr>
              <w:t>6</w:t>
            </w:r>
          </w:p>
        </w:tc>
        <w:tc>
          <w:tcPr>
            <w:tcW w:w="877" w:type="pct"/>
            <w:tcBorders>
              <w:tl2br w:val="nil"/>
              <w:tr2bl w:val="nil"/>
            </w:tcBorders>
            <w:shd w:val="clear" w:color="auto" w:fill="auto"/>
            <w:vAlign w:val="center"/>
          </w:tcPr>
          <w:p w14:paraId="455B24CB">
            <w:pPr>
              <w:pStyle w:val="19"/>
              <w:ind w:firstLine="0" w:firstLineChars="0"/>
              <w:jc w:val="both"/>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E：84°46′</w:t>
            </w:r>
            <w:r>
              <w:rPr>
                <w:rFonts w:hint="eastAsia" w:cs="Times New Roman"/>
                <w:highlight w:val="none"/>
                <w:lang w:val="en-US" w:eastAsia="zh-CN"/>
              </w:rPr>
              <w:t>2.39</w:t>
            </w:r>
            <w:r>
              <w:rPr>
                <w:rFonts w:hint="default" w:ascii="Times New Roman" w:hAnsi="Times New Roman" w:cs="Times New Roman"/>
                <w:highlight w:val="none"/>
                <w:lang w:val="en-US" w:eastAsia="zh-CN"/>
              </w:rPr>
              <w:t>″</w:t>
            </w:r>
          </w:p>
        </w:tc>
        <w:tc>
          <w:tcPr>
            <w:tcW w:w="1598" w:type="pct"/>
            <w:tcBorders>
              <w:tl2br w:val="nil"/>
              <w:tr2bl w:val="nil"/>
            </w:tcBorders>
            <w:shd w:val="clear" w:color="auto" w:fill="auto"/>
            <w:vAlign w:val="center"/>
          </w:tcPr>
          <w:p w14:paraId="1428914C">
            <w:pPr>
              <w:pStyle w:val="19"/>
              <w:rPr>
                <w:highlight w:val="none"/>
              </w:rPr>
            </w:pPr>
            <w:r>
              <w:rPr>
                <w:rFonts w:hint="eastAsia"/>
                <w:highlight w:val="none"/>
              </w:rPr>
              <w:t>基本4</w:t>
            </w:r>
            <w:r>
              <w:rPr>
                <w:highlight w:val="none"/>
              </w:rPr>
              <w:t>5</w:t>
            </w:r>
            <w:r>
              <w:rPr>
                <w:rFonts w:hint="eastAsia"/>
                <w:highlight w:val="none"/>
              </w:rPr>
              <w:t>项</w:t>
            </w:r>
          </w:p>
        </w:tc>
        <w:tc>
          <w:tcPr>
            <w:tcW w:w="1731" w:type="pct"/>
            <w:tcBorders>
              <w:tl2br w:val="nil"/>
              <w:tr2bl w:val="nil"/>
            </w:tcBorders>
            <w:shd w:val="clear" w:color="auto" w:fill="auto"/>
            <w:vAlign w:val="center"/>
          </w:tcPr>
          <w:p w14:paraId="7E560804">
            <w:pPr>
              <w:pStyle w:val="19"/>
              <w:rPr>
                <w:highlight w:val="none"/>
              </w:rPr>
            </w:pPr>
            <w:r>
              <w:rPr>
                <w:highlight w:val="none"/>
              </w:rPr>
              <w:t>GB36600-2018</w:t>
            </w:r>
            <w:r>
              <w:rPr>
                <w:rFonts w:hint="eastAsia"/>
                <w:highlight w:val="none"/>
              </w:rPr>
              <w:t>筛选值二类用地</w:t>
            </w:r>
          </w:p>
        </w:tc>
        <w:tc>
          <w:tcPr>
            <w:tcW w:w="428" w:type="pct"/>
            <w:vMerge w:val="continue"/>
            <w:tcBorders>
              <w:tl2br w:val="nil"/>
              <w:tr2bl w:val="nil"/>
            </w:tcBorders>
            <w:shd w:val="clear" w:color="auto" w:fill="auto"/>
            <w:vAlign w:val="center"/>
          </w:tcPr>
          <w:p w14:paraId="06BD2FD4">
            <w:pPr>
              <w:pStyle w:val="19"/>
              <w:rPr>
                <w:highlight w:val="yellow"/>
              </w:rPr>
            </w:pPr>
          </w:p>
        </w:tc>
      </w:tr>
      <w:tr w14:paraId="186A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4" w:type="pct"/>
            <w:vMerge w:val="continue"/>
            <w:tcBorders>
              <w:tl2br w:val="nil"/>
              <w:tr2bl w:val="nil"/>
            </w:tcBorders>
            <w:shd w:val="clear" w:color="auto" w:fill="auto"/>
            <w:vAlign w:val="center"/>
          </w:tcPr>
          <w:p w14:paraId="76D21699">
            <w:pPr>
              <w:pStyle w:val="19"/>
              <w:rPr>
                <w:rFonts w:hint="eastAsia" w:ascii="Segoe UI Emoji" w:hAnsi="Segoe UI Emoji" w:eastAsia="Segoe UI Emoji" w:cs="Segoe UI Emoji"/>
                <w:highlight w:val="none"/>
              </w:rPr>
            </w:pPr>
          </w:p>
        </w:tc>
        <w:tc>
          <w:tcPr>
            <w:tcW w:w="877" w:type="pct"/>
            <w:tcBorders>
              <w:tl2br w:val="nil"/>
              <w:tr2bl w:val="nil"/>
            </w:tcBorders>
            <w:shd w:val="clear" w:color="auto" w:fill="auto"/>
            <w:vAlign w:val="center"/>
          </w:tcPr>
          <w:p w14:paraId="59F987C1">
            <w:pPr>
              <w:pStyle w:val="19"/>
              <w:ind w:firstLine="0" w:firstLineChars="0"/>
              <w:rPr>
                <w:rFonts w:hint="eastAsia" w:ascii="Times New Roman" w:hAnsi="Times New Roman" w:eastAsia="宋体" w:cs="Times New Roman"/>
                <w:kern w:val="2"/>
                <w:sz w:val="21"/>
                <w:szCs w:val="22"/>
                <w:highlight w:val="none"/>
                <w:lang w:val="en-US" w:eastAsia="zh-CN" w:bidi="ar-SA"/>
              </w:rPr>
            </w:pPr>
            <w:r>
              <w:rPr>
                <w:rFonts w:hint="default" w:ascii="Times New Roman" w:hAnsi="Times New Roman" w:cs="Times New Roman"/>
                <w:highlight w:val="none"/>
                <w:lang w:val="en-US" w:eastAsia="zh-CN"/>
              </w:rPr>
              <w:t>N：4</w:t>
            </w: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eastAsia" w:cs="Times New Roman"/>
                <w:highlight w:val="none"/>
                <w:lang w:val="en-US" w:eastAsia="zh-CN"/>
              </w:rPr>
              <w:t>59</w:t>
            </w:r>
            <w:r>
              <w:rPr>
                <w:rFonts w:hint="default" w:ascii="Times New Roman" w:hAnsi="Times New Roman" w:cs="Times New Roman"/>
                <w:highlight w:val="none"/>
                <w:lang w:val="en-US" w:eastAsia="zh-CN"/>
              </w:rPr>
              <w:t>′</w:t>
            </w:r>
            <w:r>
              <w:rPr>
                <w:rFonts w:hint="eastAsia" w:cs="Times New Roman"/>
                <w:highlight w:val="none"/>
                <w:lang w:val="en-US" w:eastAsia="zh-CN"/>
              </w:rPr>
              <w:t>56.65</w:t>
            </w:r>
            <w:r>
              <w:rPr>
                <w:rFonts w:hint="default" w:ascii="Times New Roman" w:hAnsi="Times New Roman" w:cs="Times New Roman"/>
                <w:highlight w:val="none"/>
                <w:lang w:val="en-US" w:eastAsia="zh-CN"/>
              </w:rPr>
              <w:t>″</w:t>
            </w:r>
          </w:p>
        </w:tc>
        <w:tc>
          <w:tcPr>
            <w:tcW w:w="1598" w:type="pct"/>
            <w:tcBorders>
              <w:tl2br w:val="nil"/>
              <w:tr2bl w:val="nil"/>
            </w:tcBorders>
            <w:shd w:val="clear" w:color="auto" w:fill="auto"/>
            <w:vAlign w:val="center"/>
          </w:tcPr>
          <w:p w14:paraId="2A6170AE">
            <w:pPr>
              <w:pStyle w:val="19"/>
              <w:ind w:firstLine="0" w:firstLineChars="0"/>
              <w:rPr>
                <w:rFonts w:hint="eastAsia" w:ascii="Times New Roman" w:hAnsi="Times New Roman" w:eastAsia="宋体" w:cs="Times New Roman"/>
                <w:kern w:val="2"/>
                <w:sz w:val="21"/>
                <w:szCs w:val="22"/>
                <w:highlight w:val="none"/>
                <w:lang w:val="en-US" w:eastAsia="zh-CN" w:bidi="ar-SA"/>
              </w:rPr>
            </w:pPr>
            <w:r>
              <w:rPr>
                <w:rFonts w:hint="eastAsia"/>
                <w:highlight w:val="none"/>
              </w:rPr>
              <w:t>六六六</w:t>
            </w:r>
            <w:r>
              <w:rPr>
                <w:rFonts w:hint="eastAsia"/>
                <w:highlight w:val="none"/>
                <w:lang w:eastAsia="zh-CN"/>
              </w:rPr>
              <w:t>、滴滴涕、寄生虫卵数</w:t>
            </w:r>
          </w:p>
        </w:tc>
        <w:tc>
          <w:tcPr>
            <w:tcW w:w="1731" w:type="pct"/>
            <w:tcBorders>
              <w:tl2br w:val="nil"/>
              <w:tr2bl w:val="nil"/>
            </w:tcBorders>
            <w:shd w:val="clear" w:color="auto" w:fill="auto"/>
            <w:vAlign w:val="center"/>
          </w:tcPr>
          <w:p w14:paraId="1E903973">
            <w:pPr>
              <w:pStyle w:val="19"/>
              <w:ind w:firstLine="0" w:firstLineChars="0"/>
              <w:rPr>
                <w:rFonts w:hint="default" w:ascii="Times New Roman" w:hAnsi="Times New Roman" w:eastAsia="宋体" w:cs="Times New Roman"/>
                <w:kern w:val="2"/>
                <w:sz w:val="21"/>
                <w:szCs w:val="22"/>
                <w:highlight w:val="none"/>
                <w:lang w:val="en-US" w:eastAsia="zh-CN" w:bidi="ar-SA"/>
              </w:rPr>
            </w:pPr>
            <w:r>
              <w:rPr>
                <w:color w:val="000000"/>
                <w:highlight w:val="none"/>
              </w:rPr>
              <w:t>HJ568-2010</w:t>
            </w:r>
            <w:r>
              <w:rPr>
                <w:rFonts w:hint="eastAsia"/>
                <w:color w:val="000000"/>
                <w:highlight w:val="none"/>
                <w:lang w:val="en-US" w:eastAsia="zh-CN"/>
              </w:rPr>
              <w:t>中表4</w:t>
            </w:r>
          </w:p>
        </w:tc>
        <w:tc>
          <w:tcPr>
            <w:tcW w:w="428" w:type="pct"/>
            <w:vMerge w:val="continue"/>
            <w:tcBorders>
              <w:tl2br w:val="nil"/>
              <w:tr2bl w:val="nil"/>
            </w:tcBorders>
            <w:shd w:val="clear" w:color="auto" w:fill="auto"/>
            <w:vAlign w:val="center"/>
          </w:tcPr>
          <w:p w14:paraId="0D70F97A">
            <w:pPr>
              <w:pStyle w:val="19"/>
              <w:rPr>
                <w:highlight w:val="yellow"/>
              </w:rPr>
            </w:pPr>
          </w:p>
        </w:tc>
      </w:tr>
    </w:tbl>
    <w:p w14:paraId="02471523">
      <w:pPr>
        <w:bidi w:val="0"/>
        <w:rPr>
          <w:rFonts w:hint="default"/>
          <w:lang w:val="en-US" w:eastAsia="zh-CN"/>
        </w:rPr>
      </w:pPr>
      <w:r>
        <w:rPr>
          <w:rFonts w:hint="eastAsia"/>
          <w:lang w:val="en-US" w:eastAsia="zh-CN"/>
        </w:rPr>
        <w:t>（2）监测因子</w:t>
      </w:r>
    </w:p>
    <w:p w14:paraId="4BCAE19E">
      <w:pPr>
        <w:bidi w:val="0"/>
        <w:rPr>
          <w:rFonts w:hint="eastAsia"/>
          <w:lang w:val="en-US" w:eastAsia="zh-CN"/>
        </w:rPr>
      </w:pPr>
      <w:r>
        <w:rPr>
          <w:rFonts w:hint="eastAsia"/>
          <w:lang w:val="en-US" w:eastAsia="zh-CN"/>
        </w:rPr>
        <w:t>本项目土壤环境质量现状监测点的监测因子具体见表4.2-9。</w:t>
      </w:r>
    </w:p>
    <w:p w14:paraId="3FB21B4E">
      <w:pPr>
        <w:bidi w:val="0"/>
        <w:rPr>
          <w:rFonts w:hint="default"/>
          <w:lang w:val="en-US" w:eastAsia="zh-CN"/>
        </w:rPr>
      </w:pPr>
      <w:r>
        <w:rPr>
          <w:rFonts w:hint="eastAsia"/>
          <w:lang w:val="en-US" w:eastAsia="zh-CN"/>
        </w:rPr>
        <w:t>（3）监测分析方法</w:t>
      </w:r>
    </w:p>
    <w:p w14:paraId="1F158D81">
      <w:pPr>
        <w:bidi w:val="0"/>
        <w:rPr>
          <w:rFonts w:hint="eastAsia"/>
          <w:lang w:val="en-US" w:eastAsia="zh-CN"/>
        </w:rPr>
      </w:pPr>
      <w:r>
        <w:rPr>
          <w:rFonts w:hint="eastAsia"/>
          <w:lang w:val="en-US" w:eastAsia="zh-CN"/>
        </w:rPr>
        <w:t>本项目土壤环境质量现状监测委托新疆锡水金山环境科技有限公司开展，采用的监测分析方法见表4.2-10。</w:t>
      </w:r>
    </w:p>
    <w:p w14:paraId="2D3EA41E">
      <w:pPr>
        <w:bidi w:val="0"/>
        <w:rPr>
          <w:rFonts w:hint="default"/>
          <w:lang w:val="en-US" w:eastAsia="zh-CN"/>
        </w:rPr>
      </w:pPr>
      <w:r>
        <w:rPr>
          <w:rFonts w:hint="eastAsia"/>
          <w:lang w:val="en-US" w:eastAsia="zh-CN"/>
        </w:rPr>
        <w:t>（4）评价标准</w:t>
      </w:r>
    </w:p>
    <w:p w14:paraId="55FAC332">
      <w:pPr>
        <w:spacing w:line="360" w:lineRule="auto"/>
        <w:ind w:firstLine="480" w:firstLineChars="200"/>
        <w:rPr>
          <w:rFonts w:ascii="Times New Roman" w:hAnsi="Times New Roman" w:eastAsia="宋体" w:cs="Times New Roman"/>
          <w:sz w:val="24"/>
          <w:szCs w:val="24"/>
        </w:rPr>
      </w:pPr>
      <w:r>
        <w:rPr>
          <w:sz w:val="24"/>
          <w:szCs w:val="24"/>
        </w:rPr>
        <w:t>①</w:t>
      </w:r>
      <w:r>
        <w:rPr>
          <w:rFonts w:hint="eastAsia" w:ascii="Times New Roman" w:hAnsi="Times New Roman" w:eastAsia="宋体" w:cs="Times New Roman"/>
          <w:sz w:val="24"/>
          <w:szCs w:val="24"/>
        </w:rPr>
        <w:t>土壤1</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、土壤</w:t>
      </w:r>
      <w:r>
        <w:rPr>
          <w:rFonts w:ascii="Times New Roman" w:hAnsi="Times New Roman" w:eastAsia="宋体" w:cs="Times New Roman"/>
          <w:sz w:val="24"/>
          <w:szCs w:val="24"/>
        </w:rPr>
        <w:t>6#</w:t>
      </w:r>
      <w:r>
        <w:rPr>
          <w:rFonts w:hint="eastAsia" w:ascii="Times New Roman" w:hAnsi="Times New Roman" w:eastAsia="宋体" w:cs="Times New Roman"/>
          <w:sz w:val="24"/>
          <w:szCs w:val="24"/>
        </w:rPr>
        <w:t>：《土壤</w:t>
      </w:r>
      <w:r>
        <w:rPr>
          <w:rFonts w:ascii="Times New Roman" w:hAnsi="Times New Roman" w:eastAsia="宋体" w:cs="Times New Roman"/>
          <w:sz w:val="24"/>
          <w:szCs w:val="24"/>
        </w:rPr>
        <w:t>环境质量 建设用地</w:t>
      </w:r>
      <w:r>
        <w:rPr>
          <w:rFonts w:hint="eastAsia" w:ascii="Times New Roman" w:hAnsi="Times New Roman" w:eastAsia="宋体" w:cs="Times New Roman"/>
          <w:sz w:val="24"/>
          <w:szCs w:val="24"/>
          <w:lang w:val="en-US" w:eastAsia="zh-CN"/>
        </w:rPr>
        <w:t>土</w:t>
      </w:r>
      <w:r>
        <w:rPr>
          <w:rFonts w:ascii="Times New Roman" w:hAnsi="Times New Roman" w:eastAsia="宋体" w:cs="Times New Roman"/>
          <w:sz w:val="24"/>
          <w:szCs w:val="24"/>
        </w:rPr>
        <w:t>壤污染风险管控标准</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试行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GB36600-2018</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中的“表</w:t>
      </w:r>
      <w:r>
        <w:rPr>
          <w:rFonts w:ascii="Times New Roman" w:hAnsi="Times New Roman" w:eastAsia="宋体" w:cs="Times New Roman"/>
          <w:sz w:val="24"/>
          <w:szCs w:val="24"/>
        </w:rPr>
        <w:t>1 建设用地土壤污染风险筛选值和管制值</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基本项目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和</w:t>
      </w:r>
      <w:r>
        <w:rPr>
          <w:color w:val="000000"/>
          <w:highlight w:val="none"/>
        </w:rPr>
        <w:t>《畜禽养殖产地环境评价规范》（HJ568-2010）中的表4放牧区和畜禽养殖场、养殖小区土壤环境质量评价指标限值</w:t>
      </w:r>
      <w:r>
        <w:rPr>
          <w:rFonts w:hint="eastAsia" w:ascii="Times New Roman" w:hAnsi="Times New Roman" w:eastAsia="宋体" w:cs="Times New Roman"/>
          <w:sz w:val="24"/>
          <w:szCs w:val="24"/>
        </w:rPr>
        <w:t>；</w:t>
      </w:r>
    </w:p>
    <w:p w14:paraId="4F029708">
      <w:pPr>
        <w:spacing w:line="360" w:lineRule="auto"/>
        <w:ind w:firstLine="480" w:firstLineChars="200"/>
        <w:rPr>
          <w:rFonts w:ascii="Times New Roman" w:hAnsi="Times New Roman" w:eastAsia="宋体" w:cs="Times New Roman"/>
          <w:sz w:val="24"/>
          <w:szCs w:val="24"/>
        </w:rPr>
      </w:pPr>
      <w:r>
        <w:rPr>
          <w:sz w:val="24"/>
          <w:szCs w:val="24"/>
        </w:rPr>
        <w:t>②</w:t>
      </w:r>
      <w:r>
        <w:rPr>
          <w:rFonts w:hint="eastAsia" w:ascii="Times New Roman" w:hAnsi="Times New Roman" w:eastAsia="宋体" w:cs="Times New Roman"/>
          <w:sz w:val="24"/>
          <w:szCs w:val="24"/>
        </w:rPr>
        <w:t>土壤2</w:t>
      </w: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r>
        <w:rPr>
          <w:rFonts w:hint="eastAsia" w:ascii="Times New Roman" w:hAnsi="Times New Roman" w:eastAsia="宋体" w:cs="Times New Roman"/>
          <w:sz w:val="24"/>
          <w:szCs w:val="24"/>
        </w:rPr>
        <w:t>：砷、镉、铬</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六价</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、铜、铅、汞、镍；</w:t>
      </w:r>
    </w:p>
    <w:p w14:paraId="0F00D35D">
      <w:pPr>
        <w:bidi w:val="0"/>
        <w:rPr>
          <w:rFonts w:hint="default"/>
          <w:lang w:val="en-US" w:eastAsia="zh-CN"/>
        </w:rPr>
      </w:pPr>
      <w:r>
        <w:rPr>
          <w:sz w:val="24"/>
          <w:szCs w:val="24"/>
        </w:rPr>
        <w:t>③</w:t>
      </w:r>
      <w:r>
        <w:rPr>
          <w:rFonts w:hint="eastAsia" w:ascii="Times New Roman" w:hAnsi="Times New Roman" w:eastAsia="宋体" w:cs="Times New Roman"/>
          <w:sz w:val="24"/>
          <w:szCs w:val="24"/>
        </w:rPr>
        <w:t>土壤5</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：《土壤环境质量</w:t>
      </w:r>
      <w:r>
        <w:rPr>
          <w:rFonts w:ascii="Times New Roman" w:hAnsi="Times New Roman" w:eastAsia="宋体" w:cs="Times New Roman"/>
          <w:sz w:val="24"/>
          <w:szCs w:val="24"/>
        </w:rPr>
        <w:t xml:space="preserve"> 农用地土壤污染风险管控标准</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试行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w:t>
      </w:r>
      <w:r>
        <w:rPr>
          <w:rFonts w:ascii="Times New Roman" w:hAnsi="Times New Roman" w:eastAsia="宋体" w:cs="Times New Roman"/>
          <w:sz w:val="24"/>
          <w:szCs w:val="24"/>
        </w:rPr>
        <w:t>15618-2018</w:t>
      </w:r>
      <w:r>
        <w:rPr>
          <w:rFonts w:hint="eastAsia" w:ascii="Times New Roman" w:hAnsi="Times New Roman" w:eastAsia="宋体" w:cs="Times New Roman"/>
          <w:sz w:val="24"/>
          <w:szCs w:val="24"/>
        </w:rPr>
        <w:t>）中的“表</w:t>
      </w:r>
      <w:r>
        <w:rPr>
          <w:rFonts w:ascii="Times New Roman" w:hAnsi="Times New Roman" w:eastAsia="宋体" w:cs="Times New Roman"/>
          <w:sz w:val="24"/>
          <w:szCs w:val="24"/>
        </w:rPr>
        <w:t>1 农用地土壤污染风险筛选值</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基本</w:t>
      </w:r>
      <w:r>
        <w:rPr>
          <w:rFonts w:hint="eastAsia"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”及pH。</w:t>
      </w:r>
    </w:p>
    <w:p w14:paraId="5AC625ED">
      <w:pPr>
        <w:numPr>
          <w:ilvl w:val="0"/>
          <w:numId w:val="5"/>
        </w:numPr>
        <w:bidi w:val="0"/>
        <w:ind w:left="0" w:leftChars="0" w:firstLine="480" w:firstLineChars="200"/>
        <w:rPr>
          <w:rFonts w:hint="eastAsia"/>
        </w:rPr>
      </w:pPr>
      <w:r>
        <w:rPr>
          <w:rFonts w:hint="eastAsia"/>
        </w:rPr>
        <w:t>监测结果</w:t>
      </w:r>
    </w:p>
    <w:p w14:paraId="353644B0">
      <w:pPr>
        <w:bidi w:val="0"/>
        <w:rPr>
          <w:rFonts w:hint="eastAsia"/>
          <w:lang w:val="en-US" w:eastAsia="zh-CN"/>
        </w:rPr>
      </w:pPr>
      <w:r>
        <w:rPr>
          <w:rFonts w:hint="eastAsia"/>
          <w:lang w:val="en-US" w:eastAsia="zh-CN"/>
        </w:rPr>
        <w:t>土壤环境质量现状监测结果见表4.2-11、表4.2-12。</w:t>
      </w:r>
    </w:p>
    <w:p w14:paraId="567004EA">
      <w:pPr>
        <w:numPr>
          <w:ilvl w:val="0"/>
          <w:numId w:val="5"/>
        </w:numPr>
        <w:bidi w:val="0"/>
        <w:ind w:left="0" w:leftChars="0" w:firstLine="480" w:firstLineChars="200"/>
        <w:rPr>
          <w:rFonts w:hint="eastAsia"/>
          <w:lang w:val="en-US" w:eastAsia="zh-CN"/>
        </w:rPr>
      </w:pPr>
      <w:r>
        <w:rPr>
          <w:rFonts w:hint="eastAsia"/>
          <w:lang w:val="en-US" w:eastAsia="zh-CN"/>
        </w:rPr>
        <w:t>土壤理化性质</w:t>
      </w:r>
    </w:p>
    <w:p w14:paraId="7D981409">
      <w:pPr>
        <w:bidi w:val="0"/>
        <w:rPr>
          <w:rFonts w:hint="default"/>
          <w:lang w:val="en-US" w:eastAsia="zh-CN"/>
        </w:rPr>
      </w:pPr>
      <w:r>
        <w:rPr>
          <w:rFonts w:hint="eastAsia"/>
          <w:lang w:val="en-US" w:eastAsia="zh-CN"/>
        </w:rPr>
        <w:t>土壤理化性质监测结果见表4.2-13。</w:t>
      </w:r>
    </w:p>
    <w:p w14:paraId="09E1032C">
      <w:pPr>
        <w:bidi w:val="0"/>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403B5554">
      <w:pPr>
        <w:pStyle w:val="30"/>
        <w:bidi w:val="0"/>
        <w:rPr>
          <w:rFonts w:hint="default"/>
          <w:lang w:val="en-US" w:eastAsia="zh-CN"/>
        </w:rPr>
      </w:pPr>
      <w:r>
        <w:rPr>
          <w:rFonts w:hint="eastAsia"/>
          <w:lang w:val="en-US" w:eastAsia="zh-CN"/>
        </w:rPr>
        <w:t>表4.2-10   土壤环境质量现状监测分析方法一览表</w:t>
      </w:r>
    </w:p>
    <w:tbl>
      <w:tblPr>
        <w:tblStyle w:val="29"/>
        <w:tblW w:w="132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4"/>
        <w:gridCol w:w="450"/>
        <w:gridCol w:w="1050"/>
        <w:gridCol w:w="5482"/>
        <w:gridCol w:w="3161"/>
        <w:gridCol w:w="1307"/>
        <w:gridCol w:w="1283"/>
      </w:tblGrid>
      <w:tr w14:paraId="38470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Align w:val="center"/>
          </w:tcPr>
          <w:p w14:paraId="1B0DB85B">
            <w:pPr>
              <w:pStyle w:val="19"/>
              <w:bidi w:val="0"/>
              <w:jc w:val="center"/>
            </w:pPr>
            <w:r>
              <w:t>类别</w:t>
            </w:r>
          </w:p>
        </w:tc>
        <w:tc>
          <w:tcPr>
            <w:tcW w:w="1500" w:type="dxa"/>
            <w:gridSpan w:val="2"/>
            <w:vAlign w:val="center"/>
          </w:tcPr>
          <w:p w14:paraId="60F3CB4D">
            <w:pPr>
              <w:pStyle w:val="19"/>
              <w:bidi w:val="0"/>
              <w:jc w:val="center"/>
            </w:pPr>
            <w:r>
              <w:t>监测项目</w:t>
            </w:r>
          </w:p>
        </w:tc>
        <w:tc>
          <w:tcPr>
            <w:tcW w:w="0" w:type="auto"/>
            <w:vAlign w:val="center"/>
          </w:tcPr>
          <w:p w14:paraId="01338041">
            <w:pPr>
              <w:pStyle w:val="19"/>
              <w:bidi w:val="0"/>
              <w:jc w:val="center"/>
            </w:pPr>
            <w:r>
              <w:t>监测方法及依据</w:t>
            </w:r>
          </w:p>
        </w:tc>
        <w:tc>
          <w:tcPr>
            <w:tcW w:w="0" w:type="auto"/>
            <w:vAlign w:val="center"/>
          </w:tcPr>
          <w:p w14:paraId="62CFE9EC">
            <w:pPr>
              <w:pStyle w:val="19"/>
              <w:bidi w:val="0"/>
              <w:jc w:val="center"/>
            </w:pPr>
            <w:r>
              <w:t>所用仪器</w:t>
            </w:r>
          </w:p>
        </w:tc>
        <w:tc>
          <w:tcPr>
            <w:tcW w:w="1307" w:type="dxa"/>
            <w:vAlign w:val="center"/>
          </w:tcPr>
          <w:p w14:paraId="61792CE9">
            <w:pPr>
              <w:pStyle w:val="19"/>
              <w:bidi w:val="0"/>
              <w:jc w:val="center"/>
            </w:pPr>
            <w:r>
              <w:t>仪器编号</w:t>
            </w:r>
          </w:p>
        </w:tc>
        <w:tc>
          <w:tcPr>
            <w:tcW w:w="1283" w:type="dxa"/>
            <w:vAlign w:val="center"/>
          </w:tcPr>
          <w:p w14:paraId="291D87DD">
            <w:pPr>
              <w:pStyle w:val="19"/>
              <w:bidi w:val="0"/>
              <w:jc w:val="center"/>
            </w:pPr>
            <w:r>
              <w:t>检出限</w:t>
            </w:r>
          </w:p>
        </w:tc>
      </w:tr>
      <w:tr w14:paraId="33A9C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restart"/>
            <w:vAlign w:val="center"/>
          </w:tcPr>
          <w:p w14:paraId="57FD48C1">
            <w:pPr>
              <w:pStyle w:val="19"/>
              <w:bidi w:val="0"/>
              <w:jc w:val="center"/>
            </w:pPr>
            <w:r>
              <w:t>土壤</w:t>
            </w:r>
          </w:p>
        </w:tc>
        <w:tc>
          <w:tcPr>
            <w:tcW w:w="1500" w:type="dxa"/>
            <w:gridSpan w:val="2"/>
            <w:vAlign w:val="center"/>
          </w:tcPr>
          <w:p w14:paraId="04808374">
            <w:pPr>
              <w:pStyle w:val="19"/>
              <w:bidi w:val="0"/>
              <w:jc w:val="center"/>
            </w:pPr>
            <w:r>
              <w:t>pH</w:t>
            </w:r>
          </w:p>
        </w:tc>
        <w:tc>
          <w:tcPr>
            <w:tcW w:w="0" w:type="auto"/>
            <w:vAlign w:val="center"/>
          </w:tcPr>
          <w:p w14:paraId="7E6B4A73">
            <w:pPr>
              <w:pStyle w:val="19"/>
              <w:bidi w:val="0"/>
              <w:jc w:val="center"/>
            </w:pPr>
            <w:r>
              <w:t>土壤pH值的测定电位法HJ962-2018</w:t>
            </w:r>
          </w:p>
        </w:tc>
        <w:tc>
          <w:tcPr>
            <w:tcW w:w="0" w:type="auto"/>
            <w:vAlign w:val="center"/>
          </w:tcPr>
          <w:p w14:paraId="0A326082">
            <w:pPr>
              <w:pStyle w:val="19"/>
              <w:bidi w:val="0"/>
              <w:jc w:val="center"/>
            </w:pPr>
            <w:r>
              <w:t>PHS-3C型酸度计</w:t>
            </w:r>
          </w:p>
        </w:tc>
        <w:tc>
          <w:tcPr>
            <w:tcW w:w="1307" w:type="dxa"/>
            <w:vAlign w:val="center"/>
          </w:tcPr>
          <w:p w14:paraId="486E60E5">
            <w:pPr>
              <w:pStyle w:val="19"/>
              <w:bidi w:val="0"/>
              <w:jc w:val="center"/>
            </w:pPr>
            <w:r>
              <w:t>XSJS/YQ-13-1</w:t>
            </w:r>
          </w:p>
        </w:tc>
        <w:tc>
          <w:tcPr>
            <w:tcW w:w="1283" w:type="dxa"/>
            <w:vAlign w:val="center"/>
          </w:tcPr>
          <w:p w14:paraId="5EF88F49">
            <w:pPr>
              <w:pStyle w:val="19"/>
              <w:bidi w:val="0"/>
              <w:jc w:val="center"/>
            </w:pPr>
            <w:r>
              <w:t>/</w:t>
            </w:r>
          </w:p>
        </w:tc>
      </w:tr>
      <w:tr w14:paraId="18B59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D1BF487">
            <w:pPr>
              <w:pStyle w:val="19"/>
              <w:bidi w:val="0"/>
              <w:jc w:val="center"/>
            </w:pPr>
          </w:p>
        </w:tc>
        <w:tc>
          <w:tcPr>
            <w:tcW w:w="1500" w:type="dxa"/>
            <w:gridSpan w:val="2"/>
            <w:vAlign w:val="center"/>
          </w:tcPr>
          <w:p w14:paraId="54617098">
            <w:pPr>
              <w:pStyle w:val="19"/>
              <w:bidi w:val="0"/>
              <w:jc w:val="center"/>
            </w:pPr>
            <w:r>
              <w:t>阳离子交换量</w:t>
            </w:r>
          </w:p>
        </w:tc>
        <w:tc>
          <w:tcPr>
            <w:tcW w:w="0" w:type="auto"/>
            <w:vAlign w:val="center"/>
          </w:tcPr>
          <w:p w14:paraId="26A33A8E">
            <w:pPr>
              <w:pStyle w:val="19"/>
              <w:bidi w:val="0"/>
              <w:jc w:val="center"/>
            </w:pPr>
            <w:r>
              <w:t>土壤阳离子交换量的测定三氯化六氨合钴浸提-分光光度法HJ889-2017</w:t>
            </w:r>
          </w:p>
        </w:tc>
        <w:tc>
          <w:tcPr>
            <w:tcW w:w="0" w:type="auto"/>
            <w:vAlign w:val="center"/>
          </w:tcPr>
          <w:p w14:paraId="3522146C">
            <w:pPr>
              <w:pStyle w:val="19"/>
              <w:bidi w:val="0"/>
              <w:jc w:val="center"/>
            </w:pPr>
            <w:r>
              <w:t>UV-1600型紫外可见分光光度计</w:t>
            </w:r>
          </w:p>
        </w:tc>
        <w:tc>
          <w:tcPr>
            <w:tcW w:w="1307" w:type="dxa"/>
            <w:vAlign w:val="center"/>
          </w:tcPr>
          <w:p w14:paraId="13778059">
            <w:pPr>
              <w:pStyle w:val="19"/>
              <w:bidi w:val="0"/>
              <w:jc w:val="center"/>
            </w:pPr>
            <w:r>
              <w:t>XSJS/YQ-19- 2</w:t>
            </w:r>
          </w:p>
        </w:tc>
        <w:tc>
          <w:tcPr>
            <w:tcW w:w="1283" w:type="dxa"/>
            <w:vAlign w:val="center"/>
          </w:tcPr>
          <w:p w14:paraId="4F712D0A">
            <w:pPr>
              <w:pStyle w:val="19"/>
              <w:bidi w:val="0"/>
              <w:jc w:val="center"/>
            </w:pPr>
            <w:r>
              <w:t>0.8cmol/kg</w:t>
            </w:r>
          </w:p>
        </w:tc>
      </w:tr>
      <w:tr w14:paraId="5F2F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069496E1">
            <w:pPr>
              <w:pStyle w:val="19"/>
              <w:bidi w:val="0"/>
              <w:jc w:val="center"/>
            </w:pPr>
          </w:p>
        </w:tc>
        <w:tc>
          <w:tcPr>
            <w:tcW w:w="1500" w:type="dxa"/>
            <w:gridSpan w:val="2"/>
            <w:vAlign w:val="center"/>
          </w:tcPr>
          <w:p w14:paraId="448BB8F5">
            <w:pPr>
              <w:pStyle w:val="19"/>
              <w:bidi w:val="0"/>
              <w:jc w:val="center"/>
            </w:pPr>
            <w:r>
              <w:t>氧化还原电位</w:t>
            </w:r>
          </w:p>
        </w:tc>
        <w:tc>
          <w:tcPr>
            <w:tcW w:w="0" w:type="auto"/>
            <w:vAlign w:val="center"/>
          </w:tcPr>
          <w:p w14:paraId="6212FC67">
            <w:pPr>
              <w:pStyle w:val="19"/>
              <w:bidi w:val="0"/>
              <w:jc w:val="center"/>
            </w:pPr>
            <w:r>
              <w:t>土壤氧化还原电位的测定电位法 HJ746-2015</w:t>
            </w:r>
          </w:p>
        </w:tc>
        <w:tc>
          <w:tcPr>
            <w:tcW w:w="0" w:type="auto"/>
            <w:vAlign w:val="center"/>
          </w:tcPr>
          <w:p w14:paraId="424C055B">
            <w:pPr>
              <w:pStyle w:val="19"/>
              <w:bidi w:val="0"/>
              <w:jc w:val="center"/>
            </w:pPr>
            <w:r>
              <w:t>TR-901土壤ORP计</w:t>
            </w:r>
          </w:p>
        </w:tc>
        <w:tc>
          <w:tcPr>
            <w:tcW w:w="1307" w:type="dxa"/>
            <w:vAlign w:val="center"/>
          </w:tcPr>
          <w:p w14:paraId="3563E683">
            <w:pPr>
              <w:pStyle w:val="19"/>
              <w:bidi w:val="0"/>
              <w:jc w:val="center"/>
            </w:pPr>
            <w:r>
              <w:t>XSJS/YQ-87</w:t>
            </w:r>
          </w:p>
        </w:tc>
        <w:tc>
          <w:tcPr>
            <w:tcW w:w="1283" w:type="dxa"/>
            <w:vAlign w:val="center"/>
          </w:tcPr>
          <w:p w14:paraId="0C53C0DB">
            <w:pPr>
              <w:pStyle w:val="19"/>
              <w:bidi w:val="0"/>
              <w:jc w:val="center"/>
            </w:pPr>
            <w:r>
              <w:t>/</w:t>
            </w:r>
          </w:p>
        </w:tc>
      </w:tr>
      <w:tr w14:paraId="02B85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7FC8F08">
            <w:pPr>
              <w:pStyle w:val="19"/>
              <w:bidi w:val="0"/>
              <w:jc w:val="center"/>
            </w:pPr>
          </w:p>
        </w:tc>
        <w:tc>
          <w:tcPr>
            <w:tcW w:w="1500" w:type="dxa"/>
            <w:gridSpan w:val="2"/>
            <w:vAlign w:val="center"/>
          </w:tcPr>
          <w:p w14:paraId="2B7692BD">
            <w:pPr>
              <w:pStyle w:val="19"/>
              <w:bidi w:val="0"/>
              <w:jc w:val="center"/>
            </w:pPr>
            <w:r>
              <w:t>渗滤率</w:t>
            </w:r>
          </w:p>
        </w:tc>
        <w:tc>
          <w:tcPr>
            <w:tcW w:w="0" w:type="auto"/>
            <w:vAlign w:val="center"/>
          </w:tcPr>
          <w:p w14:paraId="3211BB8A">
            <w:pPr>
              <w:pStyle w:val="19"/>
              <w:bidi w:val="0"/>
              <w:jc w:val="center"/>
            </w:pPr>
            <w:r>
              <w:t>森林土壤渗滤率的测定 LY/T1218-1999</w:t>
            </w:r>
          </w:p>
        </w:tc>
        <w:tc>
          <w:tcPr>
            <w:tcW w:w="0" w:type="auto"/>
            <w:vAlign w:val="center"/>
          </w:tcPr>
          <w:p w14:paraId="3395126B">
            <w:pPr>
              <w:pStyle w:val="19"/>
              <w:bidi w:val="0"/>
              <w:jc w:val="center"/>
            </w:pPr>
            <w:r>
              <w:t>/</w:t>
            </w:r>
          </w:p>
        </w:tc>
        <w:tc>
          <w:tcPr>
            <w:tcW w:w="1307" w:type="dxa"/>
            <w:vAlign w:val="center"/>
          </w:tcPr>
          <w:p w14:paraId="51ECF282">
            <w:pPr>
              <w:pStyle w:val="19"/>
              <w:bidi w:val="0"/>
              <w:jc w:val="center"/>
            </w:pPr>
            <w:r>
              <w:t>/</w:t>
            </w:r>
          </w:p>
        </w:tc>
        <w:tc>
          <w:tcPr>
            <w:tcW w:w="1283" w:type="dxa"/>
            <w:vAlign w:val="center"/>
          </w:tcPr>
          <w:p w14:paraId="4C66E2B7">
            <w:pPr>
              <w:pStyle w:val="19"/>
              <w:bidi w:val="0"/>
              <w:jc w:val="center"/>
            </w:pPr>
            <w:r>
              <w:t>/</w:t>
            </w:r>
          </w:p>
        </w:tc>
      </w:tr>
      <w:tr w14:paraId="03E86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2767B153">
            <w:pPr>
              <w:pStyle w:val="19"/>
              <w:bidi w:val="0"/>
              <w:jc w:val="center"/>
            </w:pPr>
          </w:p>
        </w:tc>
        <w:tc>
          <w:tcPr>
            <w:tcW w:w="1500" w:type="dxa"/>
            <w:gridSpan w:val="2"/>
            <w:vAlign w:val="center"/>
          </w:tcPr>
          <w:p w14:paraId="14367F4F">
            <w:pPr>
              <w:pStyle w:val="19"/>
              <w:bidi w:val="0"/>
              <w:jc w:val="center"/>
            </w:pPr>
            <w:r>
              <w:t>土壤容重</w:t>
            </w:r>
          </w:p>
        </w:tc>
        <w:tc>
          <w:tcPr>
            <w:tcW w:w="0" w:type="auto"/>
            <w:vAlign w:val="center"/>
          </w:tcPr>
          <w:p w14:paraId="7CF78829">
            <w:pPr>
              <w:pStyle w:val="19"/>
              <w:bidi w:val="0"/>
              <w:jc w:val="center"/>
            </w:pPr>
            <w:r>
              <w:t>土壤检测第4部分：土壤容重的 测定NY/T 1121.4-2006</w:t>
            </w:r>
          </w:p>
        </w:tc>
        <w:tc>
          <w:tcPr>
            <w:tcW w:w="0" w:type="auto"/>
            <w:vAlign w:val="center"/>
          </w:tcPr>
          <w:p w14:paraId="0A91B3FA">
            <w:pPr>
              <w:pStyle w:val="19"/>
              <w:bidi w:val="0"/>
              <w:jc w:val="center"/>
            </w:pPr>
            <w:r>
              <w:t>电子天平(百分之一)YP1002N</w:t>
            </w:r>
          </w:p>
        </w:tc>
        <w:tc>
          <w:tcPr>
            <w:tcW w:w="1307" w:type="dxa"/>
            <w:vAlign w:val="center"/>
          </w:tcPr>
          <w:p w14:paraId="36D2F53E">
            <w:pPr>
              <w:pStyle w:val="19"/>
              <w:bidi w:val="0"/>
              <w:jc w:val="center"/>
            </w:pPr>
            <w:r>
              <w:t>XSJS/YQ-27</w:t>
            </w:r>
          </w:p>
        </w:tc>
        <w:tc>
          <w:tcPr>
            <w:tcW w:w="1283" w:type="dxa"/>
            <w:vAlign w:val="center"/>
          </w:tcPr>
          <w:p w14:paraId="23D64E9E">
            <w:pPr>
              <w:pStyle w:val="19"/>
              <w:bidi w:val="0"/>
              <w:jc w:val="center"/>
            </w:pPr>
            <w:r>
              <w:t>/</w:t>
            </w:r>
          </w:p>
        </w:tc>
      </w:tr>
      <w:tr w14:paraId="314D8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48090B3">
            <w:pPr>
              <w:pStyle w:val="19"/>
              <w:bidi w:val="0"/>
              <w:jc w:val="center"/>
            </w:pPr>
          </w:p>
        </w:tc>
        <w:tc>
          <w:tcPr>
            <w:tcW w:w="1500" w:type="dxa"/>
            <w:gridSpan w:val="2"/>
            <w:vAlign w:val="center"/>
          </w:tcPr>
          <w:p w14:paraId="558CAD42">
            <w:pPr>
              <w:pStyle w:val="19"/>
              <w:bidi w:val="0"/>
              <w:jc w:val="center"/>
            </w:pPr>
            <w:r>
              <w:t>总孔隙度</w:t>
            </w:r>
          </w:p>
        </w:tc>
        <w:tc>
          <w:tcPr>
            <w:tcW w:w="0" w:type="auto"/>
            <w:vAlign w:val="center"/>
          </w:tcPr>
          <w:p w14:paraId="25FB3ECF">
            <w:pPr>
              <w:pStyle w:val="19"/>
              <w:bidi w:val="0"/>
              <w:jc w:val="center"/>
            </w:pPr>
            <w:r>
              <w:t>森林土壤水分-物理性质的测定 LY/T1215-1999</w:t>
            </w:r>
          </w:p>
        </w:tc>
        <w:tc>
          <w:tcPr>
            <w:tcW w:w="0" w:type="auto"/>
            <w:vAlign w:val="center"/>
          </w:tcPr>
          <w:p w14:paraId="53983E12">
            <w:pPr>
              <w:pStyle w:val="19"/>
              <w:bidi w:val="0"/>
              <w:jc w:val="center"/>
            </w:pPr>
            <w:r>
              <w:t>电子天平(百分之一)YP1002N</w:t>
            </w:r>
          </w:p>
        </w:tc>
        <w:tc>
          <w:tcPr>
            <w:tcW w:w="1307" w:type="dxa"/>
            <w:vAlign w:val="center"/>
          </w:tcPr>
          <w:p w14:paraId="319F6620">
            <w:pPr>
              <w:pStyle w:val="19"/>
              <w:bidi w:val="0"/>
              <w:jc w:val="center"/>
            </w:pPr>
            <w:r>
              <w:t>XSJS/YQ-27</w:t>
            </w:r>
          </w:p>
        </w:tc>
        <w:tc>
          <w:tcPr>
            <w:tcW w:w="1283" w:type="dxa"/>
            <w:vAlign w:val="center"/>
          </w:tcPr>
          <w:p w14:paraId="66C397AA">
            <w:pPr>
              <w:pStyle w:val="19"/>
              <w:bidi w:val="0"/>
              <w:jc w:val="center"/>
            </w:pPr>
            <w:r>
              <w:t>/</w:t>
            </w:r>
          </w:p>
        </w:tc>
      </w:tr>
      <w:tr w14:paraId="3904A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0AD279D9">
            <w:pPr>
              <w:pStyle w:val="19"/>
              <w:bidi w:val="0"/>
              <w:jc w:val="center"/>
            </w:pPr>
          </w:p>
        </w:tc>
        <w:tc>
          <w:tcPr>
            <w:tcW w:w="1500" w:type="dxa"/>
            <w:gridSpan w:val="2"/>
            <w:vAlign w:val="center"/>
          </w:tcPr>
          <w:p w14:paraId="75980874">
            <w:pPr>
              <w:pStyle w:val="19"/>
              <w:bidi w:val="0"/>
              <w:jc w:val="center"/>
            </w:pPr>
            <w:r>
              <w:t>铬</w:t>
            </w:r>
          </w:p>
        </w:tc>
        <w:tc>
          <w:tcPr>
            <w:tcW w:w="0" w:type="auto"/>
            <w:vAlign w:val="center"/>
          </w:tcPr>
          <w:p w14:paraId="747F28A4">
            <w:pPr>
              <w:pStyle w:val="19"/>
              <w:bidi w:val="0"/>
              <w:jc w:val="center"/>
            </w:pPr>
            <w:r>
              <w:t>土壤和沉积物铜、锌、铅、镍、铬的测定火焰原子吸收分光光度法HJ491-2019</w:t>
            </w:r>
          </w:p>
        </w:tc>
        <w:tc>
          <w:tcPr>
            <w:tcW w:w="0" w:type="auto"/>
            <w:vAlign w:val="center"/>
          </w:tcPr>
          <w:p w14:paraId="7A7777CA">
            <w:pPr>
              <w:pStyle w:val="19"/>
              <w:bidi w:val="0"/>
              <w:jc w:val="center"/>
            </w:pPr>
            <w:r>
              <w:t>石墨炉/火焰原子吸收分光光度计GGX-830</w:t>
            </w:r>
          </w:p>
        </w:tc>
        <w:tc>
          <w:tcPr>
            <w:tcW w:w="1307" w:type="dxa"/>
            <w:vAlign w:val="center"/>
          </w:tcPr>
          <w:p w14:paraId="38F2045A">
            <w:pPr>
              <w:pStyle w:val="19"/>
              <w:bidi w:val="0"/>
              <w:jc w:val="center"/>
            </w:pPr>
            <w:r>
              <w:t>XSJS/YQ-04</w:t>
            </w:r>
          </w:p>
        </w:tc>
        <w:tc>
          <w:tcPr>
            <w:tcW w:w="1283" w:type="dxa"/>
            <w:vAlign w:val="center"/>
          </w:tcPr>
          <w:p w14:paraId="48592BF6">
            <w:pPr>
              <w:pStyle w:val="19"/>
              <w:bidi w:val="0"/>
              <w:jc w:val="center"/>
            </w:pPr>
          </w:p>
          <w:p w14:paraId="08DD1DCC">
            <w:pPr>
              <w:pStyle w:val="19"/>
              <w:bidi w:val="0"/>
              <w:jc w:val="center"/>
            </w:pPr>
            <w:r>
              <w:t>4mg/kg</w:t>
            </w:r>
          </w:p>
        </w:tc>
      </w:tr>
      <w:tr w14:paraId="39182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92C35A0">
            <w:pPr>
              <w:pStyle w:val="19"/>
              <w:bidi w:val="0"/>
              <w:jc w:val="center"/>
            </w:pPr>
          </w:p>
        </w:tc>
        <w:tc>
          <w:tcPr>
            <w:tcW w:w="1500" w:type="dxa"/>
            <w:gridSpan w:val="2"/>
            <w:vAlign w:val="center"/>
          </w:tcPr>
          <w:p w14:paraId="35B9C895">
            <w:pPr>
              <w:pStyle w:val="19"/>
              <w:bidi w:val="0"/>
              <w:jc w:val="center"/>
            </w:pPr>
            <w:r>
              <w:t>锌</w:t>
            </w:r>
          </w:p>
        </w:tc>
        <w:tc>
          <w:tcPr>
            <w:tcW w:w="0" w:type="auto"/>
            <w:vAlign w:val="center"/>
          </w:tcPr>
          <w:p w14:paraId="0EC28F1F">
            <w:pPr>
              <w:pStyle w:val="19"/>
              <w:bidi w:val="0"/>
              <w:jc w:val="center"/>
            </w:pPr>
            <w:r>
              <w:t>土壤和沉积物铜、锌、铅、镍、铬的测定火焰原子吸收分光光度法HJ491-2019</w:t>
            </w:r>
          </w:p>
        </w:tc>
        <w:tc>
          <w:tcPr>
            <w:tcW w:w="0" w:type="auto"/>
            <w:vAlign w:val="center"/>
          </w:tcPr>
          <w:p w14:paraId="11316127">
            <w:pPr>
              <w:pStyle w:val="19"/>
              <w:bidi w:val="0"/>
              <w:jc w:val="center"/>
            </w:pPr>
            <w:r>
              <w:t>石墨炉/火焰原子吸收分光光度计GGX-830</w:t>
            </w:r>
          </w:p>
        </w:tc>
        <w:tc>
          <w:tcPr>
            <w:tcW w:w="1307" w:type="dxa"/>
            <w:vAlign w:val="center"/>
          </w:tcPr>
          <w:p w14:paraId="58CAD3BF">
            <w:pPr>
              <w:pStyle w:val="19"/>
              <w:bidi w:val="0"/>
              <w:jc w:val="center"/>
            </w:pPr>
            <w:r>
              <w:t>XSJS/YQ-04</w:t>
            </w:r>
          </w:p>
        </w:tc>
        <w:tc>
          <w:tcPr>
            <w:tcW w:w="1283" w:type="dxa"/>
            <w:vAlign w:val="center"/>
          </w:tcPr>
          <w:p w14:paraId="441C1871">
            <w:pPr>
              <w:pStyle w:val="19"/>
              <w:bidi w:val="0"/>
              <w:jc w:val="center"/>
            </w:pPr>
            <w:r>
              <w:t>1mg/kg</w:t>
            </w:r>
          </w:p>
        </w:tc>
      </w:tr>
      <w:tr w14:paraId="01505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1E37AB1F">
            <w:pPr>
              <w:pStyle w:val="19"/>
              <w:bidi w:val="0"/>
              <w:jc w:val="center"/>
            </w:pPr>
          </w:p>
        </w:tc>
        <w:tc>
          <w:tcPr>
            <w:tcW w:w="1500" w:type="dxa"/>
            <w:gridSpan w:val="2"/>
            <w:vAlign w:val="center"/>
          </w:tcPr>
          <w:p w14:paraId="37FBB50E">
            <w:pPr>
              <w:pStyle w:val="19"/>
              <w:bidi w:val="0"/>
              <w:jc w:val="center"/>
            </w:pPr>
            <w:r>
              <w:t>汞</w:t>
            </w:r>
          </w:p>
        </w:tc>
        <w:tc>
          <w:tcPr>
            <w:tcW w:w="0" w:type="auto"/>
            <w:vAlign w:val="center"/>
          </w:tcPr>
          <w:p w14:paraId="74B535A2">
            <w:pPr>
              <w:pStyle w:val="19"/>
              <w:bidi w:val="0"/>
              <w:jc w:val="center"/>
            </w:pPr>
            <w:r>
              <w:t>土壤和沉积物汞、砷、硒、铋、锑的测定微波消解/原子荧光法</w:t>
            </w:r>
          </w:p>
          <w:p w14:paraId="78D1FE13">
            <w:pPr>
              <w:pStyle w:val="19"/>
              <w:bidi w:val="0"/>
              <w:jc w:val="center"/>
            </w:pPr>
            <w:r>
              <w:t>HJ680-2013</w:t>
            </w:r>
          </w:p>
        </w:tc>
        <w:tc>
          <w:tcPr>
            <w:tcW w:w="0" w:type="auto"/>
            <w:vAlign w:val="center"/>
          </w:tcPr>
          <w:p w14:paraId="7AAC07A3">
            <w:pPr>
              <w:pStyle w:val="19"/>
              <w:bidi w:val="0"/>
              <w:jc w:val="center"/>
            </w:pPr>
            <w:r>
              <w:t>原子荧光光度计AFS-230E</w:t>
            </w:r>
          </w:p>
        </w:tc>
        <w:tc>
          <w:tcPr>
            <w:tcW w:w="1307" w:type="dxa"/>
            <w:vAlign w:val="center"/>
          </w:tcPr>
          <w:p w14:paraId="57D2A060">
            <w:pPr>
              <w:pStyle w:val="19"/>
              <w:bidi w:val="0"/>
              <w:jc w:val="center"/>
            </w:pPr>
            <w:r>
              <w:t>XSJS/YQ-01</w:t>
            </w:r>
          </w:p>
        </w:tc>
        <w:tc>
          <w:tcPr>
            <w:tcW w:w="1283" w:type="dxa"/>
            <w:vAlign w:val="center"/>
          </w:tcPr>
          <w:p w14:paraId="6F796C9F">
            <w:pPr>
              <w:pStyle w:val="19"/>
              <w:bidi w:val="0"/>
              <w:jc w:val="center"/>
            </w:pPr>
            <w:r>
              <w:t>0.002mg/kg</w:t>
            </w:r>
          </w:p>
        </w:tc>
      </w:tr>
      <w:tr w14:paraId="4CEBC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EC2A32D">
            <w:pPr>
              <w:pStyle w:val="19"/>
              <w:bidi w:val="0"/>
              <w:jc w:val="center"/>
            </w:pPr>
          </w:p>
        </w:tc>
        <w:tc>
          <w:tcPr>
            <w:tcW w:w="1500" w:type="dxa"/>
            <w:gridSpan w:val="2"/>
            <w:vAlign w:val="center"/>
          </w:tcPr>
          <w:p w14:paraId="608B97D9">
            <w:pPr>
              <w:pStyle w:val="19"/>
              <w:bidi w:val="0"/>
              <w:jc w:val="center"/>
            </w:pPr>
            <w:r>
              <w:t>砷</w:t>
            </w:r>
          </w:p>
        </w:tc>
        <w:tc>
          <w:tcPr>
            <w:tcW w:w="0" w:type="auto"/>
            <w:vAlign w:val="center"/>
          </w:tcPr>
          <w:p w14:paraId="1A3BCF4B">
            <w:pPr>
              <w:pStyle w:val="19"/>
              <w:bidi w:val="0"/>
              <w:jc w:val="center"/>
            </w:pPr>
            <w:r>
              <w:t>土壤和沉积物汞、砷、硒、铋、锑的测定微波消解/原子荧光法</w:t>
            </w:r>
          </w:p>
          <w:p w14:paraId="383BCDE2">
            <w:pPr>
              <w:pStyle w:val="19"/>
              <w:bidi w:val="0"/>
              <w:jc w:val="center"/>
            </w:pPr>
            <w:r>
              <w:t>HJ680-2013</w:t>
            </w:r>
          </w:p>
        </w:tc>
        <w:tc>
          <w:tcPr>
            <w:tcW w:w="0" w:type="auto"/>
            <w:vAlign w:val="center"/>
          </w:tcPr>
          <w:p w14:paraId="2C211BED">
            <w:pPr>
              <w:pStyle w:val="19"/>
              <w:bidi w:val="0"/>
              <w:jc w:val="center"/>
            </w:pPr>
            <w:r>
              <w:t>原子荧光光度计AFS-230E</w:t>
            </w:r>
          </w:p>
        </w:tc>
        <w:tc>
          <w:tcPr>
            <w:tcW w:w="1307" w:type="dxa"/>
            <w:vAlign w:val="center"/>
          </w:tcPr>
          <w:p w14:paraId="31283926">
            <w:pPr>
              <w:pStyle w:val="19"/>
              <w:bidi w:val="0"/>
              <w:jc w:val="center"/>
            </w:pPr>
            <w:r>
              <w:t>XSJS/YQ-01</w:t>
            </w:r>
          </w:p>
        </w:tc>
        <w:tc>
          <w:tcPr>
            <w:tcW w:w="1283" w:type="dxa"/>
            <w:vAlign w:val="center"/>
          </w:tcPr>
          <w:p w14:paraId="634C44A7">
            <w:pPr>
              <w:pStyle w:val="19"/>
              <w:bidi w:val="0"/>
              <w:jc w:val="center"/>
            </w:pPr>
            <w:r>
              <w:t>0.01mg/kg</w:t>
            </w:r>
          </w:p>
        </w:tc>
      </w:tr>
      <w:tr w14:paraId="13026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2FF4020A">
            <w:pPr>
              <w:pStyle w:val="19"/>
              <w:bidi w:val="0"/>
              <w:jc w:val="center"/>
            </w:pPr>
          </w:p>
        </w:tc>
        <w:tc>
          <w:tcPr>
            <w:tcW w:w="1500" w:type="dxa"/>
            <w:gridSpan w:val="2"/>
            <w:vAlign w:val="center"/>
          </w:tcPr>
          <w:p w14:paraId="5A29D183">
            <w:pPr>
              <w:pStyle w:val="19"/>
              <w:bidi w:val="0"/>
              <w:jc w:val="center"/>
            </w:pPr>
            <w:r>
              <w:t>镉</w:t>
            </w:r>
          </w:p>
        </w:tc>
        <w:tc>
          <w:tcPr>
            <w:tcW w:w="0" w:type="auto"/>
            <w:vAlign w:val="center"/>
          </w:tcPr>
          <w:p w14:paraId="79C0F50F">
            <w:pPr>
              <w:pStyle w:val="19"/>
              <w:bidi w:val="0"/>
              <w:jc w:val="center"/>
            </w:pPr>
            <w:r>
              <w:t>土壤质量铅、镉的测定KI-MIBK萃取火焰原子吸收分光光度法GB/T 17140-1997</w:t>
            </w:r>
          </w:p>
        </w:tc>
        <w:tc>
          <w:tcPr>
            <w:tcW w:w="0" w:type="auto"/>
            <w:vAlign w:val="center"/>
          </w:tcPr>
          <w:p w14:paraId="127C2AB3">
            <w:pPr>
              <w:pStyle w:val="19"/>
              <w:bidi w:val="0"/>
              <w:jc w:val="center"/>
            </w:pPr>
            <w:r>
              <w:t>石墨炉/火焰原子吸收分光光度计GGX-830</w:t>
            </w:r>
          </w:p>
        </w:tc>
        <w:tc>
          <w:tcPr>
            <w:tcW w:w="1307" w:type="dxa"/>
            <w:vAlign w:val="center"/>
          </w:tcPr>
          <w:p w14:paraId="2E09AD1B">
            <w:pPr>
              <w:pStyle w:val="19"/>
              <w:bidi w:val="0"/>
              <w:jc w:val="center"/>
            </w:pPr>
            <w:r>
              <w:t>XSJS/YQ-04</w:t>
            </w:r>
          </w:p>
        </w:tc>
        <w:tc>
          <w:tcPr>
            <w:tcW w:w="1283" w:type="dxa"/>
            <w:vAlign w:val="center"/>
          </w:tcPr>
          <w:p w14:paraId="533DDA6D">
            <w:pPr>
              <w:pStyle w:val="19"/>
              <w:bidi w:val="0"/>
              <w:jc w:val="center"/>
            </w:pPr>
            <w:r>
              <w:t>0.05mg/kg</w:t>
            </w:r>
          </w:p>
        </w:tc>
      </w:tr>
      <w:tr w14:paraId="74005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29C9612E">
            <w:pPr>
              <w:pStyle w:val="19"/>
              <w:bidi w:val="0"/>
              <w:jc w:val="center"/>
            </w:pPr>
          </w:p>
        </w:tc>
        <w:tc>
          <w:tcPr>
            <w:tcW w:w="1500" w:type="dxa"/>
            <w:gridSpan w:val="2"/>
            <w:vAlign w:val="center"/>
          </w:tcPr>
          <w:p w14:paraId="20E40FE0">
            <w:pPr>
              <w:pStyle w:val="19"/>
              <w:bidi w:val="0"/>
              <w:jc w:val="center"/>
            </w:pPr>
            <w:r>
              <w:t>铜</w:t>
            </w:r>
          </w:p>
        </w:tc>
        <w:tc>
          <w:tcPr>
            <w:tcW w:w="0" w:type="auto"/>
            <w:vAlign w:val="center"/>
          </w:tcPr>
          <w:p w14:paraId="22CB0BE3">
            <w:pPr>
              <w:pStyle w:val="19"/>
              <w:bidi w:val="0"/>
              <w:jc w:val="center"/>
            </w:pPr>
            <w:r>
              <w:t>土壤和沉积物铜、锌、铅、镍、铬的测定火焰原子吸收分光光度法HJ491-2019</w:t>
            </w:r>
          </w:p>
        </w:tc>
        <w:tc>
          <w:tcPr>
            <w:tcW w:w="0" w:type="auto"/>
            <w:vAlign w:val="center"/>
          </w:tcPr>
          <w:p w14:paraId="5B4A9AB3">
            <w:pPr>
              <w:pStyle w:val="19"/>
              <w:bidi w:val="0"/>
              <w:jc w:val="center"/>
            </w:pPr>
            <w:r>
              <w:t>石墨炉/火焰原子吸收分光光度计GGX-830</w:t>
            </w:r>
          </w:p>
        </w:tc>
        <w:tc>
          <w:tcPr>
            <w:tcW w:w="1307" w:type="dxa"/>
            <w:vAlign w:val="center"/>
          </w:tcPr>
          <w:p w14:paraId="53158236">
            <w:pPr>
              <w:pStyle w:val="19"/>
              <w:bidi w:val="0"/>
              <w:jc w:val="center"/>
            </w:pPr>
            <w:r>
              <w:t>XSJS/YQ-04</w:t>
            </w:r>
          </w:p>
        </w:tc>
        <w:tc>
          <w:tcPr>
            <w:tcW w:w="1283" w:type="dxa"/>
            <w:vAlign w:val="center"/>
          </w:tcPr>
          <w:p w14:paraId="2DAE9FFE">
            <w:pPr>
              <w:pStyle w:val="19"/>
              <w:bidi w:val="0"/>
              <w:jc w:val="center"/>
            </w:pPr>
            <w:r>
              <w:t>1mg/kg</w:t>
            </w:r>
          </w:p>
        </w:tc>
      </w:tr>
      <w:tr w14:paraId="53743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0D7AA170">
            <w:pPr>
              <w:pStyle w:val="19"/>
              <w:bidi w:val="0"/>
              <w:jc w:val="center"/>
            </w:pPr>
          </w:p>
        </w:tc>
        <w:tc>
          <w:tcPr>
            <w:tcW w:w="1500" w:type="dxa"/>
            <w:gridSpan w:val="2"/>
            <w:vAlign w:val="center"/>
          </w:tcPr>
          <w:p w14:paraId="227EB7E8">
            <w:pPr>
              <w:pStyle w:val="19"/>
              <w:bidi w:val="0"/>
              <w:jc w:val="center"/>
            </w:pPr>
            <w:r>
              <w:t>铅</w:t>
            </w:r>
          </w:p>
        </w:tc>
        <w:tc>
          <w:tcPr>
            <w:tcW w:w="0" w:type="auto"/>
            <w:vAlign w:val="center"/>
          </w:tcPr>
          <w:p w14:paraId="5E6EFF71">
            <w:pPr>
              <w:pStyle w:val="19"/>
              <w:bidi w:val="0"/>
              <w:jc w:val="center"/>
            </w:pPr>
            <w:r>
              <w:t>土壤和沉积物铜、锌、铅、镍、铬的测定火焰原子吸收分光光度法HJ491-2019</w:t>
            </w:r>
          </w:p>
        </w:tc>
        <w:tc>
          <w:tcPr>
            <w:tcW w:w="0" w:type="auto"/>
            <w:vAlign w:val="center"/>
          </w:tcPr>
          <w:p w14:paraId="04AD19B0">
            <w:pPr>
              <w:pStyle w:val="19"/>
              <w:bidi w:val="0"/>
              <w:jc w:val="center"/>
            </w:pPr>
            <w:r>
              <w:t>石墨炉/火焰原子吸收分光光度计GGX-830</w:t>
            </w:r>
          </w:p>
        </w:tc>
        <w:tc>
          <w:tcPr>
            <w:tcW w:w="1307" w:type="dxa"/>
            <w:vAlign w:val="center"/>
          </w:tcPr>
          <w:p w14:paraId="26CE6C27">
            <w:pPr>
              <w:pStyle w:val="19"/>
              <w:bidi w:val="0"/>
              <w:jc w:val="center"/>
            </w:pPr>
            <w:r>
              <w:t>XSJS/YQ-04</w:t>
            </w:r>
          </w:p>
        </w:tc>
        <w:tc>
          <w:tcPr>
            <w:tcW w:w="1283" w:type="dxa"/>
            <w:vAlign w:val="center"/>
          </w:tcPr>
          <w:p w14:paraId="01512554">
            <w:pPr>
              <w:pStyle w:val="19"/>
              <w:bidi w:val="0"/>
              <w:jc w:val="center"/>
            </w:pPr>
            <w:r>
              <w:t>10mg/kg</w:t>
            </w:r>
          </w:p>
        </w:tc>
      </w:tr>
      <w:tr w14:paraId="1F45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14B4DF7C">
            <w:pPr>
              <w:pStyle w:val="19"/>
              <w:bidi w:val="0"/>
              <w:jc w:val="center"/>
            </w:pPr>
          </w:p>
        </w:tc>
        <w:tc>
          <w:tcPr>
            <w:tcW w:w="1500" w:type="dxa"/>
            <w:gridSpan w:val="2"/>
            <w:vAlign w:val="center"/>
          </w:tcPr>
          <w:p w14:paraId="054E890F">
            <w:pPr>
              <w:pStyle w:val="19"/>
              <w:bidi w:val="0"/>
              <w:jc w:val="center"/>
            </w:pPr>
            <w:r>
              <w:t>六价铬</w:t>
            </w:r>
          </w:p>
        </w:tc>
        <w:tc>
          <w:tcPr>
            <w:tcW w:w="0" w:type="auto"/>
            <w:vAlign w:val="center"/>
          </w:tcPr>
          <w:p w14:paraId="2B59E76E">
            <w:pPr>
              <w:pStyle w:val="19"/>
              <w:bidi w:val="0"/>
              <w:jc w:val="center"/>
            </w:pPr>
            <w:r>
              <w:t>土壤和沉积物六价铬的测定碱溶液提取-火焰原子吸收分光光度法HJ1082-2019</w:t>
            </w:r>
          </w:p>
        </w:tc>
        <w:tc>
          <w:tcPr>
            <w:tcW w:w="0" w:type="auto"/>
            <w:vAlign w:val="center"/>
          </w:tcPr>
          <w:p w14:paraId="1415B3F9">
            <w:pPr>
              <w:pStyle w:val="19"/>
              <w:bidi w:val="0"/>
              <w:jc w:val="center"/>
            </w:pPr>
            <w:r>
              <w:t>石墨炉/火焰原子吸收分光光度计GGX-830</w:t>
            </w:r>
          </w:p>
        </w:tc>
        <w:tc>
          <w:tcPr>
            <w:tcW w:w="1307" w:type="dxa"/>
            <w:vAlign w:val="center"/>
          </w:tcPr>
          <w:p w14:paraId="270F9D4D">
            <w:pPr>
              <w:pStyle w:val="19"/>
              <w:bidi w:val="0"/>
              <w:jc w:val="center"/>
            </w:pPr>
            <w:r>
              <w:t>XSJS/YQ-04</w:t>
            </w:r>
          </w:p>
        </w:tc>
        <w:tc>
          <w:tcPr>
            <w:tcW w:w="1283" w:type="dxa"/>
            <w:vAlign w:val="center"/>
          </w:tcPr>
          <w:p w14:paraId="33FCDD9C">
            <w:pPr>
              <w:pStyle w:val="19"/>
              <w:bidi w:val="0"/>
              <w:jc w:val="center"/>
            </w:pPr>
            <w:r>
              <w:t>0.5mg/kg</w:t>
            </w:r>
          </w:p>
        </w:tc>
      </w:tr>
      <w:tr w14:paraId="31643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F79BBAF">
            <w:pPr>
              <w:pStyle w:val="19"/>
              <w:bidi w:val="0"/>
              <w:jc w:val="center"/>
            </w:pPr>
          </w:p>
        </w:tc>
        <w:tc>
          <w:tcPr>
            <w:tcW w:w="1500" w:type="dxa"/>
            <w:gridSpan w:val="2"/>
            <w:vAlign w:val="center"/>
          </w:tcPr>
          <w:p w14:paraId="30A09B02">
            <w:pPr>
              <w:pStyle w:val="19"/>
              <w:bidi w:val="0"/>
              <w:jc w:val="center"/>
            </w:pPr>
            <w:r>
              <w:t>镍</w:t>
            </w:r>
          </w:p>
        </w:tc>
        <w:tc>
          <w:tcPr>
            <w:tcW w:w="0" w:type="auto"/>
            <w:vAlign w:val="center"/>
          </w:tcPr>
          <w:p w14:paraId="4B596B73">
            <w:pPr>
              <w:pStyle w:val="19"/>
              <w:bidi w:val="0"/>
              <w:jc w:val="center"/>
            </w:pPr>
            <w:r>
              <w:t>土壤和沉积物铜、锌、铅、镍、铬的测定火焰原子吸收分光光度法HJ491-2019</w:t>
            </w:r>
          </w:p>
        </w:tc>
        <w:tc>
          <w:tcPr>
            <w:tcW w:w="0" w:type="auto"/>
            <w:vAlign w:val="center"/>
          </w:tcPr>
          <w:p w14:paraId="7920E090">
            <w:pPr>
              <w:pStyle w:val="19"/>
              <w:bidi w:val="0"/>
              <w:jc w:val="center"/>
            </w:pPr>
            <w:r>
              <w:t>石墨炉/火焰原子吸收分光光度计GGX-830</w:t>
            </w:r>
          </w:p>
        </w:tc>
        <w:tc>
          <w:tcPr>
            <w:tcW w:w="1307" w:type="dxa"/>
            <w:vAlign w:val="center"/>
          </w:tcPr>
          <w:p w14:paraId="1E0030B7">
            <w:pPr>
              <w:pStyle w:val="19"/>
              <w:bidi w:val="0"/>
              <w:jc w:val="center"/>
            </w:pPr>
            <w:r>
              <w:t>XSJS/YQ-04</w:t>
            </w:r>
          </w:p>
        </w:tc>
        <w:tc>
          <w:tcPr>
            <w:tcW w:w="1283" w:type="dxa"/>
            <w:vAlign w:val="center"/>
          </w:tcPr>
          <w:p w14:paraId="0F0256FE">
            <w:pPr>
              <w:pStyle w:val="19"/>
              <w:bidi w:val="0"/>
              <w:jc w:val="center"/>
            </w:pPr>
            <w:r>
              <w:t>3mg/kg</w:t>
            </w:r>
          </w:p>
        </w:tc>
      </w:tr>
      <w:tr w14:paraId="59A5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ECF8E02">
            <w:pPr>
              <w:pStyle w:val="19"/>
              <w:bidi w:val="0"/>
              <w:jc w:val="center"/>
            </w:pPr>
          </w:p>
        </w:tc>
        <w:tc>
          <w:tcPr>
            <w:tcW w:w="450" w:type="dxa"/>
            <w:vMerge w:val="restart"/>
            <w:tcBorders>
              <w:bottom w:val="nil"/>
            </w:tcBorders>
            <w:vAlign w:val="center"/>
          </w:tcPr>
          <w:p w14:paraId="6EE80CCE">
            <w:pPr>
              <w:pStyle w:val="19"/>
              <w:bidi w:val="0"/>
              <w:jc w:val="center"/>
            </w:pPr>
            <w:r>
              <w:t>六六六</w:t>
            </w:r>
          </w:p>
        </w:tc>
        <w:tc>
          <w:tcPr>
            <w:tcW w:w="1050" w:type="dxa"/>
            <w:vAlign w:val="center"/>
          </w:tcPr>
          <w:p w14:paraId="29211AEC">
            <w:pPr>
              <w:pStyle w:val="19"/>
              <w:bidi w:val="0"/>
              <w:jc w:val="center"/>
            </w:pPr>
            <w:r>
              <w:t>a-BHC</w:t>
            </w:r>
          </w:p>
        </w:tc>
        <w:tc>
          <w:tcPr>
            <w:tcW w:w="0" w:type="auto"/>
            <w:vAlign w:val="center"/>
          </w:tcPr>
          <w:p w14:paraId="235857C6">
            <w:pPr>
              <w:pStyle w:val="19"/>
              <w:bidi w:val="0"/>
              <w:jc w:val="center"/>
            </w:pPr>
            <w:r>
              <w:t>土壤中六六六和滴滴涕测定气相色 谱法GB/T14550-2003</w:t>
            </w:r>
          </w:p>
        </w:tc>
        <w:tc>
          <w:tcPr>
            <w:tcW w:w="0" w:type="auto"/>
            <w:vAlign w:val="center"/>
          </w:tcPr>
          <w:p w14:paraId="2A0F0A81">
            <w:pPr>
              <w:pStyle w:val="19"/>
              <w:bidi w:val="0"/>
              <w:jc w:val="center"/>
            </w:pPr>
            <w:r>
              <w:t>GC-2014气相色谱 仪(FID、ECD)</w:t>
            </w:r>
          </w:p>
        </w:tc>
        <w:tc>
          <w:tcPr>
            <w:tcW w:w="1307" w:type="dxa"/>
            <w:vAlign w:val="center"/>
          </w:tcPr>
          <w:p w14:paraId="3370E03E">
            <w:pPr>
              <w:pStyle w:val="19"/>
              <w:bidi w:val="0"/>
              <w:jc w:val="center"/>
            </w:pPr>
            <w:r>
              <w:t>XSJS/YQ-153</w:t>
            </w:r>
          </w:p>
        </w:tc>
        <w:tc>
          <w:tcPr>
            <w:tcW w:w="1283" w:type="dxa"/>
            <w:vAlign w:val="center"/>
          </w:tcPr>
          <w:p w14:paraId="2C7166C0">
            <w:pPr>
              <w:pStyle w:val="19"/>
              <w:bidi w:val="0"/>
              <w:jc w:val="center"/>
            </w:pPr>
            <w:r>
              <w:t>0.49×10</w:t>
            </w:r>
            <w:r>
              <w:rPr>
                <w:vertAlign w:val="superscript"/>
              </w:rPr>
              <w:t>-4</w:t>
            </w:r>
            <w:r>
              <w:t xml:space="preserve"> mg/kg</w:t>
            </w:r>
          </w:p>
        </w:tc>
      </w:tr>
      <w:tr w14:paraId="4D180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418B696">
            <w:pPr>
              <w:pStyle w:val="19"/>
              <w:bidi w:val="0"/>
              <w:jc w:val="center"/>
            </w:pPr>
          </w:p>
        </w:tc>
        <w:tc>
          <w:tcPr>
            <w:tcW w:w="450" w:type="dxa"/>
            <w:vMerge w:val="continue"/>
            <w:tcBorders>
              <w:top w:val="nil"/>
              <w:bottom w:val="nil"/>
            </w:tcBorders>
            <w:vAlign w:val="center"/>
          </w:tcPr>
          <w:p w14:paraId="07658C42">
            <w:pPr>
              <w:pStyle w:val="19"/>
              <w:bidi w:val="0"/>
              <w:jc w:val="center"/>
            </w:pPr>
          </w:p>
        </w:tc>
        <w:tc>
          <w:tcPr>
            <w:tcW w:w="1050" w:type="dxa"/>
            <w:vAlign w:val="center"/>
          </w:tcPr>
          <w:p w14:paraId="29551ECF">
            <w:pPr>
              <w:pStyle w:val="19"/>
              <w:bidi w:val="0"/>
              <w:jc w:val="center"/>
            </w:pPr>
            <w:r>
              <w:t>β-BHC</w:t>
            </w:r>
          </w:p>
        </w:tc>
        <w:tc>
          <w:tcPr>
            <w:tcW w:w="0" w:type="auto"/>
            <w:vAlign w:val="center"/>
          </w:tcPr>
          <w:p w14:paraId="4B279727">
            <w:pPr>
              <w:pStyle w:val="19"/>
              <w:bidi w:val="0"/>
              <w:jc w:val="center"/>
            </w:pPr>
            <w:r>
              <w:t>土壤中六六六和滴滴涕测定气相色 谱法GB/T14550-2003</w:t>
            </w:r>
          </w:p>
        </w:tc>
        <w:tc>
          <w:tcPr>
            <w:tcW w:w="0" w:type="auto"/>
            <w:vAlign w:val="center"/>
          </w:tcPr>
          <w:p w14:paraId="79ADB8BE">
            <w:pPr>
              <w:pStyle w:val="19"/>
              <w:bidi w:val="0"/>
              <w:jc w:val="center"/>
            </w:pPr>
            <w:r>
              <w:t>GC-2014气相色谱 仪(FID、ECD)</w:t>
            </w:r>
          </w:p>
        </w:tc>
        <w:tc>
          <w:tcPr>
            <w:tcW w:w="1307" w:type="dxa"/>
            <w:vAlign w:val="center"/>
          </w:tcPr>
          <w:p w14:paraId="6A15966C">
            <w:pPr>
              <w:pStyle w:val="19"/>
              <w:bidi w:val="0"/>
              <w:jc w:val="center"/>
            </w:pPr>
            <w:r>
              <w:t>XSJS/YQ-153</w:t>
            </w:r>
          </w:p>
        </w:tc>
        <w:tc>
          <w:tcPr>
            <w:tcW w:w="1283" w:type="dxa"/>
            <w:vAlign w:val="center"/>
          </w:tcPr>
          <w:p w14:paraId="40833349">
            <w:pPr>
              <w:pStyle w:val="19"/>
              <w:bidi w:val="0"/>
              <w:jc w:val="center"/>
            </w:pPr>
            <w:r>
              <w:t>0.80×10</w:t>
            </w:r>
            <w:r>
              <w:rPr>
                <w:vertAlign w:val="superscript"/>
              </w:rPr>
              <w:t>-4</w:t>
            </w:r>
            <w:r>
              <w:t xml:space="preserve"> mg/kg</w:t>
            </w:r>
          </w:p>
        </w:tc>
      </w:tr>
      <w:tr w14:paraId="7F46C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1943A49B">
            <w:pPr>
              <w:pStyle w:val="19"/>
              <w:bidi w:val="0"/>
              <w:jc w:val="center"/>
            </w:pPr>
          </w:p>
        </w:tc>
        <w:tc>
          <w:tcPr>
            <w:tcW w:w="450" w:type="dxa"/>
            <w:vMerge w:val="continue"/>
            <w:tcBorders>
              <w:top w:val="nil"/>
              <w:bottom w:val="nil"/>
            </w:tcBorders>
            <w:vAlign w:val="center"/>
          </w:tcPr>
          <w:p w14:paraId="41B06111">
            <w:pPr>
              <w:pStyle w:val="19"/>
              <w:bidi w:val="0"/>
              <w:jc w:val="center"/>
            </w:pPr>
          </w:p>
        </w:tc>
        <w:tc>
          <w:tcPr>
            <w:tcW w:w="1050" w:type="dxa"/>
            <w:vAlign w:val="center"/>
          </w:tcPr>
          <w:p w14:paraId="4B3B14D1">
            <w:pPr>
              <w:pStyle w:val="19"/>
              <w:bidi w:val="0"/>
              <w:jc w:val="center"/>
            </w:pPr>
            <w:r>
              <w:t>γ-BHC</w:t>
            </w:r>
          </w:p>
        </w:tc>
        <w:tc>
          <w:tcPr>
            <w:tcW w:w="0" w:type="auto"/>
            <w:vAlign w:val="center"/>
          </w:tcPr>
          <w:p w14:paraId="18A4090F">
            <w:pPr>
              <w:pStyle w:val="19"/>
              <w:bidi w:val="0"/>
              <w:jc w:val="center"/>
            </w:pPr>
            <w:r>
              <w:t>土壤中六六六和滴滴涕测定气相色 谱法GB/T14550-2003</w:t>
            </w:r>
          </w:p>
        </w:tc>
        <w:tc>
          <w:tcPr>
            <w:tcW w:w="0" w:type="auto"/>
            <w:vAlign w:val="center"/>
          </w:tcPr>
          <w:p w14:paraId="0691FC47">
            <w:pPr>
              <w:pStyle w:val="19"/>
              <w:bidi w:val="0"/>
              <w:jc w:val="center"/>
            </w:pPr>
            <w:r>
              <w:t>GC-2014气相色谱 仪(FID、ECD)</w:t>
            </w:r>
          </w:p>
        </w:tc>
        <w:tc>
          <w:tcPr>
            <w:tcW w:w="1307" w:type="dxa"/>
            <w:vAlign w:val="center"/>
          </w:tcPr>
          <w:p w14:paraId="1385B679">
            <w:pPr>
              <w:pStyle w:val="19"/>
              <w:bidi w:val="0"/>
              <w:jc w:val="center"/>
            </w:pPr>
            <w:r>
              <w:t>XSJS/YQ-153</w:t>
            </w:r>
          </w:p>
        </w:tc>
        <w:tc>
          <w:tcPr>
            <w:tcW w:w="1283" w:type="dxa"/>
            <w:vAlign w:val="center"/>
          </w:tcPr>
          <w:p w14:paraId="5F9F9F7D">
            <w:pPr>
              <w:pStyle w:val="19"/>
              <w:bidi w:val="0"/>
              <w:jc w:val="center"/>
            </w:pPr>
            <w:r>
              <w:t>0.74×10</w:t>
            </w:r>
            <w:r>
              <w:rPr>
                <w:vertAlign w:val="superscript"/>
              </w:rPr>
              <w:t>-4</w:t>
            </w:r>
            <w:r>
              <w:t xml:space="preserve"> mg/kg</w:t>
            </w:r>
          </w:p>
        </w:tc>
      </w:tr>
      <w:tr w14:paraId="7AD20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FA336C0">
            <w:pPr>
              <w:pStyle w:val="19"/>
              <w:bidi w:val="0"/>
              <w:jc w:val="center"/>
            </w:pPr>
          </w:p>
        </w:tc>
        <w:tc>
          <w:tcPr>
            <w:tcW w:w="450" w:type="dxa"/>
            <w:vMerge w:val="continue"/>
            <w:tcBorders>
              <w:top w:val="nil"/>
            </w:tcBorders>
            <w:vAlign w:val="center"/>
          </w:tcPr>
          <w:p w14:paraId="324BFEAA">
            <w:pPr>
              <w:pStyle w:val="19"/>
              <w:bidi w:val="0"/>
              <w:jc w:val="center"/>
            </w:pPr>
          </w:p>
        </w:tc>
        <w:tc>
          <w:tcPr>
            <w:tcW w:w="1050" w:type="dxa"/>
            <w:vAlign w:val="center"/>
          </w:tcPr>
          <w:p w14:paraId="4E47B9C2">
            <w:pPr>
              <w:pStyle w:val="19"/>
              <w:bidi w:val="0"/>
              <w:jc w:val="center"/>
            </w:pPr>
            <w:r>
              <w:t>δ-BHC</w:t>
            </w:r>
          </w:p>
        </w:tc>
        <w:tc>
          <w:tcPr>
            <w:tcW w:w="0" w:type="auto"/>
            <w:vAlign w:val="center"/>
          </w:tcPr>
          <w:p w14:paraId="365756A0">
            <w:pPr>
              <w:pStyle w:val="19"/>
              <w:bidi w:val="0"/>
              <w:jc w:val="center"/>
            </w:pPr>
            <w:r>
              <w:t>土壤中六六六和滴滴涕测定气相色 谱法GB/T14550-2003</w:t>
            </w:r>
          </w:p>
        </w:tc>
        <w:tc>
          <w:tcPr>
            <w:tcW w:w="0" w:type="auto"/>
            <w:vAlign w:val="center"/>
          </w:tcPr>
          <w:p w14:paraId="37E152E4">
            <w:pPr>
              <w:pStyle w:val="19"/>
              <w:bidi w:val="0"/>
              <w:jc w:val="center"/>
            </w:pPr>
            <w:r>
              <w:t>GC-2014气相色谱 仪(FID、ECD)</w:t>
            </w:r>
          </w:p>
        </w:tc>
        <w:tc>
          <w:tcPr>
            <w:tcW w:w="1307" w:type="dxa"/>
            <w:vAlign w:val="center"/>
          </w:tcPr>
          <w:p w14:paraId="1EFB4477">
            <w:pPr>
              <w:pStyle w:val="19"/>
              <w:bidi w:val="0"/>
              <w:jc w:val="center"/>
            </w:pPr>
            <w:r>
              <w:t>XSJS/YQ-153</w:t>
            </w:r>
          </w:p>
        </w:tc>
        <w:tc>
          <w:tcPr>
            <w:tcW w:w="1283" w:type="dxa"/>
            <w:vAlign w:val="center"/>
          </w:tcPr>
          <w:p w14:paraId="13C02C7F">
            <w:pPr>
              <w:pStyle w:val="19"/>
              <w:bidi w:val="0"/>
              <w:jc w:val="center"/>
            </w:pPr>
            <w:r>
              <w:t>0.18×10</w:t>
            </w:r>
            <w:r>
              <w:rPr>
                <w:vertAlign w:val="superscript"/>
              </w:rPr>
              <w:t>-1</w:t>
            </w:r>
          </w:p>
          <w:p w14:paraId="68BE128A">
            <w:pPr>
              <w:pStyle w:val="19"/>
              <w:bidi w:val="0"/>
              <w:jc w:val="center"/>
            </w:pPr>
            <w:r>
              <w:t>mg/kg</w:t>
            </w:r>
          </w:p>
        </w:tc>
      </w:tr>
      <w:tr w14:paraId="4D306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C1D95FC">
            <w:pPr>
              <w:pStyle w:val="19"/>
              <w:bidi w:val="0"/>
              <w:jc w:val="center"/>
            </w:pPr>
          </w:p>
        </w:tc>
        <w:tc>
          <w:tcPr>
            <w:tcW w:w="450" w:type="dxa"/>
            <w:vMerge w:val="restart"/>
            <w:tcBorders>
              <w:bottom w:val="nil"/>
            </w:tcBorders>
            <w:vAlign w:val="center"/>
          </w:tcPr>
          <w:p w14:paraId="5DD7D42A">
            <w:pPr>
              <w:pStyle w:val="19"/>
              <w:bidi w:val="0"/>
              <w:jc w:val="center"/>
            </w:pPr>
            <w:r>
              <w:t>滴滴涕</w:t>
            </w:r>
          </w:p>
        </w:tc>
        <w:tc>
          <w:tcPr>
            <w:tcW w:w="1050" w:type="dxa"/>
            <w:vAlign w:val="center"/>
          </w:tcPr>
          <w:p w14:paraId="705FA46C">
            <w:pPr>
              <w:pStyle w:val="19"/>
              <w:bidi w:val="0"/>
              <w:jc w:val="center"/>
            </w:pPr>
            <w:r>
              <w:t>P.P`-DDE</w:t>
            </w:r>
          </w:p>
        </w:tc>
        <w:tc>
          <w:tcPr>
            <w:tcW w:w="0" w:type="auto"/>
            <w:vAlign w:val="center"/>
          </w:tcPr>
          <w:p w14:paraId="1C9BDAA8">
            <w:pPr>
              <w:pStyle w:val="19"/>
              <w:bidi w:val="0"/>
              <w:jc w:val="center"/>
            </w:pPr>
            <w:r>
              <w:t>土壤中六六六和滴滴涕测定气相色 谱法GB/T14550-2003</w:t>
            </w:r>
          </w:p>
        </w:tc>
        <w:tc>
          <w:tcPr>
            <w:tcW w:w="0" w:type="auto"/>
            <w:vAlign w:val="center"/>
          </w:tcPr>
          <w:p w14:paraId="538F9271">
            <w:pPr>
              <w:pStyle w:val="19"/>
              <w:bidi w:val="0"/>
              <w:jc w:val="center"/>
            </w:pPr>
            <w:r>
              <w:t>GC-2014气相色谱 仪(FID、ECD)</w:t>
            </w:r>
          </w:p>
        </w:tc>
        <w:tc>
          <w:tcPr>
            <w:tcW w:w="1307" w:type="dxa"/>
            <w:vAlign w:val="center"/>
          </w:tcPr>
          <w:p w14:paraId="696BF731">
            <w:pPr>
              <w:pStyle w:val="19"/>
              <w:bidi w:val="0"/>
              <w:jc w:val="center"/>
            </w:pPr>
            <w:r>
              <w:t>XSJS/YQ-153</w:t>
            </w:r>
          </w:p>
        </w:tc>
        <w:tc>
          <w:tcPr>
            <w:tcW w:w="1283" w:type="dxa"/>
            <w:vAlign w:val="center"/>
          </w:tcPr>
          <w:p w14:paraId="26F1CB4C">
            <w:pPr>
              <w:pStyle w:val="19"/>
              <w:bidi w:val="0"/>
              <w:jc w:val="center"/>
            </w:pPr>
            <w:r>
              <w:t>0.17×10</w:t>
            </w:r>
            <w:r>
              <w:rPr>
                <w:vertAlign w:val="superscript"/>
              </w:rPr>
              <w:t>-3</w:t>
            </w:r>
          </w:p>
          <w:p w14:paraId="42B2FD38">
            <w:pPr>
              <w:pStyle w:val="19"/>
              <w:bidi w:val="0"/>
              <w:jc w:val="center"/>
            </w:pPr>
            <w:r>
              <w:t>mg/kg</w:t>
            </w:r>
          </w:p>
        </w:tc>
      </w:tr>
      <w:tr w14:paraId="27E30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4402E73">
            <w:pPr>
              <w:pStyle w:val="19"/>
              <w:bidi w:val="0"/>
              <w:jc w:val="center"/>
            </w:pPr>
          </w:p>
        </w:tc>
        <w:tc>
          <w:tcPr>
            <w:tcW w:w="450" w:type="dxa"/>
            <w:vMerge w:val="continue"/>
            <w:tcBorders>
              <w:top w:val="nil"/>
              <w:bottom w:val="nil"/>
            </w:tcBorders>
            <w:vAlign w:val="center"/>
          </w:tcPr>
          <w:p w14:paraId="6B29EF0C">
            <w:pPr>
              <w:pStyle w:val="19"/>
              <w:bidi w:val="0"/>
              <w:jc w:val="center"/>
            </w:pPr>
          </w:p>
        </w:tc>
        <w:tc>
          <w:tcPr>
            <w:tcW w:w="1050" w:type="dxa"/>
            <w:vAlign w:val="center"/>
          </w:tcPr>
          <w:p w14:paraId="62B8E7E0">
            <w:pPr>
              <w:pStyle w:val="19"/>
              <w:bidi w:val="0"/>
              <w:jc w:val="center"/>
            </w:pPr>
            <w:r>
              <w:t>0.P`-DDT</w:t>
            </w:r>
          </w:p>
        </w:tc>
        <w:tc>
          <w:tcPr>
            <w:tcW w:w="0" w:type="auto"/>
            <w:vAlign w:val="center"/>
          </w:tcPr>
          <w:p w14:paraId="67B5A995">
            <w:pPr>
              <w:pStyle w:val="19"/>
              <w:bidi w:val="0"/>
              <w:jc w:val="center"/>
            </w:pPr>
            <w:r>
              <w:t>土壤中六六六和滴滴涕测定气相色 谱法GB/T14550-2003</w:t>
            </w:r>
          </w:p>
        </w:tc>
        <w:tc>
          <w:tcPr>
            <w:tcW w:w="0" w:type="auto"/>
            <w:vAlign w:val="center"/>
          </w:tcPr>
          <w:p w14:paraId="571DD206">
            <w:pPr>
              <w:pStyle w:val="19"/>
              <w:bidi w:val="0"/>
              <w:jc w:val="center"/>
            </w:pPr>
            <w:r>
              <w:t>GC-2014气相色谱 仪(FID、ECD)</w:t>
            </w:r>
          </w:p>
        </w:tc>
        <w:tc>
          <w:tcPr>
            <w:tcW w:w="1307" w:type="dxa"/>
            <w:vAlign w:val="center"/>
          </w:tcPr>
          <w:p w14:paraId="382B0B54">
            <w:pPr>
              <w:pStyle w:val="19"/>
              <w:bidi w:val="0"/>
              <w:jc w:val="center"/>
            </w:pPr>
            <w:r>
              <w:t>XSJS/YQ-153</w:t>
            </w:r>
          </w:p>
        </w:tc>
        <w:tc>
          <w:tcPr>
            <w:tcW w:w="1283" w:type="dxa"/>
            <w:vAlign w:val="center"/>
          </w:tcPr>
          <w:p w14:paraId="70606F3D">
            <w:pPr>
              <w:pStyle w:val="19"/>
              <w:bidi w:val="0"/>
              <w:jc w:val="center"/>
            </w:pPr>
            <w:r>
              <w:t>1.90×10</w:t>
            </w:r>
            <w:r>
              <w:rPr>
                <w:vertAlign w:val="superscript"/>
              </w:rPr>
              <w:t>-3</w:t>
            </w:r>
            <w:r>
              <w:t xml:space="preserve"> mg/kg</w:t>
            </w:r>
          </w:p>
        </w:tc>
      </w:tr>
      <w:tr w14:paraId="2957E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0333780">
            <w:pPr>
              <w:pStyle w:val="19"/>
              <w:bidi w:val="0"/>
              <w:jc w:val="center"/>
            </w:pPr>
          </w:p>
        </w:tc>
        <w:tc>
          <w:tcPr>
            <w:tcW w:w="450" w:type="dxa"/>
            <w:vMerge w:val="continue"/>
            <w:tcBorders>
              <w:top w:val="nil"/>
              <w:bottom w:val="nil"/>
            </w:tcBorders>
            <w:vAlign w:val="center"/>
          </w:tcPr>
          <w:p w14:paraId="486F3B29">
            <w:pPr>
              <w:pStyle w:val="19"/>
              <w:bidi w:val="0"/>
              <w:jc w:val="center"/>
            </w:pPr>
          </w:p>
        </w:tc>
        <w:tc>
          <w:tcPr>
            <w:tcW w:w="1050" w:type="dxa"/>
            <w:vAlign w:val="center"/>
          </w:tcPr>
          <w:p w14:paraId="2C7FD3FC">
            <w:pPr>
              <w:pStyle w:val="19"/>
              <w:bidi w:val="0"/>
              <w:jc w:val="center"/>
            </w:pPr>
            <w:r>
              <w:t>P.P`-DDD</w:t>
            </w:r>
          </w:p>
        </w:tc>
        <w:tc>
          <w:tcPr>
            <w:tcW w:w="0" w:type="auto"/>
            <w:vAlign w:val="center"/>
          </w:tcPr>
          <w:p w14:paraId="5931792D">
            <w:pPr>
              <w:pStyle w:val="19"/>
              <w:bidi w:val="0"/>
              <w:jc w:val="center"/>
            </w:pPr>
            <w:r>
              <w:t>土壤中六六六和滴滴涕测定气相色 谱法GB/T14550-2003</w:t>
            </w:r>
          </w:p>
        </w:tc>
        <w:tc>
          <w:tcPr>
            <w:tcW w:w="0" w:type="auto"/>
            <w:vAlign w:val="center"/>
          </w:tcPr>
          <w:p w14:paraId="67CD5BE4">
            <w:pPr>
              <w:pStyle w:val="19"/>
              <w:bidi w:val="0"/>
              <w:jc w:val="center"/>
            </w:pPr>
            <w:r>
              <w:t>GC-2014气相色谱 仪(FID、ECD)</w:t>
            </w:r>
          </w:p>
        </w:tc>
        <w:tc>
          <w:tcPr>
            <w:tcW w:w="1307" w:type="dxa"/>
            <w:vAlign w:val="center"/>
          </w:tcPr>
          <w:p w14:paraId="0EDB843C">
            <w:pPr>
              <w:pStyle w:val="19"/>
              <w:bidi w:val="0"/>
              <w:jc w:val="center"/>
            </w:pPr>
            <w:r>
              <w:t>XSJS/YQ-153</w:t>
            </w:r>
          </w:p>
        </w:tc>
        <w:tc>
          <w:tcPr>
            <w:tcW w:w="1283" w:type="dxa"/>
            <w:vAlign w:val="center"/>
          </w:tcPr>
          <w:p w14:paraId="521C6CBF">
            <w:pPr>
              <w:pStyle w:val="19"/>
              <w:bidi w:val="0"/>
              <w:jc w:val="center"/>
              <w:rPr>
                <w:rFonts w:hint="eastAsia"/>
                <w:vertAlign w:val="superscript"/>
                <w:lang w:val="en-US" w:eastAsia="zh-CN"/>
              </w:rPr>
            </w:pPr>
            <w:r>
              <w:t>0.48×10</w:t>
            </w:r>
            <w:r>
              <w:rPr>
                <w:rFonts w:hint="eastAsia"/>
                <w:vertAlign w:val="superscript"/>
                <w:lang w:val="en-US" w:eastAsia="zh-CN"/>
              </w:rPr>
              <w:t>-3</w:t>
            </w:r>
          </w:p>
          <w:p w14:paraId="66D93468">
            <w:pPr>
              <w:pStyle w:val="19"/>
              <w:bidi w:val="0"/>
              <w:jc w:val="center"/>
            </w:pPr>
            <w:r>
              <w:t>mg/kg</w:t>
            </w:r>
          </w:p>
        </w:tc>
      </w:tr>
      <w:tr w14:paraId="5E054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05C79342">
            <w:pPr>
              <w:pStyle w:val="19"/>
              <w:bidi w:val="0"/>
              <w:jc w:val="center"/>
            </w:pPr>
          </w:p>
        </w:tc>
        <w:tc>
          <w:tcPr>
            <w:tcW w:w="450" w:type="dxa"/>
            <w:vMerge w:val="continue"/>
            <w:tcBorders>
              <w:top w:val="nil"/>
            </w:tcBorders>
            <w:vAlign w:val="center"/>
          </w:tcPr>
          <w:p w14:paraId="74717DEC">
            <w:pPr>
              <w:pStyle w:val="19"/>
              <w:bidi w:val="0"/>
              <w:jc w:val="center"/>
            </w:pPr>
          </w:p>
        </w:tc>
        <w:tc>
          <w:tcPr>
            <w:tcW w:w="1050" w:type="dxa"/>
            <w:vAlign w:val="center"/>
          </w:tcPr>
          <w:p w14:paraId="0BB37337">
            <w:pPr>
              <w:pStyle w:val="19"/>
              <w:bidi w:val="0"/>
              <w:jc w:val="center"/>
            </w:pPr>
            <w:r>
              <w:t>P.P'-DDT</w:t>
            </w:r>
          </w:p>
        </w:tc>
        <w:tc>
          <w:tcPr>
            <w:tcW w:w="0" w:type="auto"/>
            <w:vAlign w:val="center"/>
          </w:tcPr>
          <w:p w14:paraId="4C9687E8">
            <w:pPr>
              <w:pStyle w:val="19"/>
              <w:bidi w:val="0"/>
              <w:jc w:val="center"/>
            </w:pPr>
            <w:r>
              <w:t>土壤中六六六和滴滴涕测定气相色 谱法GB/T14550-2003</w:t>
            </w:r>
          </w:p>
        </w:tc>
        <w:tc>
          <w:tcPr>
            <w:tcW w:w="0" w:type="auto"/>
            <w:vAlign w:val="center"/>
          </w:tcPr>
          <w:p w14:paraId="53376774">
            <w:pPr>
              <w:pStyle w:val="19"/>
              <w:bidi w:val="0"/>
              <w:jc w:val="center"/>
            </w:pPr>
            <w:r>
              <w:t>GC-2014气相色谱 仪(FID、ECD)</w:t>
            </w:r>
          </w:p>
        </w:tc>
        <w:tc>
          <w:tcPr>
            <w:tcW w:w="1307" w:type="dxa"/>
            <w:vAlign w:val="center"/>
          </w:tcPr>
          <w:p w14:paraId="1CBE881C">
            <w:pPr>
              <w:pStyle w:val="19"/>
              <w:bidi w:val="0"/>
              <w:jc w:val="center"/>
            </w:pPr>
            <w:r>
              <w:t>XSJS/YQ-153</w:t>
            </w:r>
          </w:p>
        </w:tc>
        <w:tc>
          <w:tcPr>
            <w:tcW w:w="1283" w:type="dxa"/>
            <w:vAlign w:val="center"/>
          </w:tcPr>
          <w:p w14:paraId="6D809DC8">
            <w:pPr>
              <w:pStyle w:val="19"/>
              <w:bidi w:val="0"/>
              <w:jc w:val="center"/>
              <w:rPr>
                <w:rFonts w:hint="eastAsia"/>
                <w:vertAlign w:val="superscript"/>
                <w:lang w:val="en-US" w:eastAsia="zh-CN"/>
              </w:rPr>
            </w:pPr>
            <w:r>
              <w:t>4.87×1</w:t>
            </w:r>
            <w:r>
              <w:rPr>
                <w:vertAlign w:val="baseline"/>
              </w:rPr>
              <w:t>0</w:t>
            </w:r>
            <w:r>
              <w:rPr>
                <w:rFonts w:hint="eastAsia"/>
                <w:vertAlign w:val="superscript"/>
                <w:lang w:val="en-US" w:eastAsia="zh-CN"/>
              </w:rPr>
              <w:t>-3</w:t>
            </w:r>
          </w:p>
          <w:p w14:paraId="3E4DD5E5">
            <w:pPr>
              <w:pStyle w:val="19"/>
              <w:bidi w:val="0"/>
              <w:jc w:val="center"/>
            </w:pPr>
            <w:r>
              <w:t>mg/kg</w:t>
            </w:r>
          </w:p>
        </w:tc>
      </w:tr>
      <w:tr w14:paraId="0D32C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E965427">
            <w:pPr>
              <w:pStyle w:val="19"/>
              <w:bidi w:val="0"/>
              <w:jc w:val="center"/>
            </w:pPr>
          </w:p>
        </w:tc>
        <w:tc>
          <w:tcPr>
            <w:tcW w:w="1500" w:type="dxa"/>
            <w:gridSpan w:val="2"/>
            <w:vAlign w:val="center"/>
          </w:tcPr>
          <w:p w14:paraId="635E74A8">
            <w:pPr>
              <w:pStyle w:val="19"/>
              <w:bidi w:val="0"/>
              <w:jc w:val="center"/>
            </w:pPr>
            <w:r>
              <w:t>蛔虫卵数</w:t>
            </w:r>
          </w:p>
        </w:tc>
        <w:tc>
          <w:tcPr>
            <w:tcW w:w="0" w:type="auto"/>
            <w:vAlign w:val="center"/>
          </w:tcPr>
          <w:p w14:paraId="058CE916">
            <w:pPr>
              <w:pStyle w:val="19"/>
              <w:bidi w:val="0"/>
              <w:jc w:val="center"/>
            </w:pPr>
            <w:r>
              <w:t>粪便无害化卫生要求GB7959-2012 附录E.1</w:t>
            </w:r>
          </w:p>
        </w:tc>
        <w:tc>
          <w:tcPr>
            <w:tcW w:w="0" w:type="auto"/>
            <w:vAlign w:val="center"/>
          </w:tcPr>
          <w:p w14:paraId="0702B94A">
            <w:pPr>
              <w:pStyle w:val="19"/>
              <w:bidi w:val="0"/>
              <w:jc w:val="center"/>
            </w:pPr>
            <w:r>
              <w:t>XSP-2CA显微镜</w:t>
            </w:r>
          </w:p>
        </w:tc>
        <w:tc>
          <w:tcPr>
            <w:tcW w:w="1307" w:type="dxa"/>
            <w:vAlign w:val="center"/>
          </w:tcPr>
          <w:p w14:paraId="3FA2CED0">
            <w:pPr>
              <w:pStyle w:val="19"/>
              <w:bidi w:val="0"/>
              <w:jc w:val="center"/>
            </w:pPr>
            <w:r>
              <w:t>XSJS/YQ-67</w:t>
            </w:r>
          </w:p>
        </w:tc>
        <w:tc>
          <w:tcPr>
            <w:tcW w:w="1283" w:type="dxa"/>
            <w:vAlign w:val="center"/>
          </w:tcPr>
          <w:p w14:paraId="387BB9D3">
            <w:pPr>
              <w:pStyle w:val="19"/>
              <w:bidi w:val="0"/>
              <w:jc w:val="center"/>
            </w:pPr>
            <w:r>
              <w:t>/</w:t>
            </w:r>
          </w:p>
        </w:tc>
      </w:tr>
      <w:tr w14:paraId="2F643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5D74DC0">
            <w:pPr>
              <w:pStyle w:val="19"/>
              <w:bidi w:val="0"/>
              <w:jc w:val="center"/>
            </w:pPr>
          </w:p>
        </w:tc>
        <w:tc>
          <w:tcPr>
            <w:tcW w:w="1500" w:type="dxa"/>
            <w:gridSpan w:val="2"/>
            <w:vAlign w:val="center"/>
          </w:tcPr>
          <w:p w14:paraId="22EC70E4">
            <w:pPr>
              <w:pStyle w:val="19"/>
              <w:bidi w:val="0"/>
              <w:jc w:val="center"/>
            </w:pPr>
            <w:r>
              <w:t>氯乙烯</w:t>
            </w:r>
          </w:p>
        </w:tc>
        <w:tc>
          <w:tcPr>
            <w:tcW w:w="5482" w:type="dxa"/>
            <w:vMerge w:val="restart"/>
            <w:vAlign w:val="center"/>
          </w:tcPr>
          <w:p w14:paraId="1BCF211B">
            <w:pPr>
              <w:pStyle w:val="19"/>
              <w:bidi w:val="0"/>
              <w:jc w:val="center"/>
            </w:pPr>
            <w:r>
              <w:t>土壤和沉积物挥发性有机物的测定 顶空/气相色谱-质谱法HJ642-2013</w:t>
            </w:r>
          </w:p>
        </w:tc>
        <w:tc>
          <w:tcPr>
            <w:tcW w:w="0" w:type="auto"/>
            <w:vAlign w:val="center"/>
          </w:tcPr>
          <w:p w14:paraId="710A4EC0">
            <w:pPr>
              <w:pStyle w:val="19"/>
              <w:bidi w:val="0"/>
              <w:jc w:val="center"/>
            </w:pPr>
            <w:r>
              <w:t>气相色谱-质谱联用仪GCMS-QP2010SE</w:t>
            </w:r>
          </w:p>
        </w:tc>
        <w:tc>
          <w:tcPr>
            <w:tcW w:w="1307" w:type="dxa"/>
            <w:vAlign w:val="center"/>
          </w:tcPr>
          <w:p w14:paraId="376ED9F6">
            <w:pPr>
              <w:pStyle w:val="19"/>
              <w:bidi w:val="0"/>
              <w:jc w:val="center"/>
            </w:pPr>
            <w:r>
              <w:t>XSJS/YQ-73</w:t>
            </w:r>
          </w:p>
        </w:tc>
        <w:tc>
          <w:tcPr>
            <w:tcW w:w="1283" w:type="dxa"/>
            <w:vAlign w:val="center"/>
          </w:tcPr>
          <w:p w14:paraId="74381EA1">
            <w:pPr>
              <w:pStyle w:val="19"/>
              <w:bidi w:val="0"/>
              <w:jc w:val="center"/>
            </w:pPr>
            <w:r>
              <w:t>1.5μg/kg</w:t>
            </w:r>
          </w:p>
        </w:tc>
      </w:tr>
      <w:tr w14:paraId="5CFB2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2A84A5A">
            <w:pPr>
              <w:pStyle w:val="19"/>
              <w:bidi w:val="0"/>
              <w:jc w:val="center"/>
            </w:pPr>
          </w:p>
        </w:tc>
        <w:tc>
          <w:tcPr>
            <w:tcW w:w="1500" w:type="dxa"/>
            <w:gridSpan w:val="2"/>
            <w:vAlign w:val="center"/>
          </w:tcPr>
          <w:p w14:paraId="5F182771">
            <w:pPr>
              <w:pStyle w:val="19"/>
              <w:bidi w:val="0"/>
              <w:jc w:val="center"/>
            </w:pPr>
            <w:r>
              <w:t>1,1-二氯乙烯</w:t>
            </w:r>
          </w:p>
        </w:tc>
        <w:tc>
          <w:tcPr>
            <w:tcW w:w="5482" w:type="dxa"/>
            <w:vMerge w:val="continue"/>
            <w:vAlign w:val="center"/>
          </w:tcPr>
          <w:p w14:paraId="012EEB35">
            <w:pPr>
              <w:pStyle w:val="19"/>
              <w:bidi w:val="0"/>
              <w:jc w:val="center"/>
            </w:pPr>
          </w:p>
        </w:tc>
        <w:tc>
          <w:tcPr>
            <w:tcW w:w="0" w:type="auto"/>
            <w:vAlign w:val="center"/>
          </w:tcPr>
          <w:p w14:paraId="3CA99328">
            <w:pPr>
              <w:pStyle w:val="19"/>
              <w:bidi w:val="0"/>
              <w:jc w:val="center"/>
            </w:pPr>
            <w:r>
              <w:t>气相色谱-质谱联用仪GCMS-QP2010SE</w:t>
            </w:r>
          </w:p>
        </w:tc>
        <w:tc>
          <w:tcPr>
            <w:tcW w:w="1307" w:type="dxa"/>
            <w:vAlign w:val="center"/>
          </w:tcPr>
          <w:p w14:paraId="305FFAB1">
            <w:pPr>
              <w:pStyle w:val="19"/>
              <w:bidi w:val="0"/>
              <w:jc w:val="center"/>
            </w:pPr>
            <w:r>
              <w:t>XSJS/YQ-73</w:t>
            </w:r>
          </w:p>
        </w:tc>
        <w:tc>
          <w:tcPr>
            <w:tcW w:w="1283" w:type="dxa"/>
            <w:vAlign w:val="center"/>
          </w:tcPr>
          <w:p w14:paraId="4378A462">
            <w:pPr>
              <w:pStyle w:val="19"/>
              <w:bidi w:val="0"/>
              <w:jc w:val="center"/>
            </w:pPr>
            <w:r>
              <w:t>0.8μg/kg</w:t>
            </w:r>
          </w:p>
        </w:tc>
      </w:tr>
      <w:tr w14:paraId="08DCA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2F539B2">
            <w:pPr>
              <w:pStyle w:val="19"/>
              <w:bidi w:val="0"/>
              <w:jc w:val="center"/>
            </w:pPr>
          </w:p>
        </w:tc>
        <w:tc>
          <w:tcPr>
            <w:tcW w:w="1500" w:type="dxa"/>
            <w:gridSpan w:val="2"/>
            <w:vAlign w:val="center"/>
          </w:tcPr>
          <w:p w14:paraId="20ADC30D">
            <w:pPr>
              <w:pStyle w:val="19"/>
              <w:bidi w:val="0"/>
              <w:jc w:val="center"/>
            </w:pPr>
            <w:r>
              <w:t>二氯甲烷</w:t>
            </w:r>
          </w:p>
        </w:tc>
        <w:tc>
          <w:tcPr>
            <w:tcW w:w="5482" w:type="dxa"/>
            <w:vMerge w:val="continue"/>
            <w:vAlign w:val="center"/>
          </w:tcPr>
          <w:p w14:paraId="5F99DAEE">
            <w:pPr>
              <w:pStyle w:val="19"/>
              <w:bidi w:val="0"/>
              <w:jc w:val="center"/>
            </w:pPr>
          </w:p>
        </w:tc>
        <w:tc>
          <w:tcPr>
            <w:tcW w:w="0" w:type="auto"/>
            <w:vAlign w:val="center"/>
          </w:tcPr>
          <w:p w14:paraId="2031E44A">
            <w:pPr>
              <w:pStyle w:val="19"/>
              <w:bidi w:val="0"/>
              <w:jc w:val="center"/>
            </w:pPr>
            <w:r>
              <w:t>气相色谱-质谱联用仪GCMS-QP2010SE</w:t>
            </w:r>
          </w:p>
        </w:tc>
        <w:tc>
          <w:tcPr>
            <w:tcW w:w="1307" w:type="dxa"/>
            <w:vAlign w:val="center"/>
          </w:tcPr>
          <w:p w14:paraId="4B9569F7">
            <w:pPr>
              <w:pStyle w:val="19"/>
              <w:bidi w:val="0"/>
              <w:jc w:val="center"/>
            </w:pPr>
            <w:r>
              <w:t>XSJS/YQ-73</w:t>
            </w:r>
          </w:p>
        </w:tc>
        <w:tc>
          <w:tcPr>
            <w:tcW w:w="1283" w:type="dxa"/>
            <w:vAlign w:val="center"/>
          </w:tcPr>
          <w:p w14:paraId="35AFE3B5">
            <w:pPr>
              <w:pStyle w:val="19"/>
              <w:bidi w:val="0"/>
              <w:jc w:val="center"/>
            </w:pPr>
            <w:r>
              <w:t>2.6μg/kg</w:t>
            </w:r>
          </w:p>
        </w:tc>
      </w:tr>
      <w:tr w14:paraId="26D54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EEF145B">
            <w:pPr>
              <w:pStyle w:val="19"/>
              <w:bidi w:val="0"/>
              <w:jc w:val="center"/>
            </w:pPr>
          </w:p>
        </w:tc>
        <w:tc>
          <w:tcPr>
            <w:tcW w:w="1500" w:type="dxa"/>
            <w:gridSpan w:val="2"/>
            <w:vAlign w:val="center"/>
          </w:tcPr>
          <w:p w14:paraId="1E51B64F">
            <w:pPr>
              <w:pStyle w:val="19"/>
              <w:bidi w:val="0"/>
              <w:jc w:val="center"/>
            </w:pPr>
            <w:r>
              <w:t>反-1,2-二氯乙烯</w:t>
            </w:r>
          </w:p>
        </w:tc>
        <w:tc>
          <w:tcPr>
            <w:tcW w:w="5482" w:type="dxa"/>
            <w:vMerge w:val="continue"/>
            <w:vAlign w:val="center"/>
          </w:tcPr>
          <w:p w14:paraId="0CD0BB1D">
            <w:pPr>
              <w:pStyle w:val="19"/>
              <w:bidi w:val="0"/>
              <w:jc w:val="center"/>
            </w:pPr>
          </w:p>
        </w:tc>
        <w:tc>
          <w:tcPr>
            <w:tcW w:w="0" w:type="auto"/>
            <w:vAlign w:val="center"/>
          </w:tcPr>
          <w:p w14:paraId="6636DF85">
            <w:pPr>
              <w:pStyle w:val="19"/>
              <w:bidi w:val="0"/>
              <w:jc w:val="center"/>
            </w:pPr>
            <w:r>
              <w:t>气相色谱-质谱联</w:t>
            </w:r>
          </w:p>
          <w:p w14:paraId="33C12E41">
            <w:pPr>
              <w:pStyle w:val="19"/>
              <w:bidi w:val="0"/>
              <w:jc w:val="center"/>
            </w:pPr>
            <w:r>
              <w:t>用仪GCMS-QP2010SE</w:t>
            </w:r>
          </w:p>
        </w:tc>
        <w:tc>
          <w:tcPr>
            <w:tcW w:w="1307" w:type="dxa"/>
            <w:vAlign w:val="center"/>
          </w:tcPr>
          <w:p w14:paraId="54D8CEAB">
            <w:pPr>
              <w:pStyle w:val="19"/>
              <w:bidi w:val="0"/>
              <w:jc w:val="center"/>
            </w:pPr>
            <w:r>
              <w:t>XSJS/YQ-73</w:t>
            </w:r>
          </w:p>
        </w:tc>
        <w:tc>
          <w:tcPr>
            <w:tcW w:w="1283" w:type="dxa"/>
            <w:vAlign w:val="center"/>
          </w:tcPr>
          <w:p w14:paraId="63BA9691">
            <w:pPr>
              <w:pStyle w:val="19"/>
              <w:bidi w:val="0"/>
              <w:jc w:val="center"/>
            </w:pPr>
            <w:r>
              <w:t>0.9μg/kg</w:t>
            </w:r>
          </w:p>
        </w:tc>
      </w:tr>
      <w:tr w14:paraId="1E88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33F8811">
            <w:pPr>
              <w:pStyle w:val="19"/>
              <w:bidi w:val="0"/>
              <w:jc w:val="center"/>
            </w:pPr>
          </w:p>
        </w:tc>
        <w:tc>
          <w:tcPr>
            <w:tcW w:w="1500" w:type="dxa"/>
            <w:gridSpan w:val="2"/>
            <w:vAlign w:val="center"/>
          </w:tcPr>
          <w:p w14:paraId="2BA5A8E8">
            <w:pPr>
              <w:pStyle w:val="19"/>
              <w:bidi w:val="0"/>
              <w:jc w:val="center"/>
            </w:pPr>
            <w:r>
              <w:t>1,1-二氯乙烷</w:t>
            </w:r>
          </w:p>
        </w:tc>
        <w:tc>
          <w:tcPr>
            <w:tcW w:w="5482" w:type="dxa"/>
            <w:vMerge w:val="continue"/>
            <w:vAlign w:val="center"/>
          </w:tcPr>
          <w:p w14:paraId="56D6261E">
            <w:pPr>
              <w:pStyle w:val="19"/>
              <w:bidi w:val="0"/>
              <w:jc w:val="center"/>
            </w:pPr>
          </w:p>
        </w:tc>
        <w:tc>
          <w:tcPr>
            <w:tcW w:w="0" w:type="auto"/>
            <w:vAlign w:val="center"/>
          </w:tcPr>
          <w:p w14:paraId="4D77C26A">
            <w:pPr>
              <w:pStyle w:val="19"/>
              <w:bidi w:val="0"/>
              <w:jc w:val="center"/>
            </w:pPr>
            <w:r>
              <w:t>气相色谱-质谱联</w:t>
            </w:r>
          </w:p>
          <w:p w14:paraId="411A4339">
            <w:pPr>
              <w:pStyle w:val="19"/>
              <w:bidi w:val="0"/>
              <w:jc w:val="center"/>
            </w:pPr>
            <w:r>
              <w:t>用仪GCMS-QP2010SE</w:t>
            </w:r>
          </w:p>
        </w:tc>
        <w:tc>
          <w:tcPr>
            <w:tcW w:w="1307" w:type="dxa"/>
            <w:vAlign w:val="center"/>
          </w:tcPr>
          <w:p w14:paraId="794E363F">
            <w:pPr>
              <w:pStyle w:val="19"/>
              <w:bidi w:val="0"/>
              <w:jc w:val="center"/>
            </w:pPr>
            <w:r>
              <w:t>XSJS/YQ-73</w:t>
            </w:r>
          </w:p>
        </w:tc>
        <w:tc>
          <w:tcPr>
            <w:tcW w:w="1283" w:type="dxa"/>
            <w:vAlign w:val="center"/>
          </w:tcPr>
          <w:p w14:paraId="194810F9">
            <w:pPr>
              <w:pStyle w:val="19"/>
              <w:bidi w:val="0"/>
              <w:jc w:val="center"/>
            </w:pPr>
            <w:r>
              <w:t>1.6μg/kg</w:t>
            </w:r>
          </w:p>
        </w:tc>
      </w:tr>
      <w:tr w14:paraId="4A544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82A548C">
            <w:pPr>
              <w:pStyle w:val="19"/>
              <w:bidi w:val="0"/>
              <w:jc w:val="center"/>
            </w:pPr>
          </w:p>
        </w:tc>
        <w:tc>
          <w:tcPr>
            <w:tcW w:w="1500" w:type="dxa"/>
            <w:gridSpan w:val="2"/>
            <w:vAlign w:val="center"/>
          </w:tcPr>
          <w:p w14:paraId="41F98F15">
            <w:pPr>
              <w:pStyle w:val="19"/>
              <w:bidi w:val="0"/>
              <w:jc w:val="center"/>
            </w:pPr>
            <w:r>
              <w:t>顺-1,2-二氯乙烯</w:t>
            </w:r>
          </w:p>
        </w:tc>
        <w:tc>
          <w:tcPr>
            <w:tcW w:w="5482" w:type="dxa"/>
            <w:vMerge w:val="continue"/>
            <w:vAlign w:val="center"/>
          </w:tcPr>
          <w:p w14:paraId="463F065C">
            <w:pPr>
              <w:pStyle w:val="19"/>
              <w:bidi w:val="0"/>
              <w:jc w:val="center"/>
            </w:pPr>
          </w:p>
        </w:tc>
        <w:tc>
          <w:tcPr>
            <w:tcW w:w="0" w:type="auto"/>
            <w:vAlign w:val="center"/>
          </w:tcPr>
          <w:p w14:paraId="1F123F63">
            <w:pPr>
              <w:pStyle w:val="19"/>
              <w:bidi w:val="0"/>
              <w:jc w:val="center"/>
            </w:pPr>
            <w:r>
              <w:t>气相色谱-质谱联用仪GCMS-QP2010SE</w:t>
            </w:r>
          </w:p>
        </w:tc>
        <w:tc>
          <w:tcPr>
            <w:tcW w:w="1307" w:type="dxa"/>
            <w:vAlign w:val="center"/>
          </w:tcPr>
          <w:p w14:paraId="37F9BA88">
            <w:pPr>
              <w:pStyle w:val="19"/>
              <w:bidi w:val="0"/>
              <w:jc w:val="center"/>
            </w:pPr>
            <w:r>
              <w:t>XSJS/YQ-73</w:t>
            </w:r>
          </w:p>
        </w:tc>
        <w:tc>
          <w:tcPr>
            <w:tcW w:w="1283" w:type="dxa"/>
            <w:vAlign w:val="center"/>
          </w:tcPr>
          <w:p w14:paraId="4CBCEBFB">
            <w:pPr>
              <w:pStyle w:val="19"/>
              <w:bidi w:val="0"/>
              <w:jc w:val="center"/>
            </w:pPr>
            <w:r>
              <w:t>0.9μg/kg</w:t>
            </w:r>
          </w:p>
        </w:tc>
      </w:tr>
      <w:tr w14:paraId="57926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763317E">
            <w:pPr>
              <w:pStyle w:val="19"/>
              <w:bidi w:val="0"/>
              <w:jc w:val="center"/>
            </w:pPr>
          </w:p>
        </w:tc>
        <w:tc>
          <w:tcPr>
            <w:tcW w:w="1500" w:type="dxa"/>
            <w:gridSpan w:val="2"/>
            <w:vAlign w:val="center"/>
          </w:tcPr>
          <w:p w14:paraId="7C4A6FF5">
            <w:pPr>
              <w:pStyle w:val="19"/>
              <w:bidi w:val="0"/>
              <w:jc w:val="center"/>
            </w:pPr>
            <w:r>
              <w:t>氯仿</w:t>
            </w:r>
          </w:p>
        </w:tc>
        <w:tc>
          <w:tcPr>
            <w:tcW w:w="5482" w:type="dxa"/>
            <w:vMerge w:val="continue"/>
            <w:vAlign w:val="center"/>
          </w:tcPr>
          <w:p w14:paraId="7ED86FDB">
            <w:pPr>
              <w:pStyle w:val="19"/>
              <w:bidi w:val="0"/>
              <w:jc w:val="center"/>
            </w:pPr>
          </w:p>
        </w:tc>
        <w:tc>
          <w:tcPr>
            <w:tcW w:w="0" w:type="auto"/>
            <w:vAlign w:val="center"/>
          </w:tcPr>
          <w:p w14:paraId="2ECED8F4">
            <w:pPr>
              <w:pStyle w:val="19"/>
              <w:bidi w:val="0"/>
              <w:jc w:val="center"/>
            </w:pPr>
            <w:r>
              <w:t>气相色谱-质谱联用仪GCMS-QP2010SE</w:t>
            </w:r>
          </w:p>
        </w:tc>
        <w:tc>
          <w:tcPr>
            <w:tcW w:w="1307" w:type="dxa"/>
            <w:vAlign w:val="center"/>
          </w:tcPr>
          <w:p w14:paraId="69A372ED">
            <w:pPr>
              <w:pStyle w:val="19"/>
              <w:bidi w:val="0"/>
              <w:jc w:val="center"/>
            </w:pPr>
            <w:r>
              <w:t>XSJS/YQ-73</w:t>
            </w:r>
          </w:p>
        </w:tc>
        <w:tc>
          <w:tcPr>
            <w:tcW w:w="1283" w:type="dxa"/>
            <w:vAlign w:val="center"/>
          </w:tcPr>
          <w:p w14:paraId="416A030C">
            <w:pPr>
              <w:pStyle w:val="19"/>
              <w:bidi w:val="0"/>
              <w:jc w:val="center"/>
            </w:pPr>
            <w:r>
              <w:t>1.5μg/kg</w:t>
            </w:r>
          </w:p>
        </w:tc>
      </w:tr>
      <w:tr w14:paraId="7A2B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470CF2F">
            <w:pPr>
              <w:pStyle w:val="19"/>
              <w:bidi w:val="0"/>
              <w:jc w:val="center"/>
            </w:pPr>
          </w:p>
        </w:tc>
        <w:tc>
          <w:tcPr>
            <w:tcW w:w="1500" w:type="dxa"/>
            <w:gridSpan w:val="2"/>
            <w:vAlign w:val="center"/>
          </w:tcPr>
          <w:p w14:paraId="1F9B4611">
            <w:pPr>
              <w:pStyle w:val="19"/>
              <w:bidi w:val="0"/>
              <w:jc w:val="center"/>
            </w:pPr>
            <w:r>
              <w:t>1,1,1-三氯乙烷</w:t>
            </w:r>
          </w:p>
        </w:tc>
        <w:tc>
          <w:tcPr>
            <w:tcW w:w="5482" w:type="dxa"/>
            <w:vMerge w:val="continue"/>
            <w:vAlign w:val="center"/>
          </w:tcPr>
          <w:p w14:paraId="27F473A8">
            <w:pPr>
              <w:pStyle w:val="19"/>
              <w:bidi w:val="0"/>
              <w:jc w:val="center"/>
            </w:pPr>
          </w:p>
        </w:tc>
        <w:tc>
          <w:tcPr>
            <w:tcW w:w="0" w:type="auto"/>
            <w:vAlign w:val="center"/>
          </w:tcPr>
          <w:p w14:paraId="47CE8FB5">
            <w:pPr>
              <w:pStyle w:val="19"/>
              <w:bidi w:val="0"/>
              <w:jc w:val="center"/>
            </w:pPr>
            <w:r>
              <w:t>气相色谱-质谱联用仪</w:t>
            </w:r>
          </w:p>
          <w:p w14:paraId="1F5175E9">
            <w:pPr>
              <w:pStyle w:val="19"/>
              <w:bidi w:val="0"/>
              <w:jc w:val="center"/>
            </w:pPr>
            <w:r>
              <w:t>GCMS-QP2010SE</w:t>
            </w:r>
          </w:p>
        </w:tc>
        <w:tc>
          <w:tcPr>
            <w:tcW w:w="1307" w:type="dxa"/>
            <w:vAlign w:val="center"/>
          </w:tcPr>
          <w:p w14:paraId="3439CF7A">
            <w:pPr>
              <w:pStyle w:val="19"/>
              <w:bidi w:val="0"/>
              <w:jc w:val="center"/>
            </w:pPr>
            <w:r>
              <w:t>XSJS/YQ-73</w:t>
            </w:r>
          </w:p>
        </w:tc>
        <w:tc>
          <w:tcPr>
            <w:tcW w:w="1283" w:type="dxa"/>
            <w:vAlign w:val="center"/>
          </w:tcPr>
          <w:p w14:paraId="5833EB47">
            <w:pPr>
              <w:pStyle w:val="19"/>
              <w:bidi w:val="0"/>
              <w:jc w:val="center"/>
            </w:pPr>
            <w:r>
              <w:t>1.1μg/kg</w:t>
            </w:r>
          </w:p>
        </w:tc>
      </w:tr>
      <w:tr w14:paraId="50C72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80F81DC">
            <w:pPr>
              <w:pStyle w:val="19"/>
              <w:bidi w:val="0"/>
              <w:jc w:val="center"/>
            </w:pPr>
          </w:p>
        </w:tc>
        <w:tc>
          <w:tcPr>
            <w:tcW w:w="1500" w:type="dxa"/>
            <w:gridSpan w:val="2"/>
            <w:vAlign w:val="center"/>
          </w:tcPr>
          <w:p w14:paraId="09ABF29E">
            <w:pPr>
              <w:pStyle w:val="19"/>
              <w:bidi w:val="0"/>
              <w:jc w:val="center"/>
            </w:pPr>
            <w:r>
              <w:t>四氯化碳</w:t>
            </w:r>
          </w:p>
        </w:tc>
        <w:tc>
          <w:tcPr>
            <w:tcW w:w="5482" w:type="dxa"/>
            <w:vMerge w:val="continue"/>
            <w:vAlign w:val="center"/>
          </w:tcPr>
          <w:p w14:paraId="6A2D68CC">
            <w:pPr>
              <w:pStyle w:val="19"/>
              <w:bidi w:val="0"/>
              <w:jc w:val="center"/>
            </w:pPr>
          </w:p>
        </w:tc>
        <w:tc>
          <w:tcPr>
            <w:tcW w:w="0" w:type="auto"/>
            <w:vAlign w:val="center"/>
          </w:tcPr>
          <w:p w14:paraId="2083873C">
            <w:pPr>
              <w:pStyle w:val="19"/>
              <w:bidi w:val="0"/>
              <w:jc w:val="center"/>
            </w:pPr>
            <w:r>
              <w:t>气相色谱-质谱联用仪</w:t>
            </w:r>
          </w:p>
          <w:p w14:paraId="7661FB2D">
            <w:pPr>
              <w:pStyle w:val="19"/>
              <w:bidi w:val="0"/>
              <w:jc w:val="center"/>
            </w:pPr>
            <w:r>
              <w:t>GCMS-QP2010SE</w:t>
            </w:r>
          </w:p>
        </w:tc>
        <w:tc>
          <w:tcPr>
            <w:tcW w:w="1307" w:type="dxa"/>
            <w:vAlign w:val="center"/>
          </w:tcPr>
          <w:p w14:paraId="798E1FA7">
            <w:pPr>
              <w:pStyle w:val="19"/>
              <w:bidi w:val="0"/>
              <w:jc w:val="center"/>
            </w:pPr>
            <w:r>
              <w:t>XSJS/YQ-73</w:t>
            </w:r>
          </w:p>
        </w:tc>
        <w:tc>
          <w:tcPr>
            <w:tcW w:w="1283" w:type="dxa"/>
            <w:vAlign w:val="center"/>
          </w:tcPr>
          <w:p w14:paraId="628E8ED7">
            <w:pPr>
              <w:pStyle w:val="19"/>
              <w:bidi w:val="0"/>
              <w:jc w:val="center"/>
            </w:pPr>
            <w:r>
              <w:t>2.1μg/kg</w:t>
            </w:r>
          </w:p>
        </w:tc>
      </w:tr>
      <w:tr w14:paraId="76FCF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F67F93F">
            <w:pPr>
              <w:pStyle w:val="19"/>
              <w:bidi w:val="0"/>
              <w:jc w:val="center"/>
            </w:pPr>
          </w:p>
        </w:tc>
        <w:tc>
          <w:tcPr>
            <w:tcW w:w="1500" w:type="dxa"/>
            <w:gridSpan w:val="2"/>
            <w:vAlign w:val="center"/>
          </w:tcPr>
          <w:p w14:paraId="4397F5B0">
            <w:pPr>
              <w:pStyle w:val="19"/>
              <w:bidi w:val="0"/>
              <w:jc w:val="center"/>
            </w:pPr>
            <w:r>
              <w:t>1,2-二氯乙烷</w:t>
            </w:r>
          </w:p>
        </w:tc>
        <w:tc>
          <w:tcPr>
            <w:tcW w:w="5482" w:type="dxa"/>
            <w:vMerge w:val="continue"/>
            <w:vAlign w:val="center"/>
          </w:tcPr>
          <w:p w14:paraId="327EC8D7">
            <w:pPr>
              <w:pStyle w:val="19"/>
              <w:bidi w:val="0"/>
              <w:jc w:val="center"/>
            </w:pPr>
          </w:p>
        </w:tc>
        <w:tc>
          <w:tcPr>
            <w:tcW w:w="0" w:type="auto"/>
            <w:vAlign w:val="center"/>
          </w:tcPr>
          <w:p w14:paraId="044B0C6E">
            <w:pPr>
              <w:pStyle w:val="19"/>
              <w:bidi w:val="0"/>
              <w:jc w:val="center"/>
            </w:pPr>
            <w:r>
              <w:t>气相色谱-质谱联用仪</w:t>
            </w:r>
          </w:p>
          <w:p w14:paraId="3F591F2B">
            <w:pPr>
              <w:pStyle w:val="19"/>
              <w:bidi w:val="0"/>
              <w:jc w:val="center"/>
            </w:pPr>
            <w:r>
              <w:t>GCMS-QP2010SE</w:t>
            </w:r>
          </w:p>
        </w:tc>
        <w:tc>
          <w:tcPr>
            <w:tcW w:w="1307" w:type="dxa"/>
            <w:vAlign w:val="center"/>
          </w:tcPr>
          <w:p w14:paraId="7E31023A">
            <w:pPr>
              <w:pStyle w:val="19"/>
              <w:bidi w:val="0"/>
              <w:jc w:val="center"/>
            </w:pPr>
            <w:r>
              <w:t>XSJS/YQ-73</w:t>
            </w:r>
          </w:p>
        </w:tc>
        <w:tc>
          <w:tcPr>
            <w:tcW w:w="1283" w:type="dxa"/>
            <w:vAlign w:val="center"/>
          </w:tcPr>
          <w:p w14:paraId="63A814A4">
            <w:pPr>
              <w:pStyle w:val="19"/>
              <w:bidi w:val="0"/>
              <w:jc w:val="center"/>
            </w:pPr>
            <w:r>
              <w:t>1.3μg/kg</w:t>
            </w:r>
          </w:p>
        </w:tc>
      </w:tr>
      <w:tr w14:paraId="57B37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DF76364">
            <w:pPr>
              <w:pStyle w:val="19"/>
              <w:bidi w:val="0"/>
              <w:jc w:val="center"/>
            </w:pPr>
          </w:p>
        </w:tc>
        <w:tc>
          <w:tcPr>
            <w:tcW w:w="1500" w:type="dxa"/>
            <w:gridSpan w:val="2"/>
            <w:vAlign w:val="center"/>
          </w:tcPr>
          <w:p w14:paraId="33F06640">
            <w:pPr>
              <w:pStyle w:val="19"/>
              <w:bidi w:val="0"/>
              <w:jc w:val="center"/>
            </w:pPr>
            <w:r>
              <w:t>苯</w:t>
            </w:r>
          </w:p>
        </w:tc>
        <w:tc>
          <w:tcPr>
            <w:tcW w:w="5482" w:type="dxa"/>
            <w:vMerge w:val="continue"/>
            <w:vAlign w:val="center"/>
          </w:tcPr>
          <w:p w14:paraId="07EF9755">
            <w:pPr>
              <w:pStyle w:val="19"/>
              <w:bidi w:val="0"/>
              <w:jc w:val="center"/>
            </w:pPr>
          </w:p>
        </w:tc>
        <w:tc>
          <w:tcPr>
            <w:tcW w:w="0" w:type="auto"/>
            <w:vAlign w:val="center"/>
          </w:tcPr>
          <w:p w14:paraId="43B3E125">
            <w:pPr>
              <w:pStyle w:val="19"/>
              <w:bidi w:val="0"/>
              <w:jc w:val="center"/>
            </w:pPr>
            <w:r>
              <w:t>气相色谱-质谱联用仪</w:t>
            </w:r>
          </w:p>
          <w:p w14:paraId="10394146">
            <w:pPr>
              <w:pStyle w:val="19"/>
              <w:bidi w:val="0"/>
              <w:jc w:val="center"/>
            </w:pPr>
            <w:r>
              <w:t>GCMS-QP2010SE</w:t>
            </w:r>
          </w:p>
        </w:tc>
        <w:tc>
          <w:tcPr>
            <w:tcW w:w="1307" w:type="dxa"/>
            <w:vAlign w:val="center"/>
          </w:tcPr>
          <w:p w14:paraId="5C713F12">
            <w:pPr>
              <w:pStyle w:val="19"/>
              <w:bidi w:val="0"/>
              <w:jc w:val="center"/>
            </w:pPr>
            <w:r>
              <w:t>XSJS/YQ-73</w:t>
            </w:r>
          </w:p>
        </w:tc>
        <w:tc>
          <w:tcPr>
            <w:tcW w:w="1283" w:type="dxa"/>
            <w:vAlign w:val="center"/>
          </w:tcPr>
          <w:p w14:paraId="2857BC79">
            <w:pPr>
              <w:pStyle w:val="19"/>
              <w:bidi w:val="0"/>
              <w:jc w:val="center"/>
            </w:pPr>
            <w:r>
              <w:t>1.6μg/kg</w:t>
            </w:r>
          </w:p>
        </w:tc>
      </w:tr>
      <w:tr w14:paraId="2E7CB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DDA070E">
            <w:pPr>
              <w:pStyle w:val="19"/>
              <w:bidi w:val="0"/>
              <w:jc w:val="center"/>
            </w:pPr>
          </w:p>
        </w:tc>
        <w:tc>
          <w:tcPr>
            <w:tcW w:w="1500" w:type="dxa"/>
            <w:gridSpan w:val="2"/>
            <w:vAlign w:val="center"/>
          </w:tcPr>
          <w:p w14:paraId="40873AD5">
            <w:pPr>
              <w:pStyle w:val="19"/>
              <w:bidi w:val="0"/>
              <w:jc w:val="center"/>
            </w:pPr>
            <w:r>
              <w:t>三氯乙烯</w:t>
            </w:r>
          </w:p>
        </w:tc>
        <w:tc>
          <w:tcPr>
            <w:tcW w:w="5482" w:type="dxa"/>
            <w:vMerge w:val="continue"/>
            <w:vAlign w:val="center"/>
          </w:tcPr>
          <w:p w14:paraId="6E9DED34">
            <w:pPr>
              <w:pStyle w:val="19"/>
              <w:bidi w:val="0"/>
              <w:jc w:val="center"/>
            </w:pPr>
          </w:p>
        </w:tc>
        <w:tc>
          <w:tcPr>
            <w:tcW w:w="0" w:type="auto"/>
            <w:vAlign w:val="center"/>
          </w:tcPr>
          <w:p w14:paraId="49679F63">
            <w:pPr>
              <w:pStyle w:val="19"/>
              <w:bidi w:val="0"/>
              <w:jc w:val="center"/>
            </w:pPr>
            <w:r>
              <w:t>气相色谱-质谱联用仪</w:t>
            </w:r>
          </w:p>
          <w:p w14:paraId="320B1AFE">
            <w:pPr>
              <w:pStyle w:val="19"/>
              <w:bidi w:val="0"/>
              <w:jc w:val="center"/>
            </w:pPr>
            <w:r>
              <w:t>GCMS-QP2010SE</w:t>
            </w:r>
          </w:p>
        </w:tc>
        <w:tc>
          <w:tcPr>
            <w:tcW w:w="1307" w:type="dxa"/>
            <w:vAlign w:val="center"/>
          </w:tcPr>
          <w:p w14:paraId="2934C135">
            <w:pPr>
              <w:pStyle w:val="19"/>
              <w:bidi w:val="0"/>
              <w:jc w:val="center"/>
            </w:pPr>
            <w:r>
              <w:t>XSJS/YQ-73</w:t>
            </w:r>
          </w:p>
        </w:tc>
        <w:tc>
          <w:tcPr>
            <w:tcW w:w="1283" w:type="dxa"/>
            <w:vAlign w:val="center"/>
          </w:tcPr>
          <w:p w14:paraId="06B5ECB2">
            <w:pPr>
              <w:pStyle w:val="19"/>
              <w:bidi w:val="0"/>
              <w:jc w:val="center"/>
            </w:pPr>
            <w:r>
              <w:t>0.9μg/kg</w:t>
            </w:r>
          </w:p>
        </w:tc>
      </w:tr>
      <w:tr w14:paraId="469F8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6805AAF">
            <w:pPr>
              <w:pStyle w:val="19"/>
              <w:bidi w:val="0"/>
              <w:jc w:val="center"/>
            </w:pPr>
          </w:p>
        </w:tc>
        <w:tc>
          <w:tcPr>
            <w:tcW w:w="1500" w:type="dxa"/>
            <w:gridSpan w:val="2"/>
            <w:vAlign w:val="center"/>
          </w:tcPr>
          <w:p w14:paraId="349EF339">
            <w:pPr>
              <w:pStyle w:val="19"/>
              <w:bidi w:val="0"/>
              <w:jc w:val="center"/>
            </w:pPr>
            <w:r>
              <w:t>1,2-二氯丙烷</w:t>
            </w:r>
          </w:p>
        </w:tc>
        <w:tc>
          <w:tcPr>
            <w:tcW w:w="5482" w:type="dxa"/>
            <w:vMerge w:val="continue"/>
            <w:vAlign w:val="center"/>
          </w:tcPr>
          <w:p w14:paraId="5DA39C30">
            <w:pPr>
              <w:pStyle w:val="19"/>
              <w:bidi w:val="0"/>
              <w:jc w:val="center"/>
            </w:pPr>
          </w:p>
        </w:tc>
        <w:tc>
          <w:tcPr>
            <w:tcW w:w="0" w:type="auto"/>
            <w:vAlign w:val="center"/>
          </w:tcPr>
          <w:p w14:paraId="7DBBA651">
            <w:pPr>
              <w:pStyle w:val="19"/>
              <w:bidi w:val="0"/>
              <w:jc w:val="center"/>
            </w:pPr>
            <w:r>
              <w:t>气相色谱-质谱联用仪</w:t>
            </w:r>
          </w:p>
          <w:p w14:paraId="2C09CE02">
            <w:pPr>
              <w:pStyle w:val="19"/>
              <w:bidi w:val="0"/>
              <w:jc w:val="center"/>
            </w:pPr>
            <w:r>
              <w:t>GCMS-QP2010SE</w:t>
            </w:r>
          </w:p>
        </w:tc>
        <w:tc>
          <w:tcPr>
            <w:tcW w:w="1307" w:type="dxa"/>
            <w:vAlign w:val="center"/>
          </w:tcPr>
          <w:p w14:paraId="735EA4F4">
            <w:pPr>
              <w:pStyle w:val="19"/>
              <w:bidi w:val="0"/>
              <w:jc w:val="center"/>
            </w:pPr>
            <w:r>
              <w:t>XSJS/YQ-73</w:t>
            </w:r>
          </w:p>
        </w:tc>
        <w:tc>
          <w:tcPr>
            <w:tcW w:w="1283" w:type="dxa"/>
            <w:vAlign w:val="center"/>
          </w:tcPr>
          <w:p w14:paraId="07E2E773">
            <w:pPr>
              <w:pStyle w:val="19"/>
              <w:bidi w:val="0"/>
              <w:jc w:val="center"/>
            </w:pPr>
            <w:r>
              <w:t>1.9μg/kg</w:t>
            </w:r>
          </w:p>
        </w:tc>
      </w:tr>
      <w:tr w14:paraId="05E79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FAEA792">
            <w:pPr>
              <w:pStyle w:val="19"/>
              <w:bidi w:val="0"/>
              <w:jc w:val="center"/>
            </w:pPr>
          </w:p>
        </w:tc>
        <w:tc>
          <w:tcPr>
            <w:tcW w:w="1500" w:type="dxa"/>
            <w:gridSpan w:val="2"/>
            <w:vAlign w:val="center"/>
          </w:tcPr>
          <w:p w14:paraId="10D5F7A6">
            <w:pPr>
              <w:pStyle w:val="19"/>
              <w:bidi w:val="0"/>
              <w:jc w:val="center"/>
            </w:pPr>
            <w:r>
              <w:t>甲苯</w:t>
            </w:r>
          </w:p>
        </w:tc>
        <w:tc>
          <w:tcPr>
            <w:tcW w:w="5482" w:type="dxa"/>
            <w:vMerge w:val="continue"/>
            <w:vAlign w:val="center"/>
          </w:tcPr>
          <w:p w14:paraId="19D448A2">
            <w:pPr>
              <w:pStyle w:val="19"/>
              <w:bidi w:val="0"/>
              <w:jc w:val="center"/>
            </w:pPr>
          </w:p>
        </w:tc>
        <w:tc>
          <w:tcPr>
            <w:tcW w:w="0" w:type="auto"/>
            <w:vAlign w:val="center"/>
          </w:tcPr>
          <w:p w14:paraId="505C8C66">
            <w:pPr>
              <w:pStyle w:val="19"/>
              <w:bidi w:val="0"/>
              <w:jc w:val="center"/>
            </w:pPr>
            <w:r>
              <w:t>气相色谱-质谱联用仪</w:t>
            </w:r>
          </w:p>
          <w:p w14:paraId="05E49E4B">
            <w:pPr>
              <w:pStyle w:val="19"/>
              <w:bidi w:val="0"/>
              <w:jc w:val="center"/>
            </w:pPr>
            <w:r>
              <w:t>GCMS-QP2010SE</w:t>
            </w:r>
          </w:p>
        </w:tc>
        <w:tc>
          <w:tcPr>
            <w:tcW w:w="1307" w:type="dxa"/>
            <w:vAlign w:val="center"/>
          </w:tcPr>
          <w:p w14:paraId="2D5CF331">
            <w:pPr>
              <w:pStyle w:val="19"/>
              <w:bidi w:val="0"/>
              <w:jc w:val="center"/>
            </w:pPr>
            <w:r>
              <w:t>XSJS/YQ-73</w:t>
            </w:r>
          </w:p>
        </w:tc>
        <w:tc>
          <w:tcPr>
            <w:tcW w:w="1283" w:type="dxa"/>
            <w:vAlign w:val="center"/>
          </w:tcPr>
          <w:p w14:paraId="05F04266">
            <w:pPr>
              <w:pStyle w:val="19"/>
              <w:bidi w:val="0"/>
              <w:jc w:val="center"/>
            </w:pPr>
            <w:r>
              <w:t>2.0μg/kg</w:t>
            </w:r>
          </w:p>
        </w:tc>
      </w:tr>
      <w:tr w14:paraId="0DF9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812C823">
            <w:pPr>
              <w:pStyle w:val="19"/>
              <w:bidi w:val="0"/>
              <w:jc w:val="center"/>
            </w:pPr>
          </w:p>
        </w:tc>
        <w:tc>
          <w:tcPr>
            <w:tcW w:w="1500" w:type="dxa"/>
            <w:gridSpan w:val="2"/>
            <w:vAlign w:val="center"/>
          </w:tcPr>
          <w:p w14:paraId="297202EB">
            <w:pPr>
              <w:pStyle w:val="19"/>
              <w:bidi w:val="0"/>
              <w:jc w:val="center"/>
            </w:pPr>
            <w:r>
              <w:t>1,1,2-三氯乙烷</w:t>
            </w:r>
          </w:p>
        </w:tc>
        <w:tc>
          <w:tcPr>
            <w:tcW w:w="5482" w:type="dxa"/>
            <w:vMerge w:val="continue"/>
            <w:vAlign w:val="center"/>
          </w:tcPr>
          <w:p w14:paraId="689773AB">
            <w:pPr>
              <w:pStyle w:val="19"/>
              <w:bidi w:val="0"/>
              <w:jc w:val="center"/>
            </w:pPr>
          </w:p>
        </w:tc>
        <w:tc>
          <w:tcPr>
            <w:tcW w:w="0" w:type="auto"/>
            <w:vAlign w:val="center"/>
          </w:tcPr>
          <w:p w14:paraId="379BB3F8">
            <w:pPr>
              <w:pStyle w:val="19"/>
              <w:bidi w:val="0"/>
              <w:jc w:val="center"/>
            </w:pPr>
            <w:r>
              <w:t>气相色谱-质谱联用仪</w:t>
            </w:r>
          </w:p>
          <w:p w14:paraId="314BF0ED">
            <w:pPr>
              <w:pStyle w:val="19"/>
              <w:bidi w:val="0"/>
              <w:jc w:val="center"/>
            </w:pPr>
            <w:r>
              <w:t>GCMS-QP2010SE</w:t>
            </w:r>
          </w:p>
        </w:tc>
        <w:tc>
          <w:tcPr>
            <w:tcW w:w="1307" w:type="dxa"/>
            <w:vAlign w:val="center"/>
          </w:tcPr>
          <w:p w14:paraId="512C4002">
            <w:pPr>
              <w:pStyle w:val="19"/>
              <w:bidi w:val="0"/>
              <w:jc w:val="center"/>
            </w:pPr>
            <w:r>
              <w:t>XSJS/YQ-73</w:t>
            </w:r>
          </w:p>
        </w:tc>
        <w:tc>
          <w:tcPr>
            <w:tcW w:w="1283" w:type="dxa"/>
            <w:vAlign w:val="center"/>
          </w:tcPr>
          <w:p w14:paraId="211BDF43">
            <w:pPr>
              <w:pStyle w:val="19"/>
              <w:bidi w:val="0"/>
              <w:jc w:val="center"/>
            </w:pPr>
            <w:r>
              <w:t>1.4μg/kg</w:t>
            </w:r>
          </w:p>
        </w:tc>
      </w:tr>
      <w:tr w14:paraId="10EF9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9809233">
            <w:pPr>
              <w:pStyle w:val="19"/>
              <w:bidi w:val="0"/>
              <w:jc w:val="center"/>
            </w:pPr>
          </w:p>
        </w:tc>
        <w:tc>
          <w:tcPr>
            <w:tcW w:w="1500" w:type="dxa"/>
            <w:gridSpan w:val="2"/>
            <w:vAlign w:val="center"/>
          </w:tcPr>
          <w:p w14:paraId="10BEDF0B">
            <w:pPr>
              <w:pStyle w:val="19"/>
              <w:bidi w:val="0"/>
              <w:jc w:val="center"/>
            </w:pPr>
            <w:r>
              <w:t>四氯乙烯</w:t>
            </w:r>
          </w:p>
        </w:tc>
        <w:tc>
          <w:tcPr>
            <w:tcW w:w="5482" w:type="dxa"/>
            <w:vMerge w:val="continue"/>
            <w:vAlign w:val="center"/>
          </w:tcPr>
          <w:p w14:paraId="7689206B">
            <w:pPr>
              <w:pStyle w:val="19"/>
              <w:bidi w:val="0"/>
              <w:jc w:val="center"/>
            </w:pPr>
          </w:p>
        </w:tc>
        <w:tc>
          <w:tcPr>
            <w:tcW w:w="0" w:type="auto"/>
            <w:vAlign w:val="center"/>
          </w:tcPr>
          <w:p w14:paraId="2E8D20DF">
            <w:pPr>
              <w:pStyle w:val="19"/>
              <w:bidi w:val="0"/>
              <w:jc w:val="center"/>
            </w:pPr>
            <w:r>
              <w:t>气相色谱-质谱联用仪</w:t>
            </w:r>
          </w:p>
          <w:p w14:paraId="1185C2AB">
            <w:pPr>
              <w:pStyle w:val="19"/>
              <w:bidi w:val="0"/>
              <w:jc w:val="center"/>
            </w:pPr>
            <w:r>
              <w:t>GCMS-QP2010SE</w:t>
            </w:r>
          </w:p>
        </w:tc>
        <w:tc>
          <w:tcPr>
            <w:tcW w:w="1307" w:type="dxa"/>
            <w:vAlign w:val="center"/>
          </w:tcPr>
          <w:p w14:paraId="2DF55C3E">
            <w:pPr>
              <w:pStyle w:val="19"/>
              <w:bidi w:val="0"/>
              <w:jc w:val="center"/>
            </w:pPr>
            <w:r>
              <w:t>XSJS/YQ-73</w:t>
            </w:r>
          </w:p>
        </w:tc>
        <w:tc>
          <w:tcPr>
            <w:tcW w:w="1283" w:type="dxa"/>
            <w:vAlign w:val="center"/>
          </w:tcPr>
          <w:p w14:paraId="561FBA05">
            <w:pPr>
              <w:pStyle w:val="19"/>
              <w:bidi w:val="0"/>
              <w:jc w:val="center"/>
            </w:pPr>
            <w:r>
              <w:t>0.8μg/kg</w:t>
            </w:r>
          </w:p>
        </w:tc>
      </w:tr>
      <w:tr w14:paraId="68A85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23685D44">
            <w:pPr>
              <w:pStyle w:val="19"/>
              <w:bidi w:val="0"/>
              <w:jc w:val="center"/>
            </w:pPr>
          </w:p>
        </w:tc>
        <w:tc>
          <w:tcPr>
            <w:tcW w:w="1500" w:type="dxa"/>
            <w:gridSpan w:val="2"/>
            <w:vAlign w:val="center"/>
          </w:tcPr>
          <w:p w14:paraId="31E0ADF6">
            <w:pPr>
              <w:pStyle w:val="19"/>
              <w:bidi w:val="0"/>
              <w:jc w:val="center"/>
            </w:pPr>
            <w:r>
              <w:t>氯苯</w:t>
            </w:r>
          </w:p>
        </w:tc>
        <w:tc>
          <w:tcPr>
            <w:tcW w:w="5482" w:type="dxa"/>
            <w:vMerge w:val="continue"/>
            <w:vAlign w:val="center"/>
          </w:tcPr>
          <w:p w14:paraId="0D8E5523">
            <w:pPr>
              <w:pStyle w:val="19"/>
              <w:bidi w:val="0"/>
              <w:jc w:val="center"/>
            </w:pPr>
          </w:p>
        </w:tc>
        <w:tc>
          <w:tcPr>
            <w:tcW w:w="0" w:type="auto"/>
            <w:vAlign w:val="center"/>
          </w:tcPr>
          <w:p w14:paraId="4FEC5028">
            <w:pPr>
              <w:pStyle w:val="19"/>
              <w:bidi w:val="0"/>
              <w:jc w:val="center"/>
            </w:pPr>
            <w:r>
              <w:t>气相色谱-质谱联用仪</w:t>
            </w:r>
          </w:p>
          <w:p w14:paraId="2D59D5B4">
            <w:pPr>
              <w:pStyle w:val="19"/>
              <w:bidi w:val="0"/>
              <w:jc w:val="center"/>
            </w:pPr>
            <w:r>
              <w:t>GCMS-QP2010SE</w:t>
            </w:r>
          </w:p>
        </w:tc>
        <w:tc>
          <w:tcPr>
            <w:tcW w:w="1307" w:type="dxa"/>
            <w:vAlign w:val="center"/>
          </w:tcPr>
          <w:p w14:paraId="02A36ECD">
            <w:pPr>
              <w:pStyle w:val="19"/>
              <w:bidi w:val="0"/>
              <w:jc w:val="center"/>
            </w:pPr>
            <w:r>
              <w:t>XSJS/YQ-73</w:t>
            </w:r>
          </w:p>
        </w:tc>
        <w:tc>
          <w:tcPr>
            <w:tcW w:w="1283" w:type="dxa"/>
            <w:vAlign w:val="center"/>
          </w:tcPr>
          <w:p w14:paraId="063BD270">
            <w:pPr>
              <w:pStyle w:val="19"/>
              <w:bidi w:val="0"/>
              <w:jc w:val="center"/>
            </w:pPr>
            <w:r>
              <w:t>1.1μg/kg</w:t>
            </w:r>
          </w:p>
        </w:tc>
      </w:tr>
      <w:tr w14:paraId="5CBC4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17255178">
            <w:pPr>
              <w:pStyle w:val="19"/>
              <w:bidi w:val="0"/>
              <w:jc w:val="center"/>
            </w:pPr>
          </w:p>
        </w:tc>
        <w:tc>
          <w:tcPr>
            <w:tcW w:w="1500" w:type="dxa"/>
            <w:gridSpan w:val="2"/>
            <w:vAlign w:val="center"/>
          </w:tcPr>
          <w:p w14:paraId="29B0A1F0">
            <w:pPr>
              <w:pStyle w:val="19"/>
              <w:bidi w:val="0"/>
              <w:jc w:val="center"/>
            </w:pPr>
            <w:r>
              <w:t>1,1,1,2-四氯乙烷</w:t>
            </w:r>
          </w:p>
        </w:tc>
        <w:tc>
          <w:tcPr>
            <w:tcW w:w="5482" w:type="dxa"/>
            <w:vMerge w:val="continue"/>
            <w:vAlign w:val="center"/>
          </w:tcPr>
          <w:p w14:paraId="344D9CB2">
            <w:pPr>
              <w:pStyle w:val="19"/>
              <w:bidi w:val="0"/>
              <w:jc w:val="center"/>
            </w:pPr>
          </w:p>
        </w:tc>
        <w:tc>
          <w:tcPr>
            <w:tcW w:w="0" w:type="auto"/>
            <w:vAlign w:val="center"/>
          </w:tcPr>
          <w:p w14:paraId="1B539716">
            <w:pPr>
              <w:pStyle w:val="19"/>
              <w:bidi w:val="0"/>
              <w:jc w:val="center"/>
            </w:pPr>
            <w:r>
              <w:t>气相色谱-质谱联用仪</w:t>
            </w:r>
          </w:p>
          <w:p w14:paraId="0B49FEA6">
            <w:pPr>
              <w:pStyle w:val="19"/>
              <w:bidi w:val="0"/>
              <w:jc w:val="center"/>
            </w:pPr>
            <w:r>
              <w:t>GCMS-QP2010SE</w:t>
            </w:r>
          </w:p>
        </w:tc>
        <w:tc>
          <w:tcPr>
            <w:tcW w:w="1307" w:type="dxa"/>
            <w:vAlign w:val="center"/>
          </w:tcPr>
          <w:p w14:paraId="0F184BD3">
            <w:pPr>
              <w:pStyle w:val="19"/>
              <w:bidi w:val="0"/>
              <w:jc w:val="center"/>
            </w:pPr>
            <w:r>
              <w:t>XSJS/YQ-73</w:t>
            </w:r>
          </w:p>
        </w:tc>
        <w:tc>
          <w:tcPr>
            <w:tcW w:w="1283" w:type="dxa"/>
            <w:vAlign w:val="center"/>
          </w:tcPr>
          <w:p w14:paraId="242D3210">
            <w:pPr>
              <w:pStyle w:val="19"/>
              <w:bidi w:val="0"/>
              <w:jc w:val="center"/>
            </w:pPr>
            <w:r>
              <w:t>1.0μg/kg</w:t>
            </w:r>
          </w:p>
        </w:tc>
      </w:tr>
      <w:tr w14:paraId="398E9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11BCCB9">
            <w:pPr>
              <w:pStyle w:val="19"/>
              <w:bidi w:val="0"/>
              <w:jc w:val="center"/>
            </w:pPr>
          </w:p>
        </w:tc>
        <w:tc>
          <w:tcPr>
            <w:tcW w:w="1500" w:type="dxa"/>
            <w:gridSpan w:val="2"/>
            <w:vAlign w:val="center"/>
          </w:tcPr>
          <w:p w14:paraId="3E082503">
            <w:pPr>
              <w:pStyle w:val="19"/>
              <w:bidi w:val="0"/>
              <w:jc w:val="center"/>
            </w:pPr>
            <w:r>
              <w:t>乙苯</w:t>
            </w:r>
          </w:p>
        </w:tc>
        <w:tc>
          <w:tcPr>
            <w:tcW w:w="5482" w:type="dxa"/>
            <w:vMerge w:val="continue"/>
            <w:vAlign w:val="center"/>
          </w:tcPr>
          <w:p w14:paraId="369D9F78">
            <w:pPr>
              <w:pStyle w:val="19"/>
              <w:bidi w:val="0"/>
              <w:jc w:val="center"/>
            </w:pPr>
          </w:p>
        </w:tc>
        <w:tc>
          <w:tcPr>
            <w:tcW w:w="0" w:type="auto"/>
            <w:vAlign w:val="center"/>
          </w:tcPr>
          <w:p w14:paraId="642EFE7B">
            <w:pPr>
              <w:pStyle w:val="19"/>
              <w:bidi w:val="0"/>
              <w:jc w:val="center"/>
            </w:pPr>
            <w:r>
              <w:t>气相色谱-质谱联用仪</w:t>
            </w:r>
          </w:p>
          <w:p w14:paraId="03419E32">
            <w:pPr>
              <w:pStyle w:val="19"/>
              <w:bidi w:val="0"/>
              <w:jc w:val="center"/>
            </w:pPr>
            <w:r>
              <w:t>GCMS-QP2010SE</w:t>
            </w:r>
          </w:p>
        </w:tc>
        <w:tc>
          <w:tcPr>
            <w:tcW w:w="1307" w:type="dxa"/>
            <w:vAlign w:val="center"/>
          </w:tcPr>
          <w:p w14:paraId="4214ACDB">
            <w:pPr>
              <w:pStyle w:val="19"/>
              <w:bidi w:val="0"/>
              <w:jc w:val="center"/>
            </w:pPr>
            <w:r>
              <w:t>XSJS/YQ-73</w:t>
            </w:r>
          </w:p>
        </w:tc>
        <w:tc>
          <w:tcPr>
            <w:tcW w:w="1283" w:type="dxa"/>
            <w:vAlign w:val="center"/>
          </w:tcPr>
          <w:p w14:paraId="424D4538">
            <w:pPr>
              <w:pStyle w:val="19"/>
              <w:bidi w:val="0"/>
              <w:jc w:val="center"/>
            </w:pPr>
            <w:r>
              <w:t>1.2μg/kg</w:t>
            </w:r>
          </w:p>
        </w:tc>
      </w:tr>
      <w:tr w14:paraId="143D5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25F74879">
            <w:pPr>
              <w:pStyle w:val="19"/>
              <w:bidi w:val="0"/>
              <w:jc w:val="center"/>
            </w:pPr>
          </w:p>
        </w:tc>
        <w:tc>
          <w:tcPr>
            <w:tcW w:w="1500" w:type="dxa"/>
            <w:gridSpan w:val="2"/>
            <w:vAlign w:val="center"/>
          </w:tcPr>
          <w:p w14:paraId="04D435D4">
            <w:pPr>
              <w:pStyle w:val="19"/>
              <w:bidi w:val="0"/>
              <w:jc w:val="center"/>
            </w:pPr>
            <w:r>
              <w:t>间，对-二甲苯</w:t>
            </w:r>
          </w:p>
        </w:tc>
        <w:tc>
          <w:tcPr>
            <w:tcW w:w="5482" w:type="dxa"/>
            <w:vMerge w:val="continue"/>
            <w:vAlign w:val="center"/>
          </w:tcPr>
          <w:p w14:paraId="75544317">
            <w:pPr>
              <w:pStyle w:val="19"/>
              <w:bidi w:val="0"/>
              <w:jc w:val="center"/>
            </w:pPr>
          </w:p>
        </w:tc>
        <w:tc>
          <w:tcPr>
            <w:tcW w:w="0" w:type="auto"/>
            <w:vAlign w:val="center"/>
          </w:tcPr>
          <w:p w14:paraId="1E9834EF">
            <w:pPr>
              <w:pStyle w:val="19"/>
              <w:bidi w:val="0"/>
              <w:jc w:val="center"/>
            </w:pPr>
            <w:r>
              <w:t>气相色谱-质谱联用仪</w:t>
            </w:r>
          </w:p>
          <w:p w14:paraId="70C4CF72">
            <w:pPr>
              <w:pStyle w:val="19"/>
              <w:bidi w:val="0"/>
              <w:jc w:val="center"/>
            </w:pPr>
            <w:r>
              <w:t>GCMS-QP2010SE</w:t>
            </w:r>
          </w:p>
        </w:tc>
        <w:tc>
          <w:tcPr>
            <w:tcW w:w="1307" w:type="dxa"/>
            <w:vAlign w:val="center"/>
          </w:tcPr>
          <w:p w14:paraId="5C867FAC">
            <w:pPr>
              <w:pStyle w:val="19"/>
              <w:bidi w:val="0"/>
              <w:jc w:val="center"/>
            </w:pPr>
            <w:r>
              <w:t>XSJS/YQ-73</w:t>
            </w:r>
          </w:p>
        </w:tc>
        <w:tc>
          <w:tcPr>
            <w:tcW w:w="1283" w:type="dxa"/>
            <w:vAlign w:val="center"/>
          </w:tcPr>
          <w:p w14:paraId="6D39F9A8">
            <w:pPr>
              <w:pStyle w:val="19"/>
              <w:bidi w:val="0"/>
              <w:jc w:val="center"/>
            </w:pPr>
            <w:r>
              <w:t>3.6μg/kg</w:t>
            </w:r>
          </w:p>
        </w:tc>
      </w:tr>
      <w:tr w14:paraId="70EB0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5F3C376">
            <w:pPr>
              <w:pStyle w:val="19"/>
              <w:bidi w:val="0"/>
              <w:jc w:val="center"/>
            </w:pPr>
          </w:p>
        </w:tc>
        <w:tc>
          <w:tcPr>
            <w:tcW w:w="1500" w:type="dxa"/>
            <w:gridSpan w:val="2"/>
            <w:vAlign w:val="center"/>
          </w:tcPr>
          <w:p w14:paraId="23B97FFE">
            <w:pPr>
              <w:pStyle w:val="19"/>
              <w:bidi w:val="0"/>
              <w:jc w:val="center"/>
            </w:pPr>
            <w:r>
              <w:t>邻-二甲苯</w:t>
            </w:r>
          </w:p>
        </w:tc>
        <w:tc>
          <w:tcPr>
            <w:tcW w:w="5482" w:type="dxa"/>
            <w:vMerge w:val="continue"/>
            <w:vAlign w:val="center"/>
          </w:tcPr>
          <w:p w14:paraId="0EAC8E21">
            <w:pPr>
              <w:pStyle w:val="19"/>
              <w:bidi w:val="0"/>
              <w:jc w:val="center"/>
            </w:pPr>
          </w:p>
        </w:tc>
        <w:tc>
          <w:tcPr>
            <w:tcW w:w="0" w:type="auto"/>
            <w:vAlign w:val="center"/>
          </w:tcPr>
          <w:p w14:paraId="14AAC11C">
            <w:pPr>
              <w:pStyle w:val="19"/>
              <w:bidi w:val="0"/>
              <w:jc w:val="center"/>
            </w:pPr>
            <w:r>
              <w:t>气相色谱-质谱联用仪</w:t>
            </w:r>
          </w:p>
          <w:p w14:paraId="272991D0">
            <w:pPr>
              <w:pStyle w:val="19"/>
              <w:bidi w:val="0"/>
              <w:jc w:val="center"/>
            </w:pPr>
            <w:r>
              <w:t>GCMS-QP2010SE</w:t>
            </w:r>
          </w:p>
        </w:tc>
        <w:tc>
          <w:tcPr>
            <w:tcW w:w="1307" w:type="dxa"/>
            <w:vAlign w:val="center"/>
          </w:tcPr>
          <w:p w14:paraId="0A8CF413">
            <w:pPr>
              <w:pStyle w:val="19"/>
              <w:bidi w:val="0"/>
              <w:jc w:val="center"/>
            </w:pPr>
            <w:r>
              <w:t>XSJS/YQ-73</w:t>
            </w:r>
          </w:p>
        </w:tc>
        <w:tc>
          <w:tcPr>
            <w:tcW w:w="1283" w:type="dxa"/>
            <w:vAlign w:val="center"/>
          </w:tcPr>
          <w:p w14:paraId="40A73B62">
            <w:pPr>
              <w:pStyle w:val="19"/>
              <w:bidi w:val="0"/>
              <w:jc w:val="center"/>
            </w:pPr>
            <w:r>
              <w:t>1.3μg/kg</w:t>
            </w:r>
          </w:p>
        </w:tc>
      </w:tr>
      <w:tr w14:paraId="4F8A1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B2FA036">
            <w:pPr>
              <w:pStyle w:val="19"/>
              <w:bidi w:val="0"/>
              <w:jc w:val="center"/>
            </w:pPr>
          </w:p>
        </w:tc>
        <w:tc>
          <w:tcPr>
            <w:tcW w:w="1500" w:type="dxa"/>
            <w:gridSpan w:val="2"/>
            <w:vAlign w:val="center"/>
          </w:tcPr>
          <w:p w14:paraId="24AB8E15">
            <w:pPr>
              <w:pStyle w:val="19"/>
              <w:bidi w:val="0"/>
              <w:jc w:val="center"/>
            </w:pPr>
            <w:r>
              <w:t>苯乙烯</w:t>
            </w:r>
          </w:p>
        </w:tc>
        <w:tc>
          <w:tcPr>
            <w:tcW w:w="5482" w:type="dxa"/>
            <w:vMerge w:val="continue"/>
            <w:vAlign w:val="center"/>
          </w:tcPr>
          <w:p w14:paraId="1F350B4C">
            <w:pPr>
              <w:pStyle w:val="19"/>
              <w:bidi w:val="0"/>
              <w:jc w:val="center"/>
            </w:pPr>
          </w:p>
        </w:tc>
        <w:tc>
          <w:tcPr>
            <w:tcW w:w="0" w:type="auto"/>
            <w:vAlign w:val="center"/>
          </w:tcPr>
          <w:p w14:paraId="09C44806">
            <w:pPr>
              <w:pStyle w:val="19"/>
              <w:bidi w:val="0"/>
              <w:jc w:val="center"/>
            </w:pPr>
            <w:r>
              <w:t>气相色谱-质谱联用仪</w:t>
            </w:r>
          </w:p>
          <w:p w14:paraId="3479CE12">
            <w:pPr>
              <w:pStyle w:val="19"/>
              <w:bidi w:val="0"/>
              <w:jc w:val="center"/>
            </w:pPr>
            <w:r>
              <w:t>GCMS-QP2010SE</w:t>
            </w:r>
          </w:p>
        </w:tc>
        <w:tc>
          <w:tcPr>
            <w:tcW w:w="1307" w:type="dxa"/>
            <w:vAlign w:val="center"/>
          </w:tcPr>
          <w:p w14:paraId="39593378">
            <w:pPr>
              <w:pStyle w:val="19"/>
              <w:bidi w:val="0"/>
              <w:jc w:val="center"/>
            </w:pPr>
            <w:r>
              <w:t>XSJS/YQ-73</w:t>
            </w:r>
          </w:p>
        </w:tc>
        <w:tc>
          <w:tcPr>
            <w:tcW w:w="1283" w:type="dxa"/>
            <w:vAlign w:val="center"/>
          </w:tcPr>
          <w:p w14:paraId="4FE09FEE">
            <w:pPr>
              <w:pStyle w:val="19"/>
              <w:bidi w:val="0"/>
              <w:jc w:val="center"/>
            </w:pPr>
            <w:r>
              <w:t>1.6μg/kg</w:t>
            </w:r>
          </w:p>
        </w:tc>
      </w:tr>
      <w:tr w14:paraId="0620B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45C7B509">
            <w:pPr>
              <w:pStyle w:val="19"/>
              <w:bidi w:val="0"/>
              <w:jc w:val="center"/>
            </w:pPr>
          </w:p>
        </w:tc>
        <w:tc>
          <w:tcPr>
            <w:tcW w:w="1500" w:type="dxa"/>
            <w:gridSpan w:val="2"/>
            <w:vAlign w:val="center"/>
          </w:tcPr>
          <w:p w14:paraId="76217705">
            <w:pPr>
              <w:pStyle w:val="19"/>
              <w:bidi w:val="0"/>
              <w:jc w:val="center"/>
            </w:pPr>
            <w:r>
              <w:t>1,1,2,2-四氯乙烷</w:t>
            </w:r>
          </w:p>
        </w:tc>
        <w:tc>
          <w:tcPr>
            <w:tcW w:w="5482" w:type="dxa"/>
            <w:vMerge w:val="continue"/>
            <w:vAlign w:val="center"/>
          </w:tcPr>
          <w:p w14:paraId="76F85018">
            <w:pPr>
              <w:pStyle w:val="19"/>
              <w:bidi w:val="0"/>
              <w:jc w:val="center"/>
            </w:pPr>
          </w:p>
        </w:tc>
        <w:tc>
          <w:tcPr>
            <w:tcW w:w="0" w:type="auto"/>
            <w:vAlign w:val="center"/>
          </w:tcPr>
          <w:p w14:paraId="396A6AFB">
            <w:pPr>
              <w:pStyle w:val="19"/>
              <w:bidi w:val="0"/>
              <w:jc w:val="center"/>
            </w:pPr>
            <w:r>
              <w:t>气相色谱-质谱联用仪</w:t>
            </w:r>
          </w:p>
          <w:p w14:paraId="2C065034">
            <w:pPr>
              <w:pStyle w:val="19"/>
              <w:bidi w:val="0"/>
              <w:jc w:val="center"/>
            </w:pPr>
            <w:r>
              <w:t>GCMS-QP2010SE</w:t>
            </w:r>
          </w:p>
        </w:tc>
        <w:tc>
          <w:tcPr>
            <w:tcW w:w="1307" w:type="dxa"/>
            <w:vAlign w:val="center"/>
          </w:tcPr>
          <w:p w14:paraId="62E5D65B">
            <w:pPr>
              <w:pStyle w:val="19"/>
              <w:bidi w:val="0"/>
              <w:jc w:val="center"/>
            </w:pPr>
            <w:r>
              <w:t>XSJS/YQ-73</w:t>
            </w:r>
          </w:p>
        </w:tc>
        <w:tc>
          <w:tcPr>
            <w:tcW w:w="1283" w:type="dxa"/>
            <w:vAlign w:val="center"/>
          </w:tcPr>
          <w:p w14:paraId="0779A34A">
            <w:pPr>
              <w:pStyle w:val="19"/>
              <w:bidi w:val="0"/>
              <w:jc w:val="center"/>
            </w:pPr>
            <w:r>
              <w:t>1.0μg/kg</w:t>
            </w:r>
          </w:p>
        </w:tc>
      </w:tr>
      <w:tr w14:paraId="18A26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E2CEBB4">
            <w:pPr>
              <w:pStyle w:val="19"/>
              <w:bidi w:val="0"/>
              <w:jc w:val="center"/>
            </w:pPr>
          </w:p>
        </w:tc>
        <w:tc>
          <w:tcPr>
            <w:tcW w:w="1500" w:type="dxa"/>
            <w:gridSpan w:val="2"/>
            <w:vAlign w:val="center"/>
          </w:tcPr>
          <w:p w14:paraId="16043045">
            <w:pPr>
              <w:pStyle w:val="19"/>
              <w:bidi w:val="0"/>
              <w:jc w:val="center"/>
            </w:pPr>
            <w:r>
              <w:t>1,2,3-三氯丙烷</w:t>
            </w:r>
          </w:p>
        </w:tc>
        <w:tc>
          <w:tcPr>
            <w:tcW w:w="5482" w:type="dxa"/>
            <w:vMerge w:val="continue"/>
            <w:vAlign w:val="center"/>
          </w:tcPr>
          <w:p w14:paraId="0A46BF08">
            <w:pPr>
              <w:pStyle w:val="19"/>
              <w:bidi w:val="0"/>
              <w:jc w:val="center"/>
            </w:pPr>
          </w:p>
        </w:tc>
        <w:tc>
          <w:tcPr>
            <w:tcW w:w="0" w:type="auto"/>
            <w:vAlign w:val="center"/>
          </w:tcPr>
          <w:p w14:paraId="1D5D088E">
            <w:pPr>
              <w:pStyle w:val="19"/>
              <w:bidi w:val="0"/>
              <w:jc w:val="center"/>
            </w:pPr>
            <w:r>
              <w:t>气相色谱-质谱联用仪</w:t>
            </w:r>
          </w:p>
          <w:p w14:paraId="3BF00F6A">
            <w:pPr>
              <w:pStyle w:val="19"/>
              <w:bidi w:val="0"/>
              <w:jc w:val="center"/>
            </w:pPr>
            <w:r>
              <w:t>GCMS-QP2010SE</w:t>
            </w:r>
          </w:p>
        </w:tc>
        <w:tc>
          <w:tcPr>
            <w:tcW w:w="1307" w:type="dxa"/>
            <w:vAlign w:val="center"/>
          </w:tcPr>
          <w:p w14:paraId="338DCC68">
            <w:pPr>
              <w:pStyle w:val="19"/>
              <w:bidi w:val="0"/>
              <w:jc w:val="center"/>
            </w:pPr>
            <w:r>
              <w:t>XSJS/YQ-73</w:t>
            </w:r>
          </w:p>
        </w:tc>
        <w:tc>
          <w:tcPr>
            <w:tcW w:w="1283" w:type="dxa"/>
            <w:vAlign w:val="center"/>
          </w:tcPr>
          <w:p w14:paraId="6FFDC8F9">
            <w:pPr>
              <w:pStyle w:val="19"/>
              <w:bidi w:val="0"/>
              <w:jc w:val="center"/>
            </w:pPr>
            <w:r>
              <w:t>1.0μg/kg</w:t>
            </w:r>
          </w:p>
        </w:tc>
      </w:tr>
      <w:tr w14:paraId="5B3A5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F378932">
            <w:pPr>
              <w:pStyle w:val="19"/>
              <w:bidi w:val="0"/>
              <w:jc w:val="center"/>
            </w:pPr>
          </w:p>
        </w:tc>
        <w:tc>
          <w:tcPr>
            <w:tcW w:w="1500" w:type="dxa"/>
            <w:gridSpan w:val="2"/>
            <w:vAlign w:val="center"/>
          </w:tcPr>
          <w:p w14:paraId="6103EA3E">
            <w:pPr>
              <w:pStyle w:val="19"/>
              <w:bidi w:val="0"/>
              <w:jc w:val="center"/>
            </w:pPr>
            <w:r>
              <w:t>1,4-二氯苯</w:t>
            </w:r>
          </w:p>
        </w:tc>
        <w:tc>
          <w:tcPr>
            <w:tcW w:w="5482" w:type="dxa"/>
            <w:vMerge w:val="continue"/>
            <w:vAlign w:val="center"/>
          </w:tcPr>
          <w:p w14:paraId="1FA1F91B">
            <w:pPr>
              <w:pStyle w:val="19"/>
              <w:bidi w:val="0"/>
              <w:jc w:val="center"/>
            </w:pPr>
          </w:p>
        </w:tc>
        <w:tc>
          <w:tcPr>
            <w:tcW w:w="0" w:type="auto"/>
            <w:vAlign w:val="center"/>
          </w:tcPr>
          <w:p w14:paraId="4D4AF7E0">
            <w:pPr>
              <w:pStyle w:val="19"/>
              <w:bidi w:val="0"/>
              <w:jc w:val="center"/>
            </w:pPr>
            <w:r>
              <w:t>气相色谱-质谱联用仪</w:t>
            </w:r>
          </w:p>
          <w:p w14:paraId="469C95D0">
            <w:pPr>
              <w:pStyle w:val="19"/>
              <w:bidi w:val="0"/>
              <w:jc w:val="center"/>
            </w:pPr>
            <w:r>
              <w:t>GCMS-QP2010SE</w:t>
            </w:r>
          </w:p>
        </w:tc>
        <w:tc>
          <w:tcPr>
            <w:tcW w:w="1307" w:type="dxa"/>
            <w:vAlign w:val="center"/>
          </w:tcPr>
          <w:p w14:paraId="5FEC2AC6">
            <w:pPr>
              <w:pStyle w:val="19"/>
              <w:bidi w:val="0"/>
              <w:jc w:val="center"/>
            </w:pPr>
            <w:r>
              <w:t>XSJS/YQ-73</w:t>
            </w:r>
          </w:p>
        </w:tc>
        <w:tc>
          <w:tcPr>
            <w:tcW w:w="1283" w:type="dxa"/>
            <w:vAlign w:val="center"/>
          </w:tcPr>
          <w:p w14:paraId="6802AC0D">
            <w:pPr>
              <w:pStyle w:val="19"/>
              <w:bidi w:val="0"/>
              <w:jc w:val="center"/>
            </w:pPr>
            <w:r>
              <w:t>1.2μg/kg</w:t>
            </w:r>
          </w:p>
        </w:tc>
      </w:tr>
      <w:tr w14:paraId="0E726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94A5068">
            <w:pPr>
              <w:pStyle w:val="19"/>
              <w:bidi w:val="0"/>
              <w:jc w:val="center"/>
            </w:pPr>
          </w:p>
        </w:tc>
        <w:tc>
          <w:tcPr>
            <w:tcW w:w="1500" w:type="dxa"/>
            <w:gridSpan w:val="2"/>
            <w:vAlign w:val="center"/>
          </w:tcPr>
          <w:p w14:paraId="4D70D09B">
            <w:pPr>
              <w:pStyle w:val="19"/>
              <w:bidi w:val="0"/>
              <w:jc w:val="center"/>
            </w:pPr>
            <w:r>
              <w:t>1,2-二氯苯</w:t>
            </w:r>
          </w:p>
        </w:tc>
        <w:tc>
          <w:tcPr>
            <w:tcW w:w="5482" w:type="dxa"/>
            <w:vMerge w:val="continue"/>
            <w:vAlign w:val="center"/>
          </w:tcPr>
          <w:p w14:paraId="5B5F11D5">
            <w:pPr>
              <w:pStyle w:val="19"/>
              <w:bidi w:val="0"/>
              <w:jc w:val="center"/>
            </w:pPr>
          </w:p>
        </w:tc>
        <w:tc>
          <w:tcPr>
            <w:tcW w:w="0" w:type="auto"/>
            <w:vAlign w:val="center"/>
          </w:tcPr>
          <w:p w14:paraId="1F17AF14">
            <w:pPr>
              <w:pStyle w:val="19"/>
              <w:bidi w:val="0"/>
              <w:jc w:val="center"/>
            </w:pPr>
            <w:r>
              <w:t>气相色谱-质谱联用仪</w:t>
            </w:r>
          </w:p>
          <w:p w14:paraId="0FACE29D">
            <w:pPr>
              <w:pStyle w:val="19"/>
              <w:bidi w:val="0"/>
              <w:jc w:val="center"/>
            </w:pPr>
            <w:r>
              <w:t>GCMS-QP2010SE</w:t>
            </w:r>
          </w:p>
        </w:tc>
        <w:tc>
          <w:tcPr>
            <w:tcW w:w="1307" w:type="dxa"/>
            <w:vAlign w:val="center"/>
          </w:tcPr>
          <w:p w14:paraId="1AEE4FA0">
            <w:pPr>
              <w:pStyle w:val="19"/>
              <w:bidi w:val="0"/>
              <w:jc w:val="center"/>
            </w:pPr>
            <w:r>
              <w:t>XSJS/YQ-73</w:t>
            </w:r>
          </w:p>
        </w:tc>
        <w:tc>
          <w:tcPr>
            <w:tcW w:w="1283" w:type="dxa"/>
            <w:vAlign w:val="center"/>
          </w:tcPr>
          <w:p w14:paraId="47D7ACFF">
            <w:pPr>
              <w:pStyle w:val="19"/>
              <w:bidi w:val="0"/>
              <w:jc w:val="center"/>
            </w:pPr>
            <w:r>
              <w:t>1.0μg/kg</w:t>
            </w:r>
          </w:p>
        </w:tc>
      </w:tr>
      <w:tr w14:paraId="55E93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F6F9F4B">
            <w:pPr>
              <w:pStyle w:val="19"/>
              <w:bidi w:val="0"/>
              <w:jc w:val="center"/>
            </w:pPr>
          </w:p>
        </w:tc>
        <w:tc>
          <w:tcPr>
            <w:tcW w:w="1500" w:type="dxa"/>
            <w:gridSpan w:val="2"/>
            <w:vAlign w:val="center"/>
          </w:tcPr>
          <w:p w14:paraId="56ED0636">
            <w:pPr>
              <w:pStyle w:val="19"/>
              <w:bidi w:val="0"/>
              <w:jc w:val="center"/>
            </w:pPr>
            <w:r>
              <w:t>氯甲烷</w:t>
            </w:r>
          </w:p>
        </w:tc>
        <w:tc>
          <w:tcPr>
            <w:tcW w:w="5482" w:type="dxa"/>
            <w:vAlign w:val="center"/>
          </w:tcPr>
          <w:p w14:paraId="1C2FB485">
            <w:pPr>
              <w:pStyle w:val="19"/>
              <w:bidi w:val="0"/>
              <w:jc w:val="center"/>
            </w:pPr>
            <w:r>
              <w:t>土壤和沉积物挥发性卤代烃的测定 顶空/气相色谱-质谱法HJ736-2015</w:t>
            </w:r>
          </w:p>
        </w:tc>
        <w:tc>
          <w:tcPr>
            <w:tcW w:w="0" w:type="auto"/>
            <w:vAlign w:val="center"/>
          </w:tcPr>
          <w:p w14:paraId="7D0B44D7">
            <w:pPr>
              <w:pStyle w:val="19"/>
              <w:bidi w:val="0"/>
              <w:jc w:val="center"/>
            </w:pPr>
            <w:r>
              <w:t>气相色谱-质谱联用仪</w:t>
            </w:r>
          </w:p>
          <w:p w14:paraId="606EC923">
            <w:pPr>
              <w:pStyle w:val="19"/>
              <w:bidi w:val="0"/>
              <w:jc w:val="center"/>
            </w:pPr>
            <w:r>
              <w:t>GCMS-QP2010SE</w:t>
            </w:r>
          </w:p>
        </w:tc>
        <w:tc>
          <w:tcPr>
            <w:tcW w:w="1307" w:type="dxa"/>
            <w:vAlign w:val="center"/>
          </w:tcPr>
          <w:p w14:paraId="4BA4D6E3">
            <w:pPr>
              <w:pStyle w:val="19"/>
              <w:bidi w:val="0"/>
              <w:jc w:val="center"/>
            </w:pPr>
            <w:r>
              <w:t>XSJS/YQ-73</w:t>
            </w:r>
          </w:p>
        </w:tc>
        <w:tc>
          <w:tcPr>
            <w:tcW w:w="1283" w:type="dxa"/>
            <w:vAlign w:val="center"/>
          </w:tcPr>
          <w:p w14:paraId="7C18EB15">
            <w:pPr>
              <w:pStyle w:val="19"/>
              <w:bidi w:val="0"/>
              <w:jc w:val="center"/>
            </w:pPr>
            <w:r>
              <w:t>3.0μg/kg</w:t>
            </w:r>
          </w:p>
        </w:tc>
      </w:tr>
      <w:tr w14:paraId="7C112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EBEE93F">
            <w:pPr>
              <w:pStyle w:val="19"/>
              <w:bidi w:val="0"/>
              <w:jc w:val="center"/>
            </w:pPr>
          </w:p>
        </w:tc>
        <w:tc>
          <w:tcPr>
            <w:tcW w:w="1500" w:type="dxa"/>
            <w:gridSpan w:val="2"/>
            <w:vAlign w:val="center"/>
          </w:tcPr>
          <w:p w14:paraId="5995D733">
            <w:pPr>
              <w:pStyle w:val="19"/>
              <w:bidi w:val="0"/>
              <w:jc w:val="center"/>
            </w:pPr>
            <w:r>
              <w:t>硝基苯</w:t>
            </w:r>
          </w:p>
        </w:tc>
        <w:tc>
          <w:tcPr>
            <w:tcW w:w="5482" w:type="dxa"/>
            <w:vMerge w:val="restart"/>
            <w:vAlign w:val="center"/>
          </w:tcPr>
          <w:p w14:paraId="29C14164">
            <w:pPr>
              <w:pStyle w:val="19"/>
              <w:bidi w:val="0"/>
              <w:jc w:val="center"/>
            </w:pPr>
            <w:r>
              <w:t>土壤和沉积物半挥发性有机物的测 定气相色谱-质谱法HJ834-2017</w:t>
            </w:r>
          </w:p>
        </w:tc>
        <w:tc>
          <w:tcPr>
            <w:tcW w:w="0" w:type="auto"/>
            <w:vAlign w:val="center"/>
          </w:tcPr>
          <w:p w14:paraId="792628EF">
            <w:pPr>
              <w:pStyle w:val="19"/>
              <w:bidi w:val="0"/>
              <w:jc w:val="center"/>
            </w:pPr>
            <w:r>
              <w:t>气相色谱-质谱联 用仪QP-2010</w:t>
            </w:r>
          </w:p>
        </w:tc>
        <w:tc>
          <w:tcPr>
            <w:tcW w:w="1307" w:type="dxa"/>
            <w:vAlign w:val="center"/>
          </w:tcPr>
          <w:p w14:paraId="16899484">
            <w:pPr>
              <w:pStyle w:val="19"/>
              <w:bidi w:val="0"/>
              <w:jc w:val="center"/>
            </w:pPr>
            <w:r>
              <w:t>XSJS/YQ-179</w:t>
            </w:r>
          </w:p>
        </w:tc>
        <w:tc>
          <w:tcPr>
            <w:tcW w:w="1283" w:type="dxa"/>
            <w:vAlign w:val="center"/>
          </w:tcPr>
          <w:p w14:paraId="64AD16AE">
            <w:pPr>
              <w:pStyle w:val="19"/>
              <w:bidi w:val="0"/>
              <w:jc w:val="center"/>
            </w:pPr>
            <w:r>
              <w:t>0.09mg/kg</w:t>
            </w:r>
          </w:p>
        </w:tc>
      </w:tr>
      <w:tr w14:paraId="0641D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CF8AA3A">
            <w:pPr>
              <w:pStyle w:val="19"/>
              <w:bidi w:val="0"/>
              <w:jc w:val="center"/>
            </w:pPr>
          </w:p>
        </w:tc>
        <w:tc>
          <w:tcPr>
            <w:tcW w:w="1500" w:type="dxa"/>
            <w:gridSpan w:val="2"/>
            <w:vAlign w:val="center"/>
          </w:tcPr>
          <w:p w14:paraId="4E843794">
            <w:pPr>
              <w:pStyle w:val="19"/>
              <w:bidi w:val="0"/>
              <w:jc w:val="center"/>
            </w:pPr>
            <w:r>
              <w:t>苯胺</w:t>
            </w:r>
          </w:p>
        </w:tc>
        <w:tc>
          <w:tcPr>
            <w:tcW w:w="5482" w:type="dxa"/>
            <w:vMerge w:val="continue"/>
            <w:vAlign w:val="center"/>
          </w:tcPr>
          <w:p w14:paraId="25DADB91">
            <w:pPr>
              <w:pStyle w:val="19"/>
              <w:bidi w:val="0"/>
              <w:jc w:val="center"/>
            </w:pPr>
          </w:p>
        </w:tc>
        <w:tc>
          <w:tcPr>
            <w:tcW w:w="0" w:type="auto"/>
            <w:vAlign w:val="center"/>
          </w:tcPr>
          <w:p w14:paraId="72FD3CEA">
            <w:pPr>
              <w:pStyle w:val="19"/>
              <w:bidi w:val="0"/>
              <w:jc w:val="center"/>
            </w:pPr>
            <w:r>
              <w:t>气相色谱-质谱联 用仪QP-2010</w:t>
            </w:r>
          </w:p>
        </w:tc>
        <w:tc>
          <w:tcPr>
            <w:tcW w:w="1307" w:type="dxa"/>
            <w:vAlign w:val="center"/>
          </w:tcPr>
          <w:p w14:paraId="509DA9D3">
            <w:pPr>
              <w:pStyle w:val="19"/>
              <w:bidi w:val="0"/>
              <w:jc w:val="center"/>
            </w:pPr>
            <w:r>
              <w:t>XSJS/YQ-179</w:t>
            </w:r>
          </w:p>
        </w:tc>
        <w:tc>
          <w:tcPr>
            <w:tcW w:w="1283" w:type="dxa"/>
            <w:vAlign w:val="center"/>
          </w:tcPr>
          <w:p w14:paraId="47422B37">
            <w:pPr>
              <w:pStyle w:val="19"/>
              <w:bidi w:val="0"/>
              <w:jc w:val="center"/>
            </w:pPr>
            <w:r>
              <w:t>3.78mg/kg</w:t>
            </w:r>
          </w:p>
        </w:tc>
      </w:tr>
      <w:tr w14:paraId="15E17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3B362ED0">
            <w:pPr>
              <w:pStyle w:val="19"/>
              <w:bidi w:val="0"/>
              <w:jc w:val="center"/>
            </w:pPr>
          </w:p>
        </w:tc>
        <w:tc>
          <w:tcPr>
            <w:tcW w:w="1500" w:type="dxa"/>
            <w:gridSpan w:val="2"/>
            <w:vAlign w:val="center"/>
          </w:tcPr>
          <w:p w14:paraId="531DDEF6">
            <w:pPr>
              <w:pStyle w:val="19"/>
              <w:bidi w:val="0"/>
              <w:jc w:val="center"/>
            </w:pPr>
            <w:r>
              <w:t>2-氯苯酚</w:t>
            </w:r>
          </w:p>
        </w:tc>
        <w:tc>
          <w:tcPr>
            <w:tcW w:w="5482" w:type="dxa"/>
            <w:vMerge w:val="continue"/>
            <w:vAlign w:val="center"/>
          </w:tcPr>
          <w:p w14:paraId="4D26817E">
            <w:pPr>
              <w:pStyle w:val="19"/>
              <w:bidi w:val="0"/>
              <w:jc w:val="center"/>
            </w:pPr>
          </w:p>
        </w:tc>
        <w:tc>
          <w:tcPr>
            <w:tcW w:w="0" w:type="auto"/>
            <w:vAlign w:val="center"/>
          </w:tcPr>
          <w:p w14:paraId="505449B6">
            <w:pPr>
              <w:pStyle w:val="19"/>
              <w:bidi w:val="0"/>
              <w:jc w:val="center"/>
            </w:pPr>
            <w:r>
              <w:t>气相色谱-质谱联 用仪QP-2010</w:t>
            </w:r>
          </w:p>
        </w:tc>
        <w:tc>
          <w:tcPr>
            <w:tcW w:w="1307" w:type="dxa"/>
            <w:vAlign w:val="center"/>
          </w:tcPr>
          <w:p w14:paraId="43A9737E">
            <w:pPr>
              <w:pStyle w:val="19"/>
              <w:bidi w:val="0"/>
              <w:jc w:val="center"/>
            </w:pPr>
            <w:r>
              <w:t>XSJS/YQ-179</w:t>
            </w:r>
          </w:p>
        </w:tc>
        <w:tc>
          <w:tcPr>
            <w:tcW w:w="1283" w:type="dxa"/>
            <w:vAlign w:val="center"/>
          </w:tcPr>
          <w:p w14:paraId="5E4FA292">
            <w:pPr>
              <w:pStyle w:val="19"/>
              <w:bidi w:val="0"/>
              <w:jc w:val="center"/>
            </w:pPr>
            <w:r>
              <w:t>0.06mg/kg</w:t>
            </w:r>
          </w:p>
        </w:tc>
      </w:tr>
      <w:tr w14:paraId="202C1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09284E4">
            <w:pPr>
              <w:pStyle w:val="19"/>
              <w:bidi w:val="0"/>
              <w:jc w:val="center"/>
            </w:pPr>
          </w:p>
        </w:tc>
        <w:tc>
          <w:tcPr>
            <w:tcW w:w="1500" w:type="dxa"/>
            <w:gridSpan w:val="2"/>
            <w:vAlign w:val="center"/>
          </w:tcPr>
          <w:p w14:paraId="55D091D0">
            <w:pPr>
              <w:pStyle w:val="19"/>
              <w:bidi w:val="0"/>
              <w:jc w:val="center"/>
            </w:pPr>
            <w:r>
              <w:t>苯并[a]蒽</w:t>
            </w:r>
          </w:p>
        </w:tc>
        <w:tc>
          <w:tcPr>
            <w:tcW w:w="5482" w:type="dxa"/>
            <w:vMerge w:val="continue"/>
            <w:vAlign w:val="center"/>
          </w:tcPr>
          <w:p w14:paraId="544B2DE7">
            <w:pPr>
              <w:pStyle w:val="19"/>
              <w:bidi w:val="0"/>
              <w:jc w:val="center"/>
            </w:pPr>
          </w:p>
        </w:tc>
        <w:tc>
          <w:tcPr>
            <w:tcW w:w="0" w:type="auto"/>
            <w:vAlign w:val="center"/>
          </w:tcPr>
          <w:p w14:paraId="31BCC061">
            <w:pPr>
              <w:pStyle w:val="19"/>
              <w:bidi w:val="0"/>
              <w:jc w:val="center"/>
            </w:pPr>
            <w:r>
              <w:t>气相色谱-质谱联 用仪QP-2010</w:t>
            </w:r>
          </w:p>
        </w:tc>
        <w:tc>
          <w:tcPr>
            <w:tcW w:w="1307" w:type="dxa"/>
            <w:vAlign w:val="center"/>
          </w:tcPr>
          <w:p w14:paraId="71DBAD87">
            <w:pPr>
              <w:pStyle w:val="19"/>
              <w:bidi w:val="0"/>
              <w:jc w:val="center"/>
            </w:pPr>
            <w:r>
              <w:t>XSJS/YQ-179</w:t>
            </w:r>
          </w:p>
        </w:tc>
        <w:tc>
          <w:tcPr>
            <w:tcW w:w="1283" w:type="dxa"/>
            <w:vAlign w:val="center"/>
          </w:tcPr>
          <w:p w14:paraId="2879E2F0">
            <w:pPr>
              <w:pStyle w:val="19"/>
              <w:bidi w:val="0"/>
              <w:jc w:val="center"/>
            </w:pPr>
            <w:r>
              <w:t>0.1mg/kg</w:t>
            </w:r>
          </w:p>
        </w:tc>
      </w:tr>
      <w:tr w14:paraId="57E5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1470BADE">
            <w:pPr>
              <w:pStyle w:val="19"/>
              <w:bidi w:val="0"/>
              <w:jc w:val="center"/>
            </w:pPr>
          </w:p>
        </w:tc>
        <w:tc>
          <w:tcPr>
            <w:tcW w:w="1500" w:type="dxa"/>
            <w:gridSpan w:val="2"/>
            <w:vAlign w:val="center"/>
          </w:tcPr>
          <w:p w14:paraId="1981C2CE">
            <w:pPr>
              <w:pStyle w:val="19"/>
              <w:bidi w:val="0"/>
              <w:jc w:val="center"/>
            </w:pPr>
            <w:r>
              <w:t>苯并[a]芘</w:t>
            </w:r>
          </w:p>
        </w:tc>
        <w:tc>
          <w:tcPr>
            <w:tcW w:w="5482" w:type="dxa"/>
            <w:vMerge w:val="continue"/>
            <w:vAlign w:val="center"/>
          </w:tcPr>
          <w:p w14:paraId="0CD678E3">
            <w:pPr>
              <w:pStyle w:val="19"/>
              <w:bidi w:val="0"/>
              <w:jc w:val="center"/>
            </w:pPr>
          </w:p>
        </w:tc>
        <w:tc>
          <w:tcPr>
            <w:tcW w:w="0" w:type="auto"/>
            <w:vAlign w:val="center"/>
          </w:tcPr>
          <w:p w14:paraId="2B9251E7">
            <w:pPr>
              <w:pStyle w:val="19"/>
              <w:bidi w:val="0"/>
              <w:jc w:val="center"/>
            </w:pPr>
            <w:r>
              <w:t>气相色谱-质谱联 用仪QP-2010</w:t>
            </w:r>
          </w:p>
        </w:tc>
        <w:tc>
          <w:tcPr>
            <w:tcW w:w="1307" w:type="dxa"/>
            <w:vAlign w:val="center"/>
          </w:tcPr>
          <w:p w14:paraId="17455C4D">
            <w:pPr>
              <w:pStyle w:val="19"/>
              <w:bidi w:val="0"/>
              <w:jc w:val="center"/>
            </w:pPr>
            <w:r>
              <w:t>XSJS/YQ-179</w:t>
            </w:r>
          </w:p>
        </w:tc>
        <w:tc>
          <w:tcPr>
            <w:tcW w:w="1283" w:type="dxa"/>
            <w:vAlign w:val="center"/>
          </w:tcPr>
          <w:p w14:paraId="55655B1E">
            <w:pPr>
              <w:pStyle w:val="19"/>
              <w:bidi w:val="0"/>
              <w:jc w:val="center"/>
            </w:pPr>
            <w:r>
              <w:t>0.1mg/kg</w:t>
            </w:r>
          </w:p>
        </w:tc>
      </w:tr>
      <w:tr w14:paraId="03145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33BC4E9">
            <w:pPr>
              <w:pStyle w:val="19"/>
              <w:bidi w:val="0"/>
              <w:jc w:val="center"/>
            </w:pPr>
          </w:p>
        </w:tc>
        <w:tc>
          <w:tcPr>
            <w:tcW w:w="1500" w:type="dxa"/>
            <w:gridSpan w:val="2"/>
            <w:vAlign w:val="center"/>
          </w:tcPr>
          <w:p w14:paraId="655DA5F0">
            <w:pPr>
              <w:pStyle w:val="19"/>
              <w:bidi w:val="0"/>
              <w:jc w:val="center"/>
            </w:pPr>
            <w:r>
              <w:t>苯并[b]荧蒽</w:t>
            </w:r>
          </w:p>
        </w:tc>
        <w:tc>
          <w:tcPr>
            <w:tcW w:w="5482" w:type="dxa"/>
            <w:vMerge w:val="continue"/>
            <w:vAlign w:val="center"/>
          </w:tcPr>
          <w:p w14:paraId="2A46601E">
            <w:pPr>
              <w:pStyle w:val="19"/>
              <w:bidi w:val="0"/>
              <w:jc w:val="center"/>
            </w:pPr>
          </w:p>
        </w:tc>
        <w:tc>
          <w:tcPr>
            <w:tcW w:w="0" w:type="auto"/>
            <w:vAlign w:val="center"/>
          </w:tcPr>
          <w:p w14:paraId="15A0C304">
            <w:pPr>
              <w:pStyle w:val="19"/>
              <w:bidi w:val="0"/>
              <w:jc w:val="center"/>
            </w:pPr>
            <w:r>
              <w:t>气相色谱-质谱联 用仪QP-2010</w:t>
            </w:r>
          </w:p>
        </w:tc>
        <w:tc>
          <w:tcPr>
            <w:tcW w:w="1307" w:type="dxa"/>
            <w:vAlign w:val="center"/>
          </w:tcPr>
          <w:p w14:paraId="76DBCF1C">
            <w:pPr>
              <w:pStyle w:val="19"/>
              <w:bidi w:val="0"/>
              <w:jc w:val="center"/>
            </w:pPr>
            <w:r>
              <w:t>XSJS/YQ-179</w:t>
            </w:r>
          </w:p>
        </w:tc>
        <w:tc>
          <w:tcPr>
            <w:tcW w:w="1283" w:type="dxa"/>
            <w:vAlign w:val="center"/>
          </w:tcPr>
          <w:p w14:paraId="46D0E961">
            <w:pPr>
              <w:pStyle w:val="19"/>
              <w:bidi w:val="0"/>
              <w:jc w:val="center"/>
            </w:pPr>
            <w:r>
              <w:t>0.2mg/kg</w:t>
            </w:r>
          </w:p>
        </w:tc>
      </w:tr>
      <w:tr w14:paraId="1014C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51D86732">
            <w:pPr>
              <w:pStyle w:val="19"/>
              <w:bidi w:val="0"/>
              <w:jc w:val="center"/>
            </w:pPr>
          </w:p>
        </w:tc>
        <w:tc>
          <w:tcPr>
            <w:tcW w:w="1500" w:type="dxa"/>
            <w:gridSpan w:val="2"/>
            <w:vAlign w:val="center"/>
          </w:tcPr>
          <w:p w14:paraId="21B5CA8B">
            <w:pPr>
              <w:pStyle w:val="19"/>
              <w:bidi w:val="0"/>
              <w:jc w:val="center"/>
            </w:pPr>
            <w:r>
              <w:t>苯并[k]荧蒽</w:t>
            </w:r>
          </w:p>
        </w:tc>
        <w:tc>
          <w:tcPr>
            <w:tcW w:w="5482" w:type="dxa"/>
            <w:vMerge w:val="continue"/>
            <w:vAlign w:val="center"/>
          </w:tcPr>
          <w:p w14:paraId="37061328">
            <w:pPr>
              <w:pStyle w:val="19"/>
              <w:bidi w:val="0"/>
              <w:jc w:val="center"/>
            </w:pPr>
          </w:p>
        </w:tc>
        <w:tc>
          <w:tcPr>
            <w:tcW w:w="0" w:type="auto"/>
            <w:vAlign w:val="center"/>
          </w:tcPr>
          <w:p w14:paraId="7F517AF3">
            <w:pPr>
              <w:pStyle w:val="19"/>
              <w:bidi w:val="0"/>
              <w:jc w:val="center"/>
            </w:pPr>
            <w:r>
              <w:t>气相色谱-质谱联 用仪QP-2010</w:t>
            </w:r>
          </w:p>
        </w:tc>
        <w:tc>
          <w:tcPr>
            <w:tcW w:w="1307" w:type="dxa"/>
            <w:vAlign w:val="center"/>
          </w:tcPr>
          <w:p w14:paraId="48933CE3">
            <w:pPr>
              <w:pStyle w:val="19"/>
              <w:bidi w:val="0"/>
              <w:jc w:val="center"/>
            </w:pPr>
            <w:r>
              <w:t>XSJS/YQ-179</w:t>
            </w:r>
          </w:p>
        </w:tc>
        <w:tc>
          <w:tcPr>
            <w:tcW w:w="1283" w:type="dxa"/>
            <w:vAlign w:val="center"/>
          </w:tcPr>
          <w:p w14:paraId="7DD0F614">
            <w:pPr>
              <w:pStyle w:val="19"/>
              <w:bidi w:val="0"/>
              <w:jc w:val="center"/>
            </w:pPr>
            <w:r>
              <w:t>0.1mg/kg</w:t>
            </w:r>
          </w:p>
        </w:tc>
      </w:tr>
      <w:tr w14:paraId="6653A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033D599B">
            <w:pPr>
              <w:pStyle w:val="19"/>
              <w:bidi w:val="0"/>
              <w:jc w:val="center"/>
            </w:pPr>
          </w:p>
        </w:tc>
        <w:tc>
          <w:tcPr>
            <w:tcW w:w="1500" w:type="dxa"/>
            <w:gridSpan w:val="2"/>
            <w:vAlign w:val="center"/>
          </w:tcPr>
          <w:p w14:paraId="274BC39F">
            <w:pPr>
              <w:pStyle w:val="19"/>
              <w:bidi w:val="0"/>
              <w:jc w:val="center"/>
            </w:pPr>
            <w:r>
              <w:t>茁</w:t>
            </w:r>
          </w:p>
        </w:tc>
        <w:tc>
          <w:tcPr>
            <w:tcW w:w="5482" w:type="dxa"/>
            <w:vMerge w:val="continue"/>
            <w:vAlign w:val="center"/>
          </w:tcPr>
          <w:p w14:paraId="7DACF45B">
            <w:pPr>
              <w:pStyle w:val="19"/>
              <w:bidi w:val="0"/>
              <w:jc w:val="center"/>
            </w:pPr>
          </w:p>
        </w:tc>
        <w:tc>
          <w:tcPr>
            <w:tcW w:w="0" w:type="auto"/>
            <w:vAlign w:val="center"/>
          </w:tcPr>
          <w:p w14:paraId="4149A285">
            <w:pPr>
              <w:pStyle w:val="19"/>
              <w:bidi w:val="0"/>
              <w:jc w:val="center"/>
            </w:pPr>
            <w:r>
              <w:t>气相色谱-质谱联 用仪QP-2010</w:t>
            </w:r>
          </w:p>
        </w:tc>
        <w:tc>
          <w:tcPr>
            <w:tcW w:w="1307" w:type="dxa"/>
            <w:vAlign w:val="center"/>
          </w:tcPr>
          <w:p w14:paraId="054FF807">
            <w:pPr>
              <w:pStyle w:val="19"/>
              <w:bidi w:val="0"/>
              <w:jc w:val="center"/>
            </w:pPr>
            <w:r>
              <w:t>XSJS/YQ-179</w:t>
            </w:r>
          </w:p>
        </w:tc>
        <w:tc>
          <w:tcPr>
            <w:tcW w:w="1283" w:type="dxa"/>
            <w:vAlign w:val="center"/>
          </w:tcPr>
          <w:p w14:paraId="57029134">
            <w:pPr>
              <w:pStyle w:val="19"/>
              <w:bidi w:val="0"/>
              <w:jc w:val="center"/>
            </w:pPr>
            <w:r>
              <w:t>0.1mg/kg</w:t>
            </w:r>
          </w:p>
        </w:tc>
      </w:tr>
      <w:tr w14:paraId="3FC9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05699E1F">
            <w:pPr>
              <w:pStyle w:val="19"/>
              <w:bidi w:val="0"/>
              <w:jc w:val="center"/>
            </w:pPr>
          </w:p>
        </w:tc>
        <w:tc>
          <w:tcPr>
            <w:tcW w:w="1500" w:type="dxa"/>
            <w:gridSpan w:val="2"/>
            <w:vAlign w:val="center"/>
          </w:tcPr>
          <w:p w14:paraId="5B8262C0">
            <w:pPr>
              <w:pStyle w:val="19"/>
              <w:bidi w:val="0"/>
              <w:jc w:val="center"/>
            </w:pPr>
            <w:r>
              <w:t>二苯并[a,h]蒽</w:t>
            </w:r>
          </w:p>
        </w:tc>
        <w:tc>
          <w:tcPr>
            <w:tcW w:w="5482" w:type="dxa"/>
            <w:vMerge w:val="continue"/>
            <w:vAlign w:val="center"/>
          </w:tcPr>
          <w:p w14:paraId="6E4FB852">
            <w:pPr>
              <w:pStyle w:val="19"/>
              <w:bidi w:val="0"/>
              <w:jc w:val="center"/>
            </w:pPr>
          </w:p>
        </w:tc>
        <w:tc>
          <w:tcPr>
            <w:tcW w:w="0" w:type="auto"/>
            <w:vAlign w:val="center"/>
          </w:tcPr>
          <w:p w14:paraId="36079461">
            <w:pPr>
              <w:pStyle w:val="19"/>
              <w:bidi w:val="0"/>
              <w:jc w:val="center"/>
            </w:pPr>
            <w:r>
              <w:t>气相色谱-质谱联 用仪QP-2010</w:t>
            </w:r>
          </w:p>
        </w:tc>
        <w:tc>
          <w:tcPr>
            <w:tcW w:w="1307" w:type="dxa"/>
            <w:vAlign w:val="center"/>
          </w:tcPr>
          <w:p w14:paraId="35C6A03A">
            <w:pPr>
              <w:pStyle w:val="19"/>
              <w:bidi w:val="0"/>
              <w:jc w:val="center"/>
            </w:pPr>
            <w:r>
              <w:t>XSJS/YQ-179</w:t>
            </w:r>
          </w:p>
        </w:tc>
        <w:tc>
          <w:tcPr>
            <w:tcW w:w="1283" w:type="dxa"/>
            <w:vAlign w:val="center"/>
          </w:tcPr>
          <w:p w14:paraId="646FBEAA">
            <w:pPr>
              <w:pStyle w:val="19"/>
              <w:bidi w:val="0"/>
              <w:jc w:val="center"/>
            </w:pPr>
            <w:r>
              <w:t>0.1mg/kg</w:t>
            </w:r>
          </w:p>
        </w:tc>
      </w:tr>
      <w:tr w14:paraId="4255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79089455">
            <w:pPr>
              <w:pStyle w:val="19"/>
              <w:bidi w:val="0"/>
              <w:jc w:val="center"/>
            </w:pPr>
          </w:p>
        </w:tc>
        <w:tc>
          <w:tcPr>
            <w:tcW w:w="1500" w:type="dxa"/>
            <w:gridSpan w:val="2"/>
            <w:vAlign w:val="center"/>
          </w:tcPr>
          <w:p w14:paraId="3F03B2D4">
            <w:pPr>
              <w:pStyle w:val="19"/>
              <w:bidi w:val="0"/>
              <w:jc w:val="center"/>
            </w:pPr>
            <w:r>
              <w:t>茚并[1,2,3-cd芘</w:t>
            </w:r>
          </w:p>
        </w:tc>
        <w:tc>
          <w:tcPr>
            <w:tcW w:w="5482" w:type="dxa"/>
            <w:vMerge w:val="continue"/>
            <w:vAlign w:val="center"/>
          </w:tcPr>
          <w:p w14:paraId="7A9878D9">
            <w:pPr>
              <w:pStyle w:val="19"/>
              <w:bidi w:val="0"/>
              <w:jc w:val="center"/>
            </w:pPr>
          </w:p>
        </w:tc>
        <w:tc>
          <w:tcPr>
            <w:tcW w:w="0" w:type="auto"/>
            <w:vAlign w:val="center"/>
          </w:tcPr>
          <w:p w14:paraId="131F83FA">
            <w:pPr>
              <w:pStyle w:val="19"/>
              <w:bidi w:val="0"/>
              <w:jc w:val="center"/>
            </w:pPr>
            <w:r>
              <w:t>气相色谱-质谱联 用仪QP-2010</w:t>
            </w:r>
          </w:p>
        </w:tc>
        <w:tc>
          <w:tcPr>
            <w:tcW w:w="1307" w:type="dxa"/>
            <w:vAlign w:val="center"/>
          </w:tcPr>
          <w:p w14:paraId="487DDD79">
            <w:pPr>
              <w:pStyle w:val="19"/>
              <w:bidi w:val="0"/>
              <w:jc w:val="center"/>
            </w:pPr>
            <w:r>
              <w:t>XSJS/YQ-179</w:t>
            </w:r>
          </w:p>
        </w:tc>
        <w:tc>
          <w:tcPr>
            <w:tcW w:w="1283" w:type="dxa"/>
            <w:vAlign w:val="center"/>
          </w:tcPr>
          <w:p w14:paraId="757FEB6E">
            <w:pPr>
              <w:pStyle w:val="19"/>
              <w:bidi w:val="0"/>
              <w:jc w:val="center"/>
            </w:pPr>
            <w:r>
              <w:t>0.1mg/kg</w:t>
            </w:r>
          </w:p>
        </w:tc>
      </w:tr>
      <w:tr w14:paraId="1B187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4" w:type="dxa"/>
            <w:vMerge w:val="continue"/>
            <w:vAlign w:val="center"/>
          </w:tcPr>
          <w:p w14:paraId="638DFE06">
            <w:pPr>
              <w:pStyle w:val="19"/>
              <w:bidi w:val="0"/>
              <w:jc w:val="center"/>
            </w:pPr>
          </w:p>
        </w:tc>
        <w:tc>
          <w:tcPr>
            <w:tcW w:w="1500" w:type="dxa"/>
            <w:gridSpan w:val="2"/>
            <w:vAlign w:val="center"/>
          </w:tcPr>
          <w:p w14:paraId="255DAB12">
            <w:pPr>
              <w:pStyle w:val="19"/>
              <w:bidi w:val="0"/>
              <w:jc w:val="center"/>
            </w:pPr>
            <w:r>
              <w:t>萘</w:t>
            </w:r>
          </w:p>
        </w:tc>
        <w:tc>
          <w:tcPr>
            <w:tcW w:w="5482" w:type="dxa"/>
            <w:vMerge w:val="continue"/>
            <w:vAlign w:val="center"/>
          </w:tcPr>
          <w:p w14:paraId="22E07E3D">
            <w:pPr>
              <w:pStyle w:val="19"/>
              <w:bidi w:val="0"/>
              <w:jc w:val="center"/>
            </w:pPr>
          </w:p>
        </w:tc>
        <w:tc>
          <w:tcPr>
            <w:tcW w:w="0" w:type="auto"/>
            <w:vAlign w:val="center"/>
          </w:tcPr>
          <w:p w14:paraId="57783893">
            <w:pPr>
              <w:pStyle w:val="19"/>
              <w:bidi w:val="0"/>
              <w:jc w:val="center"/>
            </w:pPr>
            <w:r>
              <w:t>气相色谱-质谱联 用仪QP-2010</w:t>
            </w:r>
          </w:p>
        </w:tc>
        <w:tc>
          <w:tcPr>
            <w:tcW w:w="1307" w:type="dxa"/>
            <w:vAlign w:val="center"/>
          </w:tcPr>
          <w:p w14:paraId="542F4564">
            <w:pPr>
              <w:pStyle w:val="19"/>
              <w:bidi w:val="0"/>
              <w:jc w:val="center"/>
            </w:pPr>
            <w:r>
              <w:t>XSJS/YQ-179</w:t>
            </w:r>
          </w:p>
        </w:tc>
        <w:tc>
          <w:tcPr>
            <w:tcW w:w="1283" w:type="dxa"/>
            <w:vAlign w:val="center"/>
          </w:tcPr>
          <w:p w14:paraId="41D0EAB4">
            <w:pPr>
              <w:pStyle w:val="19"/>
              <w:bidi w:val="0"/>
              <w:jc w:val="center"/>
            </w:pPr>
            <w:r>
              <w:t>0.09mg/kg</w:t>
            </w:r>
          </w:p>
        </w:tc>
      </w:tr>
    </w:tbl>
    <w:p w14:paraId="0149DC79">
      <w:pPr>
        <w:bidi w:val="0"/>
        <w:rPr>
          <w:rFonts w:hint="eastAsia"/>
          <w:lang w:val="en-US" w:eastAsia="zh-CN"/>
        </w:rPr>
        <w:sectPr>
          <w:pgSz w:w="16838" w:h="11906" w:orient="landscape"/>
          <w:pgMar w:top="1440" w:right="1803" w:bottom="1440" w:left="1803"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6ED96F54">
      <w:pPr>
        <w:pStyle w:val="30"/>
        <w:bidi w:val="0"/>
        <w:rPr>
          <w:rFonts w:hint="eastAsia"/>
          <w:lang w:val="en-US" w:eastAsia="zh-CN"/>
        </w:rPr>
      </w:pPr>
      <w:r>
        <w:rPr>
          <w:rFonts w:hint="eastAsia"/>
          <w:lang w:val="en-US" w:eastAsia="zh-CN"/>
        </w:rPr>
        <w:t>表4.2-11   土壤环境质量现状监测结果统计表</w:t>
      </w:r>
    </w:p>
    <w:tbl>
      <w:tblPr>
        <w:tblStyle w:val="2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108" w:type="dxa"/>
          <w:bottom w:w="0" w:type="dxa"/>
          <w:right w:w="108" w:type="dxa"/>
        </w:tblCellMar>
      </w:tblPr>
      <w:tblGrid>
        <w:gridCol w:w="539"/>
        <w:gridCol w:w="688"/>
        <w:gridCol w:w="1278"/>
        <w:gridCol w:w="1163"/>
        <w:gridCol w:w="1163"/>
        <w:gridCol w:w="1163"/>
        <w:gridCol w:w="1163"/>
        <w:gridCol w:w="1166"/>
      </w:tblGrid>
      <w:tr w14:paraId="4C7BD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AACDB7C">
            <w:pPr>
              <w:pStyle w:val="19"/>
              <w:bidi w:val="0"/>
              <w:jc w:val="center"/>
            </w:pPr>
            <w:r>
              <w:rPr>
                <w:rFonts w:hint="eastAsia"/>
              </w:rPr>
              <w:t>序号</w:t>
            </w:r>
          </w:p>
        </w:tc>
        <w:tc>
          <w:tcPr>
            <w:tcW w:w="1180" w:type="pct"/>
            <w:gridSpan w:val="2"/>
            <w:tcBorders>
              <w:tl2br w:val="nil"/>
              <w:tr2bl w:val="nil"/>
            </w:tcBorders>
            <w:tcMar>
              <w:left w:w="0" w:type="dxa"/>
              <w:right w:w="0" w:type="dxa"/>
            </w:tcMar>
            <w:vAlign w:val="center"/>
          </w:tcPr>
          <w:p w14:paraId="7668A2EA">
            <w:pPr>
              <w:pStyle w:val="19"/>
              <w:bidi w:val="0"/>
              <w:jc w:val="center"/>
            </w:pPr>
            <w:r>
              <w:t>监测项目</w:t>
            </w:r>
          </w:p>
        </w:tc>
        <w:tc>
          <w:tcPr>
            <w:tcW w:w="698" w:type="pct"/>
            <w:tcBorders>
              <w:tl2br w:val="nil"/>
              <w:tr2bl w:val="nil"/>
            </w:tcBorders>
            <w:tcMar>
              <w:left w:w="0" w:type="dxa"/>
              <w:right w:w="0" w:type="dxa"/>
            </w:tcMar>
            <w:vAlign w:val="center"/>
          </w:tcPr>
          <w:p w14:paraId="35836DB8">
            <w:pPr>
              <w:pStyle w:val="19"/>
              <w:bidi w:val="0"/>
              <w:jc w:val="center"/>
            </w:pPr>
            <w:r>
              <w:t>评价标准</w:t>
            </w:r>
          </w:p>
        </w:tc>
        <w:tc>
          <w:tcPr>
            <w:tcW w:w="698" w:type="pct"/>
            <w:tcBorders>
              <w:tl2br w:val="nil"/>
              <w:tr2bl w:val="nil"/>
            </w:tcBorders>
            <w:tcMar>
              <w:left w:w="0" w:type="dxa"/>
              <w:right w:w="0" w:type="dxa"/>
            </w:tcMar>
            <w:vAlign w:val="center"/>
          </w:tcPr>
          <w:p w14:paraId="28461470">
            <w:pPr>
              <w:pStyle w:val="19"/>
              <w:bidi w:val="0"/>
              <w:jc w:val="center"/>
              <w:rPr>
                <w:rFonts w:hint="eastAsia"/>
                <w:lang w:eastAsia="zh-CN"/>
              </w:rPr>
            </w:pPr>
            <w:r>
              <w:rPr>
                <w:rFonts w:hint="eastAsia"/>
              </w:rPr>
              <w:t>△</w:t>
            </w:r>
            <w:r>
              <w:rPr>
                <w:rFonts w:hint="eastAsia"/>
                <w:lang w:val="en-US" w:eastAsia="zh-CN"/>
              </w:rPr>
              <w:t>1</w:t>
            </w:r>
          </w:p>
        </w:tc>
        <w:tc>
          <w:tcPr>
            <w:tcW w:w="698" w:type="pct"/>
            <w:tcBorders>
              <w:tl2br w:val="nil"/>
              <w:tr2bl w:val="nil"/>
            </w:tcBorders>
            <w:tcMar>
              <w:left w:w="0" w:type="dxa"/>
              <w:right w:w="0" w:type="dxa"/>
            </w:tcMar>
            <w:vAlign w:val="center"/>
          </w:tcPr>
          <w:p w14:paraId="1BFC2FC8">
            <w:pPr>
              <w:pStyle w:val="19"/>
              <w:bidi w:val="0"/>
              <w:jc w:val="center"/>
            </w:pPr>
            <w:r>
              <w:t>标准指数</w:t>
            </w:r>
          </w:p>
        </w:tc>
        <w:tc>
          <w:tcPr>
            <w:tcW w:w="698" w:type="pct"/>
            <w:tcBorders>
              <w:tl2br w:val="nil"/>
              <w:tr2bl w:val="nil"/>
            </w:tcBorders>
            <w:tcMar>
              <w:left w:w="0" w:type="dxa"/>
              <w:right w:w="0" w:type="dxa"/>
            </w:tcMar>
            <w:vAlign w:val="center"/>
          </w:tcPr>
          <w:p w14:paraId="18BBD04F">
            <w:pPr>
              <w:pStyle w:val="19"/>
              <w:bidi w:val="0"/>
              <w:jc w:val="center"/>
              <w:rPr>
                <w:rFonts w:hint="eastAsia"/>
                <w:lang w:eastAsia="zh-CN"/>
              </w:rPr>
            </w:pPr>
            <w:r>
              <w:rPr>
                <w:rFonts w:hint="eastAsia"/>
              </w:rPr>
              <w:t>△</w:t>
            </w:r>
            <w:r>
              <w:rPr>
                <w:rFonts w:hint="eastAsia"/>
                <w:lang w:val="en-US" w:eastAsia="zh-CN"/>
              </w:rPr>
              <w:t>6</w:t>
            </w:r>
          </w:p>
        </w:tc>
        <w:tc>
          <w:tcPr>
            <w:tcW w:w="700" w:type="pct"/>
            <w:tcBorders>
              <w:tl2br w:val="nil"/>
              <w:tr2bl w:val="nil"/>
            </w:tcBorders>
            <w:tcMar>
              <w:left w:w="0" w:type="dxa"/>
              <w:right w:w="0" w:type="dxa"/>
            </w:tcMar>
            <w:vAlign w:val="center"/>
          </w:tcPr>
          <w:p w14:paraId="1E378CA9">
            <w:pPr>
              <w:pStyle w:val="19"/>
              <w:bidi w:val="0"/>
              <w:jc w:val="center"/>
            </w:pPr>
            <w:r>
              <w:t>标准指数</w:t>
            </w:r>
          </w:p>
        </w:tc>
      </w:tr>
      <w:tr w14:paraId="3531A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275F2F65">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6596D5C">
            <w:pPr>
              <w:pStyle w:val="19"/>
              <w:bidi w:val="0"/>
              <w:jc w:val="center"/>
              <w:rPr>
                <w:lang w:val="en-US" w:eastAsia="zh-CN"/>
              </w:rPr>
            </w:pPr>
            <w:r>
              <w:t>氯乙烯</w:t>
            </w:r>
          </w:p>
        </w:tc>
        <w:tc>
          <w:tcPr>
            <w:tcW w:w="698" w:type="pct"/>
            <w:tcBorders>
              <w:tl2br w:val="nil"/>
              <w:tr2bl w:val="nil"/>
            </w:tcBorders>
            <w:tcMar>
              <w:left w:w="0" w:type="dxa"/>
              <w:right w:w="0" w:type="dxa"/>
            </w:tcMar>
            <w:vAlign w:val="center"/>
          </w:tcPr>
          <w:p w14:paraId="0C22AF72">
            <w:pPr>
              <w:pStyle w:val="19"/>
              <w:bidi w:val="0"/>
              <w:jc w:val="center"/>
              <w:rPr>
                <w:lang w:val="en-US" w:eastAsia="zh-CN"/>
              </w:rPr>
            </w:pPr>
            <w:r>
              <w:t>0.43</w:t>
            </w:r>
          </w:p>
        </w:tc>
        <w:tc>
          <w:tcPr>
            <w:tcW w:w="698" w:type="pct"/>
            <w:tcBorders>
              <w:tl2br w:val="nil"/>
              <w:tr2bl w:val="nil"/>
            </w:tcBorders>
            <w:tcMar>
              <w:left w:w="0" w:type="dxa"/>
              <w:right w:w="0" w:type="dxa"/>
            </w:tcMar>
            <w:vAlign w:val="center"/>
          </w:tcPr>
          <w:p w14:paraId="6FB05B43">
            <w:pPr>
              <w:pStyle w:val="19"/>
              <w:bidi w:val="0"/>
              <w:jc w:val="center"/>
              <w:rPr>
                <w:lang w:val="en-US" w:eastAsia="zh-CN"/>
              </w:rPr>
            </w:pPr>
            <w:r>
              <w:t>&lt;1.5</w:t>
            </w:r>
          </w:p>
        </w:tc>
        <w:tc>
          <w:tcPr>
            <w:tcW w:w="698" w:type="pct"/>
            <w:tcBorders>
              <w:tl2br w:val="nil"/>
              <w:tr2bl w:val="nil"/>
            </w:tcBorders>
            <w:tcMar>
              <w:left w:w="0" w:type="dxa"/>
              <w:right w:w="0" w:type="dxa"/>
            </w:tcMar>
            <w:vAlign w:val="center"/>
          </w:tcPr>
          <w:p w14:paraId="424308EB">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2E873EB">
            <w:pPr>
              <w:pStyle w:val="19"/>
              <w:bidi w:val="0"/>
              <w:jc w:val="center"/>
              <w:rPr>
                <w:lang w:val="en-US" w:eastAsia="zh-CN"/>
              </w:rPr>
            </w:pPr>
            <w:r>
              <w:t>&lt;1.5</w:t>
            </w:r>
          </w:p>
        </w:tc>
        <w:tc>
          <w:tcPr>
            <w:tcW w:w="700" w:type="pct"/>
            <w:tcBorders>
              <w:tl2br w:val="nil"/>
              <w:tr2bl w:val="nil"/>
            </w:tcBorders>
            <w:tcMar>
              <w:left w:w="0" w:type="dxa"/>
              <w:right w:w="0" w:type="dxa"/>
            </w:tcMar>
            <w:vAlign w:val="center"/>
          </w:tcPr>
          <w:p w14:paraId="639C6532">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4E37B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04F55C97">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435F2F5A">
            <w:pPr>
              <w:pStyle w:val="19"/>
              <w:bidi w:val="0"/>
              <w:jc w:val="center"/>
              <w:rPr>
                <w:lang w:val="en-US" w:eastAsia="zh-CN"/>
              </w:rPr>
            </w:pPr>
            <w:r>
              <w:t>1,1-二氯乙烯</w:t>
            </w:r>
          </w:p>
        </w:tc>
        <w:tc>
          <w:tcPr>
            <w:tcW w:w="698" w:type="pct"/>
            <w:tcBorders>
              <w:tl2br w:val="nil"/>
              <w:tr2bl w:val="nil"/>
            </w:tcBorders>
            <w:tcMar>
              <w:left w:w="0" w:type="dxa"/>
              <w:right w:w="0" w:type="dxa"/>
            </w:tcMar>
            <w:vAlign w:val="center"/>
          </w:tcPr>
          <w:p w14:paraId="5B9B2A1F">
            <w:pPr>
              <w:pStyle w:val="19"/>
              <w:bidi w:val="0"/>
              <w:jc w:val="center"/>
              <w:rPr>
                <w:lang w:val="en-US" w:eastAsia="zh-CN"/>
              </w:rPr>
            </w:pPr>
            <w:r>
              <w:t>66</w:t>
            </w:r>
          </w:p>
        </w:tc>
        <w:tc>
          <w:tcPr>
            <w:tcW w:w="698" w:type="pct"/>
            <w:tcBorders>
              <w:tl2br w:val="nil"/>
              <w:tr2bl w:val="nil"/>
            </w:tcBorders>
            <w:tcMar>
              <w:left w:w="0" w:type="dxa"/>
              <w:right w:w="0" w:type="dxa"/>
            </w:tcMar>
            <w:vAlign w:val="center"/>
          </w:tcPr>
          <w:p w14:paraId="5A2641BD">
            <w:pPr>
              <w:pStyle w:val="19"/>
              <w:bidi w:val="0"/>
              <w:jc w:val="center"/>
              <w:rPr>
                <w:lang w:val="en-US" w:eastAsia="zh-CN"/>
              </w:rPr>
            </w:pPr>
            <w:r>
              <w:t>&lt;0.8</w:t>
            </w:r>
          </w:p>
        </w:tc>
        <w:tc>
          <w:tcPr>
            <w:tcW w:w="698" w:type="pct"/>
            <w:tcBorders>
              <w:tl2br w:val="nil"/>
              <w:tr2bl w:val="nil"/>
            </w:tcBorders>
            <w:tcMar>
              <w:left w:w="0" w:type="dxa"/>
              <w:right w:w="0" w:type="dxa"/>
            </w:tcMar>
            <w:vAlign w:val="center"/>
          </w:tcPr>
          <w:p w14:paraId="3237B7AA">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DA2F8B3">
            <w:pPr>
              <w:pStyle w:val="19"/>
              <w:bidi w:val="0"/>
              <w:jc w:val="center"/>
              <w:rPr>
                <w:lang w:val="en-US" w:eastAsia="zh-CN"/>
              </w:rPr>
            </w:pPr>
            <w:r>
              <w:t>&lt;0.8</w:t>
            </w:r>
          </w:p>
        </w:tc>
        <w:tc>
          <w:tcPr>
            <w:tcW w:w="700" w:type="pct"/>
            <w:tcBorders>
              <w:tl2br w:val="nil"/>
              <w:tr2bl w:val="nil"/>
            </w:tcBorders>
            <w:tcMar>
              <w:left w:w="0" w:type="dxa"/>
              <w:right w:w="0" w:type="dxa"/>
            </w:tcMar>
            <w:vAlign w:val="center"/>
          </w:tcPr>
          <w:p w14:paraId="40BF28E1">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10EAC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0BF14D0">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00547414">
            <w:pPr>
              <w:pStyle w:val="19"/>
              <w:bidi w:val="0"/>
              <w:jc w:val="center"/>
              <w:rPr>
                <w:lang w:val="en-US" w:eastAsia="zh-CN"/>
              </w:rPr>
            </w:pPr>
            <w:r>
              <w:t>二氯甲烷</w:t>
            </w:r>
          </w:p>
        </w:tc>
        <w:tc>
          <w:tcPr>
            <w:tcW w:w="698" w:type="pct"/>
            <w:tcBorders>
              <w:tl2br w:val="nil"/>
              <w:tr2bl w:val="nil"/>
            </w:tcBorders>
            <w:tcMar>
              <w:left w:w="0" w:type="dxa"/>
              <w:right w:w="0" w:type="dxa"/>
            </w:tcMar>
            <w:vAlign w:val="center"/>
          </w:tcPr>
          <w:p w14:paraId="522A661B">
            <w:pPr>
              <w:pStyle w:val="19"/>
              <w:bidi w:val="0"/>
              <w:jc w:val="center"/>
              <w:rPr>
                <w:lang w:val="en-US" w:eastAsia="zh-CN"/>
              </w:rPr>
            </w:pPr>
            <w:r>
              <w:t>616</w:t>
            </w:r>
          </w:p>
        </w:tc>
        <w:tc>
          <w:tcPr>
            <w:tcW w:w="698" w:type="pct"/>
            <w:tcBorders>
              <w:tl2br w:val="nil"/>
              <w:tr2bl w:val="nil"/>
            </w:tcBorders>
            <w:tcMar>
              <w:left w:w="0" w:type="dxa"/>
              <w:right w:w="0" w:type="dxa"/>
            </w:tcMar>
            <w:vAlign w:val="center"/>
          </w:tcPr>
          <w:p w14:paraId="60154DB7">
            <w:pPr>
              <w:pStyle w:val="19"/>
              <w:bidi w:val="0"/>
              <w:jc w:val="center"/>
              <w:rPr>
                <w:lang w:val="en-US" w:eastAsia="zh-CN"/>
              </w:rPr>
            </w:pPr>
            <w:r>
              <w:t>&lt;2.6</w:t>
            </w:r>
          </w:p>
        </w:tc>
        <w:tc>
          <w:tcPr>
            <w:tcW w:w="698" w:type="pct"/>
            <w:tcBorders>
              <w:tl2br w:val="nil"/>
              <w:tr2bl w:val="nil"/>
            </w:tcBorders>
            <w:tcMar>
              <w:left w:w="0" w:type="dxa"/>
              <w:right w:w="0" w:type="dxa"/>
            </w:tcMar>
            <w:vAlign w:val="center"/>
          </w:tcPr>
          <w:p w14:paraId="611A75A3">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78D3B79B">
            <w:pPr>
              <w:pStyle w:val="19"/>
              <w:bidi w:val="0"/>
              <w:jc w:val="center"/>
              <w:rPr>
                <w:lang w:val="en-US" w:eastAsia="zh-CN"/>
              </w:rPr>
            </w:pPr>
            <w:r>
              <w:t>&lt;2.6</w:t>
            </w:r>
          </w:p>
        </w:tc>
        <w:tc>
          <w:tcPr>
            <w:tcW w:w="700" w:type="pct"/>
            <w:tcBorders>
              <w:tl2br w:val="nil"/>
              <w:tr2bl w:val="nil"/>
            </w:tcBorders>
            <w:tcMar>
              <w:left w:w="0" w:type="dxa"/>
              <w:right w:w="0" w:type="dxa"/>
            </w:tcMar>
            <w:vAlign w:val="center"/>
          </w:tcPr>
          <w:p w14:paraId="0AF093B4">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462E3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535C324">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645BD5B">
            <w:pPr>
              <w:pStyle w:val="19"/>
              <w:bidi w:val="0"/>
              <w:jc w:val="center"/>
              <w:rPr>
                <w:lang w:val="en-US" w:eastAsia="zh-CN"/>
              </w:rPr>
            </w:pPr>
            <w:r>
              <w:t>反-1,2-二氯乙烯</w:t>
            </w:r>
          </w:p>
        </w:tc>
        <w:tc>
          <w:tcPr>
            <w:tcW w:w="698" w:type="pct"/>
            <w:tcBorders>
              <w:tl2br w:val="nil"/>
              <w:tr2bl w:val="nil"/>
            </w:tcBorders>
            <w:tcMar>
              <w:left w:w="0" w:type="dxa"/>
              <w:right w:w="0" w:type="dxa"/>
            </w:tcMar>
            <w:vAlign w:val="center"/>
          </w:tcPr>
          <w:p w14:paraId="547706E2">
            <w:pPr>
              <w:pStyle w:val="19"/>
              <w:bidi w:val="0"/>
              <w:jc w:val="center"/>
              <w:rPr>
                <w:lang w:val="en-US" w:eastAsia="zh-CN"/>
              </w:rPr>
            </w:pPr>
            <w:r>
              <w:t>54</w:t>
            </w:r>
          </w:p>
        </w:tc>
        <w:tc>
          <w:tcPr>
            <w:tcW w:w="698" w:type="pct"/>
            <w:tcBorders>
              <w:tl2br w:val="nil"/>
              <w:tr2bl w:val="nil"/>
            </w:tcBorders>
            <w:tcMar>
              <w:left w:w="0" w:type="dxa"/>
              <w:right w:w="0" w:type="dxa"/>
            </w:tcMar>
            <w:vAlign w:val="center"/>
          </w:tcPr>
          <w:p w14:paraId="25E7DBBD">
            <w:pPr>
              <w:pStyle w:val="19"/>
              <w:bidi w:val="0"/>
              <w:jc w:val="center"/>
              <w:rPr>
                <w:lang w:val="en-US" w:eastAsia="zh-CN"/>
              </w:rPr>
            </w:pPr>
            <w:r>
              <w:t>&lt;0.9</w:t>
            </w:r>
          </w:p>
        </w:tc>
        <w:tc>
          <w:tcPr>
            <w:tcW w:w="698" w:type="pct"/>
            <w:tcBorders>
              <w:tl2br w:val="nil"/>
              <w:tr2bl w:val="nil"/>
            </w:tcBorders>
            <w:tcMar>
              <w:left w:w="0" w:type="dxa"/>
              <w:right w:w="0" w:type="dxa"/>
            </w:tcMar>
            <w:vAlign w:val="center"/>
          </w:tcPr>
          <w:p w14:paraId="4DB0C9C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6277D00">
            <w:pPr>
              <w:pStyle w:val="19"/>
              <w:bidi w:val="0"/>
              <w:jc w:val="center"/>
              <w:rPr>
                <w:lang w:val="en-US" w:eastAsia="zh-CN"/>
              </w:rPr>
            </w:pPr>
            <w:r>
              <w:t>&lt;0.9</w:t>
            </w:r>
          </w:p>
        </w:tc>
        <w:tc>
          <w:tcPr>
            <w:tcW w:w="700" w:type="pct"/>
            <w:tcBorders>
              <w:tl2br w:val="nil"/>
              <w:tr2bl w:val="nil"/>
            </w:tcBorders>
            <w:tcMar>
              <w:left w:w="0" w:type="dxa"/>
              <w:right w:w="0" w:type="dxa"/>
            </w:tcMar>
            <w:vAlign w:val="center"/>
          </w:tcPr>
          <w:p w14:paraId="5B783DDD">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492B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9D7CE6D">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1DDFD33B">
            <w:pPr>
              <w:pStyle w:val="19"/>
              <w:bidi w:val="0"/>
              <w:jc w:val="center"/>
              <w:rPr>
                <w:lang w:val="en-US" w:eastAsia="zh-CN"/>
              </w:rPr>
            </w:pPr>
            <w:r>
              <w:t>1,1-二氯乙烷</w:t>
            </w:r>
          </w:p>
        </w:tc>
        <w:tc>
          <w:tcPr>
            <w:tcW w:w="698" w:type="pct"/>
            <w:tcBorders>
              <w:tl2br w:val="nil"/>
              <w:tr2bl w:val="nil"/>
            </w:tcBorders>
            <w:tcMar>
              <w:left w:w="0" w:type="dxa"/>
              <w:right w:w="0" w:type="dxa"/>
            </w:tcMar>
            <w:vAlign w:val="center"/>
          </w:tcPr>
          <w:p w14:paraId="319B2599">
            <w:pPr>
              <w:pStyle w:val="19"/>
              <w:bidi w:val="0"/>
              <w:jc w:val="center"/>
              <w:rPr>
                <w:lang w:val="en-US" w:eastAsia="zh-CN"/>
              </w:rPr>
            </w:pPr>
            <w:r>
              <w:t>9</w:t>
            </w:r>
          </w:p>
        </w:tc>
        <w:tc>
          <w:tcPr>
            <w:tcW w:w="698" w:type="pct"/>
            <w:tcBorders>
              <w:tl2br w:val="nil"/>
              <w:tr2bl w:val="nil"/>
            </w:tcBorders>
            <w:tcMar>
              <w:left w:w="0" w:type="dxa"/>
              <w:right w:w="0" w:type="dxa"/>
            </w:tcMar>
            <w:vAlign w:val="center"/>
          </w:tcPr>
          <w:p w14:paraId="7BCDD057">
            <w:pPr>
              <w:pStyle w:val="19"/>
              <w:bidi w:val="0"/>
              <w:jc w:val="center"/>
              <w:rPr>
                <w:lang w:val="en-US" w:eastAsia="zh-CN"/>
              </w:rPr>
            </w:pPr>
            <w:r>
              <w:t>&lt;1.6</w:t>
            </w:r>
          </w:p>
        </w:tc>
        <w:tc>
          <w:tcPr>
            <w:tcW w:w="698" w:type="pct"/>
            <w:tcBorders>
              <w:tl2br w:val="nil"/>
              <w:tr2bl w:val="nil"/>
            </w:tcBorders>
            <w:tcMar>
              <w:left w:w="0" w:type="dxa"/>
              <w:right w:w="0" w:type="dxa"/>
            </w:tcMar>
            <w:vAlign w:val="center"/>
          </w:tcPr>
          <w:p w14:paraId="1765A9B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4B23255">
            <w:pPr>
              <w:pStyle w:val="19"/>
              <w:bidi w:val="0"/>
              <w:jc w:val="center"/>
              <w:rPr>
                <w:lang w:val="en-US" w:eastAsia="zh-CN"/>
              </w:rPr>
            </w:pPr>
            <w:r>
              <w:t>&lt;1.6</w:t>
            </w:r>
          </w:p>
        </w:tc>
        <w:tc>
          <w:tcPr>
            <w:tcW w:w="700" w:type="pct"/>
            <w:tcBorders>
              <w:tl2br w:val="nil"/>
              <w:tr2bl w:val="nil"/>
            </w:tcBorders>
            <w:tcMar>
              <w:left w:w="0" w:type="dxa"/>
              <w:right w:w="0" w:type="dxa"/>
            </w:tcMar>
            <w:vAlign w:val="center"/>
          </w:tcPr>
          <w:p w14:paraId="565F7D89">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671B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4DF4227">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E577696">
            <w:pPr>
              <w:pStyle w:val="19"/>
              <w:bidi w:val="0"/>
              <w:jc w:val="center"/>
              <w:rPr>
                <w:lang w:val="en-US" w:eastAsia="zh-CN"/>
              </w:rPr>
            </w:pPr>
            <w:r>
              <w:t>顺-1,2-二氯乙烯</w:t>
            </w:r>
          </w:p>
        </w:tc>
        <w:tc>
          <w:tcPr>
            <w:tcW w:w="698" w:type="pct"/>
            <w:tcBorders>
              <w:tl2br w:val="nil"/>
              <w:tr2bl w:val="nil"/>
            </w:tcBorders>
            <w:tcMar>
              <w:left w:w="0" w:type="dxa"/>
              <w:right w:w="0" w:type="dxa"/>
            </w:tcMar>
            <w:vAlign w:val="center"/>
          </w:tcPr>
          <w:p w14:paraId="0BBF1BA0">
            <w:pPr>
              <w:pStyle w:val="19"/>
              <w:bidi w:val="0"/>
              <w:jc w:val="center"/>
              <w:rPr>
                <w:lang w:val="en-US" w:eastAsia="zh-CN"/>
              </w:rPr>
            </w:pPr>
            <w:r>
              <w:t>596</w:t>
            </w:r>
          </w:p>
        </w:tc>
        <w:tc>
          <w:tcPr>
            <w:tcW w:w="698" w:type="pct"/>
            <w:tcBorders>
              <w:tl2br w:val="nil"/>
              <w:tr2bl w:val="nil"/>
            </w:tcBorders>
            <w:tcMar>
              <w:left w:w="0" w:type="dxa"/>
              <w:right w:w="0" w:type="dxa"/>
            </w:tcMar>
            <w:vAlign w:val="center"/>
          </w:tcPr>
          <w:p w14:paraId="733D2E81">
            <w:pPr>
              <w:pStyle w:val="19"/>
              <w:bidi w:val="0"/>
              <w:jc w:val="center"/>
              <w:rPr>
                <w:lang w:val="en-US" w:eastAsia="zh-CN"/>
              </w:rPr>
            </w:pPr>
            <w:r>
              <w:t>&lt;0.9</w:t>
            </w:r>
          </w:p>
        </w:tc>
        <w:tc>
          <w:tcPr>
            <w:tcW w:w="698" w:type="pct"/>
            <w:tcBorders>
              <w:tl2br w:val="nil"/>
              <w:tr2bl w:val="nil"/>
            </w:tcBorders>
            <w:tcMar>
              <w:left w:w="0" w:type="dxa"/>
              <w:right w:w="0" w:type="dxa"/>
            </w:tcMar>
            <w:vAlign w:val="center"/>
          </w:tcPr>
          <w:p w14:paraId="68EBCE9C">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7BC04179">
            <w:pPr>
              <w:pStyle w:val="19"/>
              <w:bidi w:val="0"/>
              <w:jc w:val="center"/>
              <w:rPr>
                <w:lang w:val="en-US" w:eastAsia="zh-CN"/>
              </w:rPr>
            </w:pPr>
            <w:r>
              <w:t>&lt;0.9</w:t>
            </w:r>
          </w:p>
        </w:tc>
        <w:tc>
          <w:tcPr>
            <w:tcW w:w="700" w:type="pct"/>
            <w:tcBorders>
              <w:tl2br w:val="nil"/>
              <w:tr2bl w:val="nil"/>
            </w:tcBorders>
            <w:tcMar>
              <w:left w:w="0" w:type="dxa"/>
              <w:right w:w="0" w:type="dxa"/>
            </w:tcMar>
            <w:vAlign w:val="center"/>
          </w:tcPr>
          <w:p w14:paraId="62C4C496">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25E6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1923CA4">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687E3B48">
            <w:pPr>
              <w:pStyle w:val="19"/>
              <w:bidi w:val="0"/>
              <w:jc w:val="center"/>
              <w:rPr>
                <w:lang w:val="en-US" w:eastAsia="zh-CN"/>
              </w:rPr>
            </w:pPr>
            <w:r>
              <w:t>氯仿</w:t>
            </w:r>
          </w:p>
        </w:tc>
        <w:tc>
          <w:tcPr>
            <w:tcW w:w="698" w:type="pct"/>
            <w:tcBorders>
              <w:tl2br w:val="nil"/>
              <w:tr2bl w:val="nil"/>
            </w:tcBorders>
            <w:tcMar>
              <w:left w:w="0" w:type="dxa"/>
              <w:right w:w="0" w:type="dxa"/>
            </w:tcMar>
            <w:vAlign w:val="center"/>
          </w:tcPr>
          <w:p w14:paraId="22F26323">
            <w:pPr>
              <w:pStyle w:val="19"/>
              <w:bidi w:val="0"/>
              <w:jc w:val="center"/>
              <w:rPr>
                <w:lang w:val="en-US" w:eastAsia="zh-CN"/>
              </w:rPr>
            </w:pPr>
            <w:r>
              <w:t>0.9</w:t>
            </w:r>
          </w:p>
        </w:tc>
        <w:tc>
          <w:tcPr>
            <w:tcW w:w="698" w:type="pct"/>
            <w:tcBorders>
              <w:tl2br w:val="nil"/>
              <w:tr2bl w:val="nil"/>
            </w:tcBorders>
            <w:tcMar>
              <w:left w:w="0" w:type="dxa"/>
              <w:right w:w="0" w:type="dxa"/>
            </w:tcMar>
            <w:vAlign w:val="center"/>
          </w:tcPr>
          <w:p w14:paraId="38EF396B">
            <w:pPr>
              <w:pStyle w:val="19"/>
              <w:bidi w:val="0"/>
              <w:jc w:val="center"/>
              <w:rPr>
                <w:lang w:val="en-US" w:eastAsia="zh-CN"/>
              </w:rPr>
            </w:pPr>
            <w:r>
              <w:t>&lt;1.5</w:t>
            </w:r>
          </w:p>
        </w:tc>
        <w:tc>
          <w:tcPr>
            <w:tcW w:w="698" w:type="pct"/>
            <w:tcBorders>
              <w:tl2br w:val="nil"/>
              <w:tr2bl w:val="nil"/>
            </w:tcBorders>
            <w:tcMar>
              <w:left w:w="0" w:type="dxa"/>
              <w:right w:w="0" w:type="dxa"/>
            </w:tcMar>
            <w:vAlign w:val="center"/>
          </w:tcPr>
          <w:p w14:paraId="52C36209">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BA2F95D">
            <w:pPr>
              <w:pStyle w:val="19"/>
              <w:bidi w:val="0"/>
              <w:jc w:val="center"/>
              <w:rPr>
                <w:lang w:val="en-US" w:eastAsia="zh-CN"/>
              </w:rPr>
            </w:pPr>
            <w:r>
              <w:t>&lt;1.5</w:t>
            </w:r>
          </w:p>
        </w:tc>
        <w:tc>
          <w:tcPr>
            <w:tcW w:w="700" w:type="pct"/>
            <w:tcBorders>
              <w:tl2br w:val="nil"/>
              <w:tr2bl w:val="nil"/>
            </w:tcBorders>
            <w:tcMar>
              <w:left w:w="0" w:type="dxa"/>
              <w:right w:w="0" w:type="dxa"/>
            </w:tcMar>
            <w:vAlign w:val="center"/>
          </w:tcPr>
          <w:p w14:paraId="69BE91EF">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D4A4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3319038">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68653C04">
            <w:pPr>
              <w:pStyle w:val="19"/>
              <w:bidi w:val="0"/>
              <w:jc w:val="center"/>
              <w:rPr>
                <w:lang w:val="en-US" w:eastAsia="zh-CN"/>
              </w:rPr>
            </w:pPr>
            <w:r>
              <w:t>1,1,1-三氯乙烷</w:t>
            </w:r>
          </w:p>
        </w:tc>
        <w:tc>
          <w:tcPr>
            <w:tcW w:w="698" w:type="pct"/>
            <w:tcBorders>
              <w:tl2br w:val="nil"/>
              <w:tr2bl w:val="nil"/>
            </w:tcBorders>
            <w:tcMar>
              <w:left w:w="0" w:type="dxa"/>
              <w:right w:w="0" w:type="dxa"/>
            </w:tcMar>
            <w:vAlign w:val="center"/>
          </w:tcPr>
          <w:p w14:paraId="482DA74C">
            <w:pPr>
              <w:pStyle w:val="19"/>
              <w:bidi w:val="0"/>
              <w:jc w:val="center"/>
              <w:rPr>
                <w:lang w:val="en-US" w:eastAsia="zh-CN"/>
              </w:rPr>
            </w:pPr>
            <w:r>
              <w:t>840</w:t>
            </w:r>
          </w:p>
        </w:tc>
        <w:tc>
          <w:tcPr>
            <w:tcW w:w="698" w:type="pct"/>
            <w:tcBorders>
              <w:tl2br w:val="nil"/>
              <w:tr2bl w:val="nil"/>
            </w:tcBorders>
            <w:tcMar>
              <w:left w:w="0" w:type="dxa"/>
              <w:right w:w="0" w:type="dxa"/>
            </w:tcMar>
            <w:vAlign w:val="center"/>
          </w:tcPr>
          <w:p w14:paraId="6FDCE9A6">
            <w:pPr>
              <w:pStyle w:val="19"/>
              <w:bidi w:val="0"/>
              <w:jc w:val="center"/>
              <w:rPr>
                <w:lang w:val="en-US" w:eastAsia="zh-CN"/>
              </w:rPr>
            </w:pPr>
            <w:r>
              <w:t>&lt;1.1</w:t>
            </w:r>
          </w:p>
        </w:tc>
        <w:tc>
          <w:tcPr>
            <w:tcW w:w="698" w:type="pct"/>
            <w:tcBorders>
              <w:tl2br w:val="nil"/>
              <w:tr2bl w:val="nil"/>
            </w:tcBorders>
            <w:tcMar>
              <w:left w:w="0" w:type="dxa"/>
              <w:right w:w="0" w:type="dxa"/>
            </w:tcMar>
            <w:vAlign w:val="center"/>
          </w:tcPr>
          <w:p w14:paraId="073D132B">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7606D84E">
            <w:pPr>
              <w:pStyle w:val="19"/>
              <w:bidi w:val="0"/>
              <w:jc w:val="center"/>
              <w:rPr>
                <w:lang w:val="en-US" w:eastAsia="zh-CN"/>
              </w:rPr>
            </w:pPr>
            <w:r>
              <w:t>&lt;1.1</w:t>
            </w:r>
          </w:p>
        </w:tc>
        <w:tc>
          <w:tcPr>
            <w:tcW w:w="700" w:type="pct"/>
            <w:tcBorders>
              <w:tl2br w:val="nil"/>
              <w:tr2bl w:val="nil"/>
            </w:tcBorders>
            <w:tcMar>
              <w:left w:w="0" w:type="dxa"/>
              <w:right w:w="0" w:type="dxa"/>
            </w:tcMar>
            <w:vAlign w:val="center"/>
          </w:tcPr>
          <w:p w14:paraId="2E28DDA9">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C2FB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031F8658">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5D8F6E85">
            <w:pPr>
              <w:pStyle w:val="19"/>
              <w:bidi w:val="0"/>
              <w:jc w:val="center"/>
              <w:rPr>
                <w:lang w:val="en-US" w:eastAsia="zh-CN"/>
              </w:rPr>
            </w:pPr>
            <w:r>
              <w:t>四氯化碳</w:t>
            </w:r>
          </w:p>
        </w:tc>
        <w:tc>
          <w:tcPr>
            <w:tcW w:w="698" w:type="pct"/>
            <w:tcBorders>
              <w:tl2br w:val="nil"/>
              <w:tr2bl w:val="nil"/>
            </w:tcBorders>
            <w:tcMar>
              <w:left w:w="0" w:type="dxa"/>
              <w:right w:w="0" w:type="dxa"/>
            </w:tcMar>
            <w:vAlign w:val="center"/>
          </w:tcPr>
          <w:p w14:paraId="4F3C60C9">
            <w:pPr>
              <w:pStyle w:val="19"/>
              <w:bidi w:val="0"/>
              <w:jc w:val="center"/>
              <w:rPr>
                <w:lang w:val="en-US" w:eastAsia="zh-CN"/>
              </w:rPr>
            </w:pPr>
            <w:r>
              <w:t>2.8</w:t>
            </w:r>
          </w:p>
        </w:tc>
        <w:tc>
          <w:tcPr>
            <w:tcW w:w="698" w:type="pct"/>
            <w:tcBorders>
              <w:tl2br w:val="nil"/>
              <w:tr2bl w:val="nil"/>
            </w:tcBorders>
            <w:tcMar>
              <w:left w:w="0" w:type="dxa"/>
              <w:right w:w="0" w:type="dxa"/>
            </w:tcMar>
            <w:vAlign w:val="center"/>
          </w:tcPr>
          <w:p w14:paraId="020B5011">
            <w:pPr>
              <w:pStyle w:val="19"/>
              <w:bidi w:val="0"/>
              <w:jc w:val="center"/>
              <w:rPr>
                <w:lang w:val="en-US" w:eastAsia="zh-CN"/>
              </w:rPr>
            </w:pPr>
            <w:r>
              <w:t>&lt;2.1</w:t>
            </w:r>
          </w:p>
        </w:tc>
        <w:tc>
          <w:tcPr>
            <w:tcW w:w="698" w:type="pct"/>
            <w:tcBorders>
              <w:tl2br w:val="nil"/>
              <w:tr2bl w:val="nil"/>
            </w:tcBorders>
            <w:tcMar>
              <w:left w:w="0" w:type="dxa"/>
              <w:right w:w="0" w:type="dxa"/>
            </w:tcMar>
            <w:vAlign w:val="center"/>
          </w:tcPr>
          <w:p w14:paraId="43D00E53">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12E82FCE">
            <w:pPr>
              <w:pStyle w:val="19"/>
              <w:bidi w:val="0"/>
              <w:jc w:val="center"/>
              <w:rPr>
                <w:lang w:val="en-US" w:eastAsia="zh-CN"/>
              </w:rPr>
            </w:pPr>
            <w:r>
              <w:t>&lt;2.1</w:t>
            </w:r>
          </w:p>
        </w:tc>
        <w:tc>
          <w:tcPr>
            <w:tcW w:w="700" w:type="pct"/>
            <w:tcBorders>
              <w:tl2br w:val="nil"/>
              <w:tr2bl w:val="nil"/>
            </w:tcBorders>
            <w:tcMar>
              <w:left w:w="0" w:type="dxa"/>
              <w:right w:w="0" w:type="dxa"/>
            </w:tcMar>
            <w:vAlign w:val="center"/>
          </w:tcPr>
          <w:p w14:paraId="0E91AE17">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C8EE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0A3A6336">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532F0818">
            <w:pPr>
              <w:pStyle w:val="19"/>
              <w:bidi w:val="0"/>
              <w:jc w:val="center"/>
              <w:rPr>
                <w:lang w:val="en-US" w:eastAsia="zh-CN"/>
              </w:rPr>
            </w:pPr>
            <w:r>
              <w:t>1,2-二氯乙烷</w:t>
            </w:r>
          </w:p>
        </w:tc>
        <w:tc>
          <w:tcPr>
            <w:tcW w:w="698" w:type="pct"/>
            <w:tcBorders>
              <w:tl2br w:val="nil"/>
              <w:tr2bl w:val="nil"/>
            </w:tcBorders>
            <w:tcMar>
              <w:left w:w="0" w:type="dxa"/>
              <w:right w:w="0" w:type="dxa"/>
            </w:tcMar>
            <w:vAlign w:val="center"/>
          </w:tcPr>
          <w:p w14:paraId="192AF214">
            <w:pPr>
              <w:pStyle w:val="19"/>
              <w:bidi w:val="0"/>
              <w:jc w:val="center"/>
              <w:rPr>
                <w:lang w:val="en-US" w:eastAsia="zh-CN"/>
              </w:rPr>
            </w:pPr>
            <w:r>
              <w:t>5</w:t>
            </w:r>
          </w:p>
        </w:tc>
        <w:tc>
          <w:tcPr>
            <w:tcW w:w="698" w:type="pct"/>
            <w:tcBorders>
              <w:tl2br w:val="nil"/>
              <w:tr2bl w:val="nil"/>
            </w:tcBorders>
            <w:tcMar>
              <w:left w:w="0" w:type="dxa"/>
              <w:right w:w="0" w:type="dxa"/>
            </w:tcMar>
            <w:vAlign w:val="center"/>
          </w:tcPr>
          <w:p w14:paraId="4C31C13C">
            <w:pPr>
              <w:pStyle w:val="19"/>
              <w:bidi w:val="0"/>
              <w:jc w:val="center"/>
              <w:rPr>
                <w:lang w:val="en-US" w:eastAsia="zh-CN"/>
              </w:rPr>
            </w:pPr>
            <w:r>
              <w:t>&lt;1.3</w:t>
            </w:r>
          </w:p>
        </w:tc>
        <w:tc>
          <w:tcPr>
            <w:tcW w:w="698" w:type="pct"/>
            <w:tcBorders>
              <w:tl2br w:val="nil"/>
              <w:tr2bl w:val="nil"/>
            </w:tcBorders>
            <w:tcMar>
              <w:left w:w="0" w:type="dxa"/>
              <w:right w:w="0" w:type="dxa"/>
            </w:tcMar>
            <w:vAlign w:val="center"/>
          </w:tcPr>
          <w:p w14:paraId="49AB5A8C">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0503E82">
            <w:pPr>
              <w:pStyle w:val="19"/>
              <w:bidi w:val="0"/>
              <w:jc w:val="center"/>
              <w:rPr>
                <w:lang w:val="en-US" w:eastAsia="zh-CN"/>
              </w:rPr>
            </w:pPr>
            <w:r>
              <w:t>&lt;1.3</w:t>
            </w:r>
          </w:p>
        </w:tc>
        <w:tc>
          <w:tcPr>
            <w:tcW w:w="700" w:type="pct"/>
            <w:tcBorders>
              <w:tl2br w:val="nil"/>
              <w:tr2bl w:val="nil"/>
            </w:tcBorders>
            <w:tcMar>
              <w:left w:w="0" w:type="dxa"/>
              <w:right w:w="0" w:type="dxa"/>
            </w:tcMar>
            <w:vAlign w:val="center"/>
          </w:tcPr>
          <w:p w14:paraId="5298D995">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4FC3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C39960C">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531CAC86">
            <w:pPr>
              <w:pStyle w:val="19"/>
              <w:bidi w:val="0"/>
              <w:jc w:val="center"/>
              <w:rPr>
                <w:lang w:val="en-US" w:eastAsia="zh-CN"/>
              </w:rPr>
            </w:pPr>
            <w:r>
              <w:t>苯</w:t>
            </w:r>
          </w:p>
        </w:tc>
        <w:tc>
          <w:tcPr>
            <w:tcW w:w="698" w:type="pct"/>
            <w:tcBorders>
              <w:tl2br w:val="nil"/>
              <w:tr2bl w:val="nil"/>
            </w:tcBorders>
            <w:tcMar>
              <w:left w:w="0" w:type="dxa"/>
              <w:right w:w="0" w:type="dxa"/>
            </w:tcMar>
            <w:vAlign w:val="center"/>
          </w:tcPr>
          <w:p w14:paraId="51982576">
            <w:pPr>
              <w:pStyle w:val="19"/>
              <w:bidi w:val="0"/>
              <w:jc w:val="center"/>
              <w:rPr>
                <w:lang w:val="en-US" w:eastAsia="zh-CN"/>
              </w:rPr>
            </w:pPr>
            <w:r>
              <w:t>4</w:t>
            </w:r>
          </w:p>
        </w:tc>
        <w:tc>
          <w:tcPr>
            <w:tcW w:w="698" w:type="pct"/>
            <w:tcBorders>
              <w:tl2br w:val="nil"/>
              <w:tr2bl w:val="nil"/>
            </w:tcBorders>
            <w:tcMar>
              <w:left w:w="0" w:type="dxa"/>
              <w:right w:w="0" w:type="dxa"/>
            </w:tcMar>
            <w:vAlign w:val="center"/>
          </w:tcPr>
          <w:p w14:paraId="575C62CB">
            <w:pPr>
              <w:pStyle w:val="19"/>
              <w:bidi w:val="0"/>
              <w:jc w:val="center"/>
              <w:rPr>
                <w:lang w:val="en-US" w:eastAsia="zh-CN"/>
              </w:rPr>
            </w:pPr>
            <w:r>
              <w:t>&lt;1.6</w:t>
            </w:r>
          </w:p>
        </w:tc>
        <w:tc>
          <w:tcPr>
            <w:tcW w:w="698" w:type="pct"/>
            <w:tcBorders>
              <w:tl2br w:val="nil"/>
              <w:tr2bl w:val="nil"/>
            </w:tcBorders>
            <w:tcMar>
              <w:left w:w="0" w:type="dxa"/>
              <w:right w:w="0" w:type="dxa"/>
            </w:tcMar>
            <w:vAlign w:val="center"/>
          </w:tcPr>
          <w:p w14:paraId="36ABF0A4">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D60888E">
            <w:pPr>
              <w:pStyle w:val="19"/>
              <w:bidi w:val="0"/>
              <w:jc w:val="center"/>
              <w:rPr>
                <w:lang w:val="en-US" w:eastAsia="zh-CN"/>
              </w:rPr>
            </w:pPr>
            <w:r>
              <w:t>&lt;1.6</w:t>
            </w:r>
          </w:p>
        </w:tc>
        <w:tc>
          <w:tcPr>
            <w:tcW w:w="700" w:type="pct"/>
            <w:tcBorders>
              <w:tl2br w:val="nil"/>
              <w:tr2bl w:val="nil"/>
            </w:tcBorders>
            <w:tcMar>
              <w:left w:w="0" w:type="dxa"/>
              <w:right w:w="0" w:type="dxa"/>
            </w:tcMar>
            <w:vAlign w:val="center"/>
          </w:tcPr>
          <w:p w14:paraId="7323430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1FEE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7241B50F">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5650F55">
            <w:pPr>
              <w:pStyle w:val="19"/>
              <w:bidi w:val="0"/>
              <w:jc w:val="center"/>
              <w:rPr>
                <w:lang w:val="en-US" w:eastAsia="zh-CN"/>
              </w:rPr>
            </w:pPr>
            <w:r>
              <w:t>三氯乙烯</w:t>
            </w:r>
          </w:p>
        </w:tc>
        <w:tc>
          <w:tcPr>
            <w:tcW w:w="698" w:type="pct"/>
            <w:tcBorders>
              <w:tl2br w:val="nil"/>
              <w:tr2bl w:val="nil"/>
            </w:tcBorders>
            <w:tcMar>
              <w:left w:w="0" w:type="dxa"/>
              <w:right w:w="0" w:type="dxa"/>
            </w:tcMar>
            <w:vAlign w:val="center"/>
          </w:tcPr>
          <w:p w14:paraId="064ED828">
            <w:pPr>
              <w:pStyle w:val="19"/>
              <w:bidi w:val="0"/>
              <w:jc w:val="center"/>
              <w:rPr>
                <w:lang w:val="en-US" w:eastAsia="zh-CN"/>
              </w:rPr>
            </w:pPr>
            <w:r>
              <w:t>2.8</w:t>
            </w:r>
          </w:p>
        </w:tc>
        <w:tc>
          <w:tcPr>
            <w:tcW w:w="698" w:type="pct"/>
            <w:tcBorders>
              <w:tl2br w:val="nil"/>
              <w:tr2bl w:val="nil"/>
            </w:tcBorders>
            <w:tcMar>
              <w:left w:w="0" w:type="dxa"/>
              <w:right w:w="0" w:type="dxa"/>
            </w:tcMar>
            <w:vAlign w:val="center"/>
          </w:tcPr>
          <w:p w14:paraId="12DB0982">
            <w:pPr>
              <w:pStyle w:val="19"/>
              <w:bidi w:val="0"/>
              <w:jc w:val="center"/>
              <w:rPr>
                <w:lang w:val="en-US" w:eastAsia="zh-CN"/>
              </w:rPr>
            </w:pPr>
            <w:r>
              <w:t>&lt;0.9</w:t>
            </w:r>
          </w:p>
        </w:tc>
        <w:tc>
          <w:tcPr>
            <w:tcW w:w="698" w:type="pct"/>
            <w:tcBorders>
              <w:tl2br w:val="nil"/>
              <w:tr2bl w:val="nil"/>
            </w:tcBorders>
            <w:tcMar>
              <w:left w:w="0" w:type="dxa"/>
              <w:right w:w="0" w:type="dxa"/>
            </w:tcMar>
            <w:vAlign w:val="center"/>
          </w:tcPr>
          <w:p w14:paraId="0CBEF281">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748C2BC">
            <w:pPr>
              <w:pStyle w:val="19"/>
              <w:bidi w:val="0"/>
              <w:jc w:val="center"/>
              <w:rPr>
                <w:lang w:val="en-US" w:eastAsia="zh-CN"/>
              </w:rPr>
            </w:pPr>
            <w:r>
              <w:t>&lt;0.9</w:t>
            </w:r>
          </w:p>
        </w:tc>
        <w:tc>
          <w:tcPr>
            <w:tcW w:w="700" w:type="pct"/>
            <w:tcBorders>
              <w:tl2br w:val="nil"/>
              <w:tr2bl w:val="nil"/>
            </w:tcBorders>
            <w:tcMar>
              <w:left w:w="0" w:type="dxa"/>
              <w:right w:w="0" w:type="dxa"/>
            </w:tcMar>
            <w:vAlign w:val="center"/>
          </w:tcPr>
          <w:p w14:paraId="292FC9A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2EAB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7509DB75">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4E0B4D2">
            <w:pPr>
              <w:pStyle w:val="19"/>
              <w:bidi w:val="0"/>
              <w:jc w:val="center"/>
              <w:rPr>
                <w:lang w:val="en-US" w:eastAsia="zh-CN"/>
              </w:rPr>
            </w:pPr>
            <w:r>
              <w:t>1,2-二氯丙烷</w:t>
            </w:r>
          </w:p>
        </w:tc>
        <w:tc>
          <w:tcPr>
            <w:tcW w:w="698" w:type="pct"/>
            <w:tcBorders>
              <w:tl2br w:val="nil"/>
              <w:tr2bl w:val="nil"/>
            </w:tcBorders>
            <w:tcMar>
              <w:left w:w="0" w:type="dxa"/>
              <w:right w:w="0" w:type="dxa"/>
            </w:tcMar>
            <w:vAlign w:val="center"/>
          </w:tcPr>
          <w:p w14:paraId="29740563">
            <w:pPr>
              <w:pStyle w:val="19"/>
              <w:bidi w:val="0"/>
              <w:jc w:val="center"/>
              <w:rPr>
                <w:lang w:val="en-US" w:eastAsia="zh-CN"/>
              </w:rPr>
            </w:pPr>
            <w:r>
              <w:t>5</w:t>
            </w:r>
          </w:p>
        </w:tc>
        <w:tc>
          <w:tcPr>
            <w:tcW w:w="698" w:type="pct"/>
            <w:tcBorders>
              <w:tl2br w:val="nil"/>
              <w:tr2bl w:val="nil"/>
            </w:tcBorders>
            <w:tcMar>
              <w:left w:w="0" w:type="dxa"/>
              <w:right w:w="0" w:type="dxa"/>
            </w:tcMar>
            <w:vAlign w:val="center"/>
          </w:tcPr>
          <w:p w14:paraId="67155BCF">
            <w:pPr>
              <w:pStyle w:val="19"/>
              <w:bidi w:val="0"/>
              <w:jc w:val="center"/>
              <w:rPr>
                <w:lang w:val="en-US" w:eastAsia="zh-CN"/>
              </w:rPr>
            </w:pPr>
            <w:r>
              <w:t>&lt;1.9</w:t>
            </w:r>
          </w:p>
        </w:tc>
        <w:tc>
          <w:tcPr>
            <w:tcW w:w="698" w:type="pct"/>
            <w:tcBorders>
              <w:tl2br w:val="nil"/>
              <w:tr2bl w:val="nil"/>
            </w:tcBorders>
            <w:tcMar>
              <w:left w:w="0" w:type="dxa"/>
              <w:right w:w="0" w:type="dxa"/>
            </w:tcMar>
            <w:vAlign w:val="center"/>
          </w:tcPr>
          <w:p w14:paraId="3FADC533">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DB2AC2A">
            <w:pPr>
              <w:pStyle w:val="19"/>
              <w:bidi w:val="0"/>
              <w:jc w:val="center"/>
              <w:rPr>
                <w:lang w:val="en-US" w:eastAsia="zh-CN"/>
              </w:rPr>
            </w:pPr>
            <w:r>
              <w:t>&lt;1.9</w:t>
            </w:r>
          </w:p>
        </w:tc>
        <w:tc>
          <w:tcPr>
            <w:tcW w:w="700" w:type="pct"/>
            <w:tcBorders>
              <w:tl2br w:val="nil"/>
              <w:tr2bl w:val="nil"/>
            </w:tcBorders>
            <w:tcMar>
              <w:left w:w="0" w:type="dxa"/>
              <w:right w:w="0" w:type="dxa"/>
            </w:tcMar>
            <w:vAlign w:val="center"/>
          </w:tcPr>
          <w:p w14:paraId="6D30A0AA">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E97C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7D042D51">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3073CC00">
            <w:pPr>
              <w:pStyle w:val="19"/>
              <w:bidi w:val="0"/>
              <w:jc w:val="center"/>
              <w:rPr>
                <w:lang w:val="en-US" w:eastAsia="zh-CN"/>
              </w:rPr>
            </w:pPr>
            <w:r>
              <w:t>甲苯</w:t>
            </w:r>
          </w:p>
        </w:tc>
        <w:tc>
          <w:tcPr>
            <w:tcW w:w="698" w:type="pct"/>
            <w:tcBorders>
              <w:tl2br w:val="nil"/>
              <w:tr2bl w:val="nil"/>
            </w:tcBorders>
            <w:tcMar>
              <w:left w:w="0" w:type="dxa"/>
              <w:right w:w="0" w:type="dxa"/>
            </w:tcMar>
            <w:vAlign w:val="center"/>
          </w:tcPr>
          <w:p w14:paraId="0529A7FF">
            <w:pPr>
              <w:pStyle w:val="19"/>
              <w:bidi w:val="0"/>
              <w:jc w:val="center"/>
              <w:rPr>
                <w:lang w:val="en-US" w:eastAsia="zh-CN"/>
              </w:rPr>
            </w:pPr>
            <w:r>
              <w:t>1200</w:t>
            </w:r>
          </w:p>
        </w:tc>
        <w:tc>
          <w:tcPr>
            <w:tcW w:w="698" w:type="pct"/>
            <w:tcBorders>
              <w:tl2br w:val="nil"/>
              <w:tr2bl w:val="nil"/>
            </w:tcBorders>
            <w:tcMar>
              <w:left w:w="0" w:type="dxa"/>
              <w:right w:w="0" w:type="dxa"/>
            </w:tcMar>
            <w:vAlign w:val="center"/>
          </w:tcPr>
          <w:p w14:paraId="15C3B7AD">
            <w:pPr>
              <w:pStyle w:val="19"/>
              <w:bidi w:val="0"/>
              <w:jc w:val="center"/>
              <w:rPr>
                <w:lang w:val="en-US" w:eastAsia="zh-CN"/>
              </w:rPr>
            </w:pPr>
            <w:r>
              <w:t>&lt;2.0</w:t>
            </w:r>
          </w:p>
        </w:tc>
        <w:tc>
          <w:tcPr>
            <w:tcW w:w="698" w:type="pct"/>
            <w:tcBorders>
              <w:tl2br w:val="nil"/>
              <w:tr2bl w:val="nil"/>
            </w:tcBorders>
            <w:tcMar>
              <w:left w:w="0" w:type="dxa"/>
              <w:right w:w="0" w:type="dxa"/>
            </w:tcMar>
            <w:vAlign w:val="center"/>
          </w:tcPr>
          <w:p w14:paraId="5901AED9">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F2B0A44">
            <w:pPr>
              <w:pStyle w:val="19"/>
              <w:bidi w:val="0"/>
              <w:jc w:val="center"/>
              <w:rPr>
                <w:lang w:val="en-US" w:eastAsia="zh-CN"/>
              </w:rPr>
            </w:pPr>
            <w:r>
              <w:t>&lt;2.0</w:t>
            </w:r>
          </w:p>
        </w:tc>
        <w:tc>
          <w:tcPr>
            <w:tcW w:w="700" w:type="pct"/>
            <w:tcBorders>
              <w:tl2br w:val="nil"/>
              <w:tr2bl w:val="nil"/>
            </w:tcBorders>
            <w:tcMar>
              <w:left w:w="0" w:type="dxa"/>
              <w:right w:w="0" w:type="dxa"/>
            </w:tcMar>
            <w:vAlign w:val="center"/>
          </w:tcPr>
          <w:p w14:paraId="29147CD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F001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C4F8AA9">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BF3D96E">
            <w:pPr>
              <w:pStyle w:val="19"/>
              <w:bidi w:val="0"/>
              <w:jc w:val="center"/>
              <w:rPr>
                <w:lang w:val="en-US" w:eastAsia="zh-CN"/>
              </w:rPr>
            </w:pPr>
            <w:r>
              <w:t>1,1,2-三氯乙烷</w:t>
            </w:r>
          </w:p>
        </w:tc>
        <w:tc>
          <w:tcPr>
            <w:tcW w:w="698" w:type="pct"/>
            <w:tcBorders>
              <w:tl2br w:val="nil"/>
              <w:tr2bl w:val="nil"/>
            </w:tcBorders>
            <w:tcMar>
              <w:left w:w="0" w:type="dxa"/>
              <w:right w:w="0" w:type="dxa"/>
            </w:tcMar>
            <w:vAlign w:val="center"/>
          </w:tcPr>
          <w:p w14:paraId="7EA04A5B">
            <w:pPr>
              <w:pStyle w:val="19"/>
              <w:bidi w:val="0"/>
              <w:jc w:val="center"/>
              <w:rPr>
                <w:lang w:val="en-US" w:eastAsia="zh-CN"/>
              </w:rPr>
            </w:pPr>
            <w:r>
              <w:t>2.8</w:t>
            </w:r>
          </w:p>
        </w:tc>
        <w:tc>
          <w:tcPr>
            <w:tcW w:w="698" w:type="pct"/>
            <w:tcBorders>
              <w:tl2br w:val="nil"/>
              <w:tr2bl w:val="nil"/>
            </w:tcBorders>
            <w:tcMar>
              <w:left w:w="0" w:type="dxa"/>
              <w:right w:w="0" w:type="dxa"/>
            </w:tcMar>
            <w:vAlign w:val="center"/>
          </w:tcPr>
          <w:p w14:paraId="42CF2DA7">
            <w:pPr>
              <w:pStyle w:val="19"/>
              <w:bidi w:val="0"/>
              <w:jc w:val="center"/>
              <w:rPr>
                <w:lang w:val="en-US" w:eastAsia="zh-CN"/>
              </w:rPr>
            </w:pPr>
            <w:r>
              <w:t>&lt;1.4</w:t>
            </w:r>
          </w:p>
        </w:tc>
        <w:tc>
          <w:tcPr>
            <w:tcW w:w="698" w:type="pct"/>
            <w:tcBorders>
              <w:tl2br w:val="nil"/>
              <w:tr2bl w:val="nil"/>
            </w:tcBorders>
            <w:tcMar>
              <w:left w:w="0" w:type="dxa"/>
              <w:right w:w="0" w:type="dxa"/>
            </w:tcMar>
            <w:vAlign w:val="center"/>
          </w:tcPr>
          <w:p w14:paraId="0DD123DC">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F17A02D">
            <w:pPr>
              <w:pStyle w:val="19"/>
              <w:bidi w:val="0"/>
              <w:jc w:val="center"/>
              <w:rPr>
                <w:lang w:val="en-US" w:eastAsia="zh-CN"/>
              </w:rPr>
            </w:pPr>
            <w:r>
              <w:t>&lt;1.4</w:t>
            </w:r>
          </w:p>
        </w:tc>
        <w:tc>
          <w:tcPr>
            <w:tcW w:w="700" w:type="pct"/>
            <w:tcBorders>
              <w:tl2br w:val="nil"/>
              <w:tr2bl w:val="nil"/>
            </w:tcBorders>
            <w:tcMar>
              <w:left w:w="0" w:type="dxa"/>
              <w:right w:w="0" w:type="dxa"/>
            </w:tcMar>
            <w:vAlign w:val="center"/>
          </w:tcPr>
          <w:p w14:paraId="6C7C1D2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465D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4ADBE10">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379350B3">
            <w:pPr>
              <w:pStyle w:val="19"/>
              <w:bidi w:val="0"/>
              <w:jc w:val="center"/>
              <w:rPr>
                <w:lang w:val="en-US" w:eastAsia="zh-CN"/>
              </w:rPr>
            </w:pPr>
            <w:r>
              <w:t>四氯乙烯</w:t>
            </w:r>
          </w:p>
        </w:tc>
        <w:tc>
          <w:tcPr>
            <w:tcW w:w="698" w:type="pct"/>
            <w:tcBorders>
              <w:tl2br w:val="nil"/>
              <w:tr2bl w:val="nil"/>
            </w:tcBorders>
            <w:tcMar>
              <w:left w:w="0" w:type="dxa"/>
              <w:right w:w="0" w:type="dxa"/>
            </w:tcMar>
            <w:vAlign w:val="center"/>
          </w:tcPr>
          <w:p w14:paraId="6A603A81">
            <w:pPr>
              <w:pStyle w:val="19"/>
              <w:bidi w:val="0"/>
              <w:jc w:val="center"/>
              <w:rPr>
                <w:lang w:val="en-US" w:eastAsia="zh-CN"/>
              </w:rPr>
            </w:pPr>
            <w:r>
              <w:t>53</w:t>
            </w:r>
          </w:p>
        </w:tc>
        <w:tc>
          <w:tcPr>
            <w:tcW w:w="698" w:type="pct"/>
            <w:tcBorders>
              <w:tl2br w:val="nil"/>
              <w:tr2bl w:val="nil"/>
            </w:tcBorders>
            <w:tcMar>
              <w:left w:w="0" w:type="dxa"/>
              <w:right w:w="0" w:type="dxa"/>
            </w:tcMar>
            <w:vAlign w:val="center"/>
          </w:tcPr>
          <w:p w14:paraId="58CC4BC9">
            <w:pPr>
              <w:pStyle w:val="19"/>
              <w:bidi w:val="0"/>
              <w:jc w:val="center"/>
              <w:rPr>
                <w:lang w:val="en-US" w:eastAsia="zh-CN"/>
              </w:rPr>
            </w:pPr>
            <w:r>
              <w:t>&lt;0.8</w:t>
            </w:r>
          </w:p>
        </w:tc>
        <w:tc>
          <w:tcPr>
            <w:tcW w:w="698" w:type="pct"/>
            <w:tcBorders>
              <w:tl2br w:val="nil"/>
              <w:tr2bl w:val="nil"/>
            </w:tcBorders>
            <w:tcMar>
              <w:left w:w="0" w:type="dxa"/>
              <w:right w:w="0" w:type="dxa"/>
            </w:tcMar>
            <w:vAlign w:val="center"/>
          </w:tcPr>
          <w:p w14:paraId="5C26E3B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5FC204F">
            <w:pPr>
              <w:pStyle w:val="19"/>
              <w:bidi w:val="0"/>
              <w:jc w:val="center"/>
              <w:rPr>
                <w:lang w:val="en-US" w:eastAsia="zh-CN"/>
              </w:rPr>
            </w:pPr>
            <w:r>
              <w:t>&lt;0.8</w:t>
            </w:r>
          </w:p>
        </w:tc>
        <w:tc>
          <w:tcPr>
            <w:tcW w:w="700" w:type="pct"/>
            <w:tcBorders>
              <w:tl2br w:val="nil"/>
              <w:tr2bl w:val="nil"/>
            </w:tcBorders>
            <w:tcMar>
              <w:left w:w="0" w:type="dxa"/>
              <w:right w:w="0" w:type="dxa"/>
            </w:tcMar>
            <w:vAlign w:val="center"/>
          </w:tcPr>
          <w:p w14:paraId="7021025E">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0AA0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78E0271C">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8DD460F">
            <w:pPr>
              <w:pStyle w:val="19"/>
              <w:bidi w:val="0"/>
              <w:jc w:val="center"/>
              <w:rPr>
                <w:lang w:val="en-US" w:eastAsia="zh-CN"/>
              </w:rPr>
            </w:pPr>
            <w:r>
              <w:t>氯苯</w:t>
            </w:r>
          </w:p>
        </w:tc>
        <w:tc>
          <w:tcPr>
            <w:tcW w:w="698" w:type="pct"/>
            <w:tcBorders>
              <w:tl2br w:val="nil"/>
              <w:tr2bl w:val="nil"/>
            </w:tcBorders>
            <w:tcMar>
              <w:left w:w="0" w:type="dxa"/>
              <w:right w:w="0" w:type="dxa"/>
            </w:tcMar>
            <w:vAlign w:val="center"/>
          </w:tcPr>
          <w:p w14:paraId="22A3F563">
            <w:pPr>
              <w:pStyle w:val="19"/>
              <w:bidi w:val="0"/>
              <w:jc w:val="center"/>
              <w:rPr>
                <w:lang w:val="en-US" w:eastAsia="zh-CN"/>
              </w:rPr>
            </w:pPr>
            <w:r>
              <w:t>270</w:t>
            </w:r>
          </w:p>
        </w:tc>
        <w:tc>
          <w:tcPr>
            <w:tcW w:w="698" w:type="pct"/>
            <w:tcBorders>
              <w:tl2br w:val="nil"/>
              <w:tr2bl w:val="nil"/>
            </w:tcBorders>
            <w:tcMar>
              <w:left w:w="0" w:type="dxa"/>
              <w:right w:w="0" w:type="dxa"/>
            </w:tcMar>
            <w:vAlign w:val="center"/>
          </w:tcPr>
          <w:p w14:paraId="577F5B18">
            <w:pPr>
              <w:pStyle w:val="19"/>
              <w:bidi w:val="0"/>
              <w:jc w:val="center"/>
              <w:rPr>
                <w:lang w:val="en-US" w:eastAsia="zh-CN"/>
              </w:rPr>
            </w:pPr>
            <w:r>
              <w:t>&lt;1.1</w:t>
            </w:r>
          </w:p>
        </w:tc>
        <w:tc>
          <w:tcPr>
            <w:tcW w:w="698" w:type="pct"/>
            <w:tcBorders>
              <w:tl2br w:val="nil"/>
              <w:tr2bl w:val="nil"/>
            </w:tcBorders>
            <w:tcMar>
              <w:left w:w="0" w:type="dxa"/>
              <w:right w:w="0" w:type="dxa"/>
            </w:tcMar>
            <w:vAlign w:val="center"/>
          </w:tcPr>
          <w:p w14:paraId="0B9F54D6">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7C0F948">
            <w:pPr>
              <w:pStyle w:val="19"/>
              <w:bidi w:val="0"/>
              <w:jc w:val="center"/>
              <w:rPr>
                <w:lang w:val="en-US" w:eastAsia="zh-CN"/>
              </w:rPr>
            </w:pPr>
            <w:r>
              <w:t>&lt;1.1</w:t>
            </w:r>
          </w:p>
        </w:tc>
        <w:tc>
          <w:tcPr>
            <w:tcW w:w="700" w:type="pct"/>
            <w:tcBorders>
              <w:tl2br w:val="nil"/>
              <w:tr2bl w:val="nil"/>
            </w:tcBorders>
            <w:tcMar>
              <w:left w:w="0" w:type="dxa"/>
              <w:right w:w="0" w:type="dxa"/>
            </w:tcMar>
            <w:vAlign w:val="center"/>
          </w:tcPr>
          <w:p w14:paraId="1A3E7CD6">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9252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8ACB2A3">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03FD5A96">
            <w:pPr>
              <w:pStyle w:val="19"/>
              <w:bidi w:val="0"/>
              <w:jc w:val="center"/>
              <w:rPr>
                <w:rFonts w:hint="eastAsia"/>
                <w:lang w:val="en-US" w:eastAsia="zh-CN"/>
              </w:rPr>
            </w:pPr>
            <w:r>
              <w:t>1,1,1,2-四氯乙烷</w:t>
            </w:r>
          </w:p>
        </w:tc>
        <w:tc>
          <w:tcPr>
            <w:tcW w:w="698" w:type="pct"/>
            <w:tcBorders>
              <w:tl2br w:val="nil"/>
              <w:tr2bl w:val="nil"/>
            </w:tcBorders>
            <w:tcMar>
              <w:left w:w="0" w:type="dxa"/>
              <w:right w:w="0" w:type="dxa"/>
            </w:tcMar>
            <w:vAlign w:val="center"/>
          </w:tcPr>
          <w:p w14:paraId="7864756F">
            <w:pPr>
              <w:pStyle w:val="19"/>
              <w:bidi w:val="0"/>
              <w:jc w:val="center"/>
              <w:rPr>
                <w:lang w:val="en-US" w:eastAsia="zh-CN"/>
              </w:rPr>
            </w:pPr>
            <w:r>
              <w:t>10</w:t>
            </w:r>
          </w:p>
        </w:tc>
        <w:tc>
          <w:tcPr>
            <w:tcW w:w="698" w:type="pct"/>
            <w:tcBorders>
              <w:tl2br w:val="nil"/>
              <w:tr2bl w:val="nil"/>
            </w:tcBorders>
            <w:tcMar>
              <w:left w:w="0" w:type="dxa"/>
              <w:right w:w="0" w:type="dxa"/>
            </w:tcMar>
            <w:vAlign w:val="center"/>
          </w:tcPr>
          <w:p w14:paraId="02BF7AA9">
            <w:pPr>
              <w:pStyle w:val="19"/>
              <w:bidi w:val="0"/>
              <w:jc w:val="center"/>
              <w:rPr>
                <w:lang w:val="en-US" w:eastAsia="zh-CN"/>
              </w:rPr>
            </w:pPr>
            <w:r>
              <w:t>&lt;1.0</w:t>
            </w:r>
          </w:p>
        </w:tc>
        <w:tc>
          <w:tcPr>
            <w:tcW w:w="698" w:type="pct"/>
            <w:tcBorders>
              <w:tl2br w:val="nil"/>
              <w:tr2bl w:val="nil"/>
            </w:tcBorders>
            <w:tcMar>
              <w:left w:w="0" w:type="dxa"/>
              <w:right w:w="0" w:type="dxa"/>
            </w:tcMar>
            <w:vAlign w:val="center"/>
          </w:tcPr>
          <w:p w14:paraId="480627F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68E1FD6">
            <w:pPr>
              <w:pStyle w:val="19"/>
              <w:bidi w:val="0"/>
              <w:jc w:val="center"/>
              <w:rPr>
                <w:lang w:val="en-US" w:eastAsia="zh-CN"/>
              </w:rPr>
            </w:pPr>
            <w:r>
              <w:t>&lt;1.0</w:t>
            </w:r>
          </w:p>
        </w:tc>
        <w:tc>
          <w:tcPr>
            <w:tcW w:w="700" w:type="pct"/>
            <w:tcBorders>
              <w:tl2br w:val="nil"/>
              <w:tr2bl w:val="nil"/>
            </w:tcBorders>
            <w:tcMar>
              <w:left w:w="0" w:type="dxa"/>
              <w:right w:w="0" w:type="dxa"/>
            </w:tcMar>
            <w:vAlign w:val="center"/>
          </w:tcPr>
          <w:p w14:paraId="4D120DC1">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AEC4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2F2FB8ED">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679BE81">
            <w:pPr>
              <w:pStyle w:val="19"/>
              <w:bidi w:val="0"/>
              <w:jc w:val="center"/>
              <w:rPr>
                <w:lang w:val="en-US" w:eastAsia="zh-CN"/>
              </w:rPr>
            </w:pPr>
            <w:r>
              <w:t>乙苯</w:t>
            </w:r>
          </w:p>
        </w:tc>
        <w:tc>
          <w:tcPr>
            <w:tcW w:w="698" w:type="pct"/>
            <w:tcBorders>
              <w:tl2br w:val="nil"/>
              <w:tr2bl w:val="nil"/>
            </w:tcBorders>
            <w:tcMar>
              <w:left w:w="0" w:type="dxa"/>
              <w:right w:w="0" w:type="dxa"/>
            </w:tcMar>
            <w:vAlign w:val="center"/>
          </w:tcPr>
          <w:p w14:paraId="4057B1F2">
            <w:pPr>
              <w:pStyle w:val="19"/>
              <w:bidi w:val="0"/>
              <w:jc w:val="center"/>
              <w:rPr>
                <w:lang w:val="en-US" w:eastAsia="zh-CN"/>
              </w:rPr>
            </w:pPr>
            <w:r>
              <w:t>28</w:t>
            </w:r>
          </w:p>
        </w:tc>
        <w:tc>
          <w:tcPr>
            <w:tcW w:w="698" w:type="pct"/>
            <w:tcBorders>
              <w:tl2br w:val="nil"/>
              <w:tr2bl w:val="nil"/>
            </w:tcBorders>
            <w:tcMar>
              <w:left w:w="0" w:type="dxa"/>
              <w:right w:w="0" w:type="dxa"/>
            </w:tcMar>
            <w:vAlign w:val="center"/>
          </w:tcPr>
          <w:p w14:paraId="1B0BA779">
            <w:pPr>
              <w:pStyle w:val="19"/>
              <w:bidi w:val="0"/>
              <w:jc w:val="center"/>
              <w:rPr>
                <w:lang w:val="en-US" w:eastAsia="zh-CN"/>
              </w:rPr>
            </w:pPr>
            <w:r>
              <w:t>&lt;1.2</w:t>
            </w:r>
          </w:p>
        </w:tc>
        <w:tc>
          <w:tcPr>
            <w:tcW w:w="698" w:type="pct"/>
            <w:tcBorders>
              <w:tl2br w:val="nil"/>
              <w:tr2bl w:val="nil"/>
            </w:tcBorders>
            <w:tcMar>
              <w:left w:w="0" w:type="dxa"/>
              <w:right w:w="0" w:type="dxa"/>
            </w:tcMar>
            <w:vAlign w:val="center"/>
          </w:tcPr>
          <w:p w14:paraId="5B2949FA">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9DE8F8E">
            <w:pPr>
              <w:pStyle w:val="19"/>
              <w:bidi w:val="0"/>
              <w:jc w:val="center"/>
              <w:rPr>
                <w:lang w:val="en-US" w:eastAsia="zh-CN"/>
              </w:rPr>
            </w:pPr>
            <w:r>
              <w:t>&lt;1.2</w:t>
            </w:r>
          </w:p>
        </w:tc>
        <w:tc>
          <w:tcPr>
            <w:tcW w:w="700" w:type="pct"/>
            <w:tcBorders>
              <w:tl2br w:val="nil"/>
              <w:tr2bl w:val="nil"/>
            </w:tcBorders>
            <w:tcMar>
              <w:left w:w="0" w:type="dxa"/>
              <w:right w:w="0" w:type="dxa"/>
            </w:tcMar>
            <w:vAlign w:val="center"/>
          </w:tcPr>
          <w:p w14:paraId="0B366FF4">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603A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30F884C">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3C3A2F66">
            <w:pPr>
              <w:pStyle w:val="19"/>
              <w:bidi w:val="0"/>
              <w:jc w:val="center"/>
              <w:rPr>
                <w:lang w:val="en-US" w:eastAsia="zh-CN"/>
              </w:rPr>
            </w:pPr>
            <w:r>
              <w:t>间，对-二甲苯</w:t>
            </w:r>
          </w:p>
        </w:tc>
        <w:tc>
          <w:tcPr>
            <w:tcW w:w="698" w:type="pct"/>
            <w:tcBorders>
              <w:tl2br w:val="nil"/>
              <w:tr2bl w:val="nil"/>
            </w:tcBorders>
            <w:tcMar>
              <w:left w:w="0" w:type="dxa"/>
              <w:right w:w="0" w:type="dxa"/>
            </w:tcMar>
            <w:vAlign w:val="center"/>
          </w:tcPr>
          <w:p w14:paraId="1FA8AB9E">
            <w:pPr>
              <w:pStyle w:val="19"/>
              <w:bidi w:val="0"/>
              <w:jc w:val="center"/>
              <w:rPr>
                <w:lang w:val="en-US" w:eastAsia="zh-CN"/>
              </w:rPr>
            </w:pPr>
            <w:r>
              <w:t>570</w:t>
            </w:r>
          </w:p>
        </w:tc>
        <w:tc>
          <w:tcPr>
            <w:tcW w:w="698" w:type="pct"/>
            <w:tcBorders>
              <w:tl2br w:val="nil"/>
              <w:tr2bl w:val="nil"/>
            </w:tcBorders>
            <w:tcMar>
              <w:left w:w="0" w:type="dxa"/>
              <w:right w:w="0" w:type="dxa"/>
            </w:tcMar>
            <w:vAlign w:val="center"/>
          </w:tcPr>
          <w:p w14:paraId="1ADF83FE">
            <w:pPr>
              <w:pStyle w:val="19"/>
              <w:bidi w:val="0"/>
              <w:jc w:val="center"/>
              <w:rPr>
                <w:lang w:val="en-US" w:eastAsia="zh-CN"/>
              </w:rPr>
            </w:pPr>
            <w:r>
              <w:t>&lt;3.6</w:t>
            </w:r>
          </w:p>
        </w:tc>
        <w:tc>
          <w:tcPr>
            <w:tcW w:w="698" w:type="pct"/>
            <w:tcBorders>
              <w:tl2br w:val="nil"/>
              <w:tr2bl w:val="nil"/>
            </w:tcBorders>
            <w:tcMar>
              <w:left w:w="0" w:type="dxa"/>
              <w:right w:w="0" w:type="dxa"/>
            </w:tcMar>
            <w:vAlign w:val="center"/>
          </w:tcPr>
          <w:p w14:paraId="0E9C6A29">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1F48302F">
            <w:pPr>
              <w:pStyle w:val="19"/>
              <w:bidi w:val="0"/>
              <w:jc w:val="center"/>
              <w:rPr>
                <w:lang w:val="en-US" w:eastAsia="zh-CN"/>
              </w:rPr>
            </w:pPr>
            <w:r>
              <w:t>&lt;3.6</w:t>
            </w:r>
          </w:p>
        </w:tc>
        <w:tc>
          <w:tcPr>
            <w:tcW w:w="700" w:type="pct"/>
            <w:tcBorders>
              <w:tl2br w:val="nil"/>
              <w:tr2bl w:val="nil"/>
            </w:tcBorders>
            <w:tcMar>
              <w:left w:w="0" w:type="dxa"/>
              <w:right w:w="0" w:type="dxa"/>
            </w:tcMar>
            <w:vAlign w:val="center"/>
          </w:tcPr>
          <w:p w14:paraId="69BF22DB">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57AD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04CA54C">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618DAF5C">
            <w:pPr>
              <w:pStyle w:val="19"/>
              <w:bidi w:val="0"/>
              <w:jc w:val="center"/>
              <w:rPr>
                <w:lang w:val="en-US" w:eastAsia="zh-CN"/>
              </w:rPr>
            </w:pPr>
            <w:r>
              <w:t>邻-二甲苯</w:t>
            </w:r>
          </w:p>
        </w:tc>
        <w:tc>
          <w:tcPr>
            <w:tcW w:w="698" w:type="pct"/>
            <w:tcBorders>
              <w:tl2br w:val="nil"/>
              <w:tr2bl w:val="nil"/>
            </w:tcBorders>
            <w:tcMar>
              <w:left w:w="0" w:type="dxa"/>
              <w:right w:w="0" w:type="dxa"/>
            </w:tcMar>
            <w:vAlign w:val="center"/>
          </w:tcPr>
          <w:p w14:paraId="7074B5AE">
            <w:pPr>
              <w:pStyle w:val="19"/>
              <w:bidi w:val="0"/>
              <w:jc w:val="center"/>
              <w:rPr>
                <w:lang w:val="en-US" w:eastAsia="zh-CN"/>
              </w:rPr>
            </w:pPr>
            <w:r>
              <w:t>640</w:t>
            </w:r>
          </w:p>
        </w:tc>
        <w:tc>
          <w:tcPr>
            <w:tcW w:w="698" w:type="pct"/>
            <w:tcBorders>
              <w:tl2br w:val="nil"/>
              <w:tr2bl w:val="nil"/>
            </w:tcBorders>
            <w:tcMar>
              <w:left w:w="0" w:type="dxa"/>
              <w:right w:w="0" w:type="dxa"/>
            </w:tcMar>
            <w:vAlign w:val="center"/>
          </w:tcPr>
          <w:p w14:paraId="77034DE3">
            <w:pPr>
              <w:pStyle w:val="19"/>
              <w:bidi w:val="0"/>
              <w:jc w:val="center"/>
              <w:rPr>
                <w:lang w:val="en-US" w:eastAsia="zh-CN"/>
              </w:rPr>
            </w:pPr>
            <w:r>
              <w:t>&lt;1.3</w:t>
            </w:r>
          </w:p>
        </w:tc>
        <w:tc>
          <w:tcPr>
            <w:tcW w:w="698" w:type="pct"/>
            <w:tcBorders>
              <w:tl2br w:val="nil"/>
              <w:tr2bl w:val="nil"/>
            </w:tcBorders>
            <w:tcMar>
              <w:left w:w="0" w:type="dxa"/>
              <w:right w:w="0" w:type="dxa"/>
            </w:tcMar>
            <w:vAlign w:val="center"/>
          </w:tcPr>
          <w:p w14:paraId="78C2A25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9DE682C">
            <w:pPr>
              <w:pStyle w:val="19"/>
              <w:bidi w:val="0"/>
              <w:jc w:val="center"/>
              <w:rPr>
                <w:lang w:val="en-US" w:eastAsia="zh-CN"/>
              </w:rPr>
            </w:pPr>
            <w:r>
              <w:t>&lt;1.3</w:t>
            </w:r>
          </w:p>
        </w:tc>
        <w:tc>
          <w:tcPr>
            <w:tcW w:w="700" w:type="pct"/>
            <w:tcBorders>
              <w:tl2br w:val="nil"/>
              <w:tr2bl w:val="nil"/>
            </w:tcBorders>
            <w:tcMar>
              <w:left w:w="0" w:type="dxa"/>
              <w:right w:w="0" w:type="dxa"/>
            </w:tcMar>
            <w:vAlign w:val="center"/>
          </w:tcPr>
          <w:p w14:paraId="365B28F1">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71D9F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E1231CB">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3F8CCA1B">
            <w:pPr>
              <w:pStyle w:val="19"/>
              <w:bidi w:val="0"/>
              <w:jc w:val="center"/>
              <w:rPr>
                <w:lang w:val="en-US" w:eastAsia="zh-CN"/>
              </w:rPr>
            </w:pPr>
            <w:r>
              <w:t>苯乙烯</w:t>
            </w:r>
          </w:p>
        </w:tc>
        <w:tc>
          <w:tcPr>
            <w:tcW w:w="698" w:type="pct"/>
            <w:tcBorders>
              <w:tl2br w:val="nil"/>
              <w:tr2bl w:val="nil"/>
            </w:tcBorders>
            <w:tcMar>
              <w:left w:w="0" w:type="dxa"/>
              <w:right w:w="0" w:type="dxa"/>
            </w:tcMar>
            <w:vAlign w:val="center"/>
          </w:tcPr>
          <w:p w14:paraId="1ECB9910">
            <w:pPr>
              <w:pStyle w:val="19"/>
              <w:bidi w:val="0"/>
              <w:jc w:val="center"/>
              <w:rPr>
                <w:lang w:val="en-US" w:eastAsia="zh-CN"/>
              </w:rPr>
            </w:pPr>
            <w:r>
              <w:t>1290</w:t>
            </w:r>
          </w:p>
        </w:tc>
        <w:tc>
          <w:tcPr>
            <w:tcW w:w="698" w:type="pct"/>
            <w:tcBorders>
              <w:tl2br w:val="nil"/>
              <w:tr2bl w:val="nil"/>
            </w:tcBorders>
            <w:tcMar>
              <w:left w:w="0" w:type="dxa"/>
              <w:right w:w="0" w:type="dxa"/>
            </w:tcMar>
            <w:vAlign w:val="center"/>
          </w:tcPr>
          <w:p w14:paraId="65A7032A">
            <w:pPr>
              <w:pStyle w:val="19"/>
              <w:bidi w:val="0"/>
              <w:jc w:val="center"/>
              <w:rPr>
                <w:lang w:val="en-US" w:eastAsia="zh-CN"/>
              </w:rPr>
            </w:pPr>
            <w:r>
              <w:t>&lt;1.6</w:t>
            </w:r>
          </w:p>
        </w:tc>
        <w:tc>
          <w:tcPr>
            <w:tcW w:w="698" w:type="pct"/>
            <w:tcBorders>
              <w:tl2br w:val="nil"/>
              <w:tr2bl w:val="nil"/>
            </w:tcBorders>
            <w:tcMar>
              <w:left w:w="0" w:type="dxa"/>
              <w:right w:w="0" w:type="dxa"/>
            </w:tcMar>
            <w:vAlign w:val="center"/>
          </w:tcPr>
          <w:p w14:paraId="0F36AF9F">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189549EB">
            <w:pPr>
              <w:pStyle w:val="19"/>
              <w:bidi w:val="0"/>
              <w:jc w:val="center"/>
              <w:rPr>
                <w:lang w:val="en-US" w:eastAsia="zh-CN"/>
              </w:rPr>
            </w:pPr>
            <w:r>
              <w:t>&lt;1.6</w:t>
            </w:r>
          </w:p>
        </w:tc>
        <w:tc>
          <w:tcPr>
            <w:tcW w:w="700" w:type="pct"/>
            <w:tcBorders>
              <w:tl2br w:val="nil"/>
              <w:tr2bl w:val="nil"/>
            </w:tcBorders>
            <w:tcMar>
              <w:left w:w="0" w:type="dxa"/>
              <w:right w:w="0" w:type="dxa"/>
            </w:tcMar>
            <w:vAlign w:val="center"/>
          </w:tcPr>
          <w:p w14:paraId="7D1ABB93">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12EA9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76AB73EA">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14013033">
            <w:pPr>
              <w:pStyle w:val="19"/>
              <w:bidi w:val="0"/>
              <w:jc w:val="center"/>
              <w:rPr>
                <w:lang w:val="en-US" w:eastAsia="zh-CN"/>
              </w:rPr>
            </w:pPr>
            <w:r>
              <w:t>1,1,2,2-四氯乙烷</w:t>
            </w:r>
          </w:p>
        </w:tc>
        <w:tc>
          <w:tcPr>
            <w:tcW w:w="698" w:type="pct"/>
            <w:tcBorders>
              <w:tl2br w:val="nil"/>
              <w:tr2bl w:val="nil"/>
            </w:tcBorders>
            <w:tcMar>
              <w:left w:w="0" w:type="dxa"/>
              <w:right w:w="0" w:type="dxa"/>
            </w:tcMar>
            <w:vAlign w:val="center"/>
          </w:tcPr>
          <w:p w14:paraId="2DCBDD5D">
            <w:pPr>
              <w:pStyle w:val="19"/>
              <w:bidi w:val="0"/>
              <w:jc w:val="center"/>
              <w:rPr>
                <w:lang w:val="en-US" w:eastAsia="zh-CN"/>
              </w:rPr>
            </w:pPr>
            <w:r>
              <w:t>6.8</w:t>
            </w:r>
          </w:p>
        </w:tc>
        <w:tc>
          <w:tcPr>
            <w:tcW w:w="698" w:type="pct"/>
            <w:tcBorders>
              <w:tl2br w:val="nil"/>
              <w:tr2bl w:val="nil"/>
            </w:tcBorders>
            <w:tcMar>
              <w:left w:w="0" w:type="dxa"/>
              <w:right w:w="0" w:type="dxa"/>
            </w:tcMar>
            <w:vAlign w:val="center"/>
          </w:tcPr>
          <w:p w14:paraId="549743D1">
            <w:pPr>
              <w:pStyle w:val="19"/>
              <w:bidi w:val="0"/>
              <w:jc w:val="center"/>
              <w:rPr>
                <w:lang w:val="en-US" w:eastAsia="zh-CN"/>
              </w:rPr>
            </w:pPr>
            <w:r>
              <w:t>&lt;1.0</w:t>
            </w:r>
          </w:p>
        </w:tc>
        <w:tc>
          <w:tcPr>
            <w:tcW w:w="698" w:type="pct"/>
            <w:tcBorders>
              <w:tl2br w:val="nil"/>
              <w:tr2bl w:val="nil"/>
            </w:tcBorders>
            <w:tcMar>
              <w:left w:w="0" w:type="dxa"/>
              <w:right w:w="0" w:type="dxa"/>
            </w:tcMar>
            <w:vAlign w:val="center"/>
          </w:tcPr>
          <w:p w14:paraId="16ACD7E2">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3CBDD1F">
            <w:pPr>
              <w:pStyle w:val="19"/>
              <w:bidi w:val="0"/>
              <w:jc w:val="center"/>
              <w:rPr>
                <w:lang w:val="en-US" w:eastAsia="zh-CN"/>
              </w:rPr>
            </w:pPr>
            <w:r>
              <w:t>&lt;1.0</w:t>
            </w:r>
          </w:p>
        </w:tc>
        <w:tc>
          <w:tcPr>
            <w:tcW w:w="700" w:type="pct"/>
            <w:tcBorders>
              <w:tl2br w:val="nil"/>
              <w:tr2bl w:val="nil"/>
            </w:tcBorders>
            <w:tcMar>
              <w:left w:w="0" w:type="dxa"/>
              <w:right w:w="0" w:type="dxa"/>
            </w:tcMar>
            <w:vAlign w:val="center"/>
          </w:tcPr>
          <w:p w14:paraId="46C708E9">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0F89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A0C321F">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151B9D27">
            <w:pPr>
              <w:pStyle w:val="19"/>
              <w:bidi w:val="0"/>
              <w:jc w:val="center"/>
              <w:rPr>
                <w:lang w:val="en-US" w:eastAsia="zh-CN"/>
              </w:rPr>
            </w:pPr>
            <w:r>
              <w:t>1,2,3-三氯丙烷</w:t>
            </w:r>
          </w:p>
        </w:tc>
        <w:tc>
          <w:tcPr>
            <w:tcW w:w="698" w:type="pct"/>
            <w:tcBorders>
              <w:tl2br w:val="nil"/>
              <w:tr2bl w:val="nil"/>
            </w:tcBorders>
            <w:tcMar>
              <w:left w:w="0" w:type="dxa"/>
              <w:right w:w="0" w:type="dxa"/>
            </w:tcMar>
            <w:vAlign w:val="center"/>
          </w:tcPr>
          <w:p w14:paraId="048E2F2F">
            <w:pPr>
              <w:pStyle w:val="19"/>
              <w:bidi w:val="0"/>
              <w:jc w:val="center"/>
              <w:rPr>
                <w:lang w:val="en-US" w:eastAsia="zh-CN"/>
              </w:rPr>
            </w:pPr>
            <w:r>
              <w:t>0.5</w:t>
            </w:r>
          </w:p>
        </w:tc>
        <w:tc>
          <w:tcPr>
            <w:tcW w:w="698" w:type="pct"/>
            <w:tcBorders>
              <w:tl2br w:val="nil"/>
              <w:tr2bl w:val="nil"/>
            </w:tcBorders>
            <w:tcMar>
              <w:left w:w="0" w:type="dxa"/>
              <w:right w:w="0" w:type="dxa"/>
            </w:tcMar>
            <w:vAlign w:val="center"/>
          </w:tcPr>
          <w:p w14:paraId="111D9ABE">
            <w:pPr>
              <w:pStyle w:val="19"/>
              <w:bidi w:val="0"/>
              <w:jc w:val="center"/>
              <w:rPr>
                <w:lang w:val="en-US" w:eastAsia="zh-CN"/>
              </w:rPr>
            </w:pPr>
            <w:r>
              <w:t>&lt;1.0</w:t>
            </w:r>
          </w:p>
        </w:tc>
        <w:tc>
          <w:tcPr>
            <w:tcW w:w="698" w:type="pct"/>
            <w:tcBorders>
              <w:tl2br w:val="nil"/>
              <w:tr2bl w:val="nil"/>
            </w:tcBorders>
            <w:tcMar>
              <w:left w:w="0" w:type="dxa"/>
              <w:right w:w="0" w:type="dxa"/>
            </w:tcMar>
            <w:vAlign w:val="center"/>
          </w:tcPr>
          <w:p w14:paraId="114DEFD2">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DB3AAE2">
            <w:pPr>
              <w:pStyle w:val="19"/>
              <w:bidi w:val="0"/>
              <w:jc w:val="center"/>
              <w:rPr>
                <w:lang w:val="en-US" w:eastAsia="zh-CN"/>
              </w:rPr>
            </w:pPr>
            <w:r>
              <w:t>&lt;1.0</w:t>
            </w:r>
          </w:p>
        </w:tc>
        <w:tc>
          <w:tcPr>
            <w:tcW w:w="700" w:type="pct"/>
            <w:tcBorders>
              <w:tl2br w:val="nil"/>
              <w:tr2bl w:val="nil"/>
            </w:tcBorders>
            <w:tcMar>
              <w:left w:w="0" w:type="dxa"/>
              <w:right w:w="0" w:type="dxa"/>
            </w:tcMar>
            <w:vAlign w:val="center"/>
          </w:tcPr>
          <w:p w14:paraId="71D5D8A7">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42CDD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8002B91">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40B4B296">
            <w:pPr>
              <w:pStyle w:val="19"/>
              <w:bidi w:val="0"/>
              <w:jc w:val="center"/>
              <w:rPr>
                <w:lang w:val="en-US" w:eastAsia="zh-CN"/>
              </w:rPr>
            </w:pPr>
            <w:r>
              <w:t>1,4-二氯苯</w:t>
            </w:r>
          </w:p>
        </w:tc>
        <w:tc>
          <w:tcPr>
            <w:tcW w:w="698" w:type="pct"/>
            <w:tcBorders>
              <w:tl2br w:val="nil"/>
              <w:tr2bl w:val="nil"/>
            </w:tcBorders>
            <w:tcMar>
              <w:left w:w="0" w:type="dxa"/>
              <w:right w:w="0" w:type="dxa"/>
            </w:tcMar>
            <w:vAlign w:val="center"/>
          </w:tcPr>
          <w:p w14:paraId="09FA577A">
            <w:pPr>
              <w:pStyle w:val="19"/>
              <w:bidi w:val="0"/>
              <w:jc w:val="center"/>
              <w:rPr>
                <w:lang w:val="en-US" w:eastAsia="zh-CN"/>
              </w:rPr>
            </w:pPr>
            <w:r>
              <w:t>20</w:t>
            </w:r>
          </w:p>
        </w:tc>
        <w:tc>
          <w:tcPr>
            <w:tcW w:w="698" w:type="pct"/>
            <w:tcBorders>
              <w:tl2br w:val="nil"/>
              <w:tr2bl w:val="nil"/>
            </w:tcBorders>
            <w:tcMar>
              <w:left w:w="0" w:type="dxa"/>
              <w:right w:w="0" w:type="dxa"/>
            </w:tcMar>
            <w:vAlign w:val="center"/>
          </w:tcPr>
          <w:p w14:paraId="68EB7F51">
            <w:pPr>
              <w:pStyle w:val="19"/>
              <w:bidi w:val="0"/>
              <w:jc w:val="center"/>
              <w:rPr>
                <w:lang w:val="en-US" w:eastAsia="zh-CN"/>
              </w:rPr>
            </w:pPr>
            <w:r>
              <w:t>&lt;1.2</w:t>
            </w:r>
          </w:p>
        </w:tc>
        <w:tc>
          <w:tcPr>
            <w:tcW w:w="698" w:type="pct"/>
            <w:tcBorders>
              <w:tl2br w:val="nil"/>
              <w:tr2bl w:val="nil"/>
            </w:tcBorders>
            <w:tcMar>
              <w:left w:w="0" w:type="dxa"/>
              <w:right w:w="0" w:type="dxa"/>
            </w:tcMar>
            <w:vAlign w:val="center"/>
          </w:tcPr>
          <w:p w14:paraId="5F1A248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10B7559">
            <w:pPr>
              <w:pStyle w:val="19"/>
              <w:bidi w:val="0"/>
              <w:jc w:val="center"/>
              <w:rPr>
                <w:lang w:val="en-US" w:eastAsia="zh-CN"/>
              </w:rPr>
            </w:pPr>
            <w:r>
              <w:t>&lt;1.2</w:t>
            </w:r>
          </w:p>
        </w:tc>
        <w:tc>
          <w:tcPr>
            <w:tcW w:w="700" w:type="pct"/>
            <w:tcBorders>
              <w:tl2br w:val="nil"/>
              <w:tr2bl w:val="nil"/>
            </w:tcBorders>
            <w:tcMar>
              <w:left w:w="0" w:type="dxa"/>
              <w:right w:w="0" w:type="dxa"/>
            </w:tcMar>
            <w:vAlign w:val="center"/>
          </w:tcPr>
          <w:p w14:paraId="05D22D3D">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9BD0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6F90806">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42DD3F7">
            <w:pPr>
              <w:pStyle w:val="19"/>
              <w:bidi w:val="0"/>
              <w:jc w:val="center"/>
              <w:rPr>
                <w:lang w:val="en-US" w:eastAsia="zh-CN"/>
              </w:rPr>
            </w:pPr>
            <w:r>
              <w:t>1,2-二氯苯</w:t>
            </w:r>
          </w:p>
        </w:tc>
        <w:tc>
          <w:tcPr>
            <w:tcW w:w="698" w:type="pct"/>
            <w:tcBorders>
              <w:tl2br w:val="nil"/>
              <w:tr2bl w:val="nil"/>
            </w:tcBorders>
            <w:tcMar>
              <w:left w:w="0" w:type="dxa"/>
              <w:right w:w="0" w:type="dxa"/>
            </w:tcMar>
            <w:vAlign w:val="center"/>
          </w:tcPr>
          <w:p w14:paraId="12304887">
            <w:pPr>
              <w:pStyle w:val="19"/>
              <w:bidi w:val="0"/>
              <w:jc w:val="center"/>
              <w:rPr>
                <w:lang w:val="en-US" w:eastAsia="zh-CN"/>
              </w:rPr>
            </w:pPr>
            <w:r>
              <w:t>560</w:t>
            </w:r>
          </w:p>
        </w:tc>
        <w:tc>
          <w:tcPr>
            <w:tcW w:w="698" w:type="pct"/>
            <w:tcBorders>
              <w:tl2br w:val="nil"/>
              <w:tr2bl w:val="nil"/>
            </w:tcBorders>
            <w:tcMar>
              <w:left w:w="0" w:type="dxa"/>
              <w:right w:w="0" w:type="dxa"/>
            </w:tcMar>
            <w:vAlign w:val="center"/>
          </w:tcPr>
          <w:p w14:paraId="4FD3C13A">
            <w:pPr>
              <w:pStyle w:val="19"/>
              <w:bidi w:val="0"/>
              <w:jc w:val="center"/>
              <w:rPr>
                <w:lang w:val="en-US" w:eastAsia="zh-CN"/>
              </w:rPr>
            </w:pPr>
            <w:r>
              <w:t>&lt;1.0</w:t>
            </w:r>
          </w:p>
        </w:tc>
        <w:tc>
          <w:tcPr>
            <w:tcW w:w="698" w:type="pct"/>
            <w:tcBorders>
              <w:tl2br w:val="nil"/>
              <w:tr2bl w:val="nil"/>
            </w:tcBorders>
            <w:tcMar>
              <w:left w:w="0" w:type="dxa"/>
              <w:right w:w="0" w:type="dxa"/>
            </w:tcMar>
            <w:vAlign w:val="center"/>
          </w:tcPr>
          <w:p w14:paraId="6F65FCFD">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7EAC91CE">
            <w:pPr>
              <w:pStyle w:val="19"/>
              <w:bidi w:val="0"/>
              <w:jc w:val="center"/>
              <w:rPr>
                <w:lang w:val="en-US" w:eastAsia="zh-CN"/>
              </w:rPr>
            </w:pPr>
            <w:r>
              <w:t>&lt;1.0</w:t>
            </w:r>
          </w:p>
        </w:tc>
        <w:tc>
          <w:tcPr>
            <w:tcW w:w="700" w:type="pct"/>
            <w:tcBorders>
              <w:tl2br w:val="nil"/>
              <w:tr2bl w:val="nil"/>
            </w:tcBorders>
            <w:tcMar>
              <w:left w:w="0" w:type="dxa"/>
              <w:right w:w="0" w:type="dxa"/>
            </w:tcMar>
            <w:vAlign w:val="center"/>
          </w:tcPr>
          <w:p w14:paraId="6A2EF78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11602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2743B243">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46676A2">
            <w:pPr>
              <w:pStyle w:val="19"/>
              <w:bidi w:val="0"/>
              <w:jc w:val="center"/>
              <w:rPr>
                <w:lang w:val="en-US" w:eastAsia="zh-CN"/>
              </w:rPr>
            </w:pPr>
            <w:r>
              <w:t>氯甲烷</w:t>
            </w:r>
          </w:p>
        </w:tc>
        <w:tc>
          <w:tcPr>
            <w:tcW w:w="698" w:type="pct"/>
            <w:tcBorders>
              <w:tl2br w:val="nil"/>
              <w:tr2bl w:val="nil"/>
            </w:tcBorders>
            <w:tcMar>
              <w:left w:w="0" w:type="dxa"/>
              <w:right w:w="0" w:type="dxa"/>
            </w:tcMar>
            <w:vAlign w:val="center"/>
          </w:tcPr>
          <w:p w14:paraId="1B7005CD">
            <w:pPr>
              <w:pStyle w:val="19"/>
              <w:bidi w:val="0"/>
              <w:jc w:val="center"/>
              <w:rPr>
                <w:lang w:val="en-US" w:eastAsia="zh-CN"/>
              </w:rPr>
            </w:pPr>
            <w:r>
              <w:t>37</w:t>
            </w:r>
          </w:p>
        </w:tc>
        <w:tc>
          <w:tcPr>
            <w:tcW w:w="698" w:type="pct"/>
            <w:tcBorders>
              <w:tl2br w:val="nil"/>
              <w:tr2bl w:val="nil"/>
            </w:tcBorders>
            <w:tcMar>
              <w:left w:w="0" w:type="dxa"/>
              <w:right w:w="0" w:type="dxa"/>
            </w:tcMar>
            <w:vAlign w:val="center"/>
          </w:tcPr>
          <w:p w14:paraId="0DBFBAA8">
            <w:pPr>
              <w:pStyle w:val="19"/>
              <w:bidi w:val="0"/>
              <w:jc w:val="center"/>
              <w:rPr>
                <w:lang w:val="en-US" w:eastAsia="zh-CN"/>
              </w:rPr>
            </w:pPr>
            <w:r>
              <w:t>&lt;3.0</w:t>
            </w:r>
          </w:p>
        </w:tc>
        <w:tc>
          <w:tcPr>
            <w:tcW w:w="698" w:type="pct"/>
            <w:tcBorders>
              <w:tl2br w:val="nil"/>
              <w:tr2bl w:val="nil"/>
            </w:tcBorders>
            <w:tcMar>
              <w:left w:w="0" w:type="dxa"/>
              <w:right w:w="0" w:type="dxa"/>
            </w:tcMar>
            <w:vAlign w:val="center"/>
          </w:tcPr>
          <w:p w14:paraId="3201F825">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48641A7">
            <w:pPr>
              <w:pStyle w:val="19"/>
              <w:bidi w:val="0"/>
              <w:jc w:val="center"/>
              <w:rPr>
                <w:lang w:val="en-US" w:eastAsia="zh-CN"/>
              </w:rPr>
            </w:pPr>
            <w:r>
              <w:t>&lt;3.0</w:t>
            </w:r>
          </w:p>
        </w:tc>
        <w:tc>
          <w:tcPr>
            <w:tcW w:w="700" w:type="pct"/>
            <w:tcBorders>
              <w:tl2br w:val="nil"/>
              <w:tr2bl w:val="nil"/>
            </w:tcBorders>
            <w:tcMar>
              <w:left w:w="0" w:type="dxa"/>
              <w:right w:w="0" w:type="dxa"/>
            </w:tcMar>
            <w:vAlign w:val="center"/>
          </w:tcPr>
          <w:p w14:paraId="16A343C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8ACC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58D07374">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2266EE8">
            <w:pPr>
              <w:pStyle w:val="19"/>
              <w:bidi w:val="0"/>
              <w:jc w:val="center"/>
              <w:rPr>
                <w:lang w:val="en-US" w:eastAsia="zh-CN"/>
              </w:rPr>
            </w:pPr>
            <w:r>
              <w:t>硝基苯</w:t>
            </w:r>
          </w:p>
        </w:tc>
        <w:tc>
          <w:tcPr>
            <w:tcW w:w="698" w:type="pct"/>
            <w:tcBorders>
              <w:tl2br w:val="nil"/>
              <w:tr2bl w:val="nil"/>
            </w:tcBorders>
            <w:tcMar>
              <w:left w:w="0" w:type="dxa"/>
              <w:right w:w="0" w:type="dxa"/>
            </w:tcMar>
            <w:vAlign w:val="center"/>
          </w:tcPr>
          <w:p w14:paraId="6DB06B5D">
            <w:pPr>
              <w:pStyle w:val="19"/>
              <w:bidi w:val="0"/>
              <w:jc w:val="center"/>
              <w:rPr>
                <w:lang w:val="en-US" w:eastAsia="zh-CN"/>
              </w:rPr>
            </w:pPr>
            <w:r>
              <w:t>76</w:t>
            </w:r>
          </w:p>
        </w:tc>
        <w:tc>
          <w:tcPr>
            <w:tcW w:w="698" w:type="pct"/>
            <w:tcBorders>
              <w:tl2br w:val="nil"/>
              <w:tr2bl w:val="nil"/>
            </w:tcBorders>
            <w:tcMar>
              <w:left w:w="0" w:type="dxa"/>
              <w:right w:w="0" w:type="dxa"/>
            </w:tcMar>
            <w:vAlign w:val="center"/>
          </w:tcPr>
          <w:p w14:paraId="2D5930BB">
            <w:pPr>
              <w:pStyle w:val="19"/>
              <w:bidi w:val="0"/>
              <w:jc w:val="center"/>
              <w:rPr>
                <w:lang w:val="en-US" w:eastAsia="zh-CN"/>
              </w:rPr>
            </w:pPr>
            <w:r>
              <w:t>&lt;0.09</w:t>
            </w:r>
          </w:p>
        </w:tc>
        <w:tc>
          <w:tcPr>
            <w:tcW w:w="698" w:type="pct"/>
            <w:tcBorders>
              <w:tl2br w:val="nil"/>
              <w:tr2bl w:val="nil"/>
            </w:tcBorders>
            <w:tcMar>
              <w:left w:w="0" w:type="dxa"/>
              <w:right w:w="0" w:type="dxa"/>
            </w:tcMar>
            <w:vAlign w:val="center"/>
          </w:tcPr>
          <w:p w14:paraId="4565C99A">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D3A440A">
            <w:pPr>
              <w:pStyle w:val="19"/>
              <w:bidi w:val="0"/>
              <w:jc w:val="center"/>
              <w:rPr>
                <w:lang w:val="en-US" w:eastAsia="zh-CN"/>
              </w:rPr>
            </w:pPr>
            <w:r>
              <w:t>&lt;0.09</w:t>
            </w:r>
          </w:p>
        </w:tc>
        <w:tc>
          <w:tcPr>
            <w:tcW w:w="700" w:type="pct"/>
            <w:tcBorders>
              <w:tl2br w:val="nil"/>
              <w:tr2bl w:val="nil"/>
            </w:tcBorders>
            <w:tcMar>
              <w:left w:w="0" w:type="dxa"/>
              <w:right w:w="0" w:type="dxa"/>
            </w:tcMar>
            <w:vAlign w:val="center"/>
          </w:tcPr>
          <w:p w14:paraId="3FB8CA99">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5CFC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56651E2B">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17B4FA1">
            <w:pPr>
              <w:pStyle w:val="19"/>
              <w:bidi w:val="0"/>
              <w:jc w:val="center"/>
              <w:rPr>
                <w:lang w:val="en-US" w:eastAsia="zh-CN"/>
              </w:rPr>
            </w:pPr>
            <w:r>
              <w:t>苯胺</w:t>
            </w:r>
          </w:p>
        </w:tc>
        <w:tc>
          <w:tcPr>
            <w:tcW w:w="698" w:type="pct"/>
            <w:tcBorders>
              <w:tl2br w:val="nil"/>
              <w:tr2bl w:val="nil"/>
            </w:tcBorders>
            <w:tcMar>
              <w:left w:w="0" w:type="dxa"/>
              <w:right w:w="0" w:type="dxa"/>
            </w:tcMar>
            <w:vAlign w:val="center"/>
          </w:tcPr>
          <w:p w14:paraId="0F4AE3FE">
            <w:pPr>
              <w:pStyle w:val="19"/>
              <w:bidi w:val="0"/>
              <w:jc w:val="center"/>
              <w:rPr>
                <w:lang w:val="en-US" w:eastAsia="zh-CN"/>
              </w:rPr>
            </w:pPr>
            <w:r>
              <w:t>260</w:t>
            </w:r>
          </w:p>
        </w:tc>
        <w:tc>
          <w:tcPr>
            <w:tcW w:w="698" w:type="pct"/>
            <w:tcBorders>
              <w:tl2br w:val="nil"/>
              <w:tr2bl w:val="nil"/>
            </w:tcBorders>
            <w:tcMar>
              <w:left w:w="0" w:type="dxa"/>
              <w:right w:w="0" w:type="dxa"/>
            </w:tcMar>
            <w:vAlign w:val="center"/>
          </w:tcPr>
          <w:p w14:paraId="2C64C251">
            <w:pPr>
              <w:pStyle w:val="19"/>
              <w:bidi w:val="0"/>
              <w:jc w:val="center"/>
              <w:rPr>
                <w:lang w:val="en-US" w:eastAsia="zh-CN"/>
              </w:rPr>
            </w:pPr>
            <w:r>
              <w:t>&lt;3.78</w:t>
            </w:r>
          </w:p>
        </w:tc>
        <w:tc>
          <w:tcPr>
            <w:tcW w:w="698" w:type="pct"/>
            <w:tcBorders>
              <w:tl2br w:val="nil"/>
              <w:tr2bl w:val="nil"/>
            </w:tcBorders>
            <w:tcMar>
              <w:left w:w="0" w:type="dxa"/>
              <w:right w:w="0" w:type="dxa"/>
            </w:tcMar>
            <w:vAlign w:val="center"/>
          </w:tcPr>
          <w:p w14:paraId="042DD2CA">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6B0135C">
            <w:pPr>
              <w:pStyle w:val="19"/>
              <w:bidi w:val="0"/>
              <w:jc w:val="center"/>
              <w:rPr>
                <w:lang w:val="en-US" w:eastAsia="zh-CN"/>
              </w:rPr>
            </w:pPr>
            <w:r>
              <w:t>&lt;3.78</w:t>
            </w:r>
          </w:p>
        </w:tc>
        <w:tc>
          <w:tcPr>
            <w:tcW w:w="700" w:type="pct"/>
            <w:tcBorders>
              <w:tl2br w:val="nil"/>
              <w:tr2bl w:val="nil"/>
            </w:tcBorders>
            <w:tcMar>
              <w:left w:w="0" w:type="dxa"/>
              <w:right w:w="0" w:type="dxa"/>
            </w:tcMar>
            <w:vAlign w:val="center"/>
          </w:tcPr>
          <w:p w14:paraId="0BE099D3">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B9F1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274BC647">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CFCDF35">
            <w:pPr>
              <w:pStyle w:val="19"/>
              <w:bidi w:val="0"/>
              <w:jc w:val="center"/>
              <w:rPr>
                <w:lang w:val="en-US" w:eastAsia="zh-CN"/>
              </w:rPr>
            </w:pPr>
            <w:r>
              <w:t>2-氯苯酚</w:t>
            </w:r>
          </w:p>
        </w:tc>
        <w:tc>
          <w:tcPr>
            <w:tcW w:w="698" w:type="pct"/>
            <w:tcBorders>
              <w:tl2br w:val="nil"/>
              <w:tr2bl w:val="nil"/>
            </w:tcBorders>
            <w:tcMar>
              <w:left w:w="0" w:type="dxa"/>
              <w:right w:w="0" w:type="dxa"/>
            </w:tcMar>
            <w:vAlign w:val="center"/>
          </w:tcPr>
          <w:p w14:paraId="48CC0AE2">
            <w:pPr>
              <w:pStyle w:val="19"/>
              <w:bidi w:val="0"/>
              <w:jc w:val="center"/>
              <w:rPr>
                <w:lang w:val="en-US" w:eastAsia="zh-CN"/>
              </w:rPr>
            </w:pPr>
            <w:r>
              <w:t>2256</w:t>
            </w:r>
          </w:p>
        </w:tc>
        <w:tc>
          <w:tcPr>
            <w:tcW w:w="698" w:type="pct"/>
            <w:tcBorders>
              <w:tl2br w:val="nil"/>
              <w:tr2bl w:val="nil"/>
            </w:tcBorders>
            <w:tcMar>
              <w:left w:w="0" w:type="dxa"/>
              <w:right w:w="0" w:type="dxa"/>
            </w:tcMar>
            <w:vAlign w:val="center"/>
          </w:tcPr>
          <w:p w14:paraId="123B6610">
            <w:pPr>
              <w:pStyle w:val="19"/>
              <w:bidi w:val="0"/>
              <w:jc w:val="center"/>
              <w:rPr>
                <w:lang w:val="en-US" w:eastAsia="zh-CN"/>
              </w:rPr>
            </w:pPr>
            <w:r>
              <w:t>&lt;0.06</w:t>
            </w:r>
          </w:p>
        </w:tc>
        <w:tc>
          <w:tcPr>
            <w:tcW w:w="698" w:type="pct"/>
            <w:tcBorders>
              <w:tl2br w:val="nil"/>
              <w:tr2bl w:val="nil"/>
            </w:tcBorders>
            <w:tcMar>
              <w:left w:w="0" w:type="dxa"/>
              <w:right w:w="0" w:type="dxa"/>
            </w:tcMar>
            <w:vAlign w:val="center"/>
          </w:tcPr>
          <w:p w14:paraId="0D5D6B92">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5B0FA78">
            <w:pPr>
              <w:pStyle w:val="19"/>
              <w:bidi w:val="0"/>
              <w:jc w:val="center"/>
              <w:rPr>
                <w:lang w:val="en-US" w:eastAsia="zh-CN"/>
              </w:rPr>
            </w:pPr>
            <w:r>
              <w:t>&lt;0.06</w:t>
            </w:r>
          </w:p>
        </w:tc>
        <w:tc>
          <w:tcPr>
            <w:tcW w:w="700" w:type="pct"/>
            <w:tcBorders>
              <w:tl2br w:val="nil"/>
              <w:tr2bl w:val="nil"/>
            </w:tcBorders>
            <w:tcMar>
              <w:left w:w="0" w:type="dxa"/>
              <w:right w:w="0" w:type="dxa"/>
            </w:tcMar>
            <w:vAlign w:val="center"/>
          </w:tcPr>
          <w:p w14:paraId="3E28B33E">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6078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5255EE4">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B78D3D0">
            <w:pPr>
              <w:pStyle w:val="19"/>
              <w:bidi w:val="0"/>
              <w:jc w:val="center"/>
              <w:rPr>
                <w:lang w:val="en-US" w:eastAsia="zh-CN"/>
              </w:rPr>
            </w:pPr>
            <w:r>
              <w:t>苯并[a]蒽</w:t>
            </w:r>
          </w:p>
        </w:tc>
        <w:tc>
          <w:tcPr>
            <w:tcW w:w="698" w:type="pct"/>
            <w:tcBorders>
              <w:tl2br w:val="nil"/>
              <w:tr2bl w:val="nil"/>
            </w:tcBorders>
            <w:tcMar>
              <w:left w:w="0" w:type="dxa"/>
              <w:right w:w="0" w:type="dxa"/>
            </w:tcMar>
            <w:vAlign w:val="center"/>
          </w:tcPr>
          <w:p w14:paraId="512F2420">
            <w:pPr>
              <w:pStyle w:val="19"/>
              <w:bidi w:val="0"/>
              <w:jc w:val="center"/>
              <w:rPr>
                <w:lang w:val="en-US" w:eastAsia="zh-CN"/>
              </w:rPr>
            </w:pPr>
            <w:r>
              <w:t>15</w:t>
            </w:r>
          </w:p>
        </w:tc>
        <w:tc>
          <w:tcPr>
            <w:tcW w:w="698" w:type="pct"/>
            <w:tcBorders>
              <w:tl2br w:val="nil"/>
              <w:tr2bl w:val="nil"/>
            </w:tcBorders>
            <w:tcMar>
              <w:left w:w="0" w:type="dxa"/>
              <w:right w:w="0" w:type="dxa"/>
            </w:tcMar>
            <w:vAlign w:val="center"/>
          </w:tcPr>
          <w:p w14:paraId="1C586759">
            <w:pPr>
              <w:pStyle w:val="19"/>
              <w:bidi w:val="0"/>
              <w:jc w:val="center"/>
              <w:rPr>
                <w:lang w:val="en-US" w:eastAsia="zh-CN"/>
              </w:rPr>
            </w:pPr>
            <w:r>
              <w:t>&lt;0.1</w:t>
            </w:r>
          </w:p>
        </w:tc>
        <w:tc>
          <w:tcPr>
            <w:tcW w:w="698" w:type="pct"/>
            <w:tcBorders>
              <w:tl2br w:val="nil"/>
              <w:tr2bl w:val="nil"/>
            </w:tcBorders>
            <w:tcMar>
              <w:left w:w="0" w:type="dxa"/>
              <w:right w:w="0" w:type="dxa"/>
            </w:tcMar>
            <w:vAlign w:val="center"/>
          </w:tcPr>
          <w:p w14:paraId="687E6A71">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2FEF32B8">
            <w:pPr>
              <w:pStyle w:val="19"/>
              <w:bidi w:val="0"/>
              <w:jc w:val="center"/>
              <w:rPr>
                <w:lang w:val="en-US" w:eastAsia="zh-CN"/>
              </w:rPr>
            </w:pPr>
            <w:r>
              <w:t>&lt;0.1</w:t>
            </w:r>
          </w:p>
        </w:tc>
        <w:tc>
          <w:tcPr>
            <w:tcW w:w="700" w:type="pct"/>
            <w:tcBorders>
              <w:tl2br w:val="nil"/>
              <w:tr2bl w:val="nil"/>
            </w:tcBorders>
            <w:tcMar>
              <w:left w:w="0" w:type="dxa"/>
              <w:right w:w="0" w:type="dxa"/>
            </w:tcMar>
            <w:vAlign w:val="center"/>
          </w:tcPr>
          <w:p w14:paraId="3D105FA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10193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7F68E3E">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075F3378">
            <w:pPr>
              <w:pStyle w:val="19"/>
              <w:bidi w:val="0"/>
              <w:jc w:val="center"/>
              <w:rPr>
                <w:lang w:val="en-US" w:eastAsia="zh-CN"/>
              </w:rPr>
            </w:pPr>
            <w:r>
              <w:t>苯并[a]芘</w:t>
            </w:r>
          </w:p>
        </w:tc>
        <w:tc>
          <w:tcPr>
            <w:tcW w:w="698" w:type="pct"/>
            <w:tcBorders>
              <w:tl2br w:val="nil"/>
              <w:tr2bl w:val="nil"/>
            </w:tcBorders>
            <w:tcMar>
              <w:left w:w="0" w:type="dxa"/>
              <w:right w:w="0" w:type="dxa"/>
            </w:tcMar>
            <w:vAlign w:val="center"/>
          </w:tcPr>
          <w:p w14:paraId="044E9390">
            <w:pPr>
              <w:pStyle w:val="19"/>
              <w:bidi w:val="0"/>
              <w:jc w:val="center"/>
              <w:rPr>
                <w:lang w:val="en-US" w:eastAsia="zh-CN"/>
              </w:rPr>
            </w:pPr>
            <w:r>
              <w:t>1.5</w:t>
            </w:r>
          </w:p>
        </w:tc>
        <w:tc>
          <w:tcPr>
            <w:tcW w:w="698" w:type="pct"/>
            <w:tcBorders>
              <w:tl2br w:val="nil"/>
              <w:tr2bl w:val="nil"/>
            </w:tcBorders>
            <w:tcMar>
              <w:left w:w="0" w:type="dxa"/>
              <w:right w:w="0" w:type="dxa"/>
            </w:tcMar>
            <w:vAlign w:val="center"/>
          </w:tcPr>
          <w:p w14:paraId="7E16C678">
            <w:pPr>
              <w:pStyle w:val="19"/>
              <w:bidi w:val="0"/>
              <w:jc w:val="center"/>
              <w:rPr>
                <w:lang w:val="en-US" w:eastAsia="zh-CN"/>
              </w:rPr>
            </w:pPr>
            <w:r>
              <w:t>&lt;0.1</w:t>
            </w:r>
          </w:p>
        </w:tc>
        <w:tc>
          <w:tcPr>
            <w:tcW w:w="698" w:type="pct"/>
            <w:tcBorders>
              <w:tl2br w:val="nil"/>
              <w:tr2bl w:val="nil"/>
            </w:tcBorders>
            <w:tcMar>
              <w:left w:w="0" w:type="dxa"/>
              <w:right w:w="0" w:type="dxa"/>
            </w:tcMar>
            <w:vAlign w:val="center"/>
          </w:tcPr>
          <w:p w14:paraId="07B1DA41">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55B2D52B">
            <w:pPr>
              <w:pStyle w:val="19"/>
              <w:bidi w:val="0"/>
              <w:jc w:val="center"/>
              <w:rPr>
                <w:lang w:val="en-US" w:eastAsia="zh-CN"/>
              </w:rPr>
            </w:pPr>
            <w:r>
              <w:t>&lt;0.1</w:t>
            </w:r>
          </w:p>
        </w:tc>
        <w:tc>
          <w:tcPr>
            <w:tcW w:w="700" w:type="pct"/>
            <w:tcBorders>
              <w:tl2br w:val="nil"/>
              <w:tr2bl w:val="nil"/>
            </w:tcBorders>
            <w:tcMar>
              <w:left w:w="0" w:type="dxa"/>
              <w:right w:w="0" w:type="dxa"/>
            </w:tcMar>
            <w:vAlign w:val="center"/>
          </w:tcPr>
          <w:p w14:paraId="6DA79351">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440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BA519BB">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5832C2C8">
            <w:pPr>
              <w:pStyle w:val="19"/>
              <w:bidi w:val="0"/>
              <w:jc w:val="center"/>
              <w:rPr>
                <w:lang w:val="en-US" w:eastAsia="zh-CN"/>
              </w:rPr>
            </w:pPr>
            <w:r>
              <w:t>苯并[b]荧蒽</w:t>
            </w:r>
          </w:p>
        </w:tc>
        <w:tc>
          <w:tcPr>
            <w:tcW w:w="698" w:type="pct"/>
            <w:tcBorders>
              <w:tl2br w:val="nil"/>
              <w:tr2bl w:val="nil"/>
            </w:tcBorders>
            <w:tcMar>
              <w:left w:w="0" w:type="dxa"/>
              <w:right w:w="0" w:type="dxa"/>
            </w:tcMar>
            <w:vAlign w:val="center"/>
          </w:tcPr>
          <w:p w14:paraId="71699831">
            <w:pPr>
              <w:pStyle w:val="19"/>
              <w:bidi w:val="0"/>
              <w:jc w:val="center"/>
              <w:rPr>
                <w:lang w:val="en-US" w:eastAsia="zh-CN"/>
              </w:rPr>
            </w:pPr>
            <w:r>
              <w:t>15</w:t>
            </w:r>
          </w:p>
        </w:tc>
        <w:tc>
          <w:tcPr>
            <w:tcW w:w="698" w:type="pct"/>
            <w:tcBorders>
              <w:tl2br w:val="nil"/>
              <w:tr2bl w:val="nil"/>
            </w:tcBorders>
            <w:tcMar>
              <w:left w:w="0" w:type="dxa"/>
              <w:right w:w="0" w:type="dxa"/>
            </w:tcMar>
            <w:vAlign w:val="center"/>
          </w:tcPr>
          <w:p w14:paraId="729B0472">
            <w:pPr>
              <w:pStyle w:val="19"/>
              <w:bidi w:val="0"/>
              <w:jc w:val="center"/>
              <w:rPr>
                <w:lang w:val="en-US" w:eastAsia="zh-CN"/>
              </w:rPr>
            </w:pPr>
            <w:r>
              <w:t>&lt;0.2</w:t>
            </w:r>
          </w:p>
        </w:tc>
        <w:tc>
          <w:tcPr>
            <w:tcW w:w="698" w:type="pct"/>
            <w:tcBorders>
              <w:tl2br w:val="nil"/>
              <w:tr2bl w:val="nil"/>
            </w:tcBorders>
            <w:tcMar>
              <w:left w:w="0" w:type="dxa"/>
              <w:right w:w="0" w:type="dxa"/>
            </w:tcMar>
            <w:vAlign w:val="center"/>
          </w:tcPr>
          <w:p w14:paraId="029BFD60">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32FF8F6">
            <w:pPr>
              <w:pStyle w:val="19"/>
              <w:bidi w:val="0"/>
              <w:jc w:val="center"/>
              <w:rPr>
                <w:lang w:val="en-US" w:eastAsia="zh-CN"/>
              </w:rPr>
            </w:pPr>
            <w:r>
              <w:t>&lt;0.2</w:t>
            </w:r>
          </w:p>
        </w:tc>
        <w:tc>
          <w:tcPr>
            <w:tcW w:w="700" w:type="pct"/>
            <w:tcBorders>
              <w:tl2br w:val="nil"/>
              <w:tr2bl w:val="nil"/>
            </w:tcBorders>
            <w:tcMar>
              <w:left w:w="0" w:type="dxa"/>
              <w:right w:w="0" w:type="dxa"/>
            </w:tcMar>
            <w:vAlign w:val="center"/>
          </w:tcPr>
          <w:p w14:paraId="04DF76E2">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E69F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E77087E">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22D6E35E">
            <w:pPr>
              <w:pStyle w:val="19"/>
              <w:bidi w:val="0"/>
              <w:jc w:val="center"/>
              <w:rPr>
                <w:lang w:val="en-US" w:eastAsia="zh-CN"/>
              </w:rPr>
            </w:pPr>
            <w:r>
              <w:t>苯并[k]荧蒽</w:t>
            </w:r>
          </w:p>
        </w:tc>
        <w:tc>
          <w:tcPr>
            <w:tcW w:w="698" w:type="pct"/>
            <w:tcBorders>
              <w:tl2br w:val="nil"/>
              <w:tr2bl w:val="nil"/>
            </w:tcBorders>
            <w:tcMar>
              <w:left w:w="0" w:type="dxa"/>
              <w:right w:w="0" w:type="dxa"/>
            </w:tcMar>
            <w:vAlign w:val="center"/>
          </w:tcPr>
          <w:p w14:paraId="69228571">
            <w:pPr>
              <w:pStyle w:val="19"/>
              <w:bidi w:val="0"/>
              <w:jc w:val="center"/>
              <w:rPr>
                <w:lang w:val="en-US" w:eastAsia="zh-CN"/>
              </w:rPr>
            </w:pPr>
            <w:r>
              <w:t>151</w:t>
            </w:r>
          </w:p>
        </w:tc>
        <w:tc>
          <w:tcPr>
            <w:tcW w:w="698" w:type="pct"/>
            <w:tcBorders>
              <w:tl2br w:val="nil"/>
              <w:tr2bl w:val="nil"/>
            </w:tcBorders>
            <w:tcMar>
              <w:left w:w="0" w:type="dxa"/>
              <w:right w:w="0" w:type="dxa"/>
            </w:tcMar>
            <w:vAlign w:val="center"/>
          </w:tcPr>
          <w:p w14:paraId="302F368C">
            <w:pPr>
              <w:pStyle w:val="19"/>
              <w:bidi w:val="0"/>
              <w:jc w:val="center"/>
              <w:rPr>
                <w:lang w:val="en-US" w:eastAsia="zh-CN"/>
              </w:rPr>
            </w:pPr>
            <w:r>
              <w:t>&lt;0.1</w:t>
            </w:r>
          </w:p>
        </w:tc>
        <w:tc>
          <w:tcPr>
            <w:tcW w:w="698" w:type="pct"/>
            <w:tcBorders>
              <w:tl2br w:val="nil"/>
              <w:tr2bl w:val="nil"/>
            </w:tcBorders>
            <w:tcMar>
              <w:left w:w="0" w:type="dxa"/>
              <w:right w:w="0" w:type="dxa"/>
            </w:tcMar>
            <w:vAlign w:val="center"/>
          </w:tcPr>
          <w:p w14:paraId="0D5A5072">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12D948D">
            <w:pPr>
              <w:pStyle w:val="19"/>
              <w:bidi w:val="0"/>
              <w:jc w:val="center"/>
              <w:rPr>
                <w:lang w:val="en-US" w:eastAsia="zh-CN"/>
              </w:rPr>
            </w:pPr>
            <w:r>
              <w:t>&lt;0.1</w:t>
            </w:r>
          </w:p>
        </w:tc>
        <w:tc>
          <w:tcPr>
            <w:tcW w:w="700" w:type="pct"/>
            <w:tcBorders>
              <w:tl2br w:val="nil"/>
              <w:tr2bl w:val="nil"/>
            </w:tcBorders>
            <w:tcMar>
              <w:left w:w="0" w:type="dxa"/>
              <w:right w:w="0" w:type="dxa"/>
            </w:tcMar>
            <w:vAlign w:val="center"/>
          </w:tcPr>
          <w:p w14:paraId="2929E09D">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147F7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0720516">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654C85D3">
            <w:pPr>
              <w:pStyle w:val="19"/>
              <w:bidi w:val="0"/>
              <w:jc w:val="center"/>
              <w:rPr>
                <w:lang w:val="en-US" w:eastAsia="zh-CN"/>
              </w:rPr>
            </w:pPr>
            <w:r>
              <w:t>菌</w:t>
            </w:r>
          </w:p>
        </w:tc>
        <w:tc>
          <w:tcPr>
            <w:tcW w:w="698" w:type="pct"/>
            <w:tcBorders>
              <w:tl2br w:val="nil"/>
              <w:tr2bl w:val="nil"/>
            </w:tcBorders>
            <w:tcMar>
              <w:left w:w="0" w:type="dxa"/>
              <w:right w:w="0" w:type="dxa"/>
            </w:tcMar>
            <w:vAlign w:val="center"/>
          </w:tcPr>
          <w:p w14:paraId="538C33BD">
            <w:pPr>
              <w:pStyle w:val="19"/>
              <w:bidi w:val="0"/>
              <w:jc w:val="center"/>
              <w:rPr>
                <w:lang w:val="en-US" w:eastAsia="zh-CN"/>
              </w:rPr>
            </w:pPr>
            <w:r>
              <w:t>1293</w:t>
            </w:r>
          </w:p>
        </w:tc>
        <w:tc>
          <w:tcPr>
            <w:tcW w:w="698" w:type="pct"/>
            <w:tcBorders>
              <w:tl2br w:val="nil"/>
              <w:tr2bl w:val="nil"/>
            </w:tcBorders>
            <w:tcMar>
              <w:left w:w="0" w:type="dxa"/>
              <w:right w:w="0" w:type="dxa"/>
            </w:tcMar>
            <w:vAlign w:val="center"/>
          </w:tcPr>
          <w:p w14:paraId="6C9C05B2">
            <w:pPr>
              <w:pStyle w:val="19"/>
              <w:bidi w:val="0"/>
              <w:jc w:val="center"/>
              <w:rPr>
                <w:lang w:val="en-US" w:eastAsia="zh-CN"/>
              </w:rPr>
            </w:pPr>
            <w:r>
              <w:t>&lt;0.1</w:t>
            </w:r>
          </w:p>
        </w:tc>
        <w:tc>
          <w:tcPr>
            <w:tcW w:w="698" w:type="pct"/>
            <w:tcBorders>
              <w:tl2br w:val="nil"/>
              <w:tr2bl w:val="nil"/>
            </w:tcBorders>
            <w:tcMar>
              <w:left w:w="0" w:type="dxa"/>
              <w:right w:w="0" w:type="dxa"/>
            </w:tcMar>
            <w:vAlign w:val="center"/>
          </w:tcPr>
          <w:p w14:paraId="0DAF60B3">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31EB988">
            <w:pPr>
              <w:pStyle w:val="19"/>
              <w:bidi w:val="0"/>
              <w:jc w:val="center"/>
              <w:rPr>
                <w:lang w:val="en-US" w:eastAsia="zh-CN"/>
              </w:rPr>
            </w:pPr>
            <w:r>
              <w:t>&lt;0.1</w:t>
            </w:r>
          </w:p>
        </w:tc>
        <w:tc>
          <w:tcPr>
            <w:tcW w:w="700" w:type="pct"/>
            <w:tcBorders>
              <w:tl2br w:val="nil"/>
              <w:tr2bl w:val="nil"/>
            </w:tcBorders>
            <w:tcMar>
              <w:left w:w="0" w:type="dxa"/>
              <w:right w:w="0" w:type="dxa"/>
            </w:tcMar>
            <w:vAlign w:val="center"/>
          </w:tcPr>
          <w:p w14:paraId="1D48E4E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2D74B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7E3E5C5">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313C8126">
            <w:pPr>
              <w:pStyle w:val="19"/>
              <w:bidi w:val="0"/>
              <w:jc w:val="center"/>
              <w:rPr>
                <w:lang w:val="en-US" w:eastAsia="zh-CN"/>
              </w:rPr>
            </w:pPr>
            <w:r>
              <w:t>二苯并[a,h]蒽</w:t>
            </w:r>
          </w:p>
        </w:tc>
        <w:tc>
          <w:tcPr>
            <w:tcW w:w="698" w:type="pct"/>
            <w:tcBorders>
              <w:tl2br w:val="nil"/>
              <w:tr2bl w:val="nil"/>
            </w:tcBorders>
            <w:tcMar>
              <w:left w:w="0" w:type="dxa"/>
              <w:right w:w="0" w:type="dxa"/>
            </w:tcMar>
            <w:vAlign w:val="center"/>
          </w:tcPr>
          <w:p w14:paraId="5426C292">
            <w:pPr>
              <w:pStyle w:val="19"/>
              <w:bidi w:val="0"/>
              <w:jc w:val="center"/>
              <w:rPr>
                <w:lang w:val="en-US" w:eastAsia="zh-CN"/>
              </w:rPr>
            </w:pPr>
            <w:r>
              <w:t>1.5</w:t>
            </w:r>
          </w:p>
        </w:tc>
        <w:tc>
          <w:tcPr>
            <w:tcW w:w="698" w:type="pct"/>
            <w:tcBorders>
              <w:tl2br w:val="nil"/>
              <w:tr2bl w:val="nil"/>
            </w:tcBorders>
            <w:tcMar>
              <w:left w:w="0" w:type="dxa"/>
              <w:right w:w="0" w:type="dxa"/>
            </w:tcMar>
            <w:vAlign w:val="center"/>
          </w:tcPr>
          <w:p w14:paraId="0C057B37">
            <w:pPr>
              <w:pStyle w:val="19"/>
              <w:bidi w:val="0"/>
              <w:jc w:val="center"/>
              <w:rPr>
                <w:lang w:val="en-US" w:eastAsia="zh-CN"/>
              </w:rPr>
            </w:pPr>
            <w:r>
              <w:t>&lt;0.1</w:t>
            </w:r>
          </w:p>
        </w:tc>
        <w:tc>
          <w:tcPr>
            <w:tcW w:w="698" w:type="pct"/>
            <w:tcBorders>
              <w:tl2br w:val="nil"/>
              <w:tr2bl w:val="nil"/>
            </w:tcBorders>
            <w:tcMar>
              <w:left w:w="0" w:type="dxa"/>
              <w:right w:w="0" w:type="dxa"/>
            </w:tcMar>
            <w:vAlign w:val="center"/>
          </w:tcPr>
          <w:p w14:paraId="64CE0C2C">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E03AAB5">
            <w:pPr>
              <w:pStyle w:val="19"/>
              <w:bidi w:val="0"/>
              <w:jc w:val="center"/>
              <w:rPr>
                <w:lang w:val="en-US" w:eastAsia="zh-CN"/>
              </w:rPr>
            </w:pPr>
            <w:r>
              <w:t>&lt;0.1</w:t>
            </w:r>
          </w:p>
        </w:tc>
        <w:tc>
          <w:tcPr>
            <w:tcW w:w="700" w:type="pct"/>
            <w:tcBorders>
              <w:tl2br w:val="nil"/>
              <w:tr2bl w:val="nil"/>
            </w:tcBorders>
            <w:tcMar>
              <w:left w:w="0" w:type="dxa"/>
              <w:right w:w="0" w:type="dxa"/>
            </w:tcMar>
            <w:vAlign w:val="center"/>
          </w:tcPr>
          <w:p w14:paraId="71417E16">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B5C9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0A03F97A">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20E7C21">
            <w:pPr>
              <w:pStyle w:val="19"/>
              <w:bidi w:val="0"/>
              <w:jc w:val="center"/>
              <w:rPr>
                <w:lang w:val="en-US" w:eastAsia="zh-CN"/>
              </w:rPr>
            </w:pPr>
            <w:r>
              <w:t>茚并[1,2,3-cd]芘</w:t>
            </w:r>
          </w:p>
        </w:tc>
        <w:tc>
          <w:tcPr>
            <w:tcW w:w="698" w:type="pct"/>
            <w:tcBorders>
              <w:tl2br w:val="nil"/>
              <w:tr2bl w:val="nil"/>
            </w:tcBorders>
            <w:tcMar>
              <w:left w:w="0" w:type="dxa"/>
              <w:right w:w="0" w:type="dxa"/>
            </w:tcMar>
            <w:vAlign w:val="center"/>
          </w:tcPr>
          <w:p w14:paraId="7CDBAD9D">
            <w:pPr>
              <w:pStyle w:val="19"/>
              <w:bidi w:val="0"/>
              <w:jc w:val="center"/>
              <w:rPr>
                <w:lang w:val="en-US" w:eastAsia="zh-CN"/>
              </w:rPr>
            </w:pPr>
            <w:r>
              <w:t>15</w:t>
            </w:r>
          </w:p>
        </w:tc>
        <w:tc>
          <w:tcPr>
            <w:tcW w:w="698" w:type="pct"/>
            <w:tcBorders>
              <w:tl2br w:val="nil"/>
              <w:tr2bl w:val="nil"/>
            </w:tcBorders>
            <w:tcMar>
              <w:left w:w="0" w:type="dxa"/>
              <w:right w:w="0" w:type="dxa"/>
            </w:tcMar>
            <w:vAlign w:val="center"/>
          </w:tcPr>
          <w:p w14:paraId="70121593">
            <w:pPr>
              <w:pStyle w:val="19"/>
              <w:bidi w:val="0"/>
              <w:jc w:val="center"/>
              <w:rPr>
                <w:lang w:val="en-US" w:eastAsia="zh-CN"/>
              </w:rPr>
            </w:pPr>
            <w:r>
              <w:t>&lt;0.1</w:t>
            </w:r>
          </w:p>
        </w:tc>
        <w:tc>
          <w:tcPr>
            <w:tcW w:w="698" w:type="pct"/>
            <w:tcBorders>
              <w:tl2br w:val="nil"/>
              <w:tr2bl w:val="nil"/>
            </w:tcBorders>
            <w:tcMar>
              <w:left w:w="0" w:type="dxa"/>
              <w:right w:w="0" w:type="dxa"/>
            </w:tcMar>
            <w:vAlign w:val="center"/>
          </w:tcPr>
          <w:p w14:paraId="41A01CB5">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18ED923E">
            <w:pPr>
              <w:pStyle w:val="19"/>
              <w:bidi w:val="0"/>
              <w:jc w:val="center"/>
              <w:rPr>
                <w:lang w:val="en-US" w:eastAsia="zh-CN"/>
              </w:rPr>
            </w:pPr>
            <w:r>
              <w:t>&lt;0.1</w:t>
            </w:r>
          </w:p>
        </w:tc>
        <w:tc>
          <w:tcPr>
            <w:tcW w:w="700" w:type="pct"/>
            <w:tcBorders>
              <w:tl2br w:val="nil"/>
              <w:tr2bl w:val="nil"/>
            </w:tcBorders>
            <w:tcMar>
              <w:left w:w="0" w:type="dxa"/>
              <w:right w:w="0" w:type="dxa"/>
            </w:tcMar>
            <w:vAlign w:val="center"/>
          </w:tcPr>
          <w:p w14:paraId="00996D99">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87A9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8FCA5DB">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1FA8EA32">
            <w:pPr>
              <w:pStyle w:val="19"/>
              <w:bidi w:val="0"/>
              <w:jc w:val="center"/>
              <w:rPr>
                <w:lang w:val="en-US" w:eastAsia="zh-CN"/>
              </w:rPr>
            </w:pPr>
            <w:r>
              <w:t>萘</w:t>
            </w:r>
          </w:p>
        </w:tc>
        <w:tc>
          <w:tcPr>
            <w:tcW w:w="698" w:type="pct"/>
            <w:tcBorders>
              <w:tl2br w:val="nil"/>
              <w:tr2bl w:val="nil"/>
            </w:tcBorders>
            <w:tcMar>
              <w:left w:w="0" w:type="dxa"/>
              <w:right w:w="0" w:type="dxa"/>
            </w:tcMar>
            <w:vAlign w:val="center"/>
          </w:tcPr>
          <w:p w14:paraId="1BEE49E4">
            <w:pPr>
              <w:pStyle w:val="19"/>
              <w:bidi w:val="0"/>
              <w:jc w:val="center"/>
              <w:rPr>
                <w:lang w:val="en-US" w:eastAsia="zh-CN"/>
              </w:rPr>
            </w:pPr>
            <w:r>
              <w:t>70</w:t>
            </w:r>
          </w:p>
        </w:tc>
        <w:tc>
          <w:tcPr>
            <w:tcW w:w="698" w:type="pct"/>
            <w:tcBorders>
              <w:tl2br w:val="nil"/>
              <w:tr2bl w:val="nil"/>
            </w:tcBorders>
            <w:tcMar>
              <w:left w:w="0" w:type="dxa"/>
              <w:right w:w="0" w:type="dxa"/>
            </w:tcMar>
            <w:vAlign w:val="center"/>
          </w:tcPr>
          <w:p w14:paraId="0AED5FE2">
            <w:pPr>
              <w:pStyle w:val="19"/>
              <w:bidi w:val="0"/>
              <w:jc w:val="center"/>
              <w:rPr>
                <w:lang w:val="en-US" w:eastAsia="zh-CN"/>
              </w:rPr>
            </w:pPr>
            <w:r>
              <w:t>&lt;0.09</w:t>
            </w:r>
          </w:p>
        </w:tc>
        <w:tc>
          <w:tcPr>
            <w:tcW w:w="698" w:type="pct"/>
            <w:tcBorders>
              <w:tl2br w:val="nil"/>
              <w:tr2bl w:val="nil"/>
            </w:tcBorders>
            <w:tcMar>
              <w:left w:w="0" w:type="dxa"/>
              <w:right w:w="0" w:type="dxa"/>
            </w:tcMar>
            <w:vAlign w:val="center"/>
          </w:tcPr>
          <w:p w14:paraId="370F64BC">
            <w:pPr>
              <w:pStyle w:val="19"/>
              <w:bidi w:val="0"/>
              <w:jc w:val="center"/>
              <w:rPr>
                <w:rFonts w:hint="eastAsia" w:eastAsia="宋体"/>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74240ED">
            <w:pPr>
              <w:pStyle w:val="19"/>
              <w:bidi w:val="0"/>
              <w:jc w:val="center"/>
              <w:rPr>
                <w:lang w:val="en-US" w:eastAsia="zh-CN"/>
              </w:rPr>
            </w:pPr>
            <w:r>
              <w:t>&lt;0.09</w:t>
            </w:r>
          </w:p>
        </w:tc>
        <w:tc>
          <w:tcPr>
            <w:tcW w:w="700" w:type="pct"/>
            <w:tcBorders>
              <w:tl2br w:val="nil"/>
              <w:tr2bl w:val="nil"/>
            </w:tcBorders>
            <w:tcMar>
              <w:left w:w="0" w:type="dxa"/>
              <w:right w:w="0" w:type="dxa"/>
            </w:tcMar>
            <w:vAlign w:val="center"/>
          </w:tcPr>
          <w:p w14:paraId="2FFD87B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F577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03E32DB2">
            <w:pPr>
              <w:pStyle w:val="19"/>
              <w:numPr>
                <w:ilvl w:val="0"/>
                <w:numId w:val="11"/>
              </w:numPr>
              <w:bidi w:val="0"/>
              <w:ind w:left="0" w:leftChars="0" w:firstLine="0" w:firstLineChars="0"/>
              <w:jc w:val="center"/>
            </w:pPr>
          </w:p>
        </w:tc>
        <w:tc>
          <w:tcPr>
            <w:tcW w:w="413" w:type="pct"/>
            <w:vMerge w:val="restart"/>
            <w:tcBorders>
              <w:tl2br w:val="nil"/>
              <w:tr2bl w:val="nil"/>
            </w:tcBorders>
            <w:tcMar>
              <w:left w:w="0" w:type="dxa"/>
              <w:right w:w="0" w:type="dxa"/>
            </w:tcMar>
            <w:vAlign w:val="center"/>
          </w:tcPr>
          <w:p w14:paraId="5EEFD9C5">
            <w:pPr>
              <w:pStyle w:val="19"/>
              <w:bidi w:val="0"/>
              <w:jc w:val="center"/>
            </w:pPr>
            <w:r>
              <w:t>六六六</w:t>
            </w:r>
          </w:p>
        </w:tc>
        <w:tc>
          <w:tcPr>
            <w:tcW w:w="767" w:type="pct"/>
            <w:tcBorders>
              <w:tl2br w:val="nil"/>
              <w:tr2bl w:val="nil"/>
            </w:tcBorders>
            <w:tcMar>
              <w:left w:w="0" w:type="dxa"/>
              <w:right w:w="0" w:type="dxa"/>
            </w:tcMar>
            <w:vAlign w:val="top"/>
          </w:tcPr>
          <w:p w14:paraId="1107F20E">
            <w:pPr>
              <w:pStyle w:val="19"/>
              <w:bidi w:val="0"/>
              <w:rPr>
                <w:lang w:val="en-US" w:eastAsia="zh-CN"/>
              </w:rPr>
            </w:pPr>
            <w:r>
              <w:t>α-BHC</w:t>
            </w:r>
          </w:p>
        </w:tc>
        <w:tc>
          <w:tcPr>
            <w:tcW w:w="698" w:type="pct"/>
            <w:tcBorders>
              <w:tl2br w:val="nil"/>
              <w:tr2bl w:val="nil"/>
            </w:tcBorders>
            <w:tcMar>
              <w:left w:w="0" w:type="dxa"/>
              <w:right w:w="0" w:type="dxa"/>
            </w:tcMar>
            <w:vAlign w:val="center"/>
          </w:tcPr>
          <w:p w14:paraId="708057A5">
            <w:pPr>
              <w:pStyle w:val="19"/>
              <w:bidi w:val="0"/>
              <w:ind w:firstLine="0" w:firstLineChars="0"/>
              <w:jc w:val="center"/>
              <w:rPr>
                <w:rFonts w:ascii="Times New Roman" w:hAnsi="Times New Roman" w:eastAsia="宋体" w:cs="Times New Roman"/>
                <w:kern w:val="2"/>
                <w:sz w:val="21"/>
                <w:szCs w:val="22"/>
                <w:lang w:val="en-US" w:eastAsia="zh-CN" w:bidi="ar-SA"/>
              </w:rPr>
            </w:pPr>
            <w:r>
              <w:t>0.3</w:t>
            </w:r>
          </w:p>
        </w:tc>
        <w:tc>
          <w:tcPr>
            <w:tcW w:w="698" w:type="pct"/>
            <w:tcBorders>
              <w:tl2br w:val="nil"/>
              <w:tr2bl w:val="nil"/>
            </w:tcBorders>
            <w:tcMar>
              <w:left w:w="0" w:type="dxa"/>
              <w:right w:w="0" w:type="dxa"/>
            </w:tcMar>
            <w:vAlign w:val="center"/>
          </w:tcPr>
          <w:p w14:paraId="16F54A5F">
            <w:pPr>
              <w:pStyle w:val="19"/>
              <w:bidi w:val="0"/>
              <w:jc w:val="center"/>
              <w:rPr>
                <w:lang w:val="en-US" w:eastAsia="zh-CN"/>
              </w:rPr>
            </w:pPr>
            <w:r>
              <w:t>&lt;0.49×10</w:t>
            </w:r>
            <w:r>
              <w:rPr>
                <w:vertAlign w:val="superscript"/>
              </w:rPr>
              <w:t>-4</w:t>
            </w:r>
          </w:p>
        </w:tc>
        <w:tc>
          <w:tcPr>
            <w:tcW w:w="698" w:type="pct"/>
            <w:tcBorders>
              <w:tl2br w:val="nil"/>
              <w:tr2bl w:val="nil"/>
            </w:tcBorders>
            <w:tcMar>
              <w:left w:w="0" w:type="dxa"/>
              <w:right w:w="0" w:type="dxa"/>
            </w:tcMar>
            <w:vAlign w:val="center"/>
          </w:tcPr>
          <w:p w14:paraId="253A02A3">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0A8442D5">
            <w:pPr>
              <w:pStyle w:val="19"/>
              <w:bidi w:val="0"/>
              <w:ind w:firstLine="0" w:firstLineChars="0"/>
              <w:jc w:val="center"/>
              <w:rPr>
                <w:lang w:val="en-US" w:eastAsia="zh-CN"/>
              </w:rPr>
            </w:pPr>
            <w:r>
              <w:t>&lt;0.49×10</w:t>
            </w:r>
            <w:r>
              <w:rPr>
                <w:vertAlign w:val="superscript"/>
              </w:rPr>
              <w:t>-4</w:t>
            </w:r>
          </w:p>
        </w:tc>
        <w:tc>
          <w:tcPr>
            <w:tcW w:w="700" w:type="pct"/>
            <w:tcBorders>
              <w:tl2br w:val="nil"/>
              <w:tr2bl w:val="nil"/>
            </w:tcBorders>
            <w:tcMar>
              <w:left w:w="0" w:type="dxa"/>
              <w:right w:w="0" w:type="dxa"/>
            </w:tcMar>
            <w:vAlign w:val="center"/>
          </w:tcPr>
          <w:p w14:paraId="79BA7A4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42736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6653DFA6">
            <w:pPr>
              <w:pStyle w:val="19"/>
              <w:numPr>
                <w:ilvl w:val="0"/>
                <w:numId w:val="11"/>
              </w:numPr>
              <w:bidi w:val="0"/>
              <w:ind w:left="0" w:leftChars="0" w:firstLine="0" w:firstLineChars="0"/>
              <w:jc w:val="center"/>
            </w:pPr>
          </w:p>
        </w:tc>
        <w:tc>
          <w:tcPr>
            <w:tcW w:w="413" w:type="pct"/>
            <w:vMerge w:val="continue"/>
            <w:tcBorders>
              <w:tl2br w:val="nil"/>
              <w:tr2bl w:val="nil"/>
            </w:tcBorders>
            <w:tcMar>
              <w:left w:w="0" w:type="dxa"/>
              <w:right w:w="0" w:type="dxa"/>
            </w:tcMar>
            <w:vAlign w:val="center"/>
          </w:tcPr>
          <w:p w14:paraId="78814038">
            <w:pPr>
              <w:pStyle w:val="19"/>
              <w:bidi w:val="0"/>
              <w:jc w:val="center"/>
            </w:pPr>
          </w:p>
        </w:tc>
        <w:tc>
          <w:tcPr>
            <w:tcW w:w="767" w:type="pct"/>
            <w:tcBorders>
              <w:tl2br w:val="nil"/>
              <w:tr2bl w:val="nil"/>
            </w:tcBorders>
            <w:tcMar>
              <w:left w:w="0" w:type="dxa"/>
              <w:right w:w="0" w:type="dxa"/>
            </w:tcMar>
            <w:vAlign w:val="top"/>
          </w:tcPr>
          <w:p w14:paraId="2D0E2783">
            <w:pPr>
              <w:pStyle w:val="19"/>
              <w:bidi w:val="0"/>
              <w:rPr>
                <w:lang w:val="en-US" w:eastAsia="zh-CN"/>
              </w:rPr>
            </w:pPr>
            <w:r>
              <w:t>β-BHC</w:t>
            </w:r>
          </w:p>
        </w:tc>
        <w:tc>
          <w:tcPr>
            <w:tcW w:w="698" w:type="pct"/>
            <w:tcBorders>
              <w:tl2br w:val="nil"/>
              <w:tr2bl w:val="nil"/>
            </w:tcBorders>
            <w:tcMar>
              <w:left w:w="0" w:type="dxa"/>
              <w:right w:w="0" w:type="dxa"/>
            </w:tcMar>
            <w:vAlign w:val="center"/>
          </w:tcPr>
          <w:p w14:paraId="5A9A1327">
            <w:pPr>
              <w:pStyle w:val="19"/>
              <w:bidi w:val="0"/>
              <w:ind w:firstLine="0" w:firstLineChars="0"/>
              <w:jc w:val="center"/>
              <w:rPr>
                <w:rFonts w:ascii="Times New Roman" w:hAnsi="Times New Roman" w:eastAsia="宋体" w:cs="Times New Roman"/>
                <w:kern w:val="2"/>
                <w:sz w:val="21"/>
                <w:szCs w:val="22"/>
                <w:lang w:val="en-US" w:eastAsia="zh-CN" w:bidi="ar-SA"/>
              </w:rPr>
            </w:pPr>
            <w:r>
              <w:t>0.92</w:t>
            </w:r>
          </w:p>
        </w:tc>
        <w:tc>
          <w:tcPr>
            <w:tcW w:w="698" w:type="pct"/>
            <w:tcBorders>
              <w:tl2br w:val="nil"/>
              <w:tr2bl w:val="nil"/>
            </w:tcBorders>
            <w:tcMar>
              <w:left w:w="0" w:type="dxa"/>
              <w:right w:w="0" w:type="dxa"/>
            </w:tcMar>
            <w:vAlign w:val="center"/>
          </w:tcPr>
          <w:p w14:paraId="616EF707">
            <w:pPr>
              <w:pStyle w:val="19"/>
              <w:bidi w:val="0"/>
              <w:jc w:val="center"/>
              <w:rPr>
                <w:lang w:val="en-US" w:eastAsia="zh-CN"/>
              </w:rPr>
            </w:pPr>
            <w:r>
              <w:t>&lt;0.80×10</w:t>
            </w:r>
            <w:r>
              <w:rPr>
                <w:vertAlign w:val="superscript"/>
              </w:rPr>
              <w:t>-4</w:t>
            </w:r>
          </w:p>
        </w:tc>
        <w:tc>
          <w:tcPr>
            <w:tcW w:w="698" w:type="pct"/>
            <w:tcBorders>
              <w:tl2br w:val="nil"/>
              <w:tr2bl w:val="nil"/>
            </w:tcBorders>
            <w:tcMar>
              <w:left w:w="0" w:type="dxa"/>
              <w:right w:w="0" w:type="dxa"/>
            </w:tcMar>
            <w:vAlign w:val="center"/>
          </w:tcPr>
          <w:p w14:paraId="4C071A74">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5FB150A2">
            <w:pPr>
              <w:pStyle w:val="19"/>
              <w:bidi w:val="0"/>
              <w:ind w:firstLine="0" w:firstLineChars="0"/>
              <w:jc w:val="center"/>
              <w:rPr>
                <w:lang w:val="en-US" w:eastAsia="zh-CN"/>
              </w:rPr>
            </w:pPr>
            <w:r>
              <w:t>&lt;0.80×10</w:t>
            </w:r>
            <w:r>
              <w:rPr>
                <w:vertAlign w:val="superscript"/>
              </w:rPr>
              <w:t>-4</w:t>
            </w:r>
          </w:p>
        </w:tc>
        <w:tc>
          <w:tcPr>
            <w:tcW w:w="700" w:type="pct"/>
            <w:tcBorders>
              <w:tl2br w:val="nil"/>
              <w:tr2bl w:val="nil"/>
            </w:tcBorders>
            <w:tcMar>
              <w:left w:w="0" w:type="dxa"/>
              <w:right w:w="0" w:type="dxa"/>
            </w:tcMar>
            <w:vAlign w:val="center"/>
          </w:tcPr>
          <w:p w14:paraId="666A22D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0F762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5D398B5">
            <w:pPr>
              <w:pStyle w:val="19"/>
              <w:numPr>
                <w:ilvl w:val="0"/>
                <w:numId w:val="11"/>
              </w:numPr>
              <w:bidi w:val="0"/>
              <w:ind w:left="0" w:leftChars="0" w:firstLine="0" w:firstLineChars="0"/>
              <w:jc w:val="center"/>
            </w:pPr>
          </w:p>
        </w:tc>
        <w:tc>
          <w:tcPr>
            <w:tcW w:w="413" w:type="pct"/>
            <w:vMerge w:val="continue"/>
            <w:tcBorders>
              <w:tl2br w:val="nil"/>
              <w:tr2bl w:val="nil"/>
            </w:tcBorders>
            <w:tcMar>
              <w:left w:w="0" w:type="dxa"/>
              <w:right w:w="0" w:type="dxa"/>
            </w:tcMar>
            <w:vAlign w:val="center"/>
          </w:tcPr>
          <w:p w14:paraId="54993BB3">
            <w:pPr>
              <w:pStyle w:val="19"/>
              <w:bidi w:val="0"/>
              <w:jc w:val="center"/>
            </w:pPr>
          </w:p>
        </w:tc>
        <w:tc>
          <w:tcPr>
            <w:tcW w:w="767" w:type="pct"/>
            <w:tcBorders>
              <w:tl2br w:val="nil"/>
              <w:tr2bl w:val="nil"/>
            </w:tcBorders>
            <w:tcMar>
              <w:left w:w="0" w:type="dxa"/>
              <w:right w:w="0" w:type="dxa"/>
            </w:tcMar>
            <w:vAlign w:val="top"/>
          </w:tcPr>
          <w:p w14:paraId="272ACDC0">
            <w:pPr>
              <w:pStyle w:val="19"/>
              <w:bidi w:val="0"/>
              <w:rPr>
                <w:lang w:val="en-US" w:eastAsia="zh-CN"/>
              </w:rPr>
            </w:pPr>
            <w:r>
              <w:t>γ-BHC</w:t>
            </w:r>
          </w:p>
        </w:tc>
        <w:tc>
          <w:tcPr>
            <w:tcW w:w="698" w:type="pct"/>
            <w:tcBorders>
              <w:tl2br w:val="nil"/>
              <w:tr2bl w:val="nil"/>
            </w:tcBorders>
            <w:tcMar>
              <w:left w:w="0" w:type="dxa"/>
              <w:right w:w="0" w:type="dxa"/>
            </w:tcMar>
            <w:vAlign w:val="center"/>
          </w:tcPr>
          <w:p w14:paraId="61C96F2E">
            <w:pPr>
              <w:pStyle w:val="19"/>
              <w:bidi w:val="0"/>
              <w:ind w:firstLine="0" w:firstLineChars="0"/>
              <w:jc w:val="center"/>
              <w:rPr>
                <w:rFonts w:ascii="Times New Roman" w:hAnsi="Times New Roman" w:eastAsia="宋体" w:cs="Times New Roman"/>
                <w:kern w:val="2"/>
                <w:sz w:val="21"/>
                <w:szCs w:val="22"/>
                <w:lang w:val="en-US" w:eastAsia="zh-CN" w:bidi="ar-SA"/>
              </w:rPr>
            </w:pPr>
            <w:r>
              <w:t>1.9</w:t>
            </w:r>
          </w:p>
        </w:tc>
        <w:tc>
          <w:tcPr>
            <w:tcW w:w="698" w:type="pct"/>
            <w:tcBorders>
              <w:tl2br w:val="nil"/>
              <w:tr2bl w:val="nil"/>
            </w:tcBorders>
            <w:tcMar>
              <w:left w:w="0" w:type="dxa"/>
              <w:right w:w="0" w:type="dxa"/>
            </w:tcMar>
            <w:vAlign w:val="center"/>
          </w:tcPr>
          <w:p w14:paraId="0F3ED5B6">
            <w:pPr>
              <w:pStyle w:val="19"/>
              <w:bidi w:val="0"/>
              <w:jc w:val="center"/>
              <w:rPr>
                <w:lang w:val="en-US" w:eastAsia="zh-CN"/>
              </w:rPr>
            </w:pPr>
            <w:r>
              <w:t>&lt;0.74×10</w:t>
            </w:r>
            <w:r>
              <w:rPr>
                <w:vertAlign w:val="superscript"/>
              </w:rPr>
              <w:t>-4</w:t>
            </w:r>
          </w:p>
        </w:tc>
        <w:tc>
          <w:tcPr>
            <w:tcW w:w="698" w:type="pct"/>
            <w:tcBorders>
              <w:tl2br w:val="nil"/>
              <w:tr2bl w:val="nil"/>
            </w:tcBorders>
            <w:tcMar>
              <w:left w:w="0" w:type="dxa"/>
              <w:right w:w="0" w:type="dxa"/>
            </w:tcMar>
            <w:vAlign w:val="center"/>
          </w:tcPr>
          <w:p w14:paraId="23A4BF9E">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65D877E6">
            <w:pPr>
              <w:pStyle w:val="19"/>
              <w:bidi w:val="0"/>
              <w:ind w:firstLine="0" w:firstLineChars="0"/>
              <w:jc w:val="center"/>
              <w:rPr>
                <w:lang w:val="en-US" w:eastAsia="zh-CN"/>
              </w:rPr>
            </w:pPr>
            <w:r>
              <w:t>&lt;0.74×10</w:t>
            </w:r>
            <w:r>
              <w:rPr>
                <w:vertAlign w:val="superscript"/>
              </w:rPr>
              <w:t>-4</w:t>
            </w:r>
          </w:p>
        </w:tc>
        <w:tc>
          <w:tcPr>
            <w:tcW w:w="700" w:type="pct"/>
            <w:tcBorders>
              <w:tl2br w:val="nil"/>
              <w:tr2bl w:val="nil"/>
            </w:tcBorders>
            <w:tcMar>
              <w:left w:w="0" w:type="dxa"/>
              <w:right w:w="0" w:type="dxa"/>
            </w:tcMar>
            <w:vAlign w:val="center"/>
          </w:tcPr>
          <w:p w14:paraId="3C4FB19E">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1065A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4B961D9">
            <w:pPr>
              <w:pStyle w:val="19"/>
              <w:numPr>
                <w:ilvl w:val="0"/>
                <w:numId w:val="11"/>
              </w:numPr>
              <w:bidi w:val="0"/>
              <w:ind w:left="0" w:leftChars="0" w:firstLine="0" w:firstLineChars="0"/>
              <w:jc w:val="center"/>
            </w:pPr>
          </w:p>
        </w:tc>
        <w:tc>
          <w:tcPr>
            <w:tcW w:w="413" w:type="pct"/>
            <w:vMerge w:val="continue"/>
            <w:tcBorders>
              <w:tl2br w:val="nil"/>
              <w:tr2bl w:val="nil"/>
            </w:tcBorders>
            <w:tcMar>
              <w:left w:w="0" w:type="dxa"/>
              <w:right w:w="0" w:type="dxa"/>
            </w:tcMar>
            <w:vAlign w:val="center"/>
          </w:tcPr>
          <w:p w14:paraId="04407300">
            <w:pPr>
              <w:pStyle w:val="19"/>
              <w:bidi w:val="0"/>
              <w:jc w:val="center"/>
            </w:pPr>
          </w:p>
        </w:tc>
        <w:tc>
          <w:tcPr>
            <w:tcW w:w="767" w:type="pct"/>
            <w:tcBorders>
              <w:tl2br w:val="nil"/>
              <w:tr2bl w:val="nil"/>
            </w:tcBorders>
            <w:tcMar>
              <w:left w:w="0" w:type="dxa"/>
              <w:right w:w="0" w:type="dxa"/>
            </w:tcMar>
            <w:vAlign w:val="center"/>
          </w:tcPr>
          <w:p w14:paraId="0A382F18">
            <w:pPr>
              <w:pStyle w:val="19"/>
              <w:bidi w:val="0"/>
              <w:jc w:val="center"/>
              <w:rPr>
                <w:lang w:val="en-US" w:eastAsia="zh-CN"/>
              </w:rPr>
            </w:pPr>
            <w:r>
              <w:t>δ-BHC</w:t>
            </w:r>
          </w:p>
        </w:tc>
        <w:tc>
          <w:tcPr>
            <w:tcW w:w="698" w:type="pct"/>
            <w:tcBorders>
              <w:tl2br w:val="nil"/>
              <w:tr2bl w:val="nil"/>
            </w:tcBorders>
            <w:tcMar>
              <w:left w:w="0" w:type="dxa"/>
              <w:right w:w="0" w:type="dxa"/>
            </w:tcMar>
            <w:vAlign w:val="center"/>
          </w:tcPr>
          <w:p w14:paraId="1C152D42">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274CC24">
            <w:pPr>
              <w:pStyle w:val="19"/>
              <w:bidi w:val="0"/>
              <w:jc w:val="center"/>
              <w:rPr>
                <w:lang w:val="en-US" w:eastAsia="zh-CN"/>
              </w:rPr>
            </w:pPr>
            <w:r>
              <w:t>&lt;0.18××</w:t>
            </w:r>
            <w:r>
              <w:rPr>
                <w:rFonts w:hint="eastAsia"/>
                <w:lang w:val="en-US" w:eastAsia="zh-CN"/>
              </w:rPr>
              <w:t>10</w:t>
            </w:r>
            <w:r>
              <w:rPr>
                <w:rFonts w:hint="eastAsia"/>
                <w:vertAlign w:val="superscript"/>
                <w:lang w:val="en-US" w:eastAsia="zh-CN"/>
              </w:rPr>
              <w:t>-3</w:t>
            </w:r>
          </w:p>
        </w:tc>
        <w:tc>
          <w:tcPr>
            <w:tcW w:w="698" w:type="pct"/>
            <w:tcBorders>
              <w:tl2br w:val="nil"/>
              <w:tr2bl w:val="nil"/>
            </w:tcBorders>
            <w:tcMar>
              <w:left w:w="0" w:type="dxa"/>
              <w:right w:w="0" w:type="dxa"/>
            </w:tcMar>
            <w:vAlign w:val="center"/>
          </w:tcPr>
          <w:p w14:paraId="25051B69">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7631AE97">
            <w:pPr>
              <w:pStyle w:val="19"/>
              <w:bidi w:val="0"/>
              <w:ind w:firstLine="0" w:firstLineChars="0"/>
              <w:jc w:val="center"/>
              <w:rPr>
                <w:lang w:val="en-US" w:eastAsia="zh-CN"/>
              </w:rPr>
            </w:pPr>
            <w:r>
              <w:t>&lt;0.18××</w:t>
            </w:r>
            <w:r>
              <w:rPr>
                <w:rFonts w:hint="eastAsia"/>
                <w:lang w:val="en-US" w:eastAsia="zh-CN"/>
              </w:rPr>
              <w:t>10</w:t>
            </w:r>
            <w:r>
              <w:rPr>
                <w:rFonts w:hint="eastAsia"/>
                <w:vertAlign w:val="superscript"/>
                <w:lang w:val="en-US" w:eastAsia="zh-CN"/>
              </w:rPr>
              <w:t>-3</w:t>
            </w:r>
          </w:p>
        </w:tc>
        <w:tc>
          <w:tcPr>
            <w:tcW w:w="700" w:type="pct"/>
            <w:tcBorders>
              <w:tl2br w:val="nil"/>
              <w:tr2bl w:val="nil"/>
            </w:tcBorders>
            <w:tcMar>
              <w:left w:w="0" w:type="dxa"/>
              <w:right w:w="0" w:type="dxa"/>
            </w:tcMar>
            <w:vAlign w:val="center"/>
          </w:tcPr>
          <w:p w14:paraId="3312CA4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21CBA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C20EAFA">
            <w:pPr>
              <w:pStyle w:val="19"/>
              <w:numPr>
                <w:ilvl w:val="0"/>
                <w:numId w:val="11"/>
              </w:numPr>
              <w:bidi w:val="0"/>
              <w:ind w:left="0" w:leftChars="0" w:firstLine="0" w:firstLineChars="0"/>
              <w:jc w:val="center"/>
            </w:pPr>
          </w:p>
        </w:tc>
        <w:tc>
          <w:tcPr>
            <w:tcW w:w="413" w:type="pct"/>
            <w:vMerge w:val="restart"/>
            <w:tcBorders>
              <w:tl2br w:val="nil"/>
              <w:tr2bl w:val="nil"/>
            </w:tcBorders>
            <w:tcMar>
              <w:left w:w="0" w:type="dxa"/>
              <w:right w:w="0" w:type="dxa"/>
            </w:tcMar>
            <w:vAlign w:val="center"/>
          </w:tcPr>
          <w:p w14:paraId="0BAAF0FF">
            <w:pPr>
              <w:pStyle w:val="19"/>
              <w:bidi w:val="0"/>
              <w:jc w:val="center"/>
            </w:pPr>
            <w:r>
              <w:t>滴滴涕</w:t>
            </w:r>
          </w:p>
        </w:tc>
        <w:tc>
          <w:tcPr>
            <w:tcW w:w="767" w:type="pct"/>
            <w:tcBorders>
              <w:tl2br w:val="nil"/>
              <w:tr2bl w:val="nil"/>
            </w:tcBorders>
            <w:tcMar>
              <w:left w:w="0" w:type="dxa"/>
              <w:right w:w="0" w:type="dxa"/>
            </w:tcMar>
            <w:vAlign w:val="center"/>
          </w:tcPr>
          <w:p w14:paraId="0EDF3AD2">
            <w:pPr>
              <w:pStyle w:val="19"/>
              <w:bidi w:val="0"/>
              <w:jc w:val="center"/>
              <w:rPr>
                <w:lang w:val="en-US" w:eastAsia="zh-CN"/>
              </w:rPr>
            </w:pPr>
            <w:r>
              <w:t>P.P`-DDE</w:t>
            </w:r>
          </w:p>
        </w:tc>
        <w:tc>
          <w:tcPr>
            <w:tcW w:w="698" w:type="pct"/>
            <w:tcBorders>
              <w:tl2br w:val="nil"/>
              <w:tr2bl w:val="nil"/>
            </w:tcBorders>
            <w:tcMar>
              <w:left w:w="0" w:type="dxa"/>
              <w:right w:w="0" w:type="dxa"/>
            </w:tcMar>
            <w:vAlign w:val="center"/>
          </w:tcPr>
          <w:p w14:paraId="02FAD20F">
            <w:pPr>
              <w:pStyle w:val="19"/>
              <w:bidi w:val="0"/>
              <w:jc w:val="center"/>
              <w:rPr>
                <w:rFonts w:hint="default"/>
                <w:lang w:val="en-US" w:eastAsia="zh-CN"/>
              </w:rPr>
            </w:pPr>
            <w:r>
              <w:rPr>
                <w:rFonts w:hint="eastAsia"/>
                <w:lang w:val="en-US" w:eastAsia="zh-CN"/>
              </w:rPr>
              <w:t>7</w:t>
            </w:r>
          </w:p>
        </w:tc>
        <w:tc>
          <w:tcPr>
            <w:tcW w:w="698" w:type="pct"/>
            <w:tcBorders>
              <w:tl2br w:val="nil"/>
              <w:tr2bl w:val="nil"/>
            </w:tcBorders>
            <w:tcMar>
              <w:left w:w="0" w:type="dxa"/>
              <w:right w:w="0" w:type="dxa"/>
            </w:tcMar>
            <w:vAlign w:val="center"/>
          </w:tcPr>
          <w:p w14:paraId="2A7DC2C4">
            <w:pPr>
              <w:pStyle w:val="19"/>
              <w:bidi w:val="0"/>
              <w:jc w:val="center"/>
              <w:rPr>
                <w:lang w:val="en-US" w:eastAsia="zh-CN"/>
              </w:rPr>
            </w:pPr>
            <w:r>
              <w:t>&lt;0.17××</w:t>
            </w:r>
            <w:r>
              <w:rPr>
                <w:rFonts w:hint="eastAsia"/>
                <w:lang w:val="en-US" w:eastAsia="zh-CN"/>
              </w:rPr>
              <w:t>10</w:t>
            </w:r>
            <w:r>
              <w:rPr>
                <w:rFonts w:hint="eastAsia"/>
                <w:vertAlign w:val="superscript"/>
                <w:lang w:val="en-US" w:eastAsia="zh-CN"/>
              </w:rPr>
              <w:t>-3</w:t>
            </w:r>
          </w:p>
        </w:tc>
        <w:tc>
          <w:tcPr>
            <w:tcW w:w="698" w:type="pct"/>
            <w:tcBorders>
              <w:tl2br w:val="nil"/>
              <w:tr2bl w:val="nil"/>
            </w:tcBorders>
            <w:tcMar>
              <w:left w:w="0" w:type="dxa"/>
              <w:right w:w="0" w:type="dxa"/>
            </w:tcMar>
            <w:vAlign w:val="center"/>
          </w:tcPr>
          <w:p w14:paraId="6C31F339">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3C2D968A">
            <w:pPr>
              <w:pStyle w:val="19"/>
              <w:bidi w:val="0"/>
              <w:ind w:firstLine="0" w:firstLineChars="0"/>
              <w:jc w:val="center"/>
              <w:rPr>
                <w:lang w:val="en-US" w:eastAsia="zh-CN"/>
              </w:rPr>
            </w:pPr>
            <w:r>
              <w:t>&lt;0.17××</w:t>
            </w:r>
            <w:r>
              <w:rPr>
                <w:rFonts w:hint="eastAsia"/>
                <w:lang w:val="en-US" w:eastAsia="zh-CN"/>
              </w:rPr>
              <w:t>10</w:t>
            </w:r>
            <w:r>
              <w:rPr>
                <w:rFonts w:hint="eastAsia"/>
                <w:vertAlign w:val="superscript"/>
                <w:lang w:val="en-US" w:eastAsia="zh-CN"/>
              </w:rPr>
              <w:t>-3</w:t>
            </w:r>
          </w:p>
        </w:tc>
        <w:tc>
          <w:tcPr>
            <w:tcW w:w="700" w:type="pct"/>
            <w:tcBorders>
              <w:tl2br w:val="nil"/>
              <w:tr2bl w:val="nil"/>
            </w:tcBorders>
            <w:tcMar>
              <w:left w:w="0" w:type="dxa"/>
              <w:right w:w="0" w:type="dxa"/>
            </w:tcMar>
            <w:vAlign w:val="center"/>
          </w:tcPr>
          <w:p w14:paraId="5E74F47C">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7A78D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42EA2EA3">
            <w:pPr>
              <w:pStyle w:val="19"/>
              <w:numPr>
                <w:ilvl w:val="0"/>
                <w:numId w:val="11"/>
              </w:numPr>
              <w:bidi w:val="0"/>
              <w:ind w:left="0" w:leftChars="0" w:firstLine="0" w:firstLineChars="0"/>
              <w:jc w:val="center"/>
            </w:pPr>
          </w:p>
        </w:tc>
        <w:tc>
          <w:tcPr>
            <w:tcW w:w="413" w:type="pct"/>
            <w:vMerge w:val="continue"/>
            <w:tcBorders>
              <w:tl2br w:val="nil"/>
              <w:tr2bl w:val="nil"/>
            </w:tcBorders>
            <w:tcMar>
              <w:left w:w="0" w:type="dxa"/>
              <w:right w:w="0" w:type="dxa"/>
            </w:tcMar>
            <w:vAlign w:val="center"/>
          </w:tcPr>
          <w:p w14:paraId="2B5F1BF4">
            <w:pPr>
              <w:pStyle w:val="19"/>
              <w:bidi w:val="0"/>
              <w:jc w:val="center"/>
            </w:pPr>
          </w:p>
        </w:tc>
        <w:tc>
          <w:tcPr>
            <w:tcW w:w="767" w:type="pct"/>
            <w:tcBorders>
              <w:tl2br w:val="nil"/>
              <w:tr2bl w:val="nil"/>
            </w:tcBorders>
            <w:tcMar>
              <w:left w:w="0" w:type="dxa"/>
              <w:right w:w="0" w:type="dxa"/>
            </w:tcMar>
            <w:vAlign w:val="center"/>
          </w:tcPr>
          <w:p w14:paraId="3EBCECDC">
            <w:pPr>
              <w:pStyle w:val="19"/>
              <w:bidi w:val="0"/>
              <w:jc w:val="center"/>
              <w:rPr>
                <w:lang w:val="en-US" w:eastAsia="zh-CN"/>
              </w:rPr>
            </w:pPr>
            <w:r>
              <w:t>P.P`-DDD</w:t>
            </w:r>
          </w:p>
        </w:tc>
        <w:tc>
          <w:tcPr>
            <w:tcW w:w="698" w:type="pct"/>
            <w:tcBorders>
              <w:tl2br w:val="nil"/>
              <w:tr2bl w:val="nil"/>
            </w:tcBorders>
            <w:tcMar>
              <w:left w:w="0" w:type="dxa"/>
              <w:right w:w="0" w:type="dxa"/>
            </w:tcMar>
            <w:vAlign w:val="center"/>
          </w:tcPr>
          <w:p w14:paraId="4E18C668">
            <w:pPr>
              <w:pStyle w:val="19"/>
              <w:bidi w:val="0"/>
              <w:jc w:val="center"/>
              <w:rPr>
                <w:rFonts w:hint="default"/>
                <w:lang w:val="en-US" w:eastAsia="zh-CN"/>
              </w:rPr>
            </w:pPr>
            <w:r>
              <w:rPr>
                <w:rFonts w:hint="eastAsia"/>
                <w:lang w:val="en-US" w:eastAsia="zh-CN"/>
              </w:rPr>
              <w:t>7.1</w:t>
            </w:r>
          </w:p>
        </w:tc>
        <w:tc>
          <w:tcPr>
            <w:tcW w:w="698" w:type="pct"/>
            <w:tcBorders>
              <w:tl2br w:val="nil"/>
              <w:tr2bl w:val="nil"/>
            </w:tcBorders>
            <w:tcMar>
              <w:left w:w="0" w:type="dxa"/>
              <w:right w:w="0" w:type="dxa"/>
            </w:tcMar>
            <w:vAlign w:val="center"/>
          </w:tcPr>
          <w:p w14:paraId="3E22CCC6">
            <w:pPr>
              <w:pStyle w:val="19"/>
              <w:bidi w:val="0"/>
              <w:jc w:val="center"/>
              <w:rPr>
                <w:rFonts w:hint="default"/>
                <w:lang w:val="en-US" w:eastAsia="zh-CN"/>
              </w:rPr>
            </w:pPr>
            <w:r>
              <w:t>&lt;0.48×</w:t>
            </w:r>
            <w:r>
              <w:rPr>
                <w:rFonts w:hint="eastAsia"/>
                <w:lang w:val="en-US" w:eastAsia="zh-CN"/>
              </w:rPr>
              <w:t>10</w:t>
            </w:r>
            <w:r>
              <w:rPr>
                <w:rFonts w:hint="eastAsia"/>
                <w:vertAlign w:val="superscript"/>
                <w:lang w:val="en-US" w:eastAsia="zh-CN"/>
              </w:rPr>
              <w:t>-3</w:t>
            </w:r>
          </w:p>
        </w:tc>
        <w:tc>
          <w:tcPr>
            <w:tcW w:w="698" w:type="pct"/>
            <w:tcBorders>
              <w:tl2br w:val="nil"/>
              <w:tr2bl w:val="nil"/>
            </w:tcBorders>
            <w:tcMar>
              <w:left w:w="0" w:type="dxa"/>
              <w:right w:w="0" w:type="dxa"/>
            </w:tcMar>
            <w:vAlign w:val="center"/>
          </w:tcPr>
          <w:p w14:paraId="3CCF69BD">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94307A6">
            <w:pPr>
              <w:pStyle w:val="19"/>
              <w:bidi w:val="0"/>
              <w:ind w:firstLine="0" w:firstLineChars="0"/>
              <w:jc w:val="center"/>
              <w:rPr>
                <w:rFonts w:hint="default"/>
                <w:lang w:val="en-US" w:eastAsia="zh-CN"/>
              </w:rPr>
            </w:pPr>
            <w:r>
              <w:t>&lt;0.48×</w:t>
            </w:r>
            <w:r>
              <w:rPr>
                <w:rFonts w:hint="eastAsia"/>
                <w:lang w:val="en-US" w:eastAsia="zh-CN"/>
              </w:rPr>
              <w:t>10</w:t>
            </w:r>
            <w:r>
              <w:rPr>
                <w:rFonts w:hint="eastAsia"/>
                <w:vertAlign w:val="superscript"/>
                <w:lang w:val="en-US" w:eastAsia="zh-CN"/>
              </w:rPr>
              <w:t>-3</w:t>
            </w:r>
          </w:p>
        </w:tc>
        <w:tc>
          <w:tcPr>
            <w:tcW w:w="700" w:type="pct"/>
            <w:tcBorders>
              <w:tl2br w:val="nil"/>
              <w:tr2bl w:val="nil"/>
            </w:tcBorders>
            <w:tcMar>
              <w:left w:w="0" w:type="dxa"/>
              <w:right w:w="0" w:type="dxa"/>
            </w:tcMar>
            <w:vAlign w:val="center"/>
          </w:tcPr>
          <w:p w14:paraId="085A531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546B9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0B8013CF">
            <w:pPr>
              <w:pStyle w:val="19"/>
              <w:numPr>
                <w:ilvl w:val="0"/>
                <w:numId w:val="11"/>
              </w:numPr>
              <w:bidi w:val="0"/>
              <w:ind w:left="0" w:leftChars="0" w:firstLine="0" w:firstLineChars="0"/>
              <w:jc w:val="center"/>
            </w:pPr>
          </w:p>
        </w:tc>
        <w:tc>
          <w:tcPr>
            <w:tcW w:w="413" w:type="pct"/>
            <w:vMerge w:val="continue"/>
            <w:tcBorders>
              <w:tl2br w:val="nil"/>
              <w:tr2bl w:val="nil"/>
            </w:tcBorders>
            <w:tcMar>
              <w:left w:w="0" w:type="dxa"/>
              <w:right w:w="0" w:type="dxa"/>
            </w:tcMar>
            <w:vAlign w:val="center"/>
          </w:tcPr>
          <w:p w14:paraId="2022111F">
            <w:pPr>
              <w:pStyle w:val="19"/>
              <w:bidi w:val="0"/>
              <w:jc w:val="center"/>
            </w:pPr>
          </w:p>
        </w:tc>
        <w:tc>
          <w:tcPr>
            <w:tcW w:w="767" w:type="pct"/>
            <w:tcBorders>
              <w:tl2br w:val="nil"/>
              <w:tr2bl w:val="nil"/>
            </w:tcBorders>
            <w:tcMar>
              <w:left w:w="0" w:type="dxa"/>
              <w:right w:w="0" w:type="dxa"/>
            </w:tcMar>
            <w:vAlign w:val="center"/>
          </w:tcPr>
          <w:p w14:paraId="5997A522">
            <w:pPr>
              <w:pStyle w:val="19"/>
              <w:bidi w:val="0"/>
              <w:jc w:val="center"/>
              <w:rPr>
                <w:lang w:val="en-US" w:eastAsia="zh-CN"/>
              </w:rPr>
            </w:pPr>
            <w:r>
              <w:t>O.P'-DDT</w:t>
            </w:r>
          </w:p>
        </w:tc>
        <w:tc>
          <w:tcPr>
            <w:tcW w:w="698" w:type="pct"/>
            <w:vMerge w:val="restart"/>
            <w:tcBorders>
              <w:tl2br w:val="nil"/>
              <w:tr2bl w:val="nil"/>
            </w:tcBorders>
            <w:tcMar>
              <w:left w:w="0" w:type="dxa"/>
              <w:right w:w="0" w:type="dxa"/>
            </w:tcMar>
            <w:vAlign w:val="center"/>
          </w:tcPr>
          <w:p w14:paraId="65EB18C5">
            <w:pPr>
              <w:pStyle w:val="19"/>
              <w:bidi w:val="0"/>
              <w:jc w:val="center"/>
              <w:rPr>
                <w:rFonts w:hint="default"/>
                <w:lang w:val="en-US" w:eastAsia="zh-CN"/>
              </w:rPr>
            </w:pPr>
            <w:r>
              <w:rPr>
                <w:rFonts w:hint="eastAsia"/>
                <w:lang w:val="en-US" w:eastAsia="zh-CN"/>
              </w:rPr>
              <w:t>6.7</w:t>
            </w:r>
          </w:p>
        </w:tc>
        <w:tc>
          <w:tcPr>
            <w:tcW w:w="698" w:type="pct"/>
            <w:tcBorders>
              <w:tl2br w:val="nil"/>
              <w:tr2bl w:val="nil"/>
            </w:tcBorders>
            <w:tcMar>
              <w:left w:w="0" w:type="dxa"/>
              <w:right w:w="0" w:type="dxa"/>
            </w:tcMar>
            <w:vAlign w:val="center"/>
          </w:tcPr>
          <w:p w14:paraId="68FFCA25">
            <w:pPr>
              <w:pStyle w:val="19"/>
              <w:bidi w:val="0"/>
              <w:jc w:val="center"/>
              <w:rPr>
                <w:lang w:val="en-US" w:eastAsia="zh-CN"/>
              </w:rPr>
            </w:pPr>
            <w:r>
              <w:t>&lt;1.90×</w:t>
            </w:r>
            <w:r>
              <w:rPr>
                <w:rFonts w:hint="eastAsia"/>
                <w:lang w:val="en-US" w:eastAsia="zh-CN"/>
              </w:rPr>
              <w:t>10</w:t>
            </w:r>
            <w:r>
              <w:rPr>
                <w:rFonts w:hint="eastAsia"/>
                <w:vertAlign w:val="superscript"/>
                <w:lang w:val="en-US" w:eastAsia="zh-CN"/>
              </w:rPr>
              <w:t>-3</w:t>
            </w:r>
          </w:p>
        </w:tc>
        <w:tc>
          <w:tcPr>
            <w:tcW w:w="698" w:type="pct"/>
            <w:tcBorders>
              <w:tl2br w:val="nil"/>
              <w:tr2bl w:val="nil"/>
            </w:tcBorders>
            <w:tcMar>
              <w:left w:w="0" w:type="dxa"/>
              <w:right w:w="0" w:type="dxa"/>
            </w:tcMar>
            <w:vAlign w:val="center"/>
          </w:tcPr>
          <w:p w14:paraId="2F1FEFEE">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4DE725BC">
            <w:pPr>
              <w:pStyle w:val="19"/>
              <w:bidi w:val="0"/>
              <w:ind w:firstLine="0" w:firstLineChars="0"/>
              <w:jc w:val="center"/>
              <w:rPr>
                <w:lang w:val="en-US" w:eastAsia="zh-CN"/>
              </w:rPr>
            </w:pPr>
            <w:r>
              <w:t>&lt;1.90×</w:t>
            </w:r>
            <w:r>
              <w:rPr>
                <w:rFonts w:hint="eastAsia"/>
                <w:lang w:val="en-US" w:eastAsia="zh-CN"/>
              </w:rPr>
              <w:t>10</w:t>
            </w:r>
            <w:r>
              <w:rPr>
                <w:rFonts w:hint="eastAsia"/>
                <w:vertAlign w:val="superscript"/>
                <w:lang w:val="en-US" w:eastAsia="zh-CN"/>
              </w:rPr>
              <w:t>-3</w:t>
            </w:r>
          </w:p>
        </w:tc>
        <w:tc>
          <w:tcPr>
            <w:tcW w:w="700" w:type="pct"/>
            <w:tcBorders>
              <w:tl2br w:val="nil"/>
              <w:tr2bl w:val="nil"/>
            </w:tcBorders>
            <w:tcMar>
              <w:left w:w="0" w:type="dxa"/>
              <w:right w:w="0" w:type="dxa"/>
            </w:tcMar>
            <w:vAlign w:val="center"/>
          </w:tcPr>
          <w:p w14:paraId="13D766F9">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w:t>
            </w:r>
          </w:p>
        </w:tc>
      </w:tr>
      <w:tr w14:paraId="01FEA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5620DF2">
            <w:pPr>
              <w:pStyle w:val="19"/>
              <w:numPr>
                <w:ilvl w:val="0"/>
                <w:numId w:val="11"/>
              </w:numPr>
              <w:bidi w:val="0"/>
              <w:ind w:left="0" w:leftChars="0" w:firstLine="0" w:firstLineChars="0"/>
              <w:jc w:val="center"/>
            </w:pPr>
          </w:p>
        </w:tc>
        <w:tc>
          <w:tcPr>
            <w:tcW w:w="413" w:type="pct"/>
            <w:vMerge w:val="continue"/>
            <w:tcBorders>
              <w:tl2br w:val="nil"/>
              <w:tr2bl w:val="nil"/>
            </w:tcBorders>
            <w:tcMar>
              <w:left w:w="0" w:type="dxa"/>
              <w:right w:w="0" w:type="dxa"/>
            </w:tcMar>
            <w:vAlign w:val="center"/>
          </w:tcPr>
          <w:p w14:paraId="5C9778DC">
            <w:pPr>
              <w:pStyle w:val="19"/>
              <w:bidi w:val="0"/>
              <w:jc w:val="center"/>
            </w:pPr>
          </w:p>
        </w:tc>
        <w:tc>
          <w:tcPr>
            <w:tcW w:w="767" w:type="pct"/>
            <w:tcBorders>
              <w:tl2br w:val="nil"/>
              <w:tr2bl w:val="nil"/>
            </w:tcBorders>
            <w:tcMar>
              <w:left w:w="0" w:type="dxa"/>
              <w:right w:w="0" w:type="dxa"/>
            </w:tcMar>
            <w:vAlign w:val="center"/>
          </w:tcPr>
          <w:p w14:paraId="2CFC0EC4">
            <w:pPr>
              <w:pStyle w:val="19"/>
              <w:bidi w:val="0"/>
              <w:jc w:val="center"/>
              <w:rPr>
                <w:lang w:val="en-US" w:eastAsia="zh-CN"/>
              </w:rPr>
            </w:pPr>
            <w:r>
              <w:t>P.P'-DDT</w:t>
            </w:r>
          </w:p>
        </w:tc>
        <w:tc>
          <w:tcPr>
            <w:tcW w:w="698" w:type="pct"/>
            <w:vMerge w:val="continue"/>
            <w:tcBorders>
              <w:tl2br w:val="nil"/>
              <w:tr2bl w:val="nil"/>
            </w:tcBorders>
            <w:tcMar>
              <w:left w:w="0" w:type="dxa"/>
              <w:right w:w="0" w:type="dxa"/>
            </w:tcMar>
            <w:vAlign w:val="center"/>
          </w:tcPr>
          <w:p w14:paraId="4E3AC105">
            <w:pPr>
              <w:pStyle w:val="19"/>
              <w:bidi w:val="0"/>
              <w:jc w:val="center"/>
              <w:rPr>
                <w:lang w:val="en-US" w:eastAsia="zh-CN"/>
              </w:rPr>
            </w:pPr>
          </w:p>
        </w:tc>
        <w:tc>
          <w:tcPr>
            <w:tcW w:w="698" w:type="pct"/>
            <w:tcBorders>
              <w:tl2br w:val="nil"/>
              <w:tr2bl w:val="nil"/>
            </w:tcBorders>
            <w:tcMar>
              <w:left w:w="0" w:type="dxa"/>
              <w:right w:w="0" w:type="dxa"/>
            </w:tcMar>
            <w:vAlign w:val="center"/>
          </w:tcPr>
          <w:p w14:paraId="69CFE868">
            <w:pPr>
              <w:pStyle w:val="19"/>
              <w:bidi w:val="0"/>
              <w:jc w:val="center"/>
              <w:rPr>
                <w:lang w:val="en-US" w:eastAsia="zh-CN"/>
              </w:rPr>
            </w:pPr>
            <w:r>
              <w:t>&lt;4.87×</w:t>
            </w:r>
            <w:r>
              <w:rPr>
                <w:rFonts w:hint="eastAsia"/>
                <w:lang w:val="en-US" w:eastAsia="zh-CN"/>
              </w:rPr>
              <w:t>10</w:t>
            </w:r>
            <w:r>
              <w:rPr>
                <w:rFonts w:hint="eastAsia"/>
                <w:vertAlign w:val="superscript"/>
                <w:lang w:val="en-US" w:eastAsia="zh-CN"/>
              </w:rPr>
              <w:t>-3</w:t>
            </w:r>
          </w:p>
        </w:tc>
        <w:tc>
          <w:tcPr>
            <w:tcW w:w="698" w:type="pct"/>
            <w:tcBorders>
              <w:tl2br w:val="nil"/>
              <w:tr2bl w:val="nil"/>
            </w:tcBorders>
            <w:tcMar>
              <w:left w:w="0" w:type="dxa"/>
              <w:right w:w="0" w:type="dxa"/>
            </w:tcMar>
            <w:vAlign w:val="center"/>
          </w:tcPr>
          <w:p w14:paraId="003A3E5F">
            <w:pPr>
              <w:pStyle w:val="19"/>
              <w:bidi w:val="0"/>
              <w:jc w:val="center"/>
              <w:rPr>
                <w:rFonts w:hint="default"/>
                <w:lang w:val="en-US" w:eastAsia="zh-CN"/>
              </w:rPr>
            </w:pPr>
            <w:r>
              <w:rPr>
                <w:rFonts w:hint="eastAsia"/>
                <w:lang w:val="en-US" w:eastAsia="zh-CN"/>
              </w:rPr>
              <w:t>/</w:t>
            </w:r>
          </w:p>
        </w:tc>
        <w:tc>
          <w:tcPr>
            <w:tcW w:w="698" w:type="pct"/>
            <w:tcBorders>
              <w:tl2br w:val="nil"/>
              <w:tr2bl w:val="nil"/>
            </w:tcBorders>
            <w:tcMar>
              <w:left w:w="0" w:type="dxa"/>
              <w:right w:w="0" w:type="dxa"/>
            </w:tcMar>
            <w:vAlign w:val="center"/>
          </w:tcPr>
          <w:p w14:paraId="578E2711">
            <w:pPr>
              <w:pStyle w:val="19"/>
              <w:bidi w:val="0"/>
              <w:ind w:firstLine="0" w:firstLineChars="0"/>
              <w:jc w:val="center"/>
              <w:rPr>
                <w:lang w:val="en-US" w:eastAsia="zh-CN"/>
              </w:rPr>
            </w:pPr>
            <w:r>
              <w:t>&lt;4.87×</w:t>
            </w:r>
            <w:r>
              <w:rPr>
                <w:rFonts w:hint="eastAsia"/>
                <w:lang w:val="en-US" w:eastAsia="zh-CN"/>
              </w:rPr>
              <w:t>10</w:t>
            </w:r>
            <w:r>
              <w:rPr>
                <w:rFonts w:hint="eastAsia"/>
                <w:vertAlign w:val="superscript"/>
                <w:lang w:val="en-US" w:eastAsia="zh-CN"/>
              </w:rPr>
              <w:t>-3</w:t>
            </w:r>
          </w:p>
        </w:tc>
        <w:tc>
          <w:tcPr>
            <w:tcW w:w="700" w:type="pct"/>
            <w:tcBorders>
              <w:tl2br w:val="nil"/>
              <w:tr2bl w:val="nil"/>
            </w:tcBorders>
            <w:tcMar>
              <w:left w:w="0" w:type="dxa"/>
              <w:right w:w="0" w:type="dxa"/>
            </w:tcMar>
            <w:vAlign w:val="center"/>
          </w:tcPr>
          <w:p w14:paraId="176C920C">
            <w:pPr>
              <w:pStyle w:val="19"/>
              <w:bidi w:val="0"/>
              <w:jc w:val="center"/>
              <w:rPr>
                <w:rFonts w:hint="eastAsia" w:eastAsia="宋体"/>
                <w:lang w:eastAsia="zh-CN"/>
              </w:rPr>
            </w:pPr>
            <w:r>
              <w:rPr>
                <w:rFonts w:hint="eastAsia"/>
                <w:lang w:eastAsia="zh-CN"/>
              </w:rPr>
              <w:t>／</w:t>
            </w:r>
          </w:p>
        </w:tc>
      </w:tr>
      <w:tr w14:paraId="47607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146F193B">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43050302">
            <w:pPr>
              <w:pStyle w:val="19"/>
              <w:bidi w:val="0"/>
              <w:jc w:val="center"/>
              <w:rPr>
                <w:lang w:val="en-US" w:eastAsia="zh-CN"/>
              </w:rPr>
            </w:pPr>
            <w:r>
              <w:t>蛔虫卵数</w:t>
            </w:r>
          </w:p>
        </w:tc>
        <w:tc>
          <w:tcPr>
            <w:tcW w:w="698" w:type="pct"/>
            <w:tcBorders>
              <w:tl2br w:val="nil"/>
              <w:tr2bl w:val="nil"/>
            </w:tcBorders>
            <w:tcMar>
              <w:left w:w="0" w:type="dxa"/>
              <w:right w:w="0" w:type="dxa"/>
            </w:tcMar>
            <w:vAlign w:val="center"/>
          </w:tcPr>
          <w:p w14:paraId="6EA8145B">
            <w:pPr>
              <w:pStyle w:val="19"/>
              <w:bidi w:val="0"/>
              <w:jc w:val="center"/>
              <w:rPr>
                <w:lang w:val="en-US" w:eastAsia="zh-CN"/>
              </w:rPr>
            </w:pPr>
            <w:r>
              <w:t>10(个/kg)</w:t>
            </w:r>
          </w:p>
        </w:tc>
        <w:tc>
          <w:tcPr>
            <w:tcW w:w="698" w:type="pct"/>
            <w:tcBorders>
              <w:tl2br w:val="nil"/>
              <w:tr2bl w:val="nil"/>
            </w:tcBorders>
            <w:tcMar>
              <w:left w:w="0" w:type="dxa"/>
              <w:right w:w="0" w:type="dxa"/>
            </w:tcMar>
            <w:vAlign w:val="center"/>
          </w:tcPr>
          <w:p w14:paraId="50C9598A">
            <w:pPr>
              <w:pStyle w:val="19"/>
              <w:bidi w:val="0"/>
              <w:jc w:val="center"/>
              <w:rPr>
                <w:lang w:val="en-US" w:eastAsia="zh-CN"/>
              </w:rPr>
            </w:pPr>
            <w:r>
              <w:t>1</w:t>
            </w:r>
          </w:p>
        </w:tc>
        <w:tc>
          <w:tcPr>
            <w:tcW w:w="698" w:type="pct"/>
            <w:tcBorders>
              <w:tl2br w:val="nil"/>
              <w:tr2bl w:val="nil"/>
            </w:tcBorders>
            <w:tcMar>
              <w:left w:w="0" w:type="dxa"/>
              <w:right w:w="0" w:type="dxa"/>
            </w:tcMar>
            <w:vAlign w:val="center"/>
          </w:tcPr>
          <w:p w14:paraId="2C97F23A">
            <w:pPr>
              <w:pStyle w:val="19"/>
              <w:bidi w:val="0"/>
              <w:jc w:val="center"/>
              <w:rPr>
                <w:rFonts w:hint="default" w:eastAsia="宋体"/>
                <w:lang w:val="en-US" w:eastAsia="zh-CN"/>
              </w:rPr>
            </w:pPr>
            <w:r>
              <w:rPr>
                <w:rFonts w:hint="eastAsia"/>
                <w:lang w:val="en-US" w:eastAsia="zh-CN"/>
              </w:rPr>
              <w:t>0.1</w:t>
            </w:r>
          </w:p>
        </w:tc>
        <w:tc>
          <w:tcPr>
            <w:tcW w:w="698" w:type="pct"/>
            <w:tcBorders>
              <w:tl2br w:val="nil"/>
              <w:tr2bl w:val="nil"/>
            </w:tcBorders>
            <w:tcMar>
              <w:left w:w="0" w:type="dxa"/>
              <w:right w:w="0" w:type="dxa"/>
            </w:tcMar>
            <w:vAlign w:val="center"/>
          </w:tcPr>
          <w:p w14:paraId="7C0CB80B">
            <w:pPr>
              <w:pStyle w:val="19"/>
              <w:bidi w:val="0"/>
              <w:jc w:val="center"/>
              <w:rPr>
                <w:lang w:val="en-US" w:eastAsia="zh-CN"/>
              </w:rPr>
            </w:pPr>
            <w:r>
              <w:t>2</w:t>
            </w:r>
          </w:p>
        </w:tc>
        <w:tc>
          <w:tcPr>
            <w:tcW w:w="700" w:type="pct"/>
            <w:tcBorders>
              <w:tl2br w:val="nil"/>
              <w:tr2bl w:val="nil"/>
            </w:tcBorders>
            <w:tcMar>
              <w:left w:w="0" w:type="dxa"/>
              <w:right w:w="0" w:type="dxa"/>
            </w:tcMar>
            <w:vAlign w:val="center"/>
          </w:tcPr>
          <w:p w14:paraId="2A0743E7">
            <w:pPr>
              <w:pStyle w:val="19"/>
              <w:bidi w:val="0"/>
              <w:jc w:val="center"/>
              <w:rPr>
                <w:rFonts w:hint="default" w:eastAsia="宋体"/>
                <w:lang w:val="en-US" w:eastAsia="zh-CN"/>
              </w:rPr>
            </w:pPr>
            <w:r>
              <w:rPr>
                <w:rFonts w:hint="eastAsia"/>
                <w:lang w:val="en-US" w:eastAsia="zh-CN"/>
              </w:rPr>
              <w:t>0.2</w:t>
            </w:r>
          </w:p>
        </w:tc>
      </w:tr>
      <w:tr w14:paraId="1F717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44C8662">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78F3C794">
            <w:pPr>
              <w:pStyle w:val="19"/>
              <w:bidi w:val="0"/>
              <w:jc w:val="center"/>
              <w:rPr>
                <w:lang w:val="en-US" w:eastAsia="zh-CN"/>
              </w:rPr>
            </w:pPr>
            <w:r>
              <w:t>砷</w:t>
            </w:r>
          </w:p>
        </w:tc>
        <w:tc>
          <w:tcPr>
            <w:tcW w:w="698" w:type="pct"/>
            <w:tcBorders>
              <w:tl2br w:val="nil"/>
              <w:tr2bl w:val="nil"/>
            </w:tcBorders>
            <w:tcMar>
              <w:left w:w="0" w:type="dxa"/>
              <w:right w:w="0" w:type="dxa"/>
            </w:tcMar>
            <w:vAlign w:val="center"/>
          </w:tcPr>
          <w:p w14:paraId="3F5CBEAC">
            <w:pPr>
              <w:pStyle w:val="19"/>
              <w:bidi w:val="0"/>
              <w:jc w:val="center"/>
              <w:rPr>
                <w:lang w:val="en-US" w:eastAsia="zh-CN"/>
              </w:rPr>
            </w:pPr>
            <w:r>
              <w:t>60</w:t>
            </w:r>
          </w:p>
        </w:tc>
        <w:tc>
          <w:tcPr>
            <w:tcW w:w="698" w:type="pct"/>
            <w:tcBorders>
              <w:tl2br w:val="nil"/>
              <w:tr2bl w:val="nil"/>
            </w:tcBorders>
            <w:tcMar>
              <w:left w:w="0" w:type="dxa"/>
              <w:right w:w="0" w:type="dxa"/>
            </w:tcMar>
            <w:vAlign w:val="center"/>
          </w:tcPr>
          <w:p w14:paraId="6326A652">
            <w:pPr>
              <w:pStyle w:val="19"/>
              <w:bidi w:val="0"/>
              <w:jc w:val="center"/>
              <w:rPr>
                <w:lang w:val="en-US" w:eastAsia="zh-CN"/>
              </w:rPr>
            </w:pPr>
            <w:r>
              <w:t>9.28</w:t>
            </w:r>
          </w:p>
        </w:tc>
        <w:tc>
          <w:tcPr>
            <w:tcW w:w="698" w:type="pct"/>
            <w:tcBorders>
              <w:tl2br w:val="nil"/>
              <w:tr2bl w:val="nil"/>
            </w:tcBorders>
            <w:tcMar>
              <w:left w:w="0" w:type="dxa"/>
              <w:right w:w="0" w:type="dxa"/>
            </w:tcMar>
            <w:vAlign w:val="center"/>
          </w:tcPr>
          <w:p w14:paraId="70CDC1BD">
            <w:pPr>
              <w:pStyle w:val="19"/>
              <w:bidi w:val="0"/>
              <w:jc w:val="center"/>
              <w:rPr>
                <w:rFonts w:hint="default" w:eastAsia="宋体"/>
                <w:lang w:val="en-US" w:eastAsia="zh-CN"/>
              </w:rPr>
            </w:pPr>
            <w:r>
              <w:rPr>
                <w:rFonts w:hint="eastAsia"/>
                <w:lang w:val="en-US" w:eastAsia="zh-CN"/>
              </w:rPr>
              <w:t>0.15</w:t>
            </w:r>
          </w:p>
        </w:tc>
        <w:tc>
          <w:tcPr>
            <w:tcW w:w="698" w:type="pct"/>
            <w:tcBorders>
              <w:tl2br w:val="nil"/>
              <w:tr2bl w:val="nil"/>
            </w:tcBorders>
            <w:tcMar>
              <w:left w:w="0" w:type="dxa"/>
              <w:right w:w="0" w:type="dxa"/>
            </w:tcMar>
            <w:vAlign w:val="center"/>
          </w:tcPr>
          <w:p w14:paraId="6F9628CC">
            <w:pPr>
              <w:pStyle w:val="19"/>
              <w:bidi w:val="0"/>
              <w:jc w:val="center"/>
              <w:rPr>
                <w:lang w:val="en-US" w:eastAsia="zh-CN"/>
              </w:rPr>
            </w:pPr>
            <w:r>
              <w:t>9.46</w:t>
            </w:r>
          </w:p>
        </w:tc>
        <w:tc>
          <w:tcPr>
            <w:tcW w:w="700" w:type="pct"/>
            <w:tcBorders>
              <w:tl2br w:val="nil"/>
              <w:tr2bl w:val="nil"/>
            </w:tcBorders>
            <w:tcMar>
              <w:left w:w="0" w:type="dxa"/>
              <w:right w:w="0" w:type="dxa"/>
            </w:tcMar>
            <w:vAlign w:val="center"/>
          </w:tcPr>
          <w:p w14:paraId="647008EF">
            <w:pPr>
              <w:pStyle w:val="19"/>
              <w:bidi w:val="0"/>
              <w:jc w:val="center"/>
              <w:rPr>
                <w:rFonts w:hint="default" w:eastAsia="宋体"/>
                <w:lang w:val="en-US" w:eastAsia="zh-CN"/>
              </w:rPr>
            </w:pPr>
            <w:r>
              <w:rPr>
                <w:rFonts w:hint="eastAsia"/>
                <w:lang w:val="en-US" w:eastAsia="zh-CN"/>
              </w:rPr>
              <w:t>0.16</w:t>
            </w:r>
          </w:p>
        </w:tc>
      </w:tr>
      <w:tr w14:paraId="226F6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2DE199F9">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636F086C">
            <w:pPr>
              <w:pStyle w:val="19"/>
              <w:bidi w:val="0"/>
              <w:jc w:val="center"/>
              <w:rPr>
                <w:lang w:val="en-US" w:eastAsia="zh-CN"/>
              </w:rPr>
            </w:pPr>
            <w:r>
              <w:t>铅</w:t>
            </w:r>
          </w:p>
        </w:tc>
        <w:tc>
          <w:tcPr>
            <w:tcW w:w="698" w:type="pct"/>
            <w:tcBorders>
              <w:tl2br w:val="nil"/>
              <w:tr2bl w:val="nil"/>
            </w:tcBorders>
            <w:tcMar>
              <w:left w:w="0" w:type="dxa"/>
              <w:right w:w="0" w:type="dxa"/>
            </w:tcMar>
            <w:vAlign w:val="center"/>
          </w:tcPr>
          <w:p w14:paraId="77F18028">
            <w:pPr>
              <w:pStyle w:val="19"/>
              <w:bidi w:val="0"/>
              <w:jc w:val="center"/>
              <w:rPr>
                <w:lang w:val="en-US" w:eastAsia="zh-CN"/>
              </w:rPr>
            </w:pPr>
            <w:r>
              <w:t>800</w:t>
            </w:r>
          </w:p>
        </w:tc>
        <w:tc>
          <w:tcPr>
            <w:tcW w:w="698" w:type="pct"/>
            <w:tcBorders>
              <w:tl2br w:val="nil"/>
              <w:tr2bl w:val="nil"/>
            </w:tcBorders>
            <w:tcMar>
              <w:left w:w="0" w:type="dxa"/>
              <w:right w:w="0" w:type="dxa"/>
            </w:tcMar>
            <w:vAlign w:val="center"/>
          </w:tcPr>
          <w:p w14:paraId="3415315D">
            <w:pPr>
              <w:pStyle w:val="19"/>
              <w:bidi w:val="0"/>
              <w:jc w:val="center"/>
              <w:rPr>
                <w:lang w:val="en-US" w:eastAsia="zh-CN"/>
              </w:rPr>
            </w:pPr>
            <w:r>
              <w:t>26</w:t>
            </w:r>
          </w:p>
        </w:tc>
        <w:tc>
          <w:tcPr>
            <w:tcW w:w="698" w:type="pct"/>
            <w:tcBorders>
              <w:tl2br w:val="nil"/>
              <w:tr2bl w:val="nil"/>
            </w:tcBorders>
            <w:tcMar>
              <w:left w:w="0" w:type="dxa"/>
              <w:right w:w="0" w:type="dxa"/>
            </w:tcMar>
            <w:vAlign w:val="center"/>
          </w:tcPr>
          <w:p w14:paraId="4BC90850">
            <w:pPr>
              <w:pStyle w:val="19"/>
              <w:bidi w:val="0"/>
              <w:jc w:val="center"/>
              <w:rPr>
                <w:rFonts w:hint="default" w:eastAsia="宋体"/>
                <w:lang w:val="en-US" w:eastAsia="zh-CN"/>
              </w:rPr>
            </w:pPr>
            <w:r>
              <w:rPr>
                <w:rFonts w:hint="eastAsia"/>
                <w:lang w:val="en-US" w:eastAsia="zh-CN"/>
              </w:rPr>
              <w:t>0.03</w:t>
            </w:r>
          </w:p>
        </w:tc>
        <w:tc>
          <w:tcPr>
            <w:tcW w:w="698" w:type="pct"/>
            <w:tcBorders>
              <w:tl2br w:val="nil"/>
              <w:tr2bl w:val="nil"/>
            </w:tcBorders>
            <w:tcMar>
              <w:left w:w="0" w:type="dxa"/>
              <w:right w:w="0" w:type="dxa"/>
            </w:tcMar>
            <w:vAlign w:val="center"/>
          </w:tcPr>
          <w:p w14:paraId="79D77433">
            <w:pPr>
              <w:pStyle w:val="19"/>
              <w:bidi w:val="0"/>
              <w:jc w:val="center"/>
              <w:rPr>
                <w:lang w:val="en-US" w:eastAsia="zh-CN"/>
              </w:rPr>
            </w:pPr>
            <w:r>
              <w:t>29</w:t>
            </w:r>
          </w:p>
        </w:tc>
        <w:tc>
          <w:tcPr>
            <w:tcW w:w="700" w:type="pct"/>
            <w:tcBorders>
              <w:tl2br w:val="nil"/>
              <w:tr2bl w:val="nil"/>
            </w:tcBorders>
            <w:tcMar>
              <w:left w:w="0" w:type="dxa"/>
              <w:right w:w="0" w:type="dxa"/>
            </w:tcMar>
            <w:vAlign w:val="center"/>
          </w:tcPr>
          <w:p w14:paraId="09DFB365">
            <w:pPr>
              <w:pStyle w:val="19"/>
              <w:bidi w:val="0"/>
              <w:jc w:val="center"/>
              <w:rPr>
                <w:rFonts w:hint="default" w:eastAsia="宋体"/>
                <w:lang w:val="en-US" w:eastAsia="zh-CN"/>
              </w:rPr>
            </w:pPr>
            <w:r>
              <w:rPr>
                <w:rFonts w:hint="eastAsia"/>
                <w:lang w:val="en-US" w:eastAsia="zh-CN"/>
              </w:rPr>
              <w:t>0.004</w:t>
            </w:r>
          </w:p>
        </w:tc>
      </w:tr>
      <w:tr w14:paraId="498CF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EA5D3DC">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6BC9496B">
            <w:pPr>
              <w:pStyle w:val="19"/>
              <w:bidi w:val="0"/>
              <w:jc w:val="center"/>
              <w:rPr>
                <w:lang w:val="en-US" w:eastAsia="zh-CN"/>
              </w:rPr>
            </w:pPr>
            <w:r>
              <w:t>汞</w:t>
            </w:r>
          </w:p>
        </w:tc>
        <w:tc>
          <w:tcPr>
            <w:tcW w:w="698" w:type="pct"/>
            <w:tcBorders>
              <w:tl2br w:val="nil"/>
              <w:tr2bl w:val="nil"/>
            </w:tcBorders>
            <w:tcMar>
              <w:left w:w="0" w:type="dxa"/>
              <w:right w:w="0" w:type="dxa"/>
            </w:tcMar>
            <w:vAlign w:val="center"/>
          </w:tcPr>
          <w:p w14:paraId="7577C188">
            <w:pPr>
              <w:pStyle w:val="19"/>
              <w:bidi w:val="0"/>
              <w:jc w:val="center"/>
              <w:rPr>
                <w:lang w:val="en-US" w:eastAsia="zh-CN"/>
              </w:rPr>
            </w:pPr>
            <w:r>
              <w:t>38</w:t>
            </w:r>
          </w:p>
        </w:tc>
        <w:tc>
          <w:tcPr>
            <w:tcW w:w="698" w:type="pct"/>
            <w:tcBorders>
              <w:tl2br w:val="nil"/>
              <w:tr2bl w:val="nil"/>
            </w:tcBorders>
            <w:tcMar>
              <w:left w:w="0" w:type="dxa"/>
              <w:right w:w="0" w:type="dxa"/>
            </w:tcMar>
            <w:vAlign w:val="center"/>
          </w:tcPr>
          <w:p w14:paraId="72619FC2">
            <w:pPr>
              <w:pStyle w:val="19"/>
              <w:bidi w:val="0"/>
              <w:jc w:val="center"/>
              <w:rPr>
                <w:lang w:val="en-US" w:eastAsia="zh-CN"/>
              </w:rPr>
            </w:pPr>
            <w:r>
              <w:t>0.196</w:t>
            </w:r>
          </w:p>
        </w:tc>
        <w:tc>
          <w:tcPr>
            <w:tcW w:w="698" w:type="pct"/>
            <w:tcBorders>
              <w:tl2br w:val="nil"/>
              <w:tr2bl w:val="nil"/>
            </w:tcBorders>
            <w:tcMar>
              <w:left w:w="0" w:type="dxa"/>
              <w:right w:w="0" w:type="dxa"/>
            </w:tcMar>
            <w:vAlign w:val="center"/>
          </w:tcPr>
          <w:p w14:paraId="3473D6EA">
            <w:pPr>
              <w:pStyle w:val="19"/>
              <w:bidi w:val="0"/>
              <w:jc w:val="center"/>
              <w:rPr>
                <w:rFonts w:hint="default" w:eastAsia="宋体"/>
                <w:lang w:val="en-US" w:eastAsia="zh-CN"/>
              </w:rPr>
            </w:pPr>
            <w:r>
              <w:rPr>
                <w:rFonts w:hint="eastAsia"/>
                <w:lang w:val="en-US" w:eastAsia="zh-CN"/>
              </w:rPr>
              <w:t>0.005</w:t>
            </w:r>
          </w:p>
        </w:tc>
        <w:tc>
          <w:tcPr>
            <w:tcW w:w="698" w:type="pct"/>
            <w:tcBorders>
              <w:tl2br w:val="nil"/>
              <w:tr2bl w:val="nil"/>
            </w:tcBorders>
            <w:tcMar>
              <w:left w:w="0" w:type="dxa"/>
              <w:right w:w="0" w:type="dxa"/>
            </w:tcMar>
            <w:vAlign w:val="center"/>
          </w:tcPr>
          <w:p w14:paraId="3DF98B8D">
            <w:pPr>
              <w:pStyle w:val="19"/>
              <w:bidi w:val="0"/>
              <w:jc w:val="center"/>
              <w:rPr>
                <w:lang w:val="en-US" w:eastAsia="zh-CN"/>
              </w:rPr>
            </w:pPr>
            <w:r>
              <w:t>0.208</w:t>
            </w:r>
          </w:p>
        </w:tc>
        <w:tc>
          <w:tcPr>
            <w:tcW w:w="700" w:type="pct"/>
            <w:tcBorders>
              <w:tl2br w:val="nil"/>
              <w:tr2bl w:val="nil"/>
            </w:tcBorders>
            <w:tcMar>
              <w:left w:w="0" w:type="dxa"/>
              <w:right w:w="0" w:type="dxa"/>
            </w:tcMar>
            <w:vAlign w:val="center"/>
          </w:tcPr>
          <w:p w14:paraId="653B3E93">
            <w:pPr>
              <w:pStyle w:val="19"/>
              <w:bidi w:val="0"/>
              <w:jc w:val="center"/>
              <w:rPr>
                <w:rFonts w:hint="default" w:eastAsia="宋体"/>
                <w:lang w:val="en-US" w:eastAsia="zh-CN"/>
              </w:rPr>
            </w:pPr>
            <w:r>
              <w:rPr>
                <w:rFonts w:hint="eastAsia"/>
                <w:lang w:val="en-US" w:eastAsia="zh-CN"/>
              </w:rPr>
              <w:t>0.006</w:t>
            </w:r>
          </w:p>
        </w:tc>
      </w:tr>
      <w:tr w14:paraId="76D34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7A8D0809">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49170A38">
            <w:pPr>
              <w:pStyle w:val="19"/>
              <w:bidi w:val="0"/>
              <w:jc w:val="center"/>
              <w:rPr>
                <w:lang w:val="en-US" w:eastAsia="zh-CN"/>
              </w:rPr>
            </w:pPr>
            <w:r>
              <w:t>镉</w:t>
            </w:r>
          </w:p>
        </w:tc>
        <w:tc>
          <w:tcPr>
            <w:tcW w:w="698" w:type="pct"/>
            <w:tcBorders>
              <w:tl2br w:val="nil"/>
              <w:tr2bl w:val="nil"/>
            </w:tcBorders>
            <w:tcMar>
              <w:left w:w="0" w:type="dxa"/>
              <w:right w:w="0" w:type="dxa"/>
            </w:tcMar>
            <w:vAlign w:val="center"/>
          </w:tcPr>
          <w:p w14:paraId="688353B3">
            <w:pPr>
              <w:pStyle w:val="19"/>
              <w:bidi w:val="0"/>
              <w:jc w:val="center"/>
              <w:rPr>
                <w:lang w:val="en-US" w:eastAsia="zh-CN"/>
              </w:rPr>
            </w:pPr>
            <w:r>
              <w:t>65</w:t>
            </w:r>
          </w:p>
        </w:tc>
        <w:tc>
          <w:tcPr>
            <w:tcW w:w="698" w:type="pct"/>
            <w:tcBorders>
              <w:tl2br w:val="nil"/>
              <w:tr2bl w:val="nil"/>
            </w:tcBorders>
            <w:tcMar>
              <w:left w:w="0" w:type="dxa"/>
              <w:right w:w="0" w:type="dxa"/>
            </w:tcMar>
            <w:vAlign w:val="center"/>
          </w:tcPr>
          <w:p w14:paraId="5262BA24">
            <w:pPr>
              <w:pStyle w:val="19"/>
              <w:bidi w:val="0"/>
              <w:jc w:val="center"/>
              <w:rPr>
                <w:lang w:val="en-US" w:eastAsia="zh-CN"/>
              </w:rPr>
            </w:pPr>
            <w:r>
              <w:t>0.36</w:t>
            </w:r>
          </w:p>
        </w:tc>
        <w:tc>
          <w:tcPr>
            <w:tcW w:w="698" w:type="pct"/>
            <w:tcBorders>
              <w:tl2br w:val="nil"/>
              <w:tr2bl w:val="nil"/>
            </w:tcBorders>
            <w:tcMar>
              <w:left w:w="0" w:type="dxa"/>
              <w:right w:w="0" w:type="dxa"/>
            </w:tcMar>
            <w:vAlign w:val="center"/>
          </w:tcPr>
          <w:p w14:paraId="6DC4C279">
            <w:pPr>
              <w:pStyle w:val="19"/>
              <w:bidi w:val="0"/>
              <w:jc w:val="center"/>
              <w:rPr>
                <w:rFonts w:hint="default" w:eastAsia="宋体"/>
                <w:lang w:val="en-US" w:eastAsia="zh-CN"/>
              </w:rPr>
            </w:pPr>
            <w:r>
              <w:rPr>
                <w:rFonts w:hint="eastAsia"/>
                <w:lang w:val="en-US" w:eastAsia="zh-CN"/>
              </w:rPr>
              <w:t>0.06</w:t>
            </w:r>
          </w:p>
        </w:tc>
        <w:tc>
          <w:tcPr>
            <w:tcW w:w="698" w:type="pct"/>
            <w:tcBorders>
              <w:tl2br w:val="nil"/>
              <w:tr2bl w:val="nil"/>
            </w:tcBorders>
            <w:tcMar>
              <w:left w:w="0" w:type="dxa"/>
              <w:right w:w="0" w:type="dxa"/>
            </w:tcMar>
            <w:vAlign w:val="center"/>
          </w:tcPr>
          <w:p w14:paraId="03B94B5E">
            <w:pPr>
              <w:pStyle w:val="19"/>
              <w:bidi w:val="0"/>
              <w:jc w:val="center"/>
              <w:rPr>
                <w:lang w:val="en-US" w:eastAsia="zh-CN"/>
              </w:rPr>
            </w:pPr>
            <w:r>
              <w:t>0.43</w:t>
            </w:r>
          </w:p>
        </w:tc>
        <w:tc>
          <w:tcPr>
            <w:tcW w:w="700" w:type="pct"/>
            <w:tcBorders>
              <w:tl2br w:val="nil"/>
              <w:tr2bl w:val="nil"/>
            </w:tcBorders>
            <w:tcMar>
              <w:left w:w="0" w:type="dxa"/>
              <w:right w:w="0" w:type="dxa"/>
            </w:tcMar>
            <w:vAlign w:val="center"/>
          </w:tcPr>
          <w:p w14:paraId="1EB95059">
            <w:pPr>
              <w:pStyle w:val="19"/>
              <w:bidi w:val="0"/>
              <w:jc w:val="center"/>
              <w:rPr>
                <w:rFonts w:hint="default" w:eastAsia="宋体"/>
                <w:lang w:val="en-US" w:eastAsia="zh-CN"/>
              </w:rPr>
            </w:pPr>
            <w:r>
              <w:rPr>
                <w:rFonts w:hint="eastAsia"/>
                <w:lang w:val="en-US" w:eastAsia="zh-CN"/>
              </w:rPr>
              <w:t>0.007</w:t>
            </w:r>
          </w:p>
        </w:tc>
      </w:tr>
      <w:tr w14:paraId="1DF95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3344FA9C">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5FE7AF5B">
            <w:pPr>
              <w:pStyle w:val="19"/>
              <w:bidi w:val="0"/>
              <w:jc w:val="center"/>
              <w:rPr>
                <w:lang w:val="en-US" w:eastAsia="zh-CN"/>
              </w:rPr>
            </w:pPr>
            <w:r>
              <w:t>铜</w:t>
            </w:r>
          </w:p>
        </w:tc>
        <w:tc>
          <w:tcPr>
            <w:tcW w:w="698" w:type="pct"/>
            <w:tcBorders>
              <w:tl2br w:val="nil"/>
              <w:tr2bl w:val="nil"/>
            </w:tcBorders>
            <w:tcMar>
              <w:left w:w="0" w:type="dxa"/>
              <w:right w:w="0" w:type="dxa"/>
            </w:tcMar>
            <w:vAlign w:val="center"/>
          </w:tcPr>
          <w:p w14:paraId="1FE326D7">
            <w:pPr>
              <w:pStyle w:val="19"/>
              <w:bidi w:val="0"/>
              <w:jc w:val="center"/>
              <w:rPr>
                <w:lang w:val="en-US" w:eastAsia="zh-CN"/>
              </w:rPr>
            </w:pPr>
            <w:r>
              <w:t>18000</w:t>
            </w:r>
          </w:p>
        </w:tc>
        <w:tc>
          <w:tcPr>
            <w:tcW w:w="698" w:type="pct"/>
            <w:tcBorders>
              <w:tl2br w:val="nil"/>
              <w:tr2bl w:val="nil"/>
            </w:tcBorders>
            <w:tcMar>
              <w:left w:w="0" w:type="dxa"/>
              <w:right w:w="0" w:type="dxa"/>
            </w:tcMar>
            <w:vAlign w:val="center"/>
          </w:tcPr>
          <w:p w14:paraId="3462082C">
            <w:pPr>
              <w:pStyle w:val="19"/>
              <w:bidi w:val="0"/>
              <w:jc w:val="center"/>
              <w:rPr>
                <w:lang w:val="en-US" w:eastAsia="zh-CN"/>
              </w:rPr>
            </w:pPr>
            <w:r>
              <w:t>28</w:t>
            </w:r>
          </w:p>
        </w:tc>
        <w:tc>
          <w:tcPr>
            <w:tcW w:w="698" w:type="pct"/>
            <w:tcBorders>
              <w:tl2br w:val="nil"/>
              <w:tr2bl w:val="nil"/>
            </w:tcBorders>
            <w:tcMar>
              <w:left w:w="0" w:type="dxa"/>
              <w:right w:w="0" w:type="dxa"/>
            </w:tcMar>
            <w:vAlign w:val="center"/>
          </w:tcPr>
          <w:p w14:paraId="0D172C6E">
            <w:pPr>
              <w:pStyle w:val="19"/>
              <w:bidi w:val="0"/>
              <w:jc w:val="center"/>
              <w:rPr>
                <w:rFonts w:hint="default" w:eastAsia="宋体"/>
                <w:lang w:val="en-US" w:eastAsia="zh-CN"/>
              </w:rPr>
            </w:pPr>
            <w:r>
              <w:rPr>
                <w:rFonts w:hint="eastAsia"/>
                <w:lang w:val="en-US" w:eastAsia="zh-CN"/>
              </w:rPr>
              <w:t>0.002</w:t>
            </w:r>
          </w:p>
        </w:tc>
        <w:tc>
          <w:tcPr>
            <w:tcW w:w="698" w:type="pct"/>
            <w:tcBorders>
              <w:tl2br w:val="nil"/>
              <w:tr2bl w:val="nil"/>
            </w:tcBorders>
            <w:tcMar>
              <w:left w:w="0" w:type="dxa"/>
              <w:right w:w="0" w:type="dxa"/>
            </w:tcMar>
            <w:vAlign w:val="center"/>
          </w:tcPr>
          <w:p w14:paraId="7BEB17FF">
            <w:pPr>
              <w:pStyle w:val="19"/>
              <w:bidi w:val="0"/>
              <w:jc w:val="center"/>
              <w:rPr>
                <w:lang w:val="en-US" w:eastAsia="zh-CN"/>
              </w:rPr>
            </w:pPr>
            <w:r>
              <w:t>27</w:t>
            </w:r>
          </w:p>
        </w:tc>
        <w:tc>
          <w:tcPr>
            <w:tcW w:w="700" w:type="pct"/>
            <w:tcBorders>
              <w:tl2br w:val="nil"/>
              <w:tr2bl w:val="nil"/>
            </w:tcBorders>
            <w:tcMar>
              <w:left w:w="0" w:type="dxa"/>
              <w:right w:w="0" w:type="dxa"/>
            </w:tcMar>
            <w:vAlign w:val="center"/>
          </w:tcPr>
          <w:p w14:paraId="11C320DE">
            <w:pPr>
              <w:pStyle w:val="19"/>
              <w:bidi w:val="0"/>
              <w:jc w:val="center"/>
              <w:rPr>
                <w:rFonts w:hint="default" w:eastAsia="宋体"/>
                <w:lang w:val="en-US" w:eastAsia="zh-CN"/>
              </w:rPr>
            </w:pPr>
            <w:r>
              <w:rPr>
                <w:rFonts w:hint="eastAsia"/>
                <w:lang w:val="en-US" w:eastAsia="zh-CN"/>
              </w:rPr>
              <w:t>0.002</w:t>
            </w:r>
          </w:p>
        </w:tc>
      </w:tr>
      <w:tr w14:paraId="1C96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tcMar>
              <w:left w:w="0" w:type="dxa"/>
              <w:right w:w="0" w:type="dxa"/>
            </w:tcMar>
            <w:vAlign w:val="center"/>
          </w:tcPr>
          <w:p w14:paraId="55C51817">
            <w:pPr>
              <w:pStyle w:val="19"/>
              <w:numPr>
                <w:ilvl w:val="0"/>
                <w:numId w:val="11"/>
              </w:numPr>
              <w:bidi w:val="0"/>
              <w:ind w:left="0" w:leftChars="0" w:firstLine="0" w:firstLineChars="0"/>
              <w:jc w:val="center"/>
            </w:pPr>
          </w:p>
        </w:tc>
        <w:tc>
          <w:tcPr>
            <w:tcW w:w="1180" w:type="pct"/>
            <w:gridSpan w:val="2"/>
            <w:tcBorders>
              <w:tl2br w:val="nil"/>
              <w:tr2bl w:val="nil"/>
            </w:tcBorders>
            <w:tcMar>
              <w:left w:w="0" w:type="dxa"/>
              <w:right w:w="0" w:type="dxa"/>
            </w:tcMar>
            <w:vAlign w:val="center"/>
          </w:tcPr>
          <w:p w14:paraId="4DCD239E">
            <w:pPr>
              <w:pStyle w:val="19"/>
              <w:bidi w:val="0"/>
              <w:jc w:val="center"/>
              <w:rPr>
                <w:lang w:val="en-US" w:eastAsia="zh-CN"/>
              </w:rPr>
            </w:pPr>
            <w:r>
              <w:t>镍</w:t>
            </w:r>
          </w:p>
        </w:tc>
        <w:tc>
          <w:tcPr>
            <w:tcW w:w="698" w:type="pct"/>
            <w:tcBorders>
              <w:tl2br w:val="nil"/>
              <w:tr2bl w:val="nil"/>
            </w:tcBorders>
            <w:tcMar>
              <w:left w:w="0" w:type="dxa"/>
              <w:right w:w="0" w:type="dxa"/>
            </w:tcMar>
            <w:vAlign w:val="center"/>
          </w:tcPr>
          <w:p w14:paraId="12259BB7">
            <w:pPr>
              <w:pStyle w:val="19"/>
              <w:bidi w:val="0"/>
              <w:jc w:val="center"/>
              <w:rPr>
                <w:lang w:val="en-US" w:eastAsia="zh-CN"/>
              </w:rPr>
            </w:pPr>
            <w:r>
              <w:t>900</w:t>
            </w:r>
          </w:p>
        </w:tc>
        <w:tc>
          <w:tcPr>
            <w:tcW w:w="698" w:type="pct"/>
            <w:tcBorders>
              <w:tl2br w:val="nil"/>
              <w:tr2bl w:val="nil"/>
            </w:tcBorders>
            <w:tcMar>
              <w:left w:w="0" w:type="dxa"/>
              <w:right w:w="0" w:type="dxa"/>
            </w:tcMar>
            <w:vAlign w:val="center"/>
          </w:tcPr>
          <w:p w14:paraId="4AC215B8">
            <w:pPr>
              <w:pStyle w:val="19"/>
              <w:bidi w:val="0"/>
              <w:jc w:val="center"/>
              <w:rPr>
                <w:lang w:val="en-US" w:eastAsia="zh-CN"/>
              </w:rPr>
            </w:pPr>
            <w:r>
              <w:t>63</w:t>
            </w:r>
          </w:p>
        </w:tc>
        <w:tc>
          <w:tcPr>
            <w:tcW w:w="698" w:type="pct"/>
            <w:tcBorders>
              <w:tl2br w:val="nil"/>
              <w:tr2bl w:val="nil"/>
            </w:tcBorders>
            <w:tcMar>
              <w:left w:w="0" w:type="dxa"/>
              <w:right w:w="0" w:type="dxa"/>
            </w:tcMar>
            <w:vAlign w:val="center"/>
          </w:tcPr>
          <w:p w14:paraId="52FB1C1E">
            <w:pPr>
              <w:pStyle w:val="19"/>
              <w:bidi w:val="0"/>
              <w:jc w:val="center"/>
              <w:rPr>
                <w:rFonts w:hint="default" w:eastAsia="宋体"/>
                <w:lang w:val="en-US" w:eastAsia="zh-CN"/>
              </w:rPr>
            </w:pPr>
            <w:r>
              <w:rPr>
                <w:rFonts w:hint="eastAsia"/>
                <w:lang w:val="en-US" w:eastAsia="zh-CN"/>
              </w:rPr>
              <w:t>0.07</w:t>
            </w:r>
          </w:p>
        </w:tc>
        <w:tc>
          <w:tcPr>
            <w:tcW w:w="698" w:type="pct"/>
            <w:tcBorders>
              <w:tl2br w:val="nil"/>
              <w:tr2bl w:val="nil"/>
            </w:tcBorders>
            <w:tcMar>
              <w:left w:w="0" w:type="dxa"/>
              <w:right w:w="0" w:type="dxa"/>
            </w:tcMar>
            <w:vAlign w:val="center"/>
          </w:tcPr>
          <w:p w14:paraId="08732F4D">
            <w:pPr>
              <w:pStyle w:val="19"/>
              <w:bidi w:val="0"/>
              <w:jc w:val="center"/>
              <w:rPr>
                <w:lang w:val="en-US" w:eastAsia="zh-CN"/>
              </w:rPr>
            </w:pPr>
            <w:r>
              <w:t>70</w:t>
            </w:r>
          </w:p>
        </w:tc>
        <w:tc>
          <w:tcPr>
            <w:tcW w:w="700" w:type="pct"/>
            <w:tcBorders>
              <w:tl2br w:val="nil"/>
              <w:tr2bl w:val="nil"/>
            </w:tcBorders>
            <w:tcMar>
              <w:left w:w="0" w:type="dxa"/>
              <w:right w:w="0" w:type="dxa"/>
            </w:tcMar>
            <w:vAlign w:val="center"/>
          </w:tcPr>
          <w:p w14:paraId="69E2252E">
            <w:pPr>
              <w:pStyle w:val="19"/>
              <w:bidi w:val="0"/>
              <w:jc w:val="center"/>
              <w:rPr>
                <w:rFonts w:hint="default" w:eastAsia="宋体"/>
                <w:lang w:val="en-US" w:eastAsia="zh-CN"/>
              </w:rPr>
            </w:pPr>
            <w:r>
              <w:rPr>
                <w:rFonts w:hint="eastAsia"/>
                <w:lang w:val="en-US" w:eastAsia="zh-CN"/>
              </w:rPr>
              <w:t>0.08</w:t>
            </w:r>
          </w:p>
        </w:tc>
      </w:tr>
      <w:tr w14:paraId="7F544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3" w:type="pct"/>
            <w:tcBorders>
              <w:tl2br w:val="nil"/>
              <w:tr2bl w:val="nil"/>
            </w:tcBorders>
            <w:vAlign w:val="center"/>
          </w:tcPr>
          <w:p w14:paraId="644A9B95">
            <w:pPr>
              <w:pStyle w:val="19"/>
              <w:numPr>
                <w:ilvl w:val="0"/>
                <w:numId w:val="11"/>
              </w:numPr>
              <w:bidi w:val="0"/>
              <w:ind w:left="0" w:leftChars="0" w:firstLine="0" w:firstLineChars="0"/>
              <w:jc w:val="center"/>
            </w:pPr>
          </w:p>
        </w:tc>
        <w:tc>
          <w:tcPr>
            <w:tcW w:w="1180" w:type="pct"/>
            <w:gridSpan w:val="2"/>
            <w:tcBorders>
              <w:tl2br w:val="nil"/>
              <w:tr2bl w:val="nil"/>
            </w:tcBorders>
            <w:vAlign w:val="center"/>
          </w:tcPr>
          <w:p w14:paraId="2F828432">
            <w:pPr>
              <w:pStyle w:val="19"/>
              <w:bidi w:val="0"/>
              <w:jc w:val="center"/>
              <w:rPr>
                <w:lang w:val="en-US" w:eastAsia="zh-CN"/>
              </w:rPr>
            </w:pPr>
            <w:r>
              <w:t>六价铬</w:t>
            </w:r>
          </w:p>
        </w:tc>
        <w:tc>
          <w:tcPr>
            <w:tcW w:w="698" w:type="pct"/>
            <w:tcBorders>
              <w:tl2br w:val="nil"/>
              <w:tr2bl w:val="nil"/>
            </w:tcBorders>
            <w:vAlign w:val="center"/>
          </w:tcPr>
          <w:p w14:paraId="2F1B1E92">
            <w:pPr>
              <w:pStyle w:val="19"/>
              <w:bidi w:val="0"/>
              <w:jc w:val="center"/>
              <w:rPr>
                <w:lang w:val="en-US" w:eastAsia="zh-CN"/>
              </w:rPr>
            </w:pPr>
            <w:r>
              <w:t>5.7</w:t>
            </w:r>
          </w:p>
        </w:tc>
        <w:tc>
          <w:tcPr>
            <w:tcW w:w="698" w:type="pct"/>
            <w:tcBorders>
              <w:tl2br w:val="nil"/>
              <w:tr2bl w:val="nil"/>
            </w:tcBorders>
            <w:vAlign w:val="center"/>
          </w:tcPr>
          <w:p w14:paraId="04C41B2A">
            <w:pPr>
              <w:pStyle w:val="19"/>
              <w:bidi w:val="0"/>
              <w:jc w:val="center"/>
              <w:rPr>
                <w:lang w:val="en-US" w:eastAsia="zh-CN"/>
              </w:rPr>
            </w:pPr>
            <w:r>
              <w:t>1.0</w:t>
            </w:r>
          </w:p>
        </w:tc>
        <w:tc>
          <w:tcPr>
            <w:tcW w:w="698" w:type="pct"/>
            <w:tcBorders>
              <w:tl2br w:val="nil"/>
              <w:tr2bl w:val="nil"/>
            </w:tcBorders>
            <w:vAlign w:val="center"/>
          </w:tcPr>
          <w:p w14:paraId="3CB6B535">
            <w:pPr>
              <w:pStyle w:val="19"/>
              <w:bidi w:val="0"/>
              <w:jc w:val="center"/>
              <w:rPr>
                <w:rFonts w:hint="default" w:eastAsia="宋体"/>
                <w:lang w:val="en-US" w:eastAsia="zh-CN"/>
              </w:rPr>
            </w:pPr>
            <w:r>
              <w:rPr>
                <w:rFonts w:hint="eastAsia"/>
                <w:lang w:val="en-US" w:eastAsia="zh-CN"/>
              </w:rPr>
              <w:t>0.18</w:t>
            </w:r>
          </w:p>
        </w:tc>
        <w:tc>
          <w:tcPr>
            <w:tcW w:w="698" w:type="pct"/>
            <w:tcBorders>
              <w:tl2br w:val="nil"/>
              <w:tr2bl w:val="nil"/>
            </w:tcBorders>
            <w:vAlign w:val="center"/>
          </w:tcPr>
          <w:p w14:paraId="0DB709AD">
            <w:pPr>
              <w:pStyle w:val="19"/>
              <w:bidi w:val="0"/>
              <w:jc w:val="center"/>
              <w:rPr>
                <w:lang w:val="en-US" w:eastAsia="zh-CN"/>
              </w:rPr>
            </w:pPr>
            <w:r>
              <w:t>0.9</w:t>
            </w:r>
          </w:p>
        </w:tc>
        <w:tc>
          <w:tcPr>
            <w:tcW w:w="700" w:type="pct"/>
            <w:tcBorders>
              <w:tl2br w:val="nil"/>
              <w:tr2bl w:val="nil"/>
            </w:tcBorders>
            <w:vAlign w:val="center"/>
          </w:tcPr>
          <w:p w14:paraId="0EB73B4E">
            <w:pPr>
              <w:pStyle w:val="19"/>
              <w:bidi w:val="0"/>
              <w:jc w:val="center"/>
              <w:rPr>
                <w:rFonts w:hint="default" w:eastAsia="宋体"/>
                <w:lang w:val="en-US" w:eastAsia="zh-CN"/>
              </w:rPr>
            </w:pPr>
            <w:r>
              <w:rPr>
                <w:rFonts w:hint="eastAsia"/>
                <w:lang w:val="en-US" w:eastAsia="zh-CN"/>
              </w:rPr>
              <w:t>0.16</w:t>
            </w:r>
          </w:p>
        </w:tc>
      </w:tr>
    </w:tbl>
    <w:p w14:paraId="0177152F">
      <w:pPr>
        <w:pStyle w:val="30"/>
        <w:bidi w:val="0"/>
        <w:rPr>
          <w:rFonts w:hint="eastAsia"/>
          <w:highlight w:val="none"/>
          <w:lang w:val="en-US" w:eastAsia="zh-CN"/>
        </w:rPr>
      </w:pPr>
      <w:r>
        <w:rPr>
          <w:rFonts w:hint="eastAsia"/>
          <w:highlight w:val="none"/>
          <w:lang w:val="en-US" w:eastAsia="zh-CN"/>
        </w:rPr>
        <w:t>表4.2-12   土壤环境质量现状监测结果统计表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406"/>
        <w:gridCol w:w="1088"/>
        <w:gridCol w:w="783"/>
        <w:gridCol w:w="786"/>
        <w:gridCol w:w="786"/>
        <w:gridCol w:w="786"/>
        <w:gridCol w:w="786"/>
        <w:gridCol w:w="786"/>
        <w:gridCol w:w="980"/>
        <w:gridCol w:w="1225"/>
      </w:tblGrid>
      <w:tr w14:paraId="431967B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45" w:hRule="atLeast"/>
          <w:jc w:val="center"/>
        </w:trPr>
        <w:tc>
          <w:tcPr>
            <w:tcW w:w="887" w:type="pct"/>
            <w:gridSpan w:val="2"/>
            <w:tcBorders>
              <w:tl2br w:val="nil"/>
              <w:tr2bl w:val="nil"/>
            </w:tcBorders>
            <w:shd w:val="clear" w:color="auto" w:fill="auto"/>
            <w:tcMar>
              <w:left w:w="0" w:type="dxa"/>
              <w:right w:w="0" w:type="dxa"/>
            </w:tcMar>
            <w:vAlign w:val="center"/>
          </w:tcPr>
          <w:p w14:paraId="074CA2C6">
            <w:pPr>
              <w:pStyle w:val="19"/>
              <w:jc w:val="right"/>
            </w:pPr>
            <w:r>
              <w:rPr>
                <w:rFonts w:hint="eastAsia"/>
              </w:rPr>
              <w:t>项目</w:t>
            </w:r>
          </w:p>
          <w:p w14:paraId="63B24495">
            <w:pPr>
              <w:pStyle w:val="19"/>
              <w:jc w:val="left"/>
            </w:pPr>
            <w:r>
              <w:rPr>
                <w:rFonts w:hint="eastAsia"/>
              </w:rPr>
              <w:t>点位</w:t>
            </w:r>
          </w:p>
        </w:tc>
        <w:tc>
          <w:tcPr>
            <w:tcW w:w="465" w:type="pct"/>
            <w:tcBorders>
              <w:tl2br w:val="nil"/>
              <w:tr2bl w:val="nil"/>
            </w:tcBorders>
            <w:shd w:val="clear" w:color="auto" w:fill="auto"/>
            <w:tcMar>
              <w:left w:w="0" w:type="dxa"/>
              <w:right w:w="0" w:type="dxa"/>
            </w:tcMar>
            <w:vAlign w:val="center"/>
          </w:tcPr>
          <w:p w14:paraId="4ECDB2EA">
            <w:pPr>
              <w:pStyle w:val="19"/>
            </w:pPr>
            <w:r>
              <w:rPr>
                <w:rFonts w:hint="eastAsia"/>
              </w:rPr>
              <w:t>铜</w:t>
            </w:r>
          </w:p>
        </w:tc>
        <w:tc>
          <w:tcPr>
            <w:tcW w:w="467" w:type="pct"/>
            <w:tcBorders>
              <w:tl2br w:val="nil"/>
              <w:tr2bl w:val="nil"/>
            </w:tcBorders>
            <w:shd w:val="clear" w:color="auto" w:fill="auto"/>
            <w:tcMar>
              <w:left w:w="0" w:type="dxa"/>
              <w:right w:w="0" w:type="dxa"/>
            </w:tcMar>
            <w:vAlign w:val="center"/>
          </w:tcPr>
          <w:p w14:paraId="1E973A7C">
            <w:pPr>
              <w:pStyle w:val="19"/>
            </w:pPr>
            <w:r>
              <w:rPr>
                <w:rFonts w:hint="eastAsia"/>
              </w:rPr>
              <w:t>铅</w:t>
            </w:r>
          </w:p>
        </w:tc>
        <w:tc>
          <w:tcPr>
            <w:tcW w:w="467" w:type="pct"/>
            <w:tcBorders>
              <w:tl2br w:val="nil"/>
              <w:tr2bl w:val="nil"/>
            </w:tcBorders>
            <w:shd w:val="clear" w:color="auto" w:fill="auto"/>
            <w:tcMar>
              <w:left w:w="0" w:type="dxa"/>
              <w:right w:w="0" w:type="dxa"/>
            </w:tcMar>
            <w:vAlign w:val="center"/>
          </w:tcPr>
          <w:p w14:paraId="3C507A21">
            <w:pPr>
              <w:pStyle w:val="19"/>
            </w:pPr>
            <w:r>
              <w:rPr>
                <w:rFonts w:hint="eastAsia"/>
              </w:rPr>
              <w:t>镍</w:t>
            </w:r>
          </w:p>
        </w:tc>
        <w:tc>
          <w:tcPr>
            <w:tcW w:w="467" w:type="pct"/>
            <w:tcBorders>
              <w:tl2br w:val="nil"/>
              <w:tr2bl w:val="nil"/>
            </w:tcBorders>
            <w:shd w:val="clear" w:color="auto" w:fill="auto"/>
            <w:tcMar>
              <w:left w:w="0" w:type="dxa"/>
              <w:right w:w="0" w:type="dxa"/>
            </w:tcMar>
            <w:vAlign w:val="center"/>
          </w:tcPr>
          <w:p w14:paraId="306C1760">
            <w:pPr>
              <w:pStyle w:val="19"/>
            </w:pPr>
            <w:r>
              <w:rPr>
                <w:rFonts w:hint="eastAsia"/>
              </w:rPr>
              <w:t>镉</w:t>
            </w:r>
          </w:p>
        </w:tc>
        <w:tc>
          <w:tcPr>
            <w:tcW w:w="467" w:type="pct"/>
            <w:tcBorders>
              <w:tl2br w:val="nil"/>
              <w:tr2bl w:val="nil"/>
            </w:tcBorders>
            <w:shd w:val="clear" w:color="auto" w:fill="auto"/>
            <w:tcMar>
              <w:left w:w="0" w:type="dxa"/>
              <w:right w:w="0" w:type="dxa"/>
            </w:tcMar>
            <w:vAlign w:val="center"/>
          </w:tcPr>
          <w:p w14:paraId="2135FB87">
            <w:pPr>
              <w:pStyle w:val="19"/>
            </w:pPr>
            <w:r>
              <w:rPr>
                <w:rFonts w:hint="eastAsia"/>
              </w:rPr>
              <w:t>汞</w:t>
            </w:r>
          </w:p>
        </w:tc>
        <w:tc>
          <w:tcPr>
            <w:tcW w:w="467" w:type="pct"/>
            <w:tcBorders>
              <w:tl2br w:val="nil"/>
              <w:tr2bl w:val="nil"/>
            </w:tcBorders>
            <w:shd w:val="clear" w:color="auto" w:fill="auto"/>
            <w:tcMar>
              <w:left w:w="0" w:type="dxa"/>
              <w:right w:w="0" w:type="dxa"/>
            </w:tcMar>
            <w:vAlign w:val="center"/>
          </w:tcPr>
          <w:p w14:paraId="6DBFE7AC">
            <w:pPr>
              <w:pStyle w:val="19"/>
            </w:pPr>
            <w:r>
              <w:rPr>
                <w:rFonts w:hint="eastAsia"/>
              </w:rPr>
              <w:t>砷</w:t>
            </w:r>
          </w:p>
        </w:tc>
        <w:tc>
          <w:tcPr>
            <w:tcW w:w="582" w:type="pct"/>
            <w:tcBorders>
              <w:tl2br w:val="nil"/>
              <w:tr2bl w:val="nil"/>
            </w:tcBorders>
            <w:shd w:val="clear" w:color="auto" w:fill="auto"/>
            <w:tcMar>
              <w:left w:w="0" w:type="dxa"/>
              <w:right w:w="0" w:type="dxa"/>
            </w:tcMar>
            <w:vAlign w:val="center"/>
          </w:tcPr>
          <w:p w14:paraId="480918CF">
            <w:pPr>
              <w:pStyle w:val="19"/>
            </w:pPr>
            <w:r>
              <w:rPr>
                <w:rFonts w:hint="eastAsia"/>
              </w:rPr>
              <w:t>铬（六价）</w:t>
            </w:r>
          </w:p>
        </w:tc>
        <w:tc>
          <w:tcPr>
            <w:tcW w:w="727" w:type="pct"/>
            <w:tcBorders>
              <w:tl2br w:val="nil"/>
              <w:tr2bl w:val="nil"/>
            </w:tcBorders>
            <w:vAlign w:val="center"/>
          </w:tcPr>
          <w:p w14:paraId="2A346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default" w:ascii="Times New Roman" w:hAnsi="Times New Roman" w:cs="Times New Roman"/>
                <w:lang w:val="en-US" w:eastAsia="zh-CN"/>
              </w:rPr>
              <w:t>ｐＨ</w:t>
            </w:r>
          </w:p>
        </w:tc>
      </w:tr>
      <w:tr w14:paraId="1B683DE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887" w:type="pct"/>
            <w:gridSpan w:val="2"/>
            <w:tcBorders>
              <w:tl2br w:val="nil"/>
              <w:tr2bl w:val="nil"/>
            </w:tcBorders>
            <w:shd w:val="clear" w:color="auto" w:fill="auto"/>
            <w:tcMar>
              <w:left w:w="0" w:type="dxa"/>
              <w:right w:w="0" w:type="dxa"/>
            </w:tcMar>
            <w:vAlign w:val="center"/>
          </w:tcPr>
          <w:p w14:paraId="38973AD2">
            <w:pPr>
              <w:pStyle w:val="19"/>
            </w:pPr>
            <w:r>
              <w:rPr>
                <w:rFonts w:hint="eastAsia"/>
              </w:rPr>
              <w:t>标准值</w:t>
            </w:r>
          </w:p>
        </w:tc>
        <w:tc>
          <w:tcPr>
            <w:tcW w:w="465" w:type="pct"/>
            <w:tcBorders>
              <w:tl2br w:val="nil"/>
              <w:tr2bl w:val="nil"/>
            </w:tcBorders>
            <w:shd w:val="clear" w:color="auto" w:fill="auto"/>
            <w:tcMar>
              <w:left w:w="0" w:type="dxa"/>
              <w:right w:w="0" w:type="dxa"/>
            </w:tcMar>
            <w:vAlign w:val="center"/>
          </w:tcPr>
          <w:p w14:paraId="0614D5E5">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B73CB04">
            <w:pPr>
              <w:pStyle w:val="19"/>
            </w:pPr>
            <w:r>
              <w:rPr>
                <w:rFonts w:hint="eastAsia"/>
              </w:rPr>
              <w:t>8</w:t>
            </w:r>
            <w:r>
              <w:t>00</w:t>
            </w:r>
          </w:p>
        </w:tc>
        <w:tc>
          <w:tcPr>
            <w:tcW w:w="467" w:type="pct"/>
            <w:tcBorders>
              <w:tl2br w:val="nil"/>
              <w:tr2bl w:val="nil"/>
            </w:tcBorders>
            <w:shd w:val="clear" w:color="auto" w:fill="auto"/>
            <w:tcMar>
              <w:left w:w="0" w:type="dxa"/>
              <w:right w:w="0" w:type="dxa"/>
            </w:tcMar>
            <w:vAlign w:val="center"/>
          </w:tcPr>
          <w:p w14:paraId="48488890">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2617A07">
            <w:pPr>
              <w:pStyle w:val="19"/>
            </w:pPr>
            <w:r>
              <w:rPr>
                <w:rFonts w:hint="eastAsia"/>
              </w:rPr>
              <w:t>6</w:t>
            </w:r>
            <w:r>
              <w:t>5</w:t>
            </w:r>
          </w:p>
        </w:tc>
        <w:tc>
          <w:tcPr>
            <w:tcW w:w="467" w:type="pct"/>
            <w:tcBorders>
              <w:tl2br w:val="nil"/>
              <w:tr2bl w:val="nil"/>
            </w:tcBorders>
            <w:shd w:val="clear" w:color="auto" w:fill="auto"/>
            <w:tcMar>
              <w:left w:w="0" w:type="dxa"/>
              <w:right w:w="0" w:type="dxa"/>
            </w:tcMar>
            <w:vAlign w:val="center"/>
          </w:tcPr>
          <w:p w14:paraId="4AE0040D">
            <w:pPr>
              <w:pStyle w:val="19"/>
            </w:pPr>
            <w:r>
              <w:rPr>
                <w:rFonts w:hint="eastAsia"/>
              </w:rPr>
              <w:t>3</w:t>
            </w:r>
            <w:r>
              <w:t>8</w:t>
            </w:r>
          </w:p>
        </w:tc>
        <w:tc>
          <w:tcPr>
            <w:tcW w:w="467" w:type="pct"/>
            <w:tcBorders>
              <w:tl2br w:val="nil"/>
              <w:tr2bl w:val="nil"/>
            </w:tcBorders>
            <w:shd w:val="clear" w:color="auto" w:fill="auto"/>
            <w:tcMar>
              <w:left w:w="0" w:type="dxa"/>
              <w:right w:w="0" w:type="dxa"/>
            </w:tcMar>
            <w:vAlign w:val="center"/>
          </w:tcPr>
          <w:p w14:paraId="39597435">
            <w:pPr>
              <w:pStyle w:val="19"/>
            </w:pPr>
            <w:r>
              <w:rPr>
                <w:rFonts w:hint="eastAsia"/>
              </w:rPr>
              <w:t>6</w:t>
            </w:r>
            <w:r>
              <w:t>0</w:t>
            </w:r>
          </w:p>
        </w:tc>
        <w:tc>
          <w:tcPr>
            <w:tcW w:w="582" w:type="pct"/>
            <w:tcBorders>
              <w:tl2br w:val="nil"/>
              <w:tr2bl w:val="nil"/>
            </w:tcBorders>
            <w:shd w:val="clear" w:color="auto" w:fill="auto"/>
            <w:tcMar>
              <w:left w:w="0" w:type="dxa"/>
              <w:right w:w="0" w:type="dxa"/>
            </w:tcMar>
            <w:vAlign w:val="center"/>
          </w:tcPr>
          <w:p w14:paraId="701457C2">
            <w:pPr>
              <w:pStyle w:val="19"/>
              <w:rPr>
                <w:rFonts w:hint="eastAsia" w:eastAsia="宋体"/>
                <w:lang w:val="en-US" w:eastAsia="zh-CN"/>
              </w:rPr>
            </w:pPr>
            <w:r>
              <w:rPr>
                <w:rFonts w:hint="eastAsia"/>
                <w:lang w:val="en-US" w:eastAsia="zh-CN"/>
              </w:rPr>
              <w:t>/</w:t>
            </w:r>
          </w:p>
        </w:tc>
        <w:tc>
          <w:tcPr>
            <w:tcW w:w="727" w:type="pct"/>
            <w:tcBorders>
              <w:tl2br w:val="nil"/>
              <w:tr2bl w:val="nil"/>
            </w:tcBorders>
            <w:vAlign w:val="center"/>
          </w:tcPr>
          <w:p w14:paraId="65C34536">
            <w:pPr>
              <w:pStyle w:val="19"/>
              <w:rPr>
                <w:rFonts w:hint="eastAsia" w:eastAsia="宋体"/>
                <w:lang w:val="en-US" w:eastAsia="zh-CN"/>
              </w:rPr>
            </w:pPr>
            <w:r>
              <w:rPr>
                <w:rFonts w:hint="eastAsia"/>
                <w:lang w:val="en-US" w:eastAsia="zh-CN"/>
              </w:rPr>
              <w:t>/</w:t>
            </w:r>
          </w:p>
        </w:tc>
      </w:tr>
      <w:tr w14:paraId="4F7974B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restart"/>
            <w:tcBorders>
              <w:tl2br w:val="nil"/>
              <w:tr2bl w:val="nil"/>
            </w:tcBorders>
            <w:shd w:val="clear" w:color="auto" w:fill="auto"/>
            <w:tcMar>
              <w:left w:w="0" w:type="dxa"/>
              <w:right w:w="0" w:type="dxa"/>
            </w:tcMar>
            <w:vAlign w:val="center"/>
          </w:tcPr>
          <w:p w14:paraId="0059E717">
            <w:pPr>
              <w:pStyle w:val="19"/>
              <w:rPr>
                <w:rFonts w:hint="eastAsia" w:eastAsia="宋体"/>
                <w:lang w:val="en-US" w:eastAsia="zh-CN"/>
              </w:rPr>
            </w:pPr>
            <w:r>
              <w:rPr>
                <w:rFonts w:hint="eastAsia"/>
              </w:rPr>
              <w:t>△</w:t>
            </w:r>
            <w:r>
              <w:rPr>
                <w:rFonts w:hint="eastAsia"/>
                <w:lang w:val="en-US" w:eastAsia="zh-CN"/>
              </w:rPr>
              <w:t>2</w:t>
            </w:r>
          </w:p>
        </w:tc>
        <w:tc>
          <w:tcPr>
            <w:tcW w:w="646" w:type="pct"/>
            <w:tcBorders>
              <w:tl2br w:val="nil"/>
              <w:tr2bl w:val="nil"/>
            </w:tcBorders>
            <w:shd w:val="clear" w:color="auto" w:fill="auto"/>
            <w:tcMar>
              <w:left w:w="0" w:type="dxa"/>
              <w:right w:w="0" w:type="dxa"/>
            </w:tcMar>
            <w:vAlign w:val="center"/>
          </w:tcPr>
          <w:p w14:paraId="3EA2662D">
            <w:pPr>
              <w:pStyle w:val="19"/>
            </w:pPr>
            <w:r>
              <w:rPr>
                <w:rFonts w:hint="eastAsia"/>
              </w:rPr>
              <w:t>0</w:t>
            </w:r>
            <w:r>
              <w:t>-0.5</w:t>
            </w:r>
          </w:p>
        </w:tc>
        <w:tc>
          <w:tcPr>
            <w:tcW w:w="465" w:type="pct"/>
            <w:tcBorders>
              <w:tl2br w:val="nil"/>
              <w:tr2bl w:val="nil"/>
            </w:tcBorders>
            <w:shd w:val="clear" w:color="auto" w:fill="auto"/>
            <w:tcMar>
              <w:left w:w="0" w:type="dxa"/>
              <w:right w:w="0" w:type="dxa"/>
            </w:tcMar>
            <w:vAlign w:val="center"/>
          </w:tcPr>
          <w:p w14:paraId="4150B3C3">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11A614D">
            <w:pPr>
              <w:pStyle w:val="19"/>
              <w:rPr>
                <w:rFonts w:hint="default" w:eastAsia="宋体"/>
                <w:lang w:val="en-US" w:eastAsia="zh-CN"/>
              </w:rPr>
            </w:pPr>
            <w:r>
              <w:rPr>
                <w:rFonts w:hint="eastAsia"/>
                <w:lang w:val="en-US" w:eastAsia="zh-CN"/>
              </w:rPr>
              <w:t>23</w:t>
            </w:r>
          </w:p>
        </w:tc>
        <w:tc>
          <w:tcPr>
            <w:tcW w:w="467" w:type="pct"/>
            <w:tcBorders>
              <w:tl2br w:val="nil"/>
              <w:tr2bl w:val="nil"/>
            </w:tcBorders>
            <w:shd w:val="clear" w:color="auto" w:fill="auto"/>
            <w:tcMar>
              <w:left w:w="0" w:type="dxa"/>
              <w:right w:w="0" w:type="dxa"/>
            </w:tcMar>
            <w:vAlign w:val="center"/>
          </w:tcPr>
          <w:p w14:paraId="08CB7229">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54E84810">
            <w:pPr>
              <w:pStyle w:val="19"/>
              <w:rPr>
                <w:rFonts w:hint="default" w:eastAsia="宋体"/>
                <w:lang w:val="en-US" w:eastAsia="zh-CN"/>
              </w:rPr>
            </w:pPr>
            <w:r>
              <w:rPr>
                <w:rFonts w:hint="eastAsia"/>
                <w:lang w:val="en-US" w:eastAsia="zh-CN"/>
              </w:rPr>
              <w:t>0.34</w:t>
            </w:r>
          </w:p>
        </w:tc>
        <w:tc>
          <w:tcPr>
            <w:tcW w:w="467" w:type="pct"/>
            <w:tcBorders>
              <w:tl2br w:val="nil"/>
              <w:tr2bl w:val="nil"/>
            </w:tcBorders>
            <w:shd w:val="clear" w:color="auto" w:fill="auto"/>
            <w:tcMar>
              <w:left w:w="0" w:type="dxa"/>
              <w:right w:w="0" w:type="dxa"/>
            </w:tcMar>
            <w:vAlign w:val="center"/>
          </w:tcPr>
          <w:p w14:paraId="7E1C8A07">
            <w:pPr>
              <w:pStyle w:val="19"/>
              <w:rPr>
                <w:rFonts w:hint="default" w:eastAsia="宋体"/>
                <w:lang w:val="en-US" w:eastAsia="zh-CN"/>
              </w:rPr>
            </w:pPr>
            <w:r>
              <w:rPr>
                <w:rFonts w:hint="eastAsia"/>
                <w:lang w:val="en-US" w:eastAsia="zh-CN"/>
              </w:rPr>
              <w:t>0.229</w:t>
            </w:r>
          </w:p>
        </w:tc>
        <w:tc>
          <w:tcPr>
            <w:tcW w:w="467" w:type="pct"/>
            <w:tcBorders>
              <w:tl2br w:val="nil"/>
              <w:tr2bl w:val="nil"/>
            </w:tcBorders>
            <w:shd w:val="clear" w:color="auto" w:fill="auto"/>
            <w:tcMar>
              <w:left w:w="0" w:type="dxa"/>
              <w:right w:w="0" w:type="dxa"/>
            </w:tcMar>
            <w:vAlign w:val="center"/>
          </w:tcPr>
          <w:p w14:paraId="3410C423">
            <w:pPr>
              <w:pStyle w:val="19"/>
              <w:rPr>
                <w:rFonts w:hint="default" w:eastAsia="宋体"/>
                <w:lang w:val="en-US" w:eastAsia="zh-CN"/>
              </w:rPr>
            </w:pPr>
            <w:r>
              <w:rPr>
                <w:rFonts w:hint="eastAsia"/>
                <w:lang w:val="en-US" w:eastAsia="zh-CN"/>
              </w:rPr>
              <w:t>8.33</w:t>
            </w:r>
          </w:p>
        </w:tc>
        <w:tc>
          <w:tcPr>
            <w:tcW w:w="582" w:type="pct"/>
            <w:tcBorders>
              <w:tl2br w:val="nil"/>
              <w:tr2bl w:val="nil"/>
            </w:tcBorders>
            <w:shd w:val="clear" w:color="auto" w:fill="auto"/>
            <w:tcMar>
              <w:left w:w="0" w:type="dxa"/>
              <w:right w:w="0" w:type="dxa"/>
            </w:tcMar>
            <w:vAlign w:val="center"/>
          </w:tcPr>
          <w:p w14:paraId="387F34AE">
            <w:pPr>
              <w:pStyle w:val="19"/>
              <w:rPr>
                <w:rFonts w:hint="eastAsia" w:eastAsia="宋体"/>
                <w:lang w:val="en-US" w:eastAsia="zh-CN"/>
              </w:rPr>
            </w:pPr>
            <w:r>
              <w:rPr>
                <w:rFonts w:hint="eastAsia"/>
                <w:lang w:val="en-US" w:eastAsia="zh-CN"/>
              </w:rPr>
              <w:t>/</w:t>
            </w:r>
          </w:p>
        </w:tc>
        <w:tc>
          <w:tcPr>
            <w:tcW w:w="727" w:type="pct"/>
            <w:tcBorders>
              <w:tl2br w:val="nil"/>
              <w:tr2bl w:val="nil"/>
            </w:tcBorders>
            <w:vAlign w:val="center"/>
          </w:tcPr>
          <w:p w14:paraId="0FE6EAAA">
            <w:pPr>
              <w:pStyle w:val="19"/>
              <w:rPr>
                <w:rFonts w:hint="eastAsia" w:eastAsia="宋体"/>
                <w:lang w:val="en-US" w:eastAsia="zh-CN"/>
              </w:rPr>
            </w:pPr>
            <w:r>
              <w:rPr>
                <w:rFonts w:hint="eastAsia"/>
                <w:lang w:val="en-US" w:eastAsia="zh-CN"/>
              </w:rPr>
              <w:t>/</w:t>
            </w:r>
          </w:p>
        </w:tc>
      </w:tr>
      <w:tr w14:paraId="7447E2EC">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6EDC9659">
            <w:pPr>
              <w:pStyle w:val="19"/>
            </w:pPr>
          </w:p>
        </w:tc>
        <w:tc>
          <w:tcPr>
            <w:tcW w:w="646" w:type="pct"/>
            <w:tcBorders>
              <w:tl2br w:val="nil"/>
              <w:tr2bl w:val="nil"/>
            </w:tcBorders>
            <w:shd w:val="clear" w:color="auto" w:fill="auto"/>
            <w:tcMar>
              <w:left w:w="0" w:type="dxa"/>
              <w:right w:w="0" w:type="dxa"/>
            </w:tcMar>
            <w:vAlign w:val="center"/>
          </w:tcPr>
          <w:p w14:paraId="214EA255">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6E93646D">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43A17365">
            <w:pPr>
              <w:pStyle w:val="19"/>
              <w:rPr>
                <w:rFonts w:hint="default" w:eastAsia="宋体"/>
                <w:lang w:val="en-US" w:eastAsia="zh-CN"/>
              </w:rPr>
            </w:pPr>
            <w:r>
              <w:rPr>
                <w:rFonts w:hint="eastAsia"/>
                <w:lang w:val="en-US" w:eastAsia="zh-CN"/>
              </w:rPr>
              <w:t>0.029</w:t>
            </w:r>
          </w:p>
        </w:tc>
        <w:tc>
          <w:tcPr>
            <w:tcW w:w="467" w:type="pct"/>
            <w:tcBorders>
              <w:tl2br w:val="nil"/>
              <w:tr2bl w:val="nil"/>
            </w:tcBorders>
            <w:shd w:val="clear" w:color="auto" w:fill="auto"/>
            <w:tcMar>
              <w:left w:w="0" w:type="dxa"/>
              <w:right w:w="0" w:type="dxa"/>
            </w:tcMar>
            <w:vAlign w:val="center"/>
          </w:tcPr>
          <w:p w14:paraId="551D89FE">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55288C79">
            <w:pPr>
              <w:pStyle w:val="19"/>
              <w:rPr>
                <w:rFonts w:hint="default" w:eastAsia="宋体"/>
                <w:lang w:val="en-US" w:eastAsia="zh-CN"/>
              </w:rPr>
            </w:pPr>
            <w:r>
              <w:rPr>
                <w:rFonts w:hint="eastAsia"/>
                <w:lang w:val="en-US" w:eastAsia="zh-CN"/>
              </w:rPr>
              <w:t>0.005</w:t>
            </w:r>
          </w:p>
        </w:tc>
        <w:tc>
          <w:tcPr>
            <w:tcW w:w="467" w:type="pct"/>
            <w:tcBorders>
              <w:tl2br w:val="nil"/>
              <w:tr2bl w:val="nil"/>
            </w:tcBorders>
            <w:shd w:val="clear" w:color="auto" w:fill="auto"/>
            <w:tcMar>
              <w:left w:w="0" w:type="dxa"/>
              <w:right w:w="0" w:type="dxa"/>
            </w:tcMar>
            <w:vAlign w:val="center"/>
          </w:tcPr>
          <w:p w14:paraId="52F97098">
            <w:pPr>
              <w:pStyle w:val="19"/>
              <w:rPr>
                <w:rFonts w:hint="default" w:eastAsia="宋体"/>
                <w:lang w:val="en-US" w:eastAsia="zh-CN"/>
              </w:rPr>
            </w:pPr>
            <w:r>
              <w:rPr>
                <w:rFonts w:hint="eastAsia"/>
                <w:lang w:val="en-US" w:eastAsia="zh-CN"/>
              </w:rPr>
              <w:t>0.006</w:t>
            </w:r>
          </w:p>
        </w:tc>
        <w:tc>
          <w:tcPr>
            <w:tcW w:w="467" w:type="pct"/>
            <w:tcBorders>
              <w:tl2br w:val="nil"/>
              <w:tr2bl w:val="nil"/>
            </w:tcBorders>
            <w:shd w:val="clear" w:color="auto" w:fill="auto"/>
            <w:tcMar>
              <w:left w:w="0" w:type="dxa"/>
              <w:right w:w="0" w:type="dxa"/>
            </w:tcMar>
            <w:vAlign w:val="center"/>
          </w:tcPr>
          <w:p w14:paraId="72D5F20F">
            <w:pPr>
              <w:pStyle w:val="19"/>
              <w:rPr>
                <w:rFonts w:hint="default" w:eastAsia="宋体"/>
                <w:lang w:val="en-US" w:eastAsia="zh-CN"/>
              </w:rPr>
            </w:pPr>
            <w:r>
              <w:rPr>
                <w:rFonts w:hint="eastAsia"/>
                <w:lang w:val="en-US" w:eastAsia="zh-CN"/>
              </w:rPr>
              <w:t>0.14</w:t>
            </w:r>
          </w:p>
        </w:tc>
        <w:tc>
          <w:tcPr>
            <w:tcW w:w="582" w:type="pct"/>
            <w:tcBorders>
              <w:tl2br w:val="nil"/>
              <w:tr2bl w:val="nil"/>
            </w:tcBorders>
            <w:shd w:val="clear" w:color="auto" w:fill="auto"/>
            <w:tcMar>
              <w:left w:w="0" w:type="dxa"/>
              <w:right w:w="0" w:type="dxa"/>
            </w:tcMar>
            <w:vAlign w:val="center"/>
          </w:tcPr>
          <w:p w14:paraId="4FA15B6A">
            <w:pPr>
              <w:pStyle w:val="19"/>
              <w:rPr>
                <w:rFonts w:hint="eastAsia" w:eastAsia="宋体"/>
                <w:lang w:val="en-US" w:eastAsia="zh-CN"/>
              </w:rPr>
            </w:pPr>
            <w:r>
              <w:rPr>
                <w:rFonts w:hint="eastAsia"/>
                <w:lang w:val="en-US" w:eastAsia="zh-CN"/>
              </w:rPr>
              <w:t>/</w:t>
            </w:r>
          </w:p>
        </w:tc>
        <w:tc>
          <w:tcPr>
            <w:tcW w:w="727" w:type="pct"/>
            <w:tcBorders>
              <w:tl2br w:val="nil"/>
              <w:tr2bl w:val="nil"/>
            </w:tcBorders>
            <w:vAlign w:val="center"/>
          </w:tcPr>
          <w:p w14:paraId="1EE69267">
            <w:pPr>
              <w:pStyle w:val="19"/>
              <w:rPr>
                <w:rFonts w:hint="eastAsia" w:eastAsia="宋体"/>
                <w:lang w:val="en-US" w:eastAsia="zh-CN"/>
              </w:rPr>
            </w:pPr>
            <w:r>
              <w:rPr>
                <w:rFonts w:hint="eastAsia"/>
                <w:lang w:val="en-US" w:eastAsia="zh-CN"/>
              </w:rPr>
              <w:t>/</w:t>
            </w:r>
          </w:p>
        </w:tc>
      </w:tr>
      <w:tr w14:paraId="32A6052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0C226125">
            <w:pPr>
              <w:pStyle w:val="19"/>
            </w:pPr>
          </w:p>
        </w:tc>
        <w:tc>
          <w:tcPr>
            <w:tcW w:w="646" w:type="pct"/>
            <w:tcBorders>
              <w:tl2br w:val="nil"/>
              <w:tr2bl w:val="nil"/>
            </w:tcBorders>
            <w:shd w:val="clear" w:color="auto" w:fill="auto"/>
            <w:tcMar>
              <w:left w:w="0" w:type="dxa"/>
              <w:right w:w="0" w:type="dxa"/>
            </w:tcMar>
            <w:vAlign w:val="center"/>
          </w:tcPr>
          <w:p w14:paraId="25AFD353">
            <w:pPr>
              <w:pStyle w:val="19"/>
            </w:pPr>
            <w:r>
              <w:rPr>
                <w:rFonts w:hint="eastAsia"/>
              </w:rPr>
              <w:t>0</w:t>
            </w:r>
            <w:r>
              <w:t>.5-1.5</w:t>
            </w:r>
          </w:p>
        </w:tc>
        <w:tc>
          <w:tcPr>
            <w:tcW w:w="465" w:type="pct"/>
            <w:tcBorders>
              <w:tl2br w:val="nil"/>
              <w:tr2bl w:val="nil"/>
            </w:tcBorders>
            <w:shd w:val="clear" w:color="auto" w:fill="auto"/>
            <w:tcMar>
              <w:left w:w="0" w:type="dxa"/>
              <w:right w:w="0" w:type="dxa"/>
            </w:tcMar>
            <w:vAlign w:val="center"/>
          </w:tcPr>
          <w:p w14:paraId="26613237">
            <w:pPr>
              <w:pStyle w:val="19"/>
              <w:rPr>
                <w:rFonts w:hint="default"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49EB87CF">
            <w:pPr>
              <w:pStyle w:val="19"/>
              <w:rPr>
                <w:rFonts w:hint="default" w:eastAsia="宋体"/>
                <w:lang w:val="en-US" w:eastAsia="zh-CN"/>
              </w:rPr>
            </w:pPr>
            <w:r>
              <w:rPr>
                <w:rFonts w:hint="eastAsia"/>
                <w:lang w:val="en-US" w:eastAsia="zh-CN"/>
              </w:rPr>
              <w:t>14</w:t>
            </w:r>
          </w:p>
        </w:tc>
        <w:tc>
          <w:tcPr>
            <w:tcW w:w="467" w:type="pct"/>
            <w:tcBorders>
              <w:tl2br w:val="nil"/>
              <w:tr2bl w:val="nil"/>
            </w:tcBorders>
            <w:shd w:val="clear" w:color="auto" w:fill="auto"/>
            <w:tcMar>
              <w:left w:w="0" w:type="dxa"/>
              <w:right w:w="0" w:type="dxa"/>
            </w:tcMar>
            <w:vAlign w:val="center"/>
          </w:tcPr>
          <w:p w14:paraId="1C91C3BC">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3B0DD75E">
            <w:pPr>
              <w:pStyle w:val="19"/>
              <w:rPr>
                <w:rFonts w:hint="default" w:eastAsia="宋体"/>
                <w:lang w:val="en-US" w:eastAsia="zh-CN"/>
              </w:rPr>
            </w:pPr>
            <w:r>
              <w:rPr>
                <w:rFonts w:hint="eastAsia"/>
                <w:lang w:val="en-US" w:eastAsia="zh-CN"/>
              </w:rPr>
              <w:t>0.22</w:t>
            </w:r>
          </w:p>
        </w:tc>
        <w:tc>
          <w:tcPr>
            <w:tcW w:w="467" w:type="pct"/>
            <w:tcBorders>
              <w:tl2br w:val="nil"/>
              <w:tr2bl w:val="nil"/>
            </w:tcBorders>
            <w:shd w:val="clear" w:color="auto" w:fill="auto"/>
            <w:tcMar>
              <w:left w:w="0" w:type="dxa"/>
              <w:right w:w="0" w:type="dxa"/>
            </w:tcMar>
            <w:vAlign w:val="center"/>
          </w:tcPr>
          <w:p w14:paraId="4F043D1F">
            <w:pPr>
              <w:pStyle w:val="19"/>
              <w:rPr>
                <w:rFonts w:hint="default" w:eastAsia="宋体"/>
                <w:lang w:val="en-US" w:eastAsia="zh-CN"/>
              </w:rPr>
            </w:pPr>
            <w:r>
              <w:rPr>
                <w:rFonts w:hint="eastAsia"/>
                <w:lang w:val="en-US" w:eastAsia="zh-CN"/>
              </w:rPr>
              <w:t>0.145</w:t>
            </w:r>
          </w:p>
        </w:tc>
        <w:tc>
          <w:tcPr>
            <w:tcW w:w="467" w:type="pct"/>
            <w:tcBorders>
              <w:tl2br w:val="nil"/>
              <w:tr2bl w:val="nil"/>
            </w:tcBorders>
            <w:shd w:val="clear" w:color="auto" w:fill="auto"/>
            <w:tcMar>
              <w:left w:w="0" w:type="dxa"/>
              <w:right w:w="0" w:type="dxa"/>
            </w:tcMar>
            <w:vAlign w:val="center"/>
          </w:tcPr>
          <w:p w14:paraId="05D32F93">
            <w:pPr>
              <w:pStyle w:val="19"/>
              <w:rPr>
                <w:rFonts w:hint="default" w:eastAsia="宋体"/>
                <w:lang w:val="en-US" w:eastAsia="zh-CN"/>
              </w:rPr>
            </w:pPr>
            <w:r>
              <w:rPr>
                <w:rFonts w:hint="eastAsia"/>
                <w:lang w:val="en-US" w:eastAsia="zh-CN"/>
              </w:rPr>
              <w:t>5.13</w:t>
            </w:r>
          </w:p>
        </w:tc>
        <w:tc>
          <w:tcPr>
            <w:tcW w:w="582" w:type="pct"/>
            <w:tcBorders>
              <w:tl2br w:val="nil"/>
              <w:tr2bl w:val="nil"/>
            </w:tcBorders>
            <w:shd w:val="clear" w:color="auto" w:fill="auto"/>
            <w:tcMar>
              <w:left w:w="0" w:type="dxa"/>
              <w:right w:w="0" w:type="dxa"/>
            </w:tcMar>
            <w:vAlign w:val="center"/>
          </w:tcPr>
          <w:p w14:paraId="04FFF340">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44CC8BBE">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70E26762">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2A6C3F6B">
            <w:pPr>
              <w:pStyle w:val="19"/>
            </w:pPr>
          </w:p>
        </w:tc>
        <w:tc>
          <w:tcPr>
            <w:tcW w:w="646" w:type="pct"/>
            <w:tcBorders>
              <w:tl2br w:val="nil"/>
              <w:tr2bl w:val="nil"/>
            </w:tcBorders>
            <w:shd w:val="clear" w:color="auto" w:fill="auto"/>
            <w:tcMar>
              <w:left w:w="0" w:type="dxa"/>
              <w:right w:w="0" w:type="dxa"/>
            </w:tcMar>
            <w:vAlign w:val="center"/>
          </w:tcPr>
          <w:p w14:paraId="090FD862">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4FF9262A">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0126493B">
            <w:pPr>
              <w:pStyle w:val="19"/>
              <w:rPr>
                <w:rFonts w:hint="default" w:eastAsia="宋体"/>
                <w:lang w:val="en-US" w:eastAsia="zh-CN"/>
              </w:rPr>
            </w:pPr>
            <w:r>
              <w:rPr>
                <w:rFonts w:hint="eastAsia"/>
                <w:lang w:val="en-US" w:eastAsia="zh-CN"/>
              </w:rPr>
              <w:t>0.018</w:t>
            </w:r>
          </w:p>
        </w:tc>
        <w:tc>
          <w:tcPr>
            <w:tcW w:w="467" w:type="pct"/>
            <w:tcBorders>
              <w:tl2br w:val="nil"/>
              <w:tr2bl w:val="nil"/>
            </w:tcBorders>
            <w:shd w:val="clear" w:color="auto" w:fill="auto"/>
            <w:tcMar>
              <w:left w:w="0" w:type="dxa"/>
              <w:right w:w="0" w:type="dxa"/>
            </w:tcMar>
            <w:vAlign w:val="center"/>
          </w:tcPr>
          <w:p w14:paraId="19D79685">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244537D8">
            <w:pPr>
              <w:pStyle w:val="19"/>
              <w:rPr>
                <w:rFonts w:hint="default" w:eastAsia="宋体"/>
                <w:lang w:val="en-US" w:eastAsia="zh-CN"/>
              </w:rPr>
            </w:pPr>
            <w:r>
              <w:rPr>
                <w:rFonts w:hint="eastAsia"/>
                <w:lang w:val="en-US" w:eastAsia="zh-CN"/>
              </w:rPr>
              <w:t>0.003</w:t>
            </w:r>
          </w:p>
        </w:tc>
        <w:tc>
          <w:tcPr>
            <w:tcW w:w="467" w:type="pct"/>
            <w:tcBorders>
              <w:tl2br w:val="nil"/>
              <w:tr2bl w:val="nil"/>
            </w:tcBorders>
            <w:shd w:val="clear" w:color="auto" w:fill="auto"/>
            <w:tcMar>
              <w:left w:w="0" w:type="dxa"/>
              <w:right w:w="0" w:type="dxa"/>
            </w:tcMar>
            <w:vAlign w:val="center"/>
          </w:tcPr>
          <w:p w14:paraId="000C5665">
            <w:pPr>
              <w:pStyle w:val="19"/>
              <w:rPr>
                <w:rFonts w:hint="default" w:eastAsia="宋体"/>
                <w:lang w:val="en-US" w:eastAsia="zh-CN"/>
              </w:rPr>
            </w:pPr>
            <w:r>
              <w:rPr>
                <w:rFonts w:hint="eastAsia"/>
                <w:lang w:val="en-US" w:eastAsia="zh-CN"/>
              </w:rPr>
              <w:t>0.004</w:t>
            </w:r>
          </w:p>
        </w:tc>
        <w:tc>
          <w:tcPr>
            <w:tcW w:w="467" w:type="pct"/>
            <w:tcBorders>
              <w:tl2br w:val="nil"/>
              <w:tr2bl w:val="nil"/>
            </w:tcBorders>
            <w:shd w:val="clear" w:color="auto" w:fill="auto"/>
            <w:tcMar>
              <w:left w:w="0" w:type="dxa"/>
              <w:right w:w="0" w:type="dxa"/>
            </w:tcMar>
            <w:vAlign w:val="center"/>
          </w:tcPr>
          <w:p w14:paraId="7CD74BED">
            <w:pPr>
              <w:pStyle w:val="19"/>
              <w:rPr>
                <w:rFonts w:hint="default" w:eastAsia="宋体"/>
                <w:lang w:val="en-US" w:eastAsia="zh-CN"/>
              </w:rPr>
            </w:pPr>
            <w:r>
              <w:rPr>
                <w:rFonts w:hint="eastAsia"/>
                <w:lang w:val="en-US" w:eastAsia="zh-CN"/>
              </w:rPr>
              <w:t>0.086</w:t>
            </w:r>
          </w:p>
        </w:tc>
        <w:tc>
          <w:tcPr>
            <w:tcW w:w="582" w:type="pct"/>
            <w:tcBorders>
              <w:tl2br w:val="nil"/>
              <w:tr2bl w:val="nil"/>
            </w:tcBorders>
            <w:shd w:val="clear" w:color="auto" w:fill="auto"/>
            <w:tcMar>
              <w:left w:w="0" w:type="dxa"/>
              <w:right w:w="0" w:type="dxa"/>
            </w:tcMar>
            <w:vAlign w:val="center"/>
          </w:tcPr>
          <w:p w14:paraId="1E556460">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7BD4F8C0">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9177CD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5D5FADC8">
            <w:pPr>
              <w:pStyle w:val="19"/>
            </w:pPr>
          </w:p>
        </w:tc>
        <w:tc>
          <w:tcPr>
            <w:tcW w:w="646" w:type="pct"/>
            <w:tcBorders>
              <w:tl2br w:val="nil"/>
              <w:tr2bl w:val="nil"/>
            </w:tcBorders>
            <w:shd w:val="clear" w:color="auto" w:fill="auto"/>
            <w:tcMar>
              <w:left w:w="0" w:type="dxa"/>
              <w:right w:w="0" w:type="dxa"/>
            </w:tcMar>
            <w:vAlign w:val="center"/>
          </w:tcPr>
          <w:p w14:paraId="40E4C40E">
            <w:pPr>
              <w:pStyle w:val="19"/>
            </w:pPr>
            <w:r>
              <w:rPr>
                <w:rFonts w:hint="eastAsia"/>
              </w:rPr>
              <w:t>1</w:t>
            </w:r>
            <w:r>
              <w:t>.5-3.0</w:t>
            </w:r>
          </w:p>
        </w:tc>
        <w:tc>
          <w:tcPr>
            <w:tcW w:w="465" w:type="pct"/>
            <w:tcBorders>
              <w:tl2br w:val="nil"/>
              <w:tr2bl w:val="nil"/>
            </w:tcBorders>
            <w:shd w:val="clear" w:color="auto" w:fill="auto"/>
            <w:tcMar>
              <w:left w:w="0" w:type="dxa"/>
              <w:right w:w="0" w:type="dxa"/>
            </w:tcMar>
            <w:vAlign w:val="center"/>
          </w:tcPr>
          <w:p w14:paraId="2EDAFFC7">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DCBF350">
            <w:pPr>
              <w:pStyle w:val="19"/>
              <w:rPr>
                <w:rFonts w:hint="default" w:eastAsia="宋体"/>
                <w:lang w:val="en-US" w:eastAsia="zh-CN"/>
              </w:rPr>
            </w:pPr>
            <w:r>
              <w:rPr>
                <w:rFonts w:hint="eastAsia"/>
                <w:lang w:val="en-US" w:eastAsia="zh-CN"/>
              </w:rPr>
              <w:t>＜10</w:t>
            </w:r>
          </w:p>
        </w:tc>
        <w:tc>
          <w:tcPr>
            <w:tcW w:w="467" w:type="pct"/>
            <w:tcBorders>
              <w:tl2br w:val="nil"/>
              <w:tr2bl w:val="nil"/>
            </w:tcBorders>
            <w:shd w:val="clear" w:color="auto" w:fill="auto"/>
            <w:tcMar>
              <w:left w:w="0" w:type="dxa"/>
              <w:right w:w="0" w:type="dxa"/>
            </w:tcMar>
            <w:vAlign w:val="center"/>
          </w:tcPr>
          <w:p w14:paraId="534300AB">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0CFEC1D">
            <w:pPr>
              <w:pStyle w:val="19"/>
              <w:rPr>
                <w:rFonts w:hint="default" w:eastAsia="宋体"/>
                <w:lang w:val="en-US" w:eastAsia="zh-CN"/>
              </w:rPr>
            </w:pPr>
            <w:r>
              <w:rPr>
                <w:rFonts w:hint="eastAsia"/>
                <w:lang w:val="en-US" w:eastAsia="zh-CN"/>
              </w:rPr>
              <w:t>0.08</w:t>
            </w:r>
          </w:p>
        </w:tc>
        <w:tc>
          <w:tcPr>
            <w:tcW w:w="467" w:type="pct"/>
            <w:tcBorders>
              <w:tl2br w:val="nil"/>
              <w:tr2bl w:val="nil"/>
            </w:tcBorders>
            <w:shd w:val="clear" w:color="auto" w:fill="auto"/>
            <w:tcMar>
              <w:left w:w="0" w:type="dxa"/>
              <w:right w:w="0" w:type="dxa"/>
            </w:tcMar>
            <w:vAlign w:val="center"/>
          </w:tcPr>
          <w:p w14:paraId="40FE6361">
            <w:pPr>
              <w:pStyle w:val="19"/>
              <w:rPr>
                <w:rFonts w:hint="default" w:eastAsia="宋体"/>
                <w:lang w:val="en-US" w:eastAsia="zh-CN"/>
              </w:rPr>
            </w:pPr>
            <w:r>
              <w:rPr>
                <w:rFonts w:hint="eastAsia"/>
                <w:lang w:val="en-US" w:eastAsia="zh-CN"/>
              </w:rPr>
              <w:t>0.068</w:t>
            </w:r>
          </w:p>
        </w:tc>
        <w:tc>
          <w:tcPr>
            <w:tcW w:w="467" w:type="pct"/>
            <w:tcBorders>
              <w:tl2br w:val="nil"/>
              <w:tr2bl w:val="nil"/>
            </w:tcBorders>
            <w:shd w:val="clear" w:color="auto" w:fill="auto"/>
            <w:tcMar>
              <w:left w:w="0" w:type="dxa"/>
              <w:right w:w="0" w:type="dxa"/>
            </w:tcMar>
            <w:vAlign w:val="center"/>
          </w:tcPr>
          <w:p w14:paraId="5C579376">
            <w:pPr>
              <w:pStyle w:val="19"/>
              <w:rPr>
                <w:rFonts w:hint="default" w:eastAsia="宋体"/>
                <w:lang w:val="en-US" w:eastAsia="zh-CN"/>
              </w:rPr>
            </w:pPr>
            <w:r>
              <w:rPr>
                <w:rFonts w:hint="eastAsia"/>
                <w:lang w:val="en-US" w:eastAsia="zh-CN"/>
              </w:rPr>
              <w:t>2.60</w:t>
            </w:r>
          </w:p>
        </w:tc>
        <w:tc>
          <w:tcPr>
            <w:tcW w:w="582" w:type="pct"/>
            <w:tcBorders>
              <w:tl2br w:val="nil"/>
              <w:tr2bl w:val="nil"/>
            </w:tcBorders>
            <w:shd w:val="clear" w:color="auto" w:fill="auto"/>
            <w:tcMar>
              <w:left w:w="0" w:type="dxa"/>
              <w:right w:w="0" w:type="dxa"/>
            </w:tcMar>
            <w:vAlign w:val="center"/>
          </w:tcPr>
          <w:p w14:paraId="3B493597">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0FC8231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652268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4C66E5F3">
            <w:pPr>
              <w:pStyle w:val="19"/>
            </w:pPr>
          </w:p>
        </w:tc>
        <w:tc>
          <w:tcPr>
            <w:tcW w:w="646" w:type="pct"/>
            <w:tcBorders>
              <w:tl2br w:val="nil"/>
              <w:tr2bl w:val="nil"/>
            </w:tcBorders>
            <w:shd w:val="clear" w:color="auto" w:fill="auto"/>
            <w:tcMar>
              <w:left w:w="0" w:type="dxa"/>
              <w:right w:w="0" w:type="dxa"/>
            </w:tcMar>
            <w:vAlign w:val="center"/>
          </w:tcPr>
          <w:p w14:paraId="02F32A9F">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13991DC7">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4A2825B5">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3010AB36">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202B6F1F">
            <w:pPr>
              <w:pStyle w:val="19"/>
              <w:rPr>
                <w:rFonts w:hint="default" w:eastAsia="宋体"/>
                <w:lang w:val="en-US" w:eastAsia="zh-CN"/>
              </w:rPr>
            </w:pPr>
            <w:r>
              <w:rPr>
                <w:rFonts w:hint="eastAsia"/>
                <w:lang w:val="en-US" w:eastAsia="zh-CN"/>
              </w:rPr>
              <w:t>0.001</w:t>
            </w:r>
          </w:p>
        </w:tc>
        <w:tc>
          <w:tcPr>
            <w:tcW w:w="467" w:type="pct"/>
            <w:tcBorders>
              <w:tl2br w:val="nil"/>
              <w:tr2bl w:val="nil"/>
            </w:tcBorders>
            <w:shd w:val="clear" w:color="auto" w:fill="auto"/>
            <w:tcMar>
              <w:left w:w="0" w:type="dxa"/>
              <w:right w:w="0" w:type="dxa"/>
            </w:tcMar>
            <w:vAlign w:val="center"/>
          </w:tcPr>
          <w:p w14:paraId="4966EC04">
            <w:pPr>
              <w:pStyle w:val="19"/>
              <w:rPr>
                <w:rFonts w:hint="default" w:eastAsia="宋体"/>
                <w:lang w:val="en-US" w:eastAsia="zh-CN"/>
              </w:rPr>
            </w:pPr>
            <w:r>
              <w:rPr>
                <w:rFonts w:hint="eastAsia"/>
                <w:lang w:val="en-US" w:eastAsia="zh-CN"/>
              </w:rPr>
              <w:t>0.002</w:t>
            </w:r>
          </w:p>
        </w:tc>
        <w:tc>
          <w:tcPr>
            <w:tcW w:w="467" w:type="pct"/>
            <w:tcBorders>
              <w:tl2br w:val="nil"/>
              <w:tr2bl w:val="nil"/>
            </w:tcBorders>
            <w:shd w:val="clear" w:color="auto" w:fill="auto"/>
            <w:tcMar>
              <w:left w:w="0" w:type="dxa"/>
              <w:right w:w="0" w:type="dxa"/>
            </w:tcMar>
            <w:vAlign w:val="center"/>
          </w:tcPr>
          <w:p w14:paraId="3D8DC705">
            <w:pPr>
              <w:pStyle w:val="19"/>
              <w:rPr>
                <w:rFonts w:hint="default" w:eastAsia="宋体"/>
                <w:lang w:val="en-US" w:eastAsia="zh-CN"/>
              </w:rPr>
            </w:pPr>
            <w:r>
              <w:rPr>
                <w:rFonts w:hint="eastAsia"/>
                <w:lang w:val="en-US" w:eastAsia="zh-CN"/>
              </w:rPr>
              <w:t>0.04</w:t>
            </w:r>
          </w:p>
        </w:tc>
        <w:tc>
          <w:tcPr>
            <w:tcW w:w="582" w:type="pct"/>
            <w:tcBorders>
              <w:tl2br w:val="nil"/>
              <w:tr2bl w:val="nil"/>
            </w:tcBorders>
            <w:shd w:val="clear" w:color="auto" w:fill="auto"/>
            <w:tcMar>
              <w:left w:w="0" w:type="dxa"/>
              <w:right w:w="0" w:type="dxa"/>
            </w:tcMar>
            <w:vAlign w:val="center"/>
          </w:tcPr>
          <w:p w14:paraId="037D1186">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480FC996">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12CD492F">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restart"/>
            <w:tcBorders>
              <w:tl2br w:val="nil"/>
              <w:tr2bl w:val="nil"/>
            </w:tcBorders>
            <w:shd w:val="clear" w:color="auto" w:fill="auto"/>
            <w:tcMar>
              <w:left w:w="0" w:type="dxa"/>
              <w:right w:w="0" w:type="dxa"/>
            </w:tcMar>
            <w:vAlign w:val="center"/>
          </w:tcPr>
          <w:p w14:paraId="783989B5">
            <w:pPr>
              <w:pStyle w:val="19"/>
              <w:rPr>
                <w:rFonts w:hint="eastAsia" w:eastAsia="宋体"/>
                <w:lang w:val="en-US" w:eastAsia="zh-CN"/>
              </w:rPr>
            </w:pPr>
            <w:r>
              <w:rPr>
                <w:rFonts w:hint="eastAsia"/>
              </w:rPr>
              <w:t>△</w:t>
            </w:r>
            <w:r>
              <w:rPr>
                <w:rFonts w:hint="eastAsia"/>
                <w:lang w:val="en-US" w:eastAsia="zh-CN"/>
              </w:rPr>
              <w:t>3</w:t>
            </w:r>
          </w:p>
        </w:tc>
        <w:tc>
          <w:tcPr>
            <w:tcW w:w="646" w:type="pct"/>
            <w:tcBorders>
              <w:tl2br w:val="nil"/>
              <w:tr2bl w:val="nil"/>
            </w:tcBorders>
            <w:shd w:val="clear" w:color="auto" w:fill="auto"/>
            <w:tcMar>
              <w:left w:w="0" w:type="dxa"/>
              <w:right w:w="0" w:type="dxa"/>
            </w:tcMar>
            <w:vAlign w:val="center"/>
          </w:tcPr>
          <w:p w14:paraId="2C44D62E">
            <w:pPr>
              <w:pStyle w:val="19"/>
            </w:pPr>
            <w:r>
              <w:rPr>
                <w:rFonts w:hint="eastAsia"/>
              </w:rPr>
              <w:t>0</w:t>
            </w:r>
            <w:r>
              <w:t>-0.5</w:t>
            </w:r>
          </w:p>
        </w:tc>
        <w:tc>
          <w:tcPr>
            <w:tcW w:w="465" w:type="pct"/>
            <w:tcBorders>
              <w:tl2br w:val="nil"/>
              <w:tr2bl w:val="nil"/>
            </w:tcBorders>
            <w:shd w:val="clear" w:color="auto" w:fill="auto"/>
            <w:tcMar>
              <w:left w:w="0" w:type="dxa"/>
              <w:right w:w="0" w:type="dxa"/>
            </w:tcMar>
            <w:vAlign w:val="center"/>
          </w:tcPr>
          <w:p w14:paraId="103D5399">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3F3126CF">
            <w:pPr>
              <w:pStyle w:val="19"/>
              <w:rPr>
                <w:rFonts w:hint="default" w:eastAsia="宋体"/>
                <w:lang w:val="en-US" w:eastAsia="zh-CN"/>
              </w:rPr>
            </w:pPr>
            <w:r>
              <w:rPr>
                <w:rFonts w:hint="eastAsia"/>
                <w:lang w:val="en-US" w:eastAsia="zh-CN"/>
              </w:rPr>
              <w:t>26</w:t>
            </w:r>
          </w:p>
        </w:tc>
        <w:tc>
          <w:tcPr>
            <w:tcW w:w="467" w:type="pct"/>
            <w:tcBorders>
              <w:tl2br w:val="nil"/>
              <w:tr2bl w:val="nil"/>
            </w:tcBorders>
            <w:shd w:val="clear" w:color="auto" w:fill="auto"/>
            <w:tcMar>
              <w:left w:w="0" w:type="dxa"/>
              <w:right w:w="0" w:type="dxa"/>
            </w:tcMar>
            <w:vAlign w:val="center"/>
          </w:tcPr>
          <w:p w14:paraId="2F00E4E4">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034563FE">
            <w:pPr>
              <w:pStyle w:val="19"/>
              <w:rPr>
                <w:rFonts w:hint="default" w:eastAsia="宋体"/>
                <w:lang w:val="en-US" w:eastAsia="zh-CN"/>
              </w:rPr>
            </w:pPr>
            <w:r>
              <w:rPr>
                <w:rFonts w:hint="eastAsia"/>
                <w:lang w:val="en-US" w:eastAsia="zh-CN"/>
              </w:rPr>
              <w:t>0.30</w:t>
            </w:r>
          </w:p>
        </w:tc>
        <w:tc>
          <w:tcPr>
            <w:tcW w:w="467" w:type="pct"/>
            <w:tcBorders>
              <w:tl2br w:val="nil"/>
              <w:tr2bl w:val="nil"/>
            </w:tcBorders>
            <w:shd w:val="clear" w:color="auto" w:fill="auto"/>
            <w:tcMar>
              <w:left w:w="0" w:type="dxa"/>
              <w:right w:w="0" w:type="dxa"/>
            </w:tcMar>
            <w:vAlign w:val="center"/>
          </w:tcPr>
          <w:p w14:paraId="186EB17E">
            <w:pPr>
              <w:pStyle w:val="19"/>
              <w:rPr>
                <w:rFonts w:hint="default" w:eastAsia="宋体"/>
                <w:lang w:val="en-US" w:eastAsia="zh-CN"/>
              </w:rPr>
            </w:pPr>
            <w:r>
              <w:rPr>
                <w:rFonts w:hint="eastAsia"/>
                <w:lang w:val="en-US" w:eastAsia="zh-CN"/>
              </w:rPr>
              <w:t>0.241</w:t>
            </w:r>
          </w:p>
        </w:tc>
        <w:tc>
          <w:tcPr>
            <w:tcW w:w="467" w:type="pct"/>
            <w:tcBorders>
              <w:tl2br w:val="nil"/>
              <w:tr2bl w:val="nil"/>
            </w:tcBorders>
            <w:shd w:val="clear" w:color="auto" w:fill="auto"/>
            <w:tcMar>
              <w:left w:w="0" w:type="dxa"/>
              <w:right w:w="0" w:type="dxa"/>
            </w:tcMar>
            <w:vAlign w:val="center"/>
          </w:tcPr>
          <w:p w14:paraId="39914041">
            <w:pPr>
              <w:pStyle w:val="19"/>
              <w:rPr>
                <w:rFonts w:hint="default" w:eastAsia="宋体"/>
                <w:lang w:val="en-US" w:eastAsia="zh-CN"/>
              </w:rPr>
            </w:pPr>
            <w:r>
              <w:rPr>
                <w:rFonts w:hint="eastAsia"/>
                <w:lang w:val="en-US" w:eastAsia="zh-CN"/>
              </w:rPr>
              <w:t>9.74</w:t>
            </w:r>
          </w:p>
        </w:tc>
        <w:tc>
          <w:tcPr>
            <w:tcW w:w="582" w:type="pct"/>
            <w:tcBorders>
              <w:tl2br w:val="nil"/>
              <w:tr2bl w:val="nil"/>
            </w:tcBorders>
            <w:shd w:val="clear" w:color="auto" w:fill="auto"/>
            <w:tcMar>
              <w:left w:w="0" w:type="dxa"/>
              <w:right w:w="0" w:type="dxa"/>
            </w:tcMar>
            <w:vAlign w:val="center"/>
          </w:tcPr>
          <w:p w14:paraId="4E6F1295">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1D4602A6">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D9E4A37">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07F6DC28">
            <w:pPr>
              <w:pStyle w:val="19"/>
            </w:pPr>
          </w:p>
        </w:tc>
        <w:tc>
          <w:tcPr>
            <w:tcW w:w="646" w:type="pct"/>
            <w:tcBorders>
              <w:tl2br w:val="nil"/>
              <w:tr2bl w:val="nil"/>
            </w:tcBorders>
            <w:shd w:val="clear" w:color="auto" w:fill="auto"/>
            <w:tcMar>
              <w:left w:w="0" w:type="dxa"/>
              <w:right w:w="0" w:type="dxa"/>
            </w:tcMar>
            <w:vAlign w:val="center"/>
          </w:tcPr>
          <w:p w14:paraId="7495F9DB">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118C246F">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53BDC739">
            <w:pPr>
              <w:pStyle w:val="19"/>
              <w:rPr>
                <w:rFonts w:hint="default" w:eastAsia="宋体"/>
                <w:lang w:val="en-US" w:eastAsia="zh-CN"/>
              </w:rPr>
            </w:pPr>
            <w:r>
              <w:rPr>
                <w:rFonts w:hint="eastAsia"/>
                <w:lang w:val="en-US" w:eastAsia="zh-CN"/>
              </w:rPr>
              <w:t>0.033</w:t>
            </w:r>
          </w:p>
        </w:tc>
        <w:tc>
          <w:tcPr>
            <w:tcW w:w="467" w:type="pct"/>
            <w:tcBorders>
              <w:tl2br w:val="nil"/>
              <w:tr2bl w:val="nil"/>
            </w:tcBorders>
            <w:shd w:val="clear" w:color="auto" w:fill="auto"/>
            <w:tcMar>
              <w:left w:w="0" w:type="dxa"/>
              <w:right w:w="0" w:type="dxa"/>
            </w:tcMar>
            <w:vAlign w:val="center"/>
          </w:tcPr>
          <w:p w14:paraId="0572A2A0">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47498118">
            <w:pPr>
              <w:pStyle w:val="19"/>
              <w:rPr>
                <w:rFonts w:hint="default" w:eastAsia="宋体"/>
                <w:lang w:val="en-US" w:eastAsia="zh-CN"/>
              </w:rPr>
            </w:pPr>
            <w:r>
              <w:rPr>
                <w:rFonts w:hint="eastAsia"/>
                <w:lang w:val="en-US" w:eastAsia="zh-CN"/>
              </w:rPr>
              <w:t>0.005</w:t>
            </w:r>
          </w:p>
        </w:tc>
        <w:tc>
          <w:tcPr>
            <w:tcW w:w="467" w:type="pct"/>
            <w:tcBorders>
              <w:tl2br w:val="nil"/>
              <w:tr2bl w:val="nil"/>
            </w:tcBorders>
            <w:shd w:val="clear" w:color="auto" w:fill="auto"/>
            <w:tcMar>
              <w:left w:w="0" w:type="dxa"/>
              <w:right w:w="0" w:type="dxa"/>
            </w:tcMar>
            <w:vAlign w:val="center"/>
          </w:tcPr>
          <w:p w14:paraId="4FD33ED1">
            <w:pPr>
              <w:pStyle w:val="19"/>
              <w:rPr>
                <w:rFonts w:hint="default" w:eastAsia="宋体"/>
                <w:lang w:val="en-US" w:eastAsia="zh-CN"/>
              </w:rPr>
            </w:pPr>
            <w:r>
              <w:rPr>
                <w:rFonts w:hint="eastAsia"/>
                <w:lang w:val="en-US" w:eastAsia="zh-CN"/>
              </w:rPr>
              <w:t>0.006</w:t>
            </w:r>
          </w:p>
        </w:tc>
        <w:tc>
          <w:tcPr>
            <w:tcW w:w="467" w:type="pct"/>
            <w:tcBorders>
              <w:tl2br w:val="nil"/>
              <w:tr2bl w:val="nil"/>
            </w:tcBorders>
            <w:shd w:val="clear" w:color="auto" w:fill="auto"/>
            <w:tcMar>
              <w:left w:w="0" w:type="dxa"/>
              <w:right w:w="0" w:type="dxa"/>
            </w:tcMar>
            <w:vAlign w:val="center"/>
          </w:tcPr>
          <w:p w14:paraId="0DDE715E">
            <w:pPr>
              <w:pStyle w:val="19"/>
              <w:rPr>
                <w:rFonts w:hint="default" w:eastAsia="宋体"/>
                <w:lang w:val="en-US" w:eastAsia="zh-CN"/>
              </w:rPr>
            </w:pPr>
            <w:r>
              <w:rPr>
                <w:rFonts w:hint="eastAsia"/>
                <w:lang w:val="en-US" w:eastAsia="zh-CN"/>
              </w:rPr>
              <w:t>0.16</w:t>
            </w:r>
          </w:p>
        </w:tc>
        <w:tc>
          <w:tcPr>
            <w:tcW w:w="582" w:type="pct"/>
            <w:tcBorders>
              <w:tl2br w:val="nil"/>
              <w:tr2bl w:val="nil"/>
            </w:tcBorders>
            <w:shd w:val="clear" w:color="auto" w:fill="auto"/>
            <w:tcMar>
              <w:left w:w="0" w:type="dxa"/>
              <w:right w:w="0" w:type="dxa"/>
            </w:tcMar>
            <w:vAlign w:val="center"/>
          </w:tcPr>
          <w:p w14:paraId="6CBE755E">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4EAD0A7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4901D75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0B88D536">
            <w:pPr>
              <w:pStyle w:val="19"/>
            </w:pPr>
          </w:p>
        </w:tc>
        <w:tc>
          <w:tcPr>
            <w:tcW w:w="646" w:type="pct"/>
            <w:tcBorders>
              <w:tl2br w:val="nil"/>
              <w:tr2bl w:val="nil"/>
            </w:tcBorders>
            <w:shd w:val="clear" w:color="auto" w:fill="auto"/>
            <w:tcMar>
              <w:left w:w="0" w:type="dxa"/>
              <w:right w:w="0" w:type="dxa"/>
            </w:tcMar>
            <w:vAlign w:val="center"/>
          </w:tcPr>
          <w:p w14:paraId="20D53DF5">
            <w:pPr>
              <w:pStyle w:val="19"/>
            </w:pPr>
            <w:r>
              <w:rPr>
                <w:rFonts w:hint="eastAsia"/>
              </w:rPr>
              <w:t>0</w:t>
            </w:r>
            <w:r>
              <w:t>.5-1.5</w:t>
            </w:r>
          </w:p>
        </w:tc>
        <w:tc>
          <w:tcPr>
            <w:tcW w:w="465" w:type="pct"/>
            <w:tcBorders>
              <w:tl2br w:val="nil"/>
              <w:tr2bl w:val="nil"/>
            </w:tcBorders>
            <w:shd w:val="clear" w:color="auto" w:fill="auto"/>
            <w:tcMar>
              <w:left w:w="0" w:type="dxa"/>
              <w:right w:w="0" w:type="dxa"/>
            </w:tcMar>
            <w:vAlign w:val="center"/>
          </w:tcPr>
          <w:p w14:paraId="61D62AFC">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40893691">
            <w:pPr>
              <w:pStyle w:val="19"/>
              <w:rPr>
                <w:rFonts w:hint="default" w:eastAsia="宋体"/>
                <w:lang w:val="en-US" w:eastAsia="zh-CN"/>
              </w:rPr>
            </w:pPr>
            <w:r>
              <w:rPr>
                <w:rFonts w:hint="eastAsia"/>
                <w:lang w:val="en-US" w:eastAsia="zh-CN"/>
              </w:rPr>
              <w:t>17</w:t>
            </w:r>
          </w:p>
        </w:tc>
        <w:tc>
          <w:tcPr>
            <w:tcW w:w="467" w:type="pct"/>
            <w:tcBorders>
              <w:tl2br w:val="nil"/>
              <w:tr2bl w:val="nil"/>
            </w:tcBorders>
            <w:shd w:val="clear" w:color="auto" w:fill="auto"/>
            <w:tcMar>
              <w:left w:w="0" w:type="dxa"/>
              <w:right w:w="0" w:type="dxa"/>
            </w:tcMar>
            <w:vAlign w:val="center"/>
          </w:tcPr>
          <w:p w14:paraId="26EF0CD6">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3218BD02">
            <w:pPr>
              <w:pStyle w:val="19"/>
              <w:rPr>
                <w:rFonts w:hint="default" w:eastAsia="宋体"/>
                <w:lang w:val="en-US" w:eastAsia="zh-CN"/>
              </w:rPr>
            </w:pPr>
            <w:r>
              <w:rPr>
                <w:rFonts w:hint="eastAsia"/>
                <w:lang w:val="en-US" w:eastAsia="zh-CN"/>
              </w:rPr>
              <w:t>0.19</w:t>
            </w:r>
          </w:p>
        </w:tc>
        <w:tc>
          <w:tcPr>
            <w:tcW w:w="467" w:type="pct"/>
            <w:tcBorders>
              <w:tl2br w:val="nil"/>
              <w:tr2bl w:val="nil"/>
            </w:tcBorders>
            <w:shd w:val="clear" w:color="auto" w:fill="auto"/>
            <w:tcMar>
              <w:left w:w="0" w:type="dxa"/>
              <w:right w:w="0" w:type="dxa"/>
            </w:tcMar>
            <w:vAlign w:val="center"/>
          </w:tcPr>
          <w:p w14:paraId="64EF1206">
            <w:pPr>
              <w:pStyle w:val="19"/>
              <w:rPr>
                <w:rFonts w:hint="default" w:eastAsia="宋体"/>
                <w:lang w:val="en-US" w:eastAsia="zh-CN"/>
              </w:rPr>
            </w:pPr>
            <w:r>
              <w:rPr>
                <w:rFonts w:hint="eastAsia"/>
                <w:lang w:val="en-US" w:eastAsia="zh-CN"/>
              </w:rPr>
              <w:t>0.146</w:t>
            </w:r>
          </w:p>
        </w:tc>
        <w:tc>
          <w:tcPr>
            <w:tcW w:w="467" w:type="pct"/>
            <w:tcBorders>
              <w:tl2br w:val="nil"/>
              <w:tr2bl w:val="nil"/>
            </w:tcBorders>
            <w:shd w:val="clear" w:color="auto" w:fill="auto"/>
            <w:tcMar>
              <w:left w:w="0" w:type="dxa"/>
              <w:right w:w="0" w:type="dxa"/>
            </w:tcMar>
            <w:vAlign w:val="center"/>
          </w:tcPr>
          <w:p w14:paraId="03A3DE84">
            <w:pPr>
              <w:pStyle w:val="19"/>
              <w:rPr>
                <w:rFonts w:hint="default" w:eastAsia="宋体"/>
                <w:lang w:val="en-US" w:eastAsia="zh-CN"/>
              </w:rPr>
            </w:pPr>
            <w:r>
              <w:rPr>
                <w:rFonts w:hint="eastAsia"/>
                <w:lang w:val="en-US" w:eastAsia="zh-CN"/>
              </w:rPr>
              <w:t>6.44</w:t>
            </w:r>
          </w:p>
        </w:tc>
        <w:tc>
          <w:tcPr>
            <w:tcW w:w="582" w:type="pct"/>
            <w:tcBorders>
              <w:tl2br w:val="nil"/>
              <w:tr2bl w:val="nil"/>
            </w:tcBorders>
            <w:shd w:val="clear" w:color="auto" w:fill="auto"/>
            <w:tcMar>
              <w:left w:w="0" w:type="dxa"/>
              <w:right w:w="0" w:type="dxa"/>
            </w:tcMar>
            <w:vAlign w:val="center"/>
          </w:tcPr>
          <w:p w14:paraId="28237C36">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3FB25EF6">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EF3CC2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6ED7FCCA">
            <w:pPr>
              <w:pStyle w:val="19"/>
            </w:pPr>
          </w:p>
        </w:tc>
        <w:tc>
          <w:tcPr>
            <w:tcW w:w="646" w:type="pct"/>
            <w:tcBorders>
              <w:tl2br w:val="nil"/>
              <w:tr2bl w:val="nil"/>
            </w:tcBorders>
            <w:shd w:val="clear" w:color="auto" w:fill="auto"/>
            <w:tcMar>
              <w:left w:w="0" w:type="dxa"/>
              <w:right w:w="0" w:type="dxa"/>
            </w:tcMar>
            <w:vAlign w:val="center"/>
          </w:tcPr>
          <w:p w14:paraId="55DE2CB0">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6B94B7AB">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547E5812">
            <w:pPr>
              <w:pStyle w:val="19"/>
              <w:rPr>
                <w:rFonts w:hint="default" w:eastAsia="宋体"/>
                <w:lang w:val="en-US" w:eastAsia="zh-CN"/>
              </w:rPr>
            </w:pPr>
            <w:r>
              <w:rPr>
                <w:rFonts w:hint="eastAsia"/>
                <w:lang w:val="en-US" w:eastAsia="zh-CN"/>
              </w:rPr>
              <w:t>0.021</w:t>
            </w:r>
          </w:p>
        </w:tc>
        <w:tc>
          <w:tcPr>
            <w:tcW w:w="467" w:type="pct"/>
            <w:tcBorders>
              <w:tl2br w:val="nil"/>
              <w:tr2bl w:val="nil"/>
            </w:tcBorders>
            <w:shd w:val="clear" w:color="auto" w:fill="auto"/>
            <w:tcMar>
              <w:left w:w="0" w:type="dxa"/>
              <w:right w:w="0" w:type="dxa"/>
            </w:tcMar>
            <w:vAlign w:val="center"/>
          </w:tcPr>
          <w:p w14:paraId="764C9A86">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626EF3B7">
            <w:pPr>
              <w:pStyle w:val="19"/>
              <w:rPr>
                <w:rFonts w:hint="default" w:eastAsia="宋体"/>
                <w:lang w:val="en-US" w:eastAsia="zh-CN"/>
              </w:rPr>
            </w:pPr>
            <w:r>
              <w:rPr>
                <w:rFonts w:hint="eastAsia"/>
                <w:lang w:val="en-US" w:eastAsia="zh-CN"/>
              </w:rPr>
              <w:t>0.003</w:t>
            </w:r>
          </w:p>
        </w:tc>
        <w:tc>
          <w:tcPr>
            <w:tcW w:w="467" w:type="pct"/>
            <w:tcBorders>
              <w:tl2br w:val="nil"/>
              <w:tr2bl w:val="nil"/>
            </w:tcBorders>
            <w:shd w:val="clear" w:color="auto" w:fill="auto"/>
            <w:tcMar>
              <w:left w:w="0" w:type="dxa"/>
              <w:right w:w="0" w:type="dxa"/>
            </w:tcMar>
            <w:vAlign w:val="center"/>
          </w:tcPr>
          <w:p w14:paraId="3FDB08CA">
            <w:pPr>
              <w:pStyle w:val="19"/>
              <w:rPr>
                <w:rFonts w:hint="default" w:eastAsia="宋体"/>
                <w:lang w:val="en-US" w:eastAsia="zh-CN"/>
              </w:rPr>
            </w:pPr>
            <w:r>
              <w:rPr>
                <w:rFonts w:hint="eastAsia"/>
                <w:lang w:val="en-US" w:eastAsia="zh-CN"/>
              </w:rPr>
              <w:t>0.004</w:t>
            </w:r>
          </w:p>
        </w:tc>
        <w:tc>
          <w:tcPr>
            <w:tcW w:w="467" w:type="pct"/>
            <w:tcBorders>
              <w:tl2br w:val="nil"/>
              <w:tr2bl w:val="nil"/>
            </w:tcBorders>
            <w:shd w:val="clear" w:color="auto" w:fill="auto"/>
            <w:tcMar>
              <w:left w:w="0" w:type="dxa"/>
              <w:right w:w="0" w:type="dxa"/>
            </w:tcMar>
            <w:vAlign w:val="center"/>
          </w:tcPr>
          <w:p w14:paraId="26C33250">
            <w:pPr>
              <w:pStyle w:val="19"/>
              <w:rPr>
                <w:rFonts w:hint="default" w:eastAsia="宋体"/>
                <w:lang w:val="en-US" w:eastAsia="zh-CN"/>
              </w:rPr>
            </w:pPr>
            <w:r>
              <w:rPr>
                <w:rFonts w:hint="eastAsia"/>
                <w:lang w:val="en-US" w:eastAsia="zh-CN"/>
              </w:rPr>
              <w:t>0.11</w:t>
            </w:r>
          </w:p>
        </w:tc>
        <w:tc>
          <w:tcPr>
            <w:tcW w:w="582" w:type="pct"/>
            <w:tcBorders>
              <w:tl2br w:val="nil"/>
              <w:tr2bl w:val="nil"/>
            </w:tcBorders>
            <w:shd w:val="clear" w:color="auto" w:fill="auto"/>
            <w:tcMar>
              <w:left w:w="0" w:type="dxa"/>
              <w:right w:w="0" w:type="dxa"/>
            </w:tcMar>
            <w:vAlign w:val="center"/>
          </w:tcPr>
          <w:p w14:paraId="757C85CF">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0AB7A756">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972BE1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74671684">
            <w:pPr>
              <w:pStyle w:val="19"/>
            </w:pPr>
          </w:p>
        </w:tc>
        <w:tc>
          <w:tcPr>
            <w:tcW w:w="646" w:type="pct"/>
            <w:tcBorders>
              <w:tl2br w:val="nil"/>
              <w:tr2bl w:val="nil"/>
            </w:tcBorders>
            <w:shd w:val="clear" w:color="auto" w:fill="auto"/>
            <w:tcMar>
              <w:left w:w="0" w:type="dxa"/>
              <w:right w:w="0" w:type="dxa"/>
            </w:tcMar>
            <w:vAlign w:val="center"/>
          </w:tcPr>
          <w:p w14:paraId="024CAF57">
            <w:pPr>
              <w:pStyle w:val="19"/>
            </w:pPr>
            <w:r>
              <w:rPr>
                <w:rFonts w:hint="eastAsia"/>
              </w:rPr>
              <w:t>1</w:t>
            </w:r>
            <w:r>
              <w:t>.5-3.0</w:t>
            </w:r>
          </w:p>
        </w:tc>
        <w:tc>
          <w:tcPr>
            <w:tcW w:w="465" w:type="pct"/>
            <w:tcBorders>
              <w:tl2br w:val="nil"/>
              <w:tr2bl w:val="nil"/>
            </w:tcBorders>
            <w:shd w:val="clear" w:color="auto" w:fill="auto"/>
            <w:tcMar>
              <w:left w:w="0" w:type="dxa"/>
              <w:right w:w="0" w:type="dxa"/>
            </w:tcMar>
            <w:vAlign w:val="center"/>
          </w:tcPr>
          <w:p w14:paraId="2034321D">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453EDE68">
            <w:pPr>
              <w:pStyle w:val="19"/>
            </w:pPr>
            <w:r>
              <w:rPr>
                <w:rFonts w:hint="eastAsia"/>
                <w:lang w:val="en-US" w:eastAsia="zh-CN"/>
              </w:rPr>
              <w:t>＜10</w:t>
            </w:r>
          </w:p>
        </w:tc>
        <w:tc>
          <w:tcPr>
            <w:tcW w:w="467" w:type="pct"/>
            <w:tcBorders>
              <w:tl2br w:val="nil"/>
              <w:tr2bl w:val="nil"/>
            </w:tcBorders>
            <w:shd w:val="clear" w:color="auto" w:fill="auto"/>
            <w:tcMar>
              <w:left w:w="0" w:type="dxa"/>
              <w:right w:w="0" w:type="dxa"/>
            </w:tcMar>
            <w:vAlign w:val="center"/>
          </w:tcPr>
          <w:p w14:paraId="116FA350">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5E2B578A">
            <w:pPr>
              <w:pStyle w:val="19"/>
              <w:rPr>
                <w:rFonts w:hint="default" w:eastAsia="宋体"/>
                <w:lang w:val="en-US" w:eastAsia="zh-CN"/>
              </w:rPr>
            </w:pPr>
            <w:r>
              <w:rPr>
                <w:rFonts w:hint="eastAsia"/>
                <w:lang w:val="en-US" w:eastAsia="zh-CN"/>
              </w:rPr>
              <w:t>0.07</w:t>
            </w:r>
          </w:p>
        </w:tc>
        <w:tc>
          <w:tcPr>
            <w:tcW w:w="467" w:type="pct"/>
            <w:tcBorders>
              <w:tl2br w:val="nil"/>
              <w:tr2bl w:val="nil"/>
            </w:tcBorders>
            <w:shd w:val="clear" w:color="auto" w:fill="auto"/>
            <w:tcMar>
              <w:left w:w="0" w:type="dxa"/>
              <w:right w:w="0" w:type="dxa"/>
            </w:tcMar>
            <w:vAlign w:val="center"/>
          </w:tcPr>
          <w:p w14:paraId="1D40F340">
            <w:pPr>
              <w:pStyle w:val="19"/>
              <w:rPr>
                <w:rFonts w:hint="default" w:eastAsia="宋体"/>
                <w:lang w:val="en-US" w:eastAsia="zh-CN"/>
              </w:rPr>
            </w:pPr>
            <w:r>
              <w:rPr>
                <w:rFonts w:hint="eastAsia"/>
                <w:lang w:val="en-US" w:eastAsia="zh-CN"/>
              </w:rPr>
              <w:t>0.070</w:t>
            </w:r>
          </w:p>
        </w:tc>
        <w:tc>
          <w:tcPr>
            <w:tcW w:w="467" w:type="pct"/>
            <w:tcBorders>
              <w:tl2br w:val="nil"/>
              <w:tr2bl w:val="nil"/>
            </w:tcBorders>
            <w:shd w:val="clear" w:color="auto" w:fill="auto"/>
            <w:tcMar>
              <w:left w:w="0" w:type="dxa"/>
              <w:right w:w="0" w:type="dxa"/>
            </w:tcMar>
            <w:vAlign w:val="center"/>
          </w:tcPr>
          <w:p w14:paraId="19DA1818">
            <w:pPr>
              <w:pStyle w:val="19"/>
              <w:rPr>
                <w:rFonts w:hint="default" w:eastAsia="宋体"/>
                <w:lang w:val="en-US" w:eastAsia="zh-CN"/>
              </w:rPr>
            </w:pPr>
            <w:r>
              <w:rPr>
                <w:rFonts w:hint="eastAsia"/>
                <w:lang w:val="en-US" w:eastAsia="zh-CN"/>
              </w:rPr>
              <w:t>4.56</w:t>
            </w:r>
          </w:p>
        </w:tc>
        <w:tc>
          <w:tcPr>
            <w:tcW w:w="582" w:type="pct"/>
            <w:tcBorders>
              <w:tl2br w:val="nil"/>
              <w:tr2bl w:val="nil"/>
            </w:tcBorders>
            <w:shd w:val="clear" w:color="auto" w:fill="auto"/>
            <w:tcMar>
              <w:left w:w="0" w:type="dxa"/>
              <w:right w:w="0" w:type="dxa"/>
            </w:tcMar>
            <w:vAlign w:val="center"/>
          </w:tcPr>
          <w:p w14:paraId="55520A58">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71E3F81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79656386">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2ACA2BD4">
            <w:pPr>
              <w:pStyle w:val="19"/>
            </w:pPr>
          </w:p>
        </w:tc>
        <w:tc>
          <w:tcPr>
            <w:tcW w:w="646" w:type="pct"/>
            <w:tcBorders>
              <w:tl2br w:val="nil"/>
              <w:tr2bl w:val="nil"/>
            </w:tcBorders>
            <w:shd w:val="clear" w:color="auto" w:fill="auto"/>
            <w:tcMar>
              <w:left w:w="0" w:type="dxa"/>
              <w:right w:w="0" w:type="dxa"/>
            </w:tcMar>
            <w:vAlign w:val="center"/>
          </w:tcPr>
          <w:p w14:paraId="39B2ABB8">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3F490CCA">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53BCF998">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36A46636">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24793B87">
            <w:pPr>
              <w:pStyle w:val="19"/>
              <w:rPr>
                <w:rFonts w:hint="default" w:eastAsia="宋体"/>
                <w:lang w:val="en-US" w:eastAsia="zh-CN"/>
              </w:rPr>
            </w:pPr>
            <w:r>
              <w:rPr>
                <w:rFonts w:hint="eastAsia"/>
                <w:lang w:val="en-US" w:eastAsia="zh-CN"/>
              </w:rPr>
              <w:t>0.001</w:t>
            </w:r>
          </w:p>
        </w:tc>
        <w:tc>
          <w:tcPr>
            <w:tcW w:w="467" w:type="pct"/>
            <w:tcBorders>
              <w:tl2br w:val="nil"/>
              <w:tr2bl w:val="nil"/>
            </w:tcBorders>
            <w:shd w:val="clear" w:color="auto" w:fill="auto"/>
            <w:tcMar>
              <w:left w:w="0" w:type="dxa"/>
              <w:right w:w="0" w:type="dxa"/>
            </w:tcMar>
            <w:vAlign w:val="center"/>
          </w:tcPr>
          <w:p w14:paraId="599D9D96">
            <w:pPr>
              <w:pStyle w:val="19"/>
              <w:rPr>
                <w:rFonts w:hint="default" w:eastAsia="宋体"/>
                <w:lang w:val="en-US" w:eastAsia="zh-CN"/>
              </w:rPr>
            </w:pPr>
            <w:r>
              <w:rPr>
                <w:rFonts w:hint="eastAsia"/>
                <w:lang w:val="en-US" w:eastAsia="zh-CN"/>
              </w:rPr>
              <w:t>0.002</w:t>
            </w:r>
          </w:p>
        </w:tc>
        <w:tc>
          <w:tcPr>
            <w:tcW w:w="467" w:type="pct"/>
            <w:tcBorders>
              <w:tl2br w:val="nil"/>
              <w:tr2bl w:val="nil"/>
            </w:tcBorders>
            <w:shd w:val="clear" w:color="auto" w:fill="auto"/>
            <w:tcMar>
              <w:left w:w="0" w:type="dxa"/>
              <w:right w:w="0" w:type="dxa"/>
            </w:tcMar>
            <w:vAlign w:val="center"/>
          </w:tcPr>
          <w:p w14:paraId="0448EED0">
            <w:pPr>
              <w:pStyle w:val="19"/>
              <w:rPr>
                <w:rFonts w:hint="default" w:eastAsia="宋体"/>
                <w:lang w:val="en-US" w:eastAsia="zh-CN"/>
              </w:rPr>
            </w:pPr>
            <w:r>
              <w:rPr>
                <w:rFonts w:hint="eastAsia"/>
                <w:lang w:val="en-US" w:eastAsia="zh-CN"/>
              </w:rPr>
              <w:t>0.076</w:t>
            </w:r>
          </w:p>
        </w:tc>
        <w:tc>
          <w:tcPr>
            <w:tcW w:w="582" w:type="pct"/>
            <w:tcBorders>
              <w:tl2br w:val="nil"/>
              <w:tr2bl w:val="nil"/>
            </w:tcBorders>
            <w:shd w:val="clear" w:color="auto" w:fill="auto"/>
            <w:tcMar>
              <w:left w:w="0" w:type="dxa"/>
              <w:right w:w="0" w:type="dxa"/>
            </w:tcMar>
            <w:vAlign w:val="center"/>
          </w:tcPr>
          <w:p w14:paraId="07FACC63">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48E78F1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C5A5B4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restart"/>
            <w:tcBorders>
              <w:tl2br w:val="nil"/>
              <w:tr2bl w:val="nil"/>
            </w:tcBorders>
            <w:shd w:val="clear" w:color="auto" w:fill="auto"/>
            <w:tcMar>
              <w:left w:w="0" w:type="dxa"/>
              <w:right w:w="0" w:type="dxa"/>
            </w:tcMar>
            <w:vAlign w:val="center"/>
          </w:tcPr>
          <w:p w14:paraId="10B09328">
            <w:pPr>
              <w:pStyle w:val="19"/>
              <w:rPr>
                <w:rFonts w:hint="eastAsia" w:eastAsia="宋体"/>
                <w:lang w:val="en-US" w:eastAsia="zh-CN"/>
              </w:rPr>
            </w:pPr>
            <w:r>
              <w:rPr>
                <w:rFonts w:hint="eastAsia"/>
              </w:rPr>
              <w:t>△</w:t>
            </w:r>
            <w:r>
              <w:rPr>
                <w:rFonts w:hint="eastAsia"/>
                <w:lang w:val="en-US" w:eastAsia="zh-CN"/>
              </w:rPr>
              <w:t>4</w:t>
            </w:r>
          </w:p>
        </w:tc>
        <w:tc>
          <w:tcPr>
            <w:tcW w:w="646" w:type="pct"/>
            <w:tcBorders>
              <w:tl2br w:val="nil"/>
              <w:tr2bl w:val="nil"/>
            </w:tcBorders>
            <w:shd w:val="clear" w:color="auto" w:fill="auto"/>
            <w:tcMar>
              <w:left w:w="0" w:type="dxa"/>
              <w:right w:w="0" w:type="dxa"/>
            </w:tcMar>
            <w:vAlign w:val="center"/>
          </w:tcPr>
          <w:p w14:paraId="00A84745">
            <w:pPr>
              <w:pStyle w:val="19"/>
            </w:pPr>
            <w:r>
              <w:rPr>
                <w:rFonts w:hint="eastAsia"/>
              </w:rPr>
              <w:t>0</w:t>
            </w:r>
            <w:r>
              <w:t>-0.5</w:t>
            </w:r>
          </w:p>
        </w:tc>
        <w:tc>
          <w:tcPr>
            <w:tcW w:w="465" w:type="pct"/>
            <w:tcBorders>
              <w:tl2br w:val="nil"/>
              <w:tr2bl w:val="nil"/>
            </w:tcBorders>
            <w:shd w:val="clear" w:color="auto" w:fill="auto"/>
            <w:tcMar>
              <w:left w:w="0" w:type="dxa"/>
              <w:right w:w="0" w:type="dxa"/>
            </w:tcMar>
            <w:vAlign w:val="center"/>
          </w:tcPr>
          <w:p w14:paraId="75E6A0B4">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39D521FF">
            <w:pPr>
              <w:pStyle w:val="19"/>
              <w:rPr>
                <w:rFonts w:hint="default" w:eastAsia="宋体"/>
                <w:lang w:val="en-US" w:eastAsia="zh-CN"/>
              </w:rPr>
            </w:pPr>
            <w:r>
              <w:rPr>
                <w:rFonts w:hint="eastAsia"/>
                <w:lang w:val="en-US" w:eastAsia="zh-CN"/>
              </w:rPr>
              <w:t>28</w:t>
            </w:r>
          </w:p>
        </w:tc>
        <w:tc>
          <w:tcPr>
            <w:tcW w:w="467" w:type="pct"/>
            <w:tcBorders>
              <w:tl2br w:val="nil"/>
              <w:tr2bl w:val="nil"/>
            </w:tcBorders>
            <w:shd w:val="clear" w:color="auto" w:fill="auto"/>
            <w:tcMar>
              <w:left w:w="0" w:type="dxa"/>
              <w:right w:w="0" w:type="dxa"/>
            </w:tcMar>
            <w:vAlign w:val="center"/>
          </w:tcPr>
          <w:p w14:paraId="170150C4">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EAF92E5">
            <w:pPr>
              <w:pStyle w:val="19"/>
              <w:rPr>
                <w:rFonts w:hint="default" w:eastAsia="宋体"/>
                <w:lang w:val="en-US" w:eastAsia="zh-CN"/>
              </w:rPr>
            </w:pPr>
            <w:r>
              <w:rPr>
                <w:rFonts w:hint="eastAsia"/>
                <w:lang w:val="en-US" w:eastAsia="zh-CN"/>
              </w:rPr>
              <w:t>0.33</w:t>
            </w:r>
          </w:p>
        </w:tc>
        <w:tc>
          <w:tcPr>
            <w:tcW w:w="467" w:type="pct"/>
            <w:tcBorders>
              <w:tl2br w:val="nil"/>
              <w:tr2bl w:val="nil"/>
            </w:tcBorders>
            <w:shd w:val="clear" w:color="auto" w:fill="auto"/>
            <w:tcMar>
              <w:left w:w="0" w:type="dxa"/>
              <w:right w:w="0" w:type="dxa"/>
            </w:tcMar>
            <w:vAlign w:val="center"/>
          </w:tcPr>
          <w:p w14:paraId="0148D347">
            <w:pPr>
              <w:pStyle w:val="19"/>
              <w:rPr>
                <w:rFonts w:hint="default" w:eastAsia="宋体"/>
                <w:lang w:val="en-US" w:eastAsia="zh-CN"/>
              </w:rPr>
            </w:pPr>
            <w:r>
              <w:rPr>
                <w:rFonts w:hint="eastAsia"/>
                <w:lang w:val="en-US" w:eastAsia="zh-CN"/>
              </w:rPr>
              <w:t>0.228</w:t>
            </w:r>
          </w:p>
        </w:tc>
        <w:tc>
          <w:tcPr>
            <w:tcW w:w="467" w:type="pct"/>
            <w:tcBorders>
              <w:tl2br w:val="nil"/>
              <w:tr2bl w:val="nil"/>
            </w:tcBorders>
            <w:shd w:val="clear" w:color="auto" w:fill="auto"/>
            <w:tcMar>
              <w:left w:w="0" w:type="dxa"/>
              <w:right w:w="0" w:type="dxa"/>
            </w:tcMar>
            <w:vAlign w:val="center"/>
          </w:tcPr>
          <w:p w14:paraId="76310B71">
            <w:pPr>
              <w:pStyle w:val="19"/>
              <w:rPr>
                <w:rFonts w:hint="default" w:eastAsia="宋体"/>
                <w:lang w:val="en-US" w:eastAsia="zh-CN"/>
              </w:rPr>
            </w:pPr>
            <w:r>
              <w:rPr>
                <w:rFonts w:hint="eastAsia"/>
                <w:lang w:val="en-US" w:eastAsia="zh-CN"/>
              </w:rPr>
              <w:t>10.2</w:t>
            </w:r>
          </w:p>
        </w:tc>
        <w:tc>
          <w:tcPr>
            <w:tcW w:w="582" w:type="pct"/>
            <w:tcBorders>
              <w:tl2br w:val="nil"/>
              <w:tr2bl w:val="nil"/>
            </w:tcBorders>
            <w:shd w:val="clear" w:color="auto" w:fill="auto"/>
            <w:tcMar>
              <w:left w:w="0" w:type="dxa"/>
              <w:right w:w="0" w:type="dxa"/>
            </w:tcMar>
            <w:vAlign w:val="center"/>
          </w:tcPr>
          <w:p w14:paraId="34A7F03E">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27433617">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3F8643C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57503DCC">
            <w:pPr>
              <w:pStyle w:val="19"/>
            </w:pPr>
          </w:p>
        </w:tc>
        <w:tc>
          <w:tcPr>
            <w:tcW w:w="646" w:type="pct"/>
            <w:tcBorders>
              <w:tl2br w:val="nil"/>
              <w:tr2bl w:val="nil"/>
            </w:tcBorders>
            <w:shd w:val="clear" w:color="auto" w:fill="auto"/>
            <w:tcMar>
              <w:left w:w="0" w:type="dxa"/>
              <w:right w:w="0" w:type="dxa"/>
            </w:tcMar>
            <w:vAlign w:val="center"/>
          </w:tcPr>
          <w:p w14:paraId="70363492">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4035FEDD">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63DBB346">
            <w:pPr>
              <w:pStyle w:val="19"/>
              <w:rPr>
                <w:rFonts w:hint="default" w:eastAsia="宋体"/>
                <w:lang w:val="en-US" w:eastAsia="zh-CN"/>
              </w:rPr>
            </w:pPr>
            <w:r>
              <w:rPr>
                <w:rFonts w:hint="eastAsia"/>
                <w:lang w:val="en-US" w:eastAsia="zh-CN"/>
              </w:rPr>
              <w:t>0.035</w:t>
            </w:r>
          </w:p>
        </w:tc>
        <w:tc>
          <w:tcPr>
            <w:tcW w:w="467" w:type="pct"/>
            <w:tcBorders>
              <w:tl2br w:val="nil"/>
              <w:tr2bl w:val="nil"/>
            </w:tcBorders>
            <w:shd w:val="clear" w:color="auto" w:fill="auto"/>
            <w:tcMar>
              <w:left w:w="0" w:type="dxa"/>
              <w:right w:w="0" w:type="dxa"/>
            </w:tcMar>
            <w:vAlign w:val="center"/>
          </w:tcPr>
          <w:p w14:paraId="5478B9ED">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01B071A2">
            <w:pPr>
              <w:pStyle w:val="19"/>
              <w:rPr>
                <w:rFonts w:hint="default" w:eastAsia="宋体"/>
                <w:lang w:val="en-US" w:eastAsia="zh-CN"/>
              </w:rPr>
            </w:pPr>
            <w:r>
              <w:rPr>
                <w:rFonts w:hint="eastAsia"/>
                <w:lang w:val="en-US" w:eastAsia="zh-CN"/>
              </w:rPr>
              <w:t>0.005</w:t>
            </w:r>
          </w:p>
        </w:tc>
        <w:tc>
          <w:tcPr>
            <w:tcW w:w="467" w:type="pct"/>
            <w:tcBorders>
              <w:tl2br w:val="nil"/>
              <w:tr2bl w:val="nil"/>
            </w:tcBorders>
            <w:shd w:val="clear" w:color="auto" w:fill="auto"/>
            <w:tcMar>
              <w:left w:w="0" w:type="dxa"/>
              <w:right w:w="0" w:type="dxa"/>
            </w:tcMar>
            <w:vAlign w:val="center"/>
          </w:tcPr>
          <w:p w14:paraId="42BC7FA8">
            <w:pPr>
              <w:pStyle w:val="19"/>
              <w:rPr>
                <w:rFonts w:hint="default" w:eastAsia="宋体"/>
                <w:lang w:val="en-US" w:eastAsia="zh-CN"/>
              </w:rPr>
            </w:pPr>
            <w:r>
              <w:rPr>
                <w:rFonts w:hint="eastAsia"/>
                <w:lang w:val="en-US" w:eastAsia="zh-CN"/>
              </w:rPr>
              <w:t>0.006</w:t>
            </w:r>
          </w:p>
        </w:tc>
        <w:tc>
          <w:tcPr>
            <w:tcW w:w="467" w:type="pct"/>
            <w:tcBorders>
              <w:tl2br w:val="nil"/>
              <w:tr2bl w:val="nil"/>
            </w:tcBorders>
            <w:shd w:val="clear" w:color="auto" w:fill="auto"/>
            <w:tcMar>
              <w:left w:w="0" w:type="dxa"/>
              <w:right w:w="0" w:type="dxa"/>
            </w:tcMar>
            <w:vAlign w:val="center"/>
          </w:tcPr>
          <w:p w14:paraId="641FFC97">
            <w:pPr>
              <w:pStyle w:val="19"/>
              <w:rPr>
                <w:rFonts w:hint="default" w:eastAsia="宋体"/>
                <w:lang w:val="en-US" w:eastAsia="zh-CN"/>
              </w:rPr>
            </w:pPr>
            <w:r>
              <w:rPr>
                <w:rFonts w:hint="eastAsia"/>
                <w:lang w:val="en-US" w:eastAsia="zh-CN"/>
              </w:rPr>
              <w:t>0.17</w:t>
            </w:r>
          </w:p>
        </w:tc>
        <w:tc>
          <w:tcPr>
            <w:tcW w:w="582" w:type="pct"/>
            <w:tcBorders>
              <w:tl2br w:val="nil"/>
              <w:tr2bl w:val="nil"/>
            </w:tcBorders>
            <w:shd w:val="clear" w:color="auto" w:fill="auto"/>
            <w:tcMar>
              <w:left w:w="0" w:type="dxa"/>
              <w:right w:w="0" w:type="dxa"/>
            </w:tcMar>
            <w:vAlign w:val="center"/>
          </w:tcPr>
          <w:p w14:paraId="61D9B65D">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3AA78CFE">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5025762C">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465437FC">
            <w:pPr>
              <w:pStyle w:val="19"/>
            </w:pPr>
          </w:p>
        </w:tc>
        <w:tc>
          <w:tcPr>
            <w:tcW w:w="646" w:type="pct"/>
            <w:tcBorders>
              <w:tl2br w:val="nil"/>
              <w:tr2bl w:val="nil"/>
            </w:tcBorders>
            <w:shd w:val="clear" w:color="auto" w:fill="auto"/>
            <w:tcMar>
              <w:left w:w="0" w:type="dxa"/>
              <w:right w:w="0" w:type="dxa"/>
            </w:tcMar>
            <w:vAlign w:val="center"/>
          </w:tcPr>
          <w:p w14:paraId="168492EF">
            <w:pPr>
              <w:pStyle w:val="19"/>
            </w:pPr>
            <w:r>
              <w:rPr>
                <w:rFonts w:hint="eastAsia"/>
              </w:rPr>
              <w:t>0</w:t>
            </w:r>
            <w:r>
              <w:t>.5-1.5</w:t>
            </w:r>
          </w:p>
        </w:tc>
        <w:tc>
          <w:tcPr>
            <w:tcW w:w="465" w:type="pct"/>
            <w:tcBorders>
              <w:tl2br w:val="nil"/>
              <w:tr2bl w:val="nil"/>
            </w:tcBorders>
            <w:shd w:val="clear" w:color="auto" w:fill="auto"/>
            <w:tcMar>
              <w:left w:w="0" w:type="dxa"/>
              <w:right w:w="0" w:type="dxa"/>
            </w:tcMar>
            <w:vAlign w:val="center"/>
          </w:tcPr>
          <w:p w14:paraId="55B57359">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45D562BC">
            <w:pPr>
              <w:pStyle w:val="19"/>
              <w:rPr>
                <w:rFonts w:hint="default" w:eastAsia="宋体"/>
                <w:lang w:val="en-US" w:eastAsia="zh-CN"/>
              </w:rPr>
            </w:pPr>
            <w:r>
              <w:rPr>
                <w:rFonts w:hint="eastAsia"/>
                <w:lang w:val="en-US" w:eastAsia="zh-CN"/>
              </w:rPr>
              <w:t>10</w:t>
            </w:r>
          </w:p>
        </w:tc>
        <w:tc>
          <w:tcPr>
            <w:tcW w:w="467" w:type="pct"/>
            <w:tcBorders>
              <w:tl2br w:val="nil"/>
              <w:tr2bl w:val="nil"/>
            </w:tcBorders>
            <w:shd w:val="clear" w:color="auto" w:fill="auto"/>
            <w:tcMar>
              <w:left w:w="0" w:type="dxa"/>
              <w:right w:w="0" w:type="dxa"/>
            </w:tcMar>
            <w:vAlign w:val="center"/>
          </w:tcPr>
          <w:p w14:paraId="5F2F29E4">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6F1EA8ED">
            <w:pPr>
              <w:pStyle w:val="19"/>
              <w:rPr>
                <w:rFonts w:hint="default" w:eastAsia="宋体"/>
                <w:lang w:val="en-US" w:eastAsia="zh-CN"/>
              </w:rPr>
            </w:pPr>
            <w:r>
              <w:rPr>
                <w:rFonts w:hint="eastAsia"/>
                <w:lang w:val="en-US" w:eastAsia="zh-CN"/>
              </w:rPr>
              <w:t>0.12</w:t>
            </w:r>
          </w:p>
        </w:tc>
        <w:tc>
          <w:tcPr>
            <w:tcW w:w="467" w:type="pct"/>
            <w:tcBorders>
              <w:tl2br w:val="nil"/>
              <w:tr2bl w:val="nil"/>
            </w:tcBorders>
            <w:shd w:val="clear" w:color="auto" w:fill="auto"/>
            <w:tcMar>
              <w:left w:w="0" w:type="dxa"/>
              <w:right w:w="0" w:type="dxa"/>
            </w:tcMar>
            <w:vAlign w:val="center"/>
          </w:tcPr>
          <w:p w14:paraId="10EF2E0B">
            <w:pPr>
              <w:pStyle w:val="19"/>
              <w:rPr>
                <w:rFonts w:hint="default" w:eastAsia="宋体"/>
                <w:lang w:val="en-US" w:eastAsia="zh-CN"/>
              </w:rPr>
            </w:pPr>
            <w:r>
              <w:rPr>
                <w:rFonts w:hint="eastAsia"/>
                <w:lang w:val="en-US" w:eastAsia="zh-CN"/>
              </w:rPr>
              <w:t>0.103</w:t>
            </w:r>
          </w:p>
        </w:tc>
        <w:tc>
          <w:tcPr>
            <w:tcW w:w="467" w:type="pct"/>
            <w:tcBorders>
              <w:tl2br w:val="nil"/>
              <w:tr2bl w:val="nil"/>
            </w:tcBorders>
            <w:shd w:val="clear" w:color="auto" w:fill="auto"/>
            <w:tcMar>
              <w:left w:w="0" w:type="dxa"/>
              <w:right w:w="0" w:type="dxa"/>
            </w:tcMar>
            <w:vAlign w:val="center"/>
          </w:tcPr>
          <w:p w14:paraId="6F004372">
            <w:pPr>
              <w:pStyle w:val="19"/>
              <w:rPr>
                <w:rFonts w:hint="default" w:eastAsia="宋体"/>
                <w:lang w:val="en-US" w:eastAsia="zh-CN"/>
              </w:rPr>
            </w:pPr>
            <w:r>
              <w:rPr>
                <w:rFonts w:hint="eastAsia"/>
                <w:lang w:val="en-US" w:eastAsia="zh-CN"/>
              </w:rPr>
              <w:t>6.57</w:t>
            </w:r>
          </w:p>
        </w:tc>
        <w:tc>
          <w:tcPr>
            <w:tcW w:w="582" w:type="pct"/>
            <w:tcBorders>
              <w:tl2br w:val="nil"/>
              <w:tr2bl w:val="nil"/>
            </w:tcBorders>
            <w:shd w:val="clear" w:color="auto" w:fill="auto"/>
            <w:tcMar>
              <w:left w:w="0" w:type="dxa"/>
              <w:right w:w="0" w:type="dxa"/>
            </w:tcMar>
            <w:vAlign w:val="center"/>
          </w:tcPr>
          <w:p w14:paraId="0C3FAB5D">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265232DE">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0E7C0436">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46E7A5FA">
            <w:pPr>
              <w:pStyle w:val="19"/>
            </w:pPr>
          </w:p>
        </w:tc>
        <w:tc>
          <w:tcPr>
            <w:tcW w:w="646" w:type="pct"/>
            <w:tcBorders>
              <w:tl2br w:val="nil"/>
              <w:tr2bl w:val="nil"/>
            </w:tcBorders>
            <w:shd w:val="clear" w:color="auto" w:fill="auto"/>
            <w:tcMar>
              <w:left w:w="0" w:type="dxa"/>
              <w:right w:w="0" w:type="dxa"/>
            </w:tcMar>
            <w:vAlign w:val="center"/>
          </w:tcPr>
          <w:p w14:paraId="0F727936">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43C51FC6">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4188B10F">
            <w:pPr>
              <w:pStyle w:val="19"/>
              <w:rPr>
                <w:rFonts w:hint="default" w:eastAsia="宋体"/>
                <w:lang w:val="en-US" w:eastAsia="zh-CN"/>
              </w:rPr>
            </w:pPr>
            <w:r>
              <w:rPr>
                <w:rFonts w:hint="eastAsia"/>
                <w:lang w:val="en-US" w:eastAsia="zh-CN"/>
              </w:rPr>
              <w:t>0.013</w:t>
            </w:r>
          </w:p>
        </w:tc>
        <w:tc>
          <w:tcPr>
            <w:tcW w:w="467" w:type="pct"/>
            <w:tcBorders>
              <w:tl2br w:val="nil"/>
              <w:tr2bl w:val="nil"/>
            </w:tcBorders>
            <w:shd w:val="clear" w:color="auto" w:fill="auto"/>
            <w:tcMar>
              <w:left w:w="0" w:type="dxa"/>
              <w:right w:w="0" w:type="dxa"/>
            </w:tcMar>
            <w:vAlign w:val="center"/>
          </w:tcPr>
          <w:p w14:paraId="2BC9050D">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67C9B096">
            <w:pPr>
              <w:pStyle w:val="19"/>
              <w:rPr>
                <w:rFonts w:hint="default" w:eastAsia="宋体"/>
                <w:lang w:val="en-US" w:eastAsia="zh-CN"/>
              </w:rPr>
            </w:pPr>
            <w:r>
              <w:rPr>
                <w:rFonts w:hint="eastAsia"/>
                <w:lang w:val="en-US" w:eastAsia="zh-CN"/>
              </w:rPr>
              <w:t>0.002</w:t>
            </w:r>
          </w:p>
        </w:tc>
        <w:tc>
          <w:tcPr>
            <w:tcW w:w="467" w:type="pct"/>
            <w:tcBorders>
              <w:tl2br w:val="nil"/>
              <w:tr2bl w:val="nil"/>
            </w:tcBorders>
            <w:shd w:val="clear" w:color="auto" w:fill="auto"/>
            <w:tcMar>
              <w:left w:w="0" w:type="dxa"/>
              <w:right w:w="0" w:type="dxa"/>
            </w:tcMar>
            <w:vAlign w:val="center"/>
          </w:tcPr>
          <w:p w14:paraId="21658240">
            <w:pPr>
              <w:pStyle w:val="19"/>
              <w:rPr>
                <w:rFonts w:hint="default" w:eastAsia="宋体"/>
                <w:lang w:val="en-US" w:eastAsia="zh-CN"/>
              </w:rPr>
            </w:pPr>
            <w:r>
              <w:rPr>
                <w:rFonts w:hint="eastAsia"/>
                <w:lang w:val="en-US" w:eastAsia="zh-CN"/>
              </w:rPr>
              <w:t>0.003</w:t>
            </w:r>
          </w:p>
        </w:tc>
        <w:tc>
          <w:tcPr>
            <w:tcW w:w="467" w:type="pct"/>
            <w:tcBorders>
              <w:tl2br w:val="nil"/>
              <w:tr2bl w:val="nil"/>
            </w:tcBorders>
            <w:shd w:val="clear" w:color="auto" w:fill="auto"/>
            <w:tcMar>
              <w:left w:w="0" w:type="dxa"/>
              <w:right w:w="0" w:type="dxa"/>
            </w:tcMar>
            <w:vAlign w:val="center"/>
          </w:tcPr>
          <w:p w14:paraId="7E28CFDF">
            <w:pPr>
              <w:pStyle w:val="19"/>
              <w:rPr>
                <w:rFonts w:hint="default" w:eastAsia="宋体"/>
                <w:lang w:val="en-US" w:eastAsia="zh-CN"/>
              </w:rPr>
            </w:pPr>
            <w:r>
              <w:rPr>
                <w:rFonts w:hint="eastAsia"/>
                <w:lang w:val="en-US" w:eastAsia="zh-CN"/>
              </w:rPr>
              <w:t>0.11</w:t>
            </w:r>
          </w:p>
        </w:tc>
        <w:tc>
          <w:tcPr>
            <w:tcW w:w="582" w:type="pct"/>
            <w:tcBorders>
              <w:tl2br w:val="nil"/>
              <w:tr2bl w:val="nil"/>
            </w:tcBorders>
            <w:shd w:val="clear" w:color="auto" w:fill="auto"/>
            <w:tcMar>
              <w:left w:w="0" w:type="dxa"/>
              <w:right w:w="0" w:type="dxa"/>
            </w:tcMar>
            <w:vAlign w:val="center"/>
          </w:tcPr>
          <w:p w14:paraId="76D26AD7">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702D1F27">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69CB8F9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37DAA8D1">
            <w:pPr>
              <w:pStyle w:val="19"/>
            </w:pPr>
          </w:p>
        </w:tc>
        <w:tc>
          <w:tcPr>
            <w:tcW w:w="646" w:type="pct"/>
            <w:tcBorders>
              <w:tl2br w:val="nil"/>
              <w:tr2bl w:val="nil"/>
            </w:tcBorders>
            <w:shd w:val="clear" w:color="auto" w:fill="auto"/>
            <w:tcMar>
              <w:left w:w="0" w:type="dxa"/>
              <w:right w:w="0" w:type="dxa"/>
            </w:tcMar>
            <w:vAlign w:val="center"/>
          </w:tcPr>
          <w:p w14:paraId="3E449D2D">
            <w:pPr>
              <w:pStyle w:val="19"/>
            </w:pPr>
            <w:r>
              <w:rPr>
                <w:rFonts w:hint="eastAsia"/>
              </w:rPr>
              <w:t>1</w:t>
            </w:r>
            <w:r>
              <w:t>.5-3.0</w:t>
            </w:r>
          </w:p>
        </w:tc>
        <w:tc>
          <w:tcPr>
            <w:tcW w:w="465" w:type="pct"/>
            <w:tcBorders>
              <w:tl2br w:val="nil"/>
              <w:tr2bl w:val="nil"/>
            </w:tcBorders>
            <w:shd w:val="clear" w:color="auto" w:fill="auto"/>
            <w:tcMar>
              <w:left w:w="0" w:type="dxa"/>
              <w:right w:w="0" w:type="dxa"/>
            </w:tcMar>
            <w:vAlign w:val="center"/>
          </w:tcPr>
          <w:p w14:paraId="0B625E42">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42CC9B27">
            <w:pPr>
              <w:pStyle w:val="19"/>
            </w:pPr>
            <w:r>
              <w:rPr>
                <w:rFonts w:hint="eastAsia"/>
                <w:lang w:val="en-US" w:eastAsia="zh-CN"/>
              </w:rPr>
              <w:t>＜10</w:t>
            </w:r>
          </w:p>
        </w:tc>
        <w:tc>
          <w:tcPr>
            <w:tcW w:w="467" w:type="pct"/>
            <w:tcBorders>
              <w:tl2br w:val="nil"/>
              <w:tr2bl w:val="nil"/>
            </w:tcBorders>
            <w:shd w:val="clear" w:color="auto" w:fill="auto"/>
            <w:tcMar>
              <w:left w:w="0" w:type="dxa"/>
              <w:right w:w="0" w:type="dxa"/>
            </w:tcMar>
            <w:vAlign w:val="center"/>
          </w:tcPr>
          <w:p w14:paraId="4FD50462">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350CBB4">
            <w:pPr>
              <w:pStyle w:val="19"/>
              <w:rPr>
                <w:rFonts w:hint="default" w:eastAsia="宋体"/>
                <w:lang w:val="en-US" w:eastAsia="zh-CN"/>
              </w:rPr>
            </w:pPr>
            <w:r>
              <w:rPr>
                <w:rFonts w:hint="eastAsia"/>
                <w:lang w:val="en-US" w:eastAsia="zh-CN"/>
              </w:rPr>
              <w:t>＜0.05</w:t>
            </w:r>
          </w:p>
        </w:tc>
        <w:tc>
          <w:tcPr>
            <w:tcW w:w="467" w:type="pct"/>
            <w:tcBorders>
              <w:tl2br w:val="nil"/>
              <w:tr2bl w:val="nil"/>
            </w:tcBorders>
            <w:shd w:val="clear" w:color="auto" w:fill="auto"/>
            <w:tcMar>
              <w:left w:w="0" w:type="dxa"/>
              <w:right w:w="0" w:type="dxa"/>
            </w:tcMar>
            <w:vAlign w:val="center"/>
          </w:tcPr>
          <w:p w14:paraId="2F9BA37A">
            <w:pPr>
              <w:pStyle w:val="19"/>
              <w:rPr>
                <w:rFonts w:hint="default" w:eastAsia="宋体"/>
                <w:lang w:val="en-US" w:eastAsia="zh-CN"/>
              </w:rPr>
            </w:pPr>
            <w:r>
              <w:rPr>
                <w:rFonts w:hint="eastAsia"/>
                <w:lang w:val="en-US" w:eastAsia="zh-CN"/>
              </w:rPr>
              <w:t>0.042</w:t>
            </w:r>
          </w:p>
        </w:tc>
        <w:tc>
          <w:tcPr>
            <w:tcW w:w="467" w:type="pct"/>
            <w:tcBorders>
              <w:tl2br w:val="nil"/>
              <w:tr2bl w:val="nil"/>
            </w:tcBorders>
            <w:shd w:val="clear" w:color="auto" w:fill="auto"/>
            <w:tcMar>
              <w:left w:w="0" w:type="dxa"/>
              <w:right w:w="0" w:type="dxa"/>
            </w:tcMar>
            <w:vAlign w:val="center"/>
          </w:tcPr>
          <w:p w14:paraId="28643280">
            <w:pPr>
              <w:pStyle w:val="19"/>
              <w:rPr>
                <w:rFonts w:hint="default" w:eastAsia="宋体"/>
                <w:lang w:val="en-US" w:eastAsia="zh-CN"/>
              </w:rPr>
            </w:pPr>
            <w:r>
              <w:rPr>
                <w:rFonts w:hint="eastAsia"/>
                <w:lang w:val="en-US" w:eastAsia="zh-CN"/>
              </w:rPr>
              <w:t>4.09</w:t>
            </w:r>
          </w:p>
        </w:tc>
        <w:tc>
          <w:tcPr>
            <w:tcW w:w="582" w:type="pct"/>
            <w:tcBorders>
              <w:tl2br w:val="nil"/>
              <w:tr2bl w:val="nil"/>
            </w:tcBorders>
            <w:shd w:val="clear" w:color="auto" w:fill="auto"/>
            <w:tcMar>
              <w:left w:w="0" w:type="dxa"/>
              <w:right w:w="0" w:type="dxa"/>
            </w:tcMar>
            <w:vAlign w:val="center"/>
          </w:tcPr>
          <w:p w14:paraId="104733CC">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c>
          <w:tcPr>
            <w:tcW w:w="727" w:type="pct"/>
            <w:tcBorders>
              <w:tl2br w:val="nil"/>
              <w:tr2bl w:val="nil"/>
            </w:tcBorders>
            <w:vAlign w:val="center"/>
          </w:tcPr>
          <w:p w14:paraId="62F81D9D">
            <w:pPr>
              <w:pStyle w:val="19"/>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w:t>
            </w:r>
          </w:p>
        </w:tc>
      </w:tr>
      <w:tr w14:paraId="7052DFA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05575C9F">
            <w:pPr>
              <w:pStyle w:val="19"/>
            </w:pPr>
          </w:p>
        </w:tc>
        <w:tc>
          <w:tcPr>
            <w:tcW w:w="646" w:type="pct"/>
            <w:tcBorders>
              <w:tl2br w:val="nil"/>
              <w:tr2bl w:val="nil"/>
            </w:tcBorders>
            <w:shd w:val="clear" w:color="auto" w:fill="auto"/>
            <w:tcMar>
              <w:left w:w="0" w:type="dxa"/>
              <w:right w:w="0" w:type="dxa"/>
            </w:tcMar>
            <w:vAlign w:val="center"/>
          </w:tcPr>
          <w:p w14:paraId="3505FCD4">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42717C18">
            <w:pPr>
              <w:pStyle w:val="19"/>
              <w:rPr>
                <w:rFonts w:hint="eastAsia" w:eastAsia="宋体"/>
                <w:kern w:val="0"/>
                <w:lang w:val="en-US" w:eastAsia="zh-CN"/>
              </w:rPr>
            </w:pPr>
            <w:r>
              <w:rPr>
                <w:rFonts w:hint="eastAsia"/>
                <w:kern w:val="0"/>
                <w:lang w:val="en-US" w:eastAsia="zh-CN"/>
              </w:rPr>
              <w:t>/</w:t>
            </w:r>
          </w:p>
        </w:tc>
        <w:tc>
          <w:tcPr>
            <w:tcW w:w="467" w:type="pct"/>
            <w:tcBorders>
              <w:tl2br w:val="nil"/>
              <w:tr2bl w:val="nil"/>
            </w:tcBorders>
            <w:shd w:val="clear" w:color="auto" w:fill="auto"/>
            <w:tcMar>
              <w:left w:w="0" w:type="dxa"/>
              <w:right w:w="0" w:type="dxa"/>
            </w:tcMar>
            <w:vAlign w:val="center"/>
          </w:tcPr>
          <w:p w14:paraId="6374CF21">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589E23D7">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56470029">
            <w:pPr>
              <w:pStyle w:val="19"/>
              <w:rPr>
                <w:rFonts w:hint="eastAsia" w:eastAsia="宋体"/>
                <w:lang w:val="en-US" w:eastAsia="zh-CN"/>
              </w:rPr>
            </w:pPr>
            <w:r>
              <w:rPr>
                <w:rFonts w:hint="eastAsia"/>
                <w:lang w:val="en-US" w:eastAsia="zh-CN"/>
              </w:rPr>
              <w:t>/</w:t>
            </w:r>
          </w:p>
        </w:tc>
        <w:tc>
          <w:tcPr>
            <w:tcW w:w="467" w:type="pct"/>
            <w:tcBorders>
              <w:tl2br w:val="nil"/>
              <w:tr2bl w:val="nil"/>
            </w:tcBorders>
            <w:shd w:val="clear" w:color="auto" w:fill="auto"/>
            <w:tcMar>
              <w:left w:w="0" w:type="dxa"/>
              <w:right w:w="0" w:type="dxa"/>
            </w:tcMar>
            <w:vAlign w:val="center"/>
          </w:tcPr>
          <w:p w14:paraId="72B4E918">
            <w:pPr>
              <w:pStyle w:val="19"/>
              <w:rPr>
                <w:rFonts w:hint="default" w:eastAsia="宋体"/>
                <w:lang w:val="en-US" w:eastAsia="zh-CN"/>
              </w:rPr>
            </w:pPr>
            <w:r>
              <w:rPr>
                <w:rFonts w:hint="eastAsia"/>
                <w:lang w:val="en-US" w:eastAsia="zh-CN"/>
              </w:rPr>
              <w:t>0.001</w:t>
            </w:r>
          </w:p>
        </w:tc>
        <w:tc>
          <w:tcPr>
            <w:tcW w:w="467" w:type="pct"/>
            <w:tcBorders>
              <w:tl2br w:val="nil"/>
              <w:tr2bl w:val="nil"/>
            </w:tcBorders>
            <w:shd w:val="clear" w:color="auto" w:fill="auto"/>
            <w:tcMar>
              <w:left w:w="0" w:type="dxa"/>
              <w:right w:w="0" w:type="dxa"/>
            </w:tcMar>
            <w:vAlign w:val="center"/>
          </w:tcPr>
          <w:p w14:paraId="79ABA1DD">
            <w:pPr>
              <w:pStyle w:val="19"/>
              <w:rPr>
                <w:rFonts w:hint="default" w:eastAsia="宋体"/>
                <w:lang w:val="en-US" w:eastAsia="zh-CN"/>
              </w:rPr>
            </w:pPr>
            <w:r>
              <w:rPr>
                <w:rFonts w:hint="eastAsia"/>
                <w:lang w:val="en-US" w:eastAsia="zh-CN"/>
              </w:rPr>
              <w:t>0.068</w:t>
            </w:r>
          </w:p>
        </w:tc>
        <w:tc>
          <w:tcPr>
            <w:tcW w:w="582" w:type="pct"/>
            <w:tcBorders>
              <w:tl2br w:val="nil"/>
              <w:tr2bl w:val="nil"/>
            </w:tcBorders>
            <w:shd w:val="clear" w:color="auto" w:fill="auto"/>
            <w:tcMar>
              <w:left w:w="0" w:type="dxa"/>
              <w:right w:w="0" w:type="dxa"/>
            </w:tcMar>
            <w:vAlign w:val="center"/>
          </w:tcPr>
          <w:p w14:paraId="130BC672">
            <w:pPr>
              <w:pStyle w:val="19"/>
              <w:rPr>
                <w:rFonts w:hint="eastAsia" w:eastAsia="宋体"/>
                <w:lang w:val="en-US" w:eastAsia="zh-CN"/>
              </w:rPr>
            </w:pPr>
            <w:r>
              <w:rPr>
                <w:rFonts w:hint="eastAsia"/>
                <w:lang w:val="en-US" w:eastAsia="zh-CN"/>
              </w:rPr>
              <w:t>/</w:t>
            </w:r>
          </w:p>
        </w:tc>
        <w:tc>
          <w:tcPr>
            <w:tcW w:w="727" w:type="pct"/>
            <w:tcBorders>
              <w:tl2br w:val="nil"/>
              <w:tr2bl w:val="nil"/>
            </w:tcBorders>
            <w:vAlign w:val="center"/>
          </w:tcPr>
          <w:p w14:paraId="202B34ED">
            <w:pPr>
              <w:pStyle w:val="19"/>
              <w:rPr>
                <w:rFonts w:hint="eastAsia" w:eastAsia="宋体"/>
                <w:lang w:val="en-US" w:eastAsia="zh-CN"/>
              </w:rPr>
            </w:pPr>
            <w:r>
              <w:rPr>
                <w:rFonts w:hint="eastAsia"/>
                <w:lang w:val="en-US" w:eastAsia="zh-CN"/>
              </w:rPr>
              <w:t>/</w:t>
            </w:r>
          </w:p>
        </w:tc>
      </w:tr>
      <w:tr w14:paraId="5B27BCE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restart"/>
            <w:tcBorders>
              <w:tl2br w:val="nil"/>
              <w:tr2bl w:val="nil"/>
            </w:tcBorders>
            <w:shd w:val="clear" w:color="auto" w:fill="auto"/>
            <w:tcMar>
              <w:left w:w="0" w:type="dxa"/>
              <w:right w:w="0" w:type="dxa"/>
            </w:tcMar>
            <w:vAlign w:val="center"/>
          </w:tcPr>
          <w:p w14:paraId="15AD6665">
            <w:pPr>
              <w:pStyle w:val="19"/>
              <w:rPr>
                <w:rFonts w:hint="eastAsia" w:eastAsia="宋体"/>
                <w:lang w:val="en-US" w:eastAsia="zh-CN"/>
              </w:rPr>
            </w:pPr>
            <w:r>
              <w:rPr>
                <w:rFonts w:hint="eastAsia"/>
              </w:rPr>
              <w:t>△</w:t>
            </w:r>
            <w:r>
              <w:rPr>
                <w:rFonts w:hint="eastAsia"/>
                <w:lang w:val="en-US" w:eastAsia="zh-CN"/>
              </w:rPr>
              <w:t>5</w:t>
            </w:r>
          </w:p>
        </w:tc>
        <w:tc>
          <w:tcPr>
            <w:tcW w:w="646" w:type="pct"/>
            <w:tcBorders>
              <w:tl2br w:val="nil"/>
              <w:tr2bl w:val="nil"/>
            </w:tcBorders>
            <w:shd w:val="clear" w:color="auto" w:fill="auto"/>
            <w:tcMar>
              <w:left w:w="0" w:type="dxa"/>
              <w:right w:w="0" w:type="dxa"/>
            </w:tcMar>
            <w:vAlign w:val="center"/>
          </w:tcPr>
          <w:p w14:paraId="60BE9681">
            <w:pPr>
              <w:pStyle w:val="19"/>
              <w:rPr>
                <w:rFonts w:hint="default" w:eastAsia="宋体"/>
                <w:lang w:val="en-US" w:eastAsia="zh-CN"/>
              </w:rPr>
            </w:pPr>
            <w:r>
              <w:rPr>
                <w:rFonts w:hint="eastAsia"/>
                <w:lang w:val="en-US" w:eastAsia="zh-CN"/>
              </w:rPr>
              <w:t>标准值</w:t>
            </w:r>
          </w:p>
        </w:tc>
        <w:tc>
          <w:tcPr>
            <w:tcW w:w="465" w:type="pct"/>
            <w:tcBorders>
              <w:tl2br w:val="nil"/>
              <w:tr2bl w:val="nil"/>
            </w:tcBorders>
            <w:shd w:val="clear" w:color="auto" w:fill="auto"/>
            <w:tcMar>
              <w:left w:w="0" w:type="dxa"/>
              <w:right w:w="0" w:type="dxa"/>
            </w:tcMar>
            <w:vAlign w:val="center"/>
          </w:tcPr>
          <w:p w14:paraId="0582EBFB">
            <w:pPr>
              <w:pStyle w:val="19"/>
              <w:rPr>
                <w:rFonts w:hint="default" w:eastAsia="宋体"/>
                <w:lang w:val="en-US" w:eastAsia="zh-CN"/>
              </w:rPr>
            </w:pPr>
            <w:r>
              <w:rPr>
                <w:rFonts w:hint="eastAsia"/>
                <w:lang w:val="en-US" w:eastAsia="zh-CN"/>
              </w:rPr>
              <w:t>100</w:t>
            </w:r>
          </w:p>
        </w:tc>
        <w:tc>
          <w:tcPr>
            <w:tcW w:w="467" w:type="pct"/>
            <w:tcBorders>
              <w:tl2br w:val="nil"/>
              <w:tr2bl w:val="nil"/>
            </w:tcBorders>
            <w:shd w:val="clear" w:color="auto" w:fill="auto"/>
            <w:tcMar>
              <w:left w:w="0" w:type="dxa"/>
              <w:right w:w="0" w:type="dxa"/>
            </w:tcMar>
            <w:vAlign w:val="center"/>
          </w:tcPr>
          <w:p w14:paraId="3DEB093B">
            <w:pPr>
              <w:pStyle w:val="19"/>
              <w:rPr>
                <w:rFonts w:hint="default" w:eastAsia="宋体"/>
                <w:lang w:val="en-US" w:eastAsia="zh-CN"/>
              </w:rPr>
            </w:pPr>
            <w:r>
              <w:rPr>
                <w:rFonts w:hint="eastAsia"/>
                <w:lang w:val="en-US" w:eastAsia="zh-CN"/>
              </w:rPr>
              <w:t>170</w:t>
            </w:r>
          </w:p>
        </w:tc>
        <w:tc>
          <w:tcPr>
            <w:tcW w:w="467" w:type="pct"/>
            <w:tcBorders>
              <w:tl2br w:val="nil"/>
              <w:tr2bl w:val="nil"/>
            </w:tcBorders>
            <w:shd w:val="clear" w:color="auto" w:fill="auto"/>
            <w:tcMar>
              <w:left w:w="0" w:type="dxa"/>
              <w:right w:w="0" w:type="dxa"/>
            </w:tcMar>
            <w:vAlign w:val="center"/>
          </w:tcPr>
          <w:p w14:paraId="24F8F5D7">
            <w:pPr>
              <w:pStyle w:val="19"/>
              <w:rPr>
                <w:rFonts w:hint="default" w:eastAsia="宋体"/>
                <w:lang w:val="en-US" w:eastAsia="zh-CN"/>
              </w:rPr>
            </w:pPr>
            <w:r>
              <w:rPr>
                <w:rFonts w:hint="eastAsia"/>
                <w:lang w:val="en-US" w:eastAsia="zh-CN"/>
              </w:rPr>
              <w:t>190</w:t>
            </w:r>
          </w:p>
        </w:tc>
        <w:tc>
          <w:tcPr>
            <w:tcW w:w="467" w:type="pct"/>
            <w:tcBorders>
              <w:tl2br w:val="nil"/>
              <w:tr2bl w:val="nil"/>
            </w:tcBorders>
            <w:shd w:val="clear" w:color="auto" w:fill="auto"/>
            <w:tcMar>
              <w:left w:w="0" w:type="dxa"/>
              <w:right w:w="0" w:type="dxa"/>
            </w:tcMar>
            <w:vAlign w:val="center"/>
          </w:tcPr>
          <w:p w14:paraId="5CE74C84">
            <w:pPr>
              <w:pStyle w:val="19"/>
              <w:rPr>
                <w:rFonts w:hint="default" w:eastAsia="宋体"/>
                <w:lang w:val="en-US" w:eastAsia="zh-CN"/>
              </w:rPr>
            </w:pPr>
            <w:r>
              <w:rPr>
                <w:rFonts w:hint="eastAsia"/>
                <w:lang w:val="en-US" w:eastAsia="zh-CN"/>
              </w:rPr>
              <w:t>0.6</w:t>
            </w:r>
          </w:p>
        </w:tc>
        <w:tc>
          <w:tcPr>
            <w:tcW w:w="467" w:type="pct"/>
            <w:tcBorders>
              <w:tl2br w:val="nil"/>
              <w:tr2bl w:val="nil"/>
            </w:tcBorders>
            <w:shd w:val="clear" w:color="auto" w:fill="auto"/>
            <w:tcMar>
              <w:left w:w="0" w:type="dxa"/>
              <w:right w:w="0" w:type="dxa"/>
            </w:tcMar>
            <w:vAlign w:val="center"/>
          </w:tcPr>
          <w:p w14:paraId="3651938A">
            <w:pPr>
              <w:pStyle w:val="19"/>
              <w:rPr>
                <w:rFonts w:hint="default" w:eastAsia="宋体"/>
                <w:lang w:val="en-US" w:eastAsia="zh-CN"/>
              </w:rPr>
            </w:pPr>
            <w:r>
              <w:rPr>
                <w:rFonts w:hint="eastAsia"/>
                <w:lang w:val="en-US" w:eastAsia="zh-CN"/>
              </w:rPr>
              <w:t>3.4</w:t>
            </w:r>
          </w:p>
        </w:tc>
        <w:tc>
          <w:tcPr>
            <w:tcW w:w="467" w:type="pct"/>
            <w:tcBorders>
              <w:tl2br w:val="nil"/>
              <w:tr2bl w:val="nil"/>
            </w:tcBorders>
            <w:shd w:val="clear" w:color="auto" w:fill="auto"/>
            <w:tcMar>
              <w:left w:w="0" w:type="dxa"/>
              <w:right w:w="0" w:type="dxa"/>
            </w:tcMar>
            <w:vAlign w:val="center"/>
          </w:tcPr>
          <w:p w14:paraId="3AAE339A">
            <w:pPr>
              <w:pStyle w:val="19"/>
              <w:rPr>
                <w:rFonts w:hint="default" w:eastAsia="宋体"/>
                <w:lang w:val="en-US" w:eastAsia="zh-CN"/>
              </w:rPr>
            </w:pPr>
            <w:r>
              <w:rPr>
                <w:rFonts w:hint="eastAsia"/>
                <w:lang w:val="en-US" w:eastAsia="zh-CN"/>
              </w:rPr>
              <w:t>25</w:t>
            </w:r>
          </w:p>
        </w:tc>
        <w:tc>
          <w:tcPr>
            <w:tcW w:w="582" w:type="pct"/>
            <w:tcBorders>
              <w:tl2br w:val="nil"/>
              <w:tr2bl w:val="nil"/>
            </w:tcBorders>
            <w:shd w:val="clear" w:color="auto" w:fill="auto"/>
            <w:tcMar>
              <w:left w:w="0" w:type="dxa"/>
              <w:right w:w="0" w:type="dxa"/>
            </w:tcMar>
            <w:vAlign w:val="center"/>
          </w:tcPr>
          <w:p w14:paraId="40F4E310">
            <w:pPr>
              <w:pStyle w:val="19"/>
              <w:rPr>
                <w:rFonts w:hint="default" w:eastAsia="宋体"/>
                <w:lang w:val="en-US" w:eastAsia="zh-CN"/>
              </w:rPr>
            </w:pPr>
            <w:r>
              <w:rPr>
                <w:rFonts w:hint="eastAsia"/>
                <w:lang w:val="en-US" w:eastAsia="zh-CN"/>
              </w:rPr>
              <w:t>250</w:t>
            </w:r>
          </w:p>
        </w:tc>
        <w:tc>
          <w:tcPr>
            <w:tcW w:w="727" w:type="pct"/>
            <w:tcBorders>
              <w:tl2br w:val="nil"/>
              <w:tr2bl w:val="nil"/>
            </w:tcBorders>
            <w:vAlign w:val="center"/>
          </w:tcPr>
          <w:p w14:paraId="633CC908">
            <w:pPr>
              <w:pStyle w:val="19"/>
              <w:rPr>
                <w:rFonts w:hint="default" w:eastAsia="宋体"/>
                <w:lang w:val="en-US" w:eastAsia="zh-CN"/>
              </w:rPr>
            </w:pPr>
            <w:r>
              <w:rPr>
                <w:rFonts w:hint="eastAsia"/>
                <w:lang w:val="en-US" w:eastAsia="zh-CN"/>
              </w:rPr>
              <w:t>＞7.2</w:t>
            </w:r>
          </w:p>
        </w:tc>
      </w:tr>
      <w:tr w14:paraId="732ED70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36776CB5">
            <w:pPr>
              <w:pStyle w:val="19"/>
              <w:rPr>
                <w:rFonts w:hint="eastAsia" w:eastAsia="宋体"/>
                <w:lang w:val="en-US" w:eastAsia="zh-CN"/>
              </w:rPr>
            </w:pPr>
          </w:p>
        </w:tc>
        <w:tc>
          <w:tcPr>
            <w:tcW w:w="646" w:type="pct"/>
            <w:tcBorders>
              <w:tl2br w:val="nil"/>
              <w:tr2bl w:val="nil"/>
            </w:tcBorders>
            <w:shd w:val="clear" w:color="auto" w:fill="auto"/>
            <w:tcMar>
              <w:left w:w="0" w:type="dxa"/>
              <w:right w:w="0" w:type="dxa"/>
            </w:tcMar>
            <w:vAlign w:val="center"/>
          </w:tcPr>
          <w:p w14:paraId="0B887D6C">
            <w:pPr>
              <w:pStyle w:val="19"/>
            </w:pPr>
            <w:r>
              <w:rPr>
                <w:rFonts w:hint="eastAsia"/>
              </w:rPr>
              <w:t>监测值</w:t>
            </w:r>
          </w:p>
        </w:tc>
        <w:tc>
          <w:tcPr>
            <w:tcW w:w="465" w:type="pct"/>
            <w:tcBorders>
              <w:tl2br w:val="nil"/>
              <w:tr2bl w:val="nil"/>
            </w:tcBorders>
            <w:shd w:val="clear" w:color="auto" w:fill="auto"/>
            <w:tcMar>
              <w:left w:w="0" w:type="dxa"/>
              <w:right w:w="0" w:type="dxa"/>
            </w:tcMar>
            <w:vAlign w:val="center"/>
          </w:tcPr>
          <w:p w14:paraId="660DE2DA">
            <w:pPr>
              <w:pStyle w:val="19"/>
              <w:rPr>
                <w:rFonts w:hint="default" w:eastAsia="宋体"/>
                <w:lang w:val="en-US" w:eastAsia="zh-CN"/>
              </w:rPr>
            </w:pPr>
            <w:r>
              <w:rPr>
                <w:rFonts w:hint="eastAsia"/>
                <w:lang w:val="en-US" w:eastAsia="zh-CN"/>
              </w:rPr>
              <w:t>28</w:t>
            </w:r>
          </w:p>
        </w:tc>
        <w:tc>
          <w:tcPr>
            <w:tcW w:w="467" w:type="pct"/>
            <w:tcBorders>
              <w:tl2br w:val="nil"/>
              <w:tr2bl w:val="nil"/>
            </w:tcBorders>
            <w:shd w:val="clear" w:color="auto" w:fill="auto"/>
            <w:tcMar>
              <w:left w:w="0" w:type="dxa"/>
              <w:right w:w="0" w:type="dxa"/>
            </w:tcMar>
            <w:vAlign w:val="center"/>
          </w:tcPr>
          <w:p w14:paraId="16AD7613">
            <w:pPr>
              <w:pStyle w:val="19"/>
              <w:rPr>
                <w:rFonts w:hint="default" w:eastAsia="宋体"/>
                <w:lang w:val="en-US" w:eastAsia="zh-CN"/>
              </w:rPr>
            </w:pPr>
            <w:r>
              <w:rPr>
                <w:rFonts w:hint="eastAsia"/>
                <w:lang w:val="en-US" w:eastAsia="zh-CN"/>
              </w:rPr>
              <w:t>26</w:t>
            </w:r>
          </w:p>
        </w:tc>
        <w:tc>
          <w:tcPr>
            <w:tcW w:w="467" w:type="pct"/>
            <w:tcBorders>
              <w:tl2br w:val="nil"/>
              <w:tr2bl w:val="nil"/>
            </w:tcBorders>
            <w:shd w:val="clear" w:color="auto" w:fill="auto"/>
            <w:tcMar>
              <w:left w:w="0" w:type="dxa"/>
              <w:right w:w="0" w:type="dxa"/>
            </w:tcMar>
            <w:vAlign w:val="center"/>
          </w:tcPr>
          <w:p w14:paraId="34F78B8E">
            <w:pPr>
              <w:pStyle w:val="19"/>
              <w:rPr>
                <w:rFonts w:hint="default" w:eastAsia="宋体"/>
                <w:lang w:val="en-US" w:eastAsia="zh-CN"/>
              </w:rPr>
            </w:pPr>
            <w:r>
              <w:rPr>
                <w:rFonts w:hint="eastAsia"/>
                <w:lang w:val="en-US" w:eastAsia="zh-CN"/>
              </w:rPr>
              <w:t>64</w:t>
            </w:r>
          </w:p>
        </w:tc>
        <w:tc>
          <w:tcPr>
            <w:tcW w:w="467" w:type="pct"/>
            <w:tcBorders>
              <w:tl2br w:val="nil"/>
              <w:tr2bl w:val="nil"/>
            </w:tcBorders>
            <w:shd w:val="clear" w:color="auto" w:fill="auto"/>
            <w:tcMar>
              <w:left w:w="0" w:type="dxa"/>
              <w:right w:w="0" w:type="dxa"/>
            </w:tcMar>
            <w:vAlign w:val="center"/>
          </w:tcPr>
          <w:p w14:paraId="0908E080">
            <w:pPr>
              <w:pStyle w:val="19"/>
              <w:rPr>
                <w:rFonts w:hint="default" w:eastAsia="宋体"/>
                <w:lang w:val="en-US" w:eastAsia="zh-CN"/>
              </w:rPr>
            </w:pPr>
            <w:r>
              <w:rPr>
                <w:rFonts w:hint="eastAsia"/>
                <w:lang w:val="en-US" w:eastAsia="zh-CN"/>
              </w:rPr>
              <w:t>0.35</w:t>
            </w:r>
          </w:p>
        </w:tc>
        <w:tc>
          <w:tcPr>
            <w:tcW w:w="467" w:type="pct"/>
            <w:tcBorders>
              <w:tl2br w:val="nil"/>
              <w:tr2bl w:val="nil"/>
            </w:tcBorders>
            <w:shd w:val="clear" w:color="auto" w:fill="auto"/>
            <w:tcMar>
              <w:left w:w="0" w:type="dxa"/>
              <w:right w:w="0" w:type="dxa"/>
            </w:tcMar>
            <w:vAlign w:val="center"/>
          </w:tcPr>
          <w:p w14:paraId="1A662B04">
            <w:pPr>
              <w:pStyle w:val="19"/>
              <w:rPr>
                <w:rFonts w:hint="default" w:eastAsia="宋体"/>
                <w:lang w:val="en-US" w:eastAsia="zh-CN"/>
              </w:rPr>
            </w:pPr>
            <w:r>
              <w:rPr>
                <w:rFonts w:hint="eastAsia"/>
                <w:lang w:val="en-US" w:eastAsia="zh-CN"/>
              </w:rPr>
              <w:t>0.221</w:t>
            </w:r>
          </w:p>
        </w:tc>
        <w:tc>
          <w:tcPr>
            <w:tcW w:w="467" w:type="pct"/>
            <w:tcBorders>
              <w:tl2br w:val="nil"/>
              <w:tr2bl w:val="nil"/>
            </w:tcBorders>
            <w:shd w:val="clear" w:color="auto" w:fill="auto"/>
            <w:tcMar>
              <w:left w:w="0" w:type="dxa"/>
              <w:right w:w="0" w:type="dxa"/>
            </w:tcMar>
            <w:vAlign w:val="center"/>
          </w:tcPr>
          <w:p w14:paraId="542C92C7">
            <w:pPr>
              <w:pStyle w:val="19"/>
              <w:rPr>
                <w:rFonts w:hint="default" w:eastAsia="宋体"/>
                <w:lang w:val="en-US" w:eastAsia="zh-CN"/>
              </w:rPr>
            </w:pPr>
            <w:r>
              <w:rPr>
                <w:rFonts w:hint="eastAsia"/>
                <w:lang w:val="en-US" w:eastAsia="zh-CN"/>
              </w:rPr>
              <w:t>10.6</w:t>
            </w:r>
          </w:p>
        </w:tc>
        <w:tc>
          <w:tcPr>
            <w:tcW w:w="582" w:type="pct"/>
            <w:tcBorders>
              <w:tl2br w:val="nil"/>
              <w:tr2bl w:val="nil"/>
            </w:tcBorders>
            <w:shd w:val="clear" w:color="auto" w:fill="auto"/>
            <w:tcMar>
              <w:left w:w="0" w:type="dxa"/>
              <w:right w:w="0" w:type="dxa"/>
            </w:tcMar>
            <w:vAlign w:val="center"/>
          </w:tcPr>
          <w:p w14:paraId="4008A85B">
            <w:pPr>
              <w:pStyle w:val="19"/>
              <w:rPr>
                <w:rFonts w:hint="default" w:eastAsia="宋体"/>
                <w:lang w:val="en-US" w:eastAsia="zh-CN"/>
              </w:rPr>
            </w:pPr>
            <w:r>
              <w:rPr>
                <w:rFonts w:hint="eastAsia"/>
                <w:lang w:val="en-US" w:eastAsia="zh-CN"/>
              </w:rPr>
              <w:t>54</w:t>
            </w:r>
          </w:p>
        </w:tc>
        <w:tc>
          <w:tcPr>
            <w:tcW w:w="727" w:type="pct"/>
            <w:tcBorders>
              <w:tl2br w:val="nil"/>
              <w:tr2bl w:val="nil"/>
            </w:tcBorders>
            <w:vAlign w:val="center"/>
          </w:tcPr>
          <w:p w14:paraId="09571DD8">
            <w:pPr>
              <w:pStyle w:val="19"/>
              <w:rPr>
                <w:rFonts w:hint="default" w:eastAsia="宋体"/>
                <w:lang w:val="en-US" w:eastAsia="zh-CN"/>
              </w:rPr>
            </w:pPr>
            <w:r>
              <w:rPr>
                <w:rFonts w:hint="eastAsia"/>
                <w:lang w:val="en-US" w:eastAsia="zh-CN"/>
              </w:rPr>
              <w:t>8.20</w:t>
            </w:r>
          </w:p>
        </w:tc>
      </w:tr>
      <w:tr w14:paraId="78782B8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170" w:hRule="atLeast"/>
          <w:jc w:val="center"/>
        </w:trPr>
        <w:tc>
          <w:tcPr>
            <w:tcW w:w="241" w:type="pct"/>
            <w:vMerge w:val="continue"/>
            <w:tcBorders>
              <w:tl2br w:val="nil"/>
              <w:tr2bl w:val="nil"/>
            </w:tcBorders>
            <w:shd w:val="clear" w:color="auto" w:fill="auto"/>
            <w:tcMar>
              <w:left w:w="0" w:type="dxa"/>
              <w:right w:w="0" w:type="dxa"/>
            </w:tcMar>
            <w:vAlign w:val="center"/>
          </w:tcPr>
          <w:p w14:paraId="632E5C62">
            <w:pPr>
              <w:pStyle w:val="19"/>
            </w:pPr>
          </w:p>
        </w:tc>
        <w:tc>
          <w:tcPr>
            <w:tcW w:w="646" w:type="pct"/>
            <w:tcBorders>
              <w:tl2br w:val="nil"/>
              <w:tr2bl w:val="nil"/>
            </w:tcBorders>
            <w:shd w:val="clear" w:color="auto" w:fill="auto"/>
            <w:tcMar>
              <w:left w:w="0" w:type="dxa"/>
              <w:right w:w="0" w:type="dxa"/>
            </w:tcMar>
            <w:vAlign w:val="center"/>
          </w:tcPr>
          <w:p w14:paraId="408F2C63">
            <w:pPr>
              <w:pStyle w:val="19"/>
            </w:pPr>
            <w:r>
              <w:rPr>
                <w:rFonts w:hint="eastAsia"/>
              </w:rPr>
              <w:t>标准指数</w:t>
            </w:r>
          </w:p>
        </w:tc>
        <w:tc>
          <w:tcPr>
            <w:tcW w:w="465" w:type="pct"/>
            <w:tcBorders>
              <w:tl2br w:val="nil"/>
              <w:tr2bl w:val="nil"/>
            </w:tcBorders>
            <w:shd w:val="clear" w:color="auto" w:fill="auto"/>
            <w:tcMar>
              <w:left w:w="0" w:type="dxa"/>
              <w:right w:w="0" w:type="dxa"/>
            </w:tcMar>
            <w:vAlign w:val="center"/>
          </w:tcPr>
          <w:p w14:paraId="2769FA1A">
            <w:pPr>
              <w:pStyle w:val="19"/>
              <w:rPr>
                <w:rFonts w:hint="default" w:eastAsia="宋体"/>
                <w:kern w:val="0"/>
                <w:lang w:val="en-US" w:eastAsia="zh-CN"/>
              </w:rPr>
            </w:pPr>
            <w:r>
              <w:rPr>
                <w:rFonts w:hint="eastAsia"/>
                <w:kern w:val="0"/>
                <w:lang w:val="en-US" w:eastAsia="zh-CN"/>
              </w:rPr>
              <w:t>0.28</w:t>
            </w:r>
          </w:p>
        </w:tc>
        <w:tc>
          <w:tcPr>
            <w:tcW w:w="467" w:type="pct"/>
            <w:tcBorders>
              <w:tl2br w:val="nil"/>
              <w:tr2bl w:val="nil"/>
            </w:tcBorders>
            <w:shd w:val="clear" w:color="auto" w:fill="auto"/>
            <w:tcMar>
              <w:left w:w="0" w:type="dxa"/>
              <w:right w:w="0" w:type="dxa"/>
            </w:tcMar>
            <w:vAlign w:val="center"/>
          </w:tcPr>
          <w:p w14:paraId="00646406">
            <w:pPr>
              <w:pStyle w:val="19"/>
              <w:rPr>
                <w:rFonts w:hint="default" w:eastAsia="宋体"/>
                <w:lang w:val="en-US" w:eastAsia="zh-CN"/>
              </w:rPr>
            </w:pPr>
            <w:r>
              <w:rPr>
                <w:rFonts w:hint="eastAsia"/>
                <w:lang w:val="en-US" w:eastAsia="zh-CN"/>
              </w:rPr>
              <w:t>0.15</w:t>
            </w:r>
          </w:p>
        </w:tc>
        <w:tc>
          <w:tcPr>
            <w:tcW w:w="467" w:type="pct"/>
            <w:tcBorders>
              <w:tl2br w:val="nil"/>
              <w:tr2bl w:val="nil"/>
            </w:tcBorders>
            <w:shd w:val="clear" w:color="auto" w:fill="auto"/>
            <w:tcMar>
              <w:left w:w="0" w:type="dxa"/>
              <w:right w:w="0" w:type="dxa"/>
            </w:tcMar>
            <w:vAlign w:val="center"/>
          </w:tcPr>
          <w:p w14:paraId="567A5AE9">
            <w:pPr>
              <w:pStyle w:val="19"/>
              <w:rPr>
                <w:rFonts w:hint="default" w:eastAsia="宋体"/>
                <w:lang w:val="en-US" w:eastAsia="zh-CN"/>
              </w:rPr>
            </w:pPr>
            <w:r>
              <w:rPr>
                <w:rFonts w:hint="eastAsia"/>
                <w:lang w:val="en-US" w:eastAsia="zh-CN"/>
              </w:rPr>
              <w:t>0.34</w:t>
            </w:r>
          </w:p>
        </w:tc>
        <w:tc>
          <w:tcPr>
            <w:tcW w:w="467" w:type="pct"/>
            <w:tcBorders>
              <w:tl2br w:val="nil"/>
              <w:tr2bl w:val="nil"/>
            </w:tcBorders>
            <w:shd w:val="clear" w:color="auto" w:fill="auto"/>
            <w:tcMar>
              <w:left w:w="0" w:type="dxa"/>
              <w:right w:w="0" w:type="dxa"/>
            </w:tcMar>
            <w:vAlign w:val="center"/>
          </w:tcPr>
          <w:p w14:paraId="4395427A">
            <w:pPr>
              <w:pStyle w:val="19"/>
              <w:rPr>
                <w:rFonts w:hint="default" w:eastAsia="宋体"/>
                <w:lang w:val="en-US" w:eastAsia="zh-CN"/>
              </w:rPr>
            </w:pPr>
            <w:r>
              <w:rPr>
                <w:rFonts w:hint="eastAsia"/>
                <w:lang w:val="en-US" w:eastAsia="zh-CN"/>
              </w:rPr>
              <w:t>0.58</w:t>
            </w:r>
          </w:p>
        </w:tc>
        <w:tc>
          <w:tcPr>
            <w:tcW w:w="467" w:type="pct"/>
            <w:tcBorders>
              <w:tl2br w:val="nil"/>
              <w:tr2bl w:val="nil"/>
            </w:tcBorders>
            <w:shd w:val="clear" w:color="auto" w:fill="auto"/>
            <w:tcMar>
              <w:left w:w="0" w:type="dxa"/>
              <w:right w:w="0" w:type="dxa"/>
            </w:tcMar>
            <w:vAlign w:val="center"/>
          </w:tcPr>
          <w:p w14:paraId="149DA9CA">
            <w:pPr>
              <w:pStyle w:val="19"/>
              <w:rPr>
                <w:rFonts w:hint="default" w:eastAsia="宋体"/>
                <w:lang w:val="en-US" w:eastAsia="zh-CN"/>
              </w:rPr>
            </w:pPr>
            <w:r>
              <w:rPr>
                <w:rFonts w:hint="eastAsia"/>
                <w:lang w:val="en-US" w:eastAsia="zh-CN"/>
              </w:rPr>
              <w:t>0.065</w:t>
            </w:r>
          </w:p>
        </w:tc>
        <w:tc>
          <w:tcPr>
            <w:tcW w:w="467" w:type="pct"/>
            <w:tcBorders>
              <w:tl2br w:val="nil"/>
              <w:tr2bl w:val="nil"/>
            </w:tcBorders>
            <w:shd w:val="clear" w:color="auto" w:fill="auto"/>
            <w:tcMar>
              <w:left w:w="0" w:type="dxa"/>
              <w:right w:w="0" w:type="dxa"/>
            </w:tcMar>
            <w:vAlign w:val="center"/>
          </w:tcPr>
          <w:p w14:paraId="797E9F04">
            <w:pPr>
              <w:pStyle w:val="19"/>
              <w:rPr>
                <w:rFonts w:hint="default" w:eastAsia="宋体"/>
                <w:lang w:val="en-US" w:eastAsia="zh-CN"/>
              </w:rPr>
            </w:pPr>
            <w:r>
              <w:rPr>
                <w:rFonts w:hint="eastAsia"/>
                <w:lang w:val="en-US" w:eastAsia="zh-CN"/>
              </w:rPr>
              <w:t>0.424</w:t>
            </w:r>
          </w:p>
        </w:tc>
        <w:tc>
          <w:tcPr>
            <w:tcW w:w="582" w:type="pct"/>
            <w:tcBorders>
              <w:tl2br w:val="nil"/>
              <w:tr2bl w:val="nil"/>
            </w:tcBorders>
            <w:shd w:val="clear" w:color="auto" w:fill="auto"/>
            <w:tcMar>
              <w:left w:w="0" w:type="dxa"/>
              <w:right w:w="0" w:type="dxa"/>
            </w:tcMar>
            <w:vAlign w:val="center"/>
          </w:tcPr>
          <w:p w14:paraId="709492FB">
            <w:pPr>
              <w:pStyle w:val="19"/>
              <w:rPr>
                <w:rFonts w:hint="default" w:eastAsia="宋体"/>
                <w:lang w:val="en-US" w:eastAsia="zh-CN"/>
              </w:rPr>
            </w:pPr>
            <w:r>
              <w:rPr>
                <w:rFonts w:hint="eastAsia"/>
                <w:lang w:val="en-US" w:eastAsia="zh-CN"/>
              </w:rPr>
              <w:t>0.216</w:t>
            </w:r>
          </w:p>
        </w:tc>
        <w:tc>
          <w:tcPr>
            <w:tcW w:w="727" w:type="pct"/>
            <w:tcBorders>
              <w:tl2br w:val="nil"/>
              <w:tr2bl w:val="nil"/>
            </w:tcBorders>
            <w:vAlign w:val="center"/>
          </w:tcPr>
          <w:p w14:paraId="3D54AE11">
            <w:pPr>
              <w:pStyle w:val="19"/>
              <w:rPr>
                <w:rFonts w:hint="eastAsia" w:eastAsia="宋体"/>
                <w:lang w:val="en-US" w:eastAsia="zh-CN"/>
              </w:rPr>
            </w:pPr>
            <w:r>
              <w:rPr>
                <w:rFonts w:hint="eastAsia"/>
                <w:lang w:val="en-US" w:eastAsia="zh-CN"/>
              </w:rPr>
              <w:t>/</w:t>
            </w:r>
          </w:p>
        </w:tc>
      </w:tr>
    </w:tbl>
    <w:p w14:paraId="3C050659">
      <w:pPr>
        <w:pStyle w:val="30"/>
        <w:bidi w:val="0"/>
        <w:rPr>
          <w:rFonts w:hint="default"/>
          <w:lang w:val="en-US" w:eastAsia="zh-CN"/>
        </w:rPr>
      </w:pPr>
      <w:r>
        <w:rPr>
          <w:rFonts w:hint="eastAsia"/>
          <w:lang w:val="en-US" w:eastAsia="zh-CN"/>
        </w:rPr>
        <w:t>表4.-2-13   土壤理化性质一览表</w:t>
      </w:r>
    </w:p>
    <w:tbl>
      <w:tblPr>
        <w:tblStyle w:val="29"/>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6"/>
        <w:gridCol w:w="2467"/>
        <w:gridCol w:w="1247"/>
        <w:gridCol w:w="3053"/>
      </w:tblGrid>
      <w:tr w14:paraId="7838D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Align w:val="center"/>
          </w:tcPr>
          <w:p w14:paraId="248A8DB6">
            <w:pPr>
              <w:pStyle w:val="19"/>
              <w:bidi w:val="0"/>
              <w:jc w:val="center"/>
            </w:pPr>
            <w:r>
              <w:t>样品类型</w:t>
            </w:r>
          </w:p>
        </w:tc>
        <w:tc>
          <w:tcPr>
            <w:tcW w:w="4064" w:type="pct"/>
            <w:gridSpan w:val="3"/>
            <w:vAlign w:val="center"/>
          </w:tcPr>
          <w:p w14:paraId="3FE84B4E">
            <w:pPr>
              <w:pStyle w:val="19"/>
              <w:bidi w:val="0"/>
              <w:jc w:val="center"/>
            </w:pPr>
            <w:r>
              <w:t>土壤</w:t>
            </w:r>
          </w:p>
        </w:tc>
      </w:tr>
      <w:tr w14:paraId="556BA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Align w:val="center"/>
          </w:tcPr>
          <w:p w14:paraId="3E3CF41A">
            <w:pPr>
              <w:pStyle w:val="19"/>
              <w:bidi w:val="0"/>
              <w:jc w:val="center"/>
            </w:pPr>
            <w:r>
              <w:t>采样日期</w:t>
            </w:r>
          </w:p>
        </w:tc>
        <w:tc>
          <w:tcPr>
            <w:tcW w:w="1481" w:type="pct"/>
            <w:vAlign w:val="center"/>
          </w:tcPr>
          <w:p w14:paraId="7D756832">
            <w:pPr>
              <w:pStyle w:val="19"/>
              <w:bidi w:val="0"/>
              <w:jc w:val="center"/>
            </w:pPr>
            <w:r>
              <w:t>2024年3月9日</w:t>
            </w:r>
          </w:p>
        </w:tc>
        <w:tc>
          <w:tcPr>
            <w:tcW w:w="749" w:type="pct"/>
            <w:vAlign w:val="center"/>
          </w:tcPr>
          <w:p w14:paraId="77377634">
            <w:pPr>
              <w:pStyle w:val="19"/>
              <w:bidi w:val="0"/>
              <w:jc w:val="center"/>
            </w:pPr>
            <w:r>
              <w:t>分析日期</w:t>
            </w:r>
          </w:p>
        </w:tc>
        <w:tc>
          <w:tcPr>
            <w:tcW w:w="1833" w:type="pct"/>
            <w:vAlign w:val="center"/>
          </w:tcPr>
          <w:p w14:paraId="27C92E35">
            <w:pPr>
              <w:pStyle w:val="19"/>
              <w:bidi w:val="0"/>
              <w:jc w:val="center"/>
            </w:pPr>
            <w:r>
              <w:t>2024年3月9日-12日</w:t>
            </w:r>
          </w:p>
        </w:tc>
      </w:tr>
      <w:tr w14:paraId="17BC5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417" w:type="pct"/>
            <w:gridSpan w:val="2"/>
            <w:vAlign w:val="center"/>
          </w:tcPr>
          <w:p w14:paraId="7DD4A91C">
            <w:pPr>
              <w:pStyle w:val="19"/>
              <w:bidi w:val="0"/>
              <w:jc w:val="center"/>
            </w:pPr>
            <w:r>
              <w:t>样品编码</w:t>
            </w:r>
          </w:p>
        </w:tc>
        <w:tc>
          <w:tcPr>
            <w:tcW w:w="2582" w:type="pct"/>
            <w:gridSpan w:val="2"/>
            <w:vAlign w:val="center"/>
          </w:tcPr>
          <w:p w14:paraId="60AC8030">
            <w:pPr>
              <w:pStyle w:val="19"/>
              <w:bidi w:val="0"/>
              <w:jc w:val="center"/>
            </w:pPr>
            <w:r>
              <w:t>TC-1*-1</w:t>
            </w:r>
          </w:p>
        </w:tc>
      </w:tr>
      <w:tr w14:paraId="731D4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417" w:type="pct"/>
            <w:gridSpan w:val="2"/>
            <w:vAlign w:val="center"/>
          </w:tcPr>
          <w:p w14:paraId="13029416">
            <w:pPr>
              <w:pStyle w:val="19"/>
              <w:bidi w:val="0"/>
              <w:jc w:val="center"/>
            </w:pPr>
            <w:r>
              <w:t>采样地点</w:t>
            </w:r>
          </w:p>
        </w:tc>
        <w:tc>
          <w:tcPr>
            <w:tcW w:w="2582" w:type="pct"/>
            <w:gridSpan w:val="2"/>
            <w:vAlign w:val="center"/>
          </w:tcPr>
          <w:p w14:paraId="30B3F8E3">
            <w:pPr>
              <w:pStyle w:val="19"/>
              <w:bidi w:val="0"/>
              <w:jc w:val="center"/>
            </w:pPr>
            <w:r>
              <w:t>E:8446'44.34"</w:t>
            </w:r>
          </w:p>
          <w:p w14:paraId="2F703604">
            <w:pPr>
              <w:pStyle w:val="19"/>
              <w:bidi w:val="0"/>
              <w:jc w:val="center"/>
              <w:rPr>
                <w:rFonts w:hint="eastAsia" w:eastAsia="宋体"/>
                <w:lang w:val="en-US" w:eastAsia="zh-CN"/>
              </w:rPr>
            </w:pPr>
            <w:r>
              <w:t>N:45°0'21.39</w:t>
            </w:r>
            <w:r>
              <w:rPr>
                <w:rFonts w:hint="default" w:ascii="Times New Roman" w:hAnsi="Times New Roman" w:cs="Times New Roman"/>
                <w:lang w:val="en-US" w:eastAsia="zh-CN"/>
              </w:rPr>
              <w:t>″</w:t>
            </w:r>
          </w:p>
        </w:tc>
      </w:tr>
      <w:tr w14:paraId="16B08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417" w:type="pct"/>
            <w:gridSpan w:val="2"/>
            <w:vAlign w:val="center"/>
          </w:tcPr>
          <w:p w14:paraId="192974FB">
            <w:pPr>
              <w:pStyle w:val="19"/>
              <w:bidi w:val="0"/>
              <w:jc w:val="center"/>
            </w:pPr>
            <w:r>
              <w:t>深度(cm)</w:t>
            </w:r>
          </w:p>
        </w:tc>
        <w:tc>
          <w:tcPr>
            <w:tcW w:w="2582" w:type="pct"/>
            <w:gridSpan w:val="2"/>
            <w:vAlign w:val="center"/>
          </w:tcPr>
          <w:p w14:paraId="0894D8EC">
            <w:pPr>
              <w:pStyle w:val="19"/>
              <w:bidi w:val="0"/>
              <w:jc w:val="center"/>
            </w:pPr>
            <w:r>
              <w:t>15</w:t>
            </w:r>
          </w:p>
        </w:tc>
      </w:tr>
      <w:tr w14:paraId="38D36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4"/>
            <w:vAlign w:val="center"/>
          </w:tcPr>
          <w:p w14:paraId="25E376D4">
            <w:pPr>
              <w:pStyle w:val="19"/>
              <w:bidi w:val="0"/>
              <w:jc w:val="center"/>
            </w:pPr>
            <w:r>
              <w:t>检测结果</w:t>
            </w:r>
          </w:p>
        </w:tc>
      </w:tr>
      <w:tr w14:paraId="23B72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restart"/>
            <w:tcBorders>
              <w:bottom w:val="nil"/>
            </w:tcBorders>
            <w:vAlign w:val="center"/>
          </w:tcPr>
          <w:p w14:paraId="0EEAAAE7">
            <w:pPr>
              <w:pStyle w:val="19"/>
              <w:bidi w:val="0"/>
              <w:jc w:val="center"/>
            </w:pPr>
            <w:r>
              <w:t>现场记录</w:t>
            </w:r>
          </w:p>
        </w:tc>
        <w:tc>
          <w:tcPr>
            <w:tcW w:w="1481" w:type="pct"/>
            <w:vAlign w:val="center"/>
          </w:tcPr>
          <w:p w14:paraId="3734D6EA">
            <w:pPr>
              <w:pStyle w:val="19"/>
              <w:bidi w:val="0"/>
              <w:jc w:val="center"/>
            </w:pPr>
            <w:r>
              <w:t>颜色</w:t>
            </w:r>
          </w:p>
        </w:tc>
        <w:tc>
          <w:tcPr>
            <w:tcW w:w="2582" w:type="pct"/>
            <w:gridSpan w:val="2"/>
            <w:vAlign w:val="center"/>
          </w:tcPr>
          <w:p w14:paraId="52455BD1">
            <w:pPr>
              <w:pStyle w:val="19"/>
              <w:bidi w:val="0"/>
              <w:jc w:val="center"/>
            </w:pPr>
            <w:r>
              <w:t>浅黄色</w:t>
            </w:r>
          </w:p>
        </w:tc>
      </w:tr>
      <w:tr w14:paraId="5C5E4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79890FC2">
            <w:pPr>
              <w:pStyle w:val="19"/>
              <w:bidi w:val="0"/>
              <w:jc w:val="center"/>
            </w:pPr>
          </w:p>
        </w:tc>
        <w:tc>
          <w:tcPr>
            <w:tcW w:w="1481" w:type="pct"/>
            <w:vAlign w:val="center"/>
          </w:tcPr>
          <w:p w14:paraId="760D75E7">
            <w:pPr>
              <w:pStyle w:val="19"/>
              <w:bidi w:val="0"/>
              <w:jc w:val="center"/>
            </w:pPr>
            <w:r>
              <w:t>结构</w:t>
            </w:r>
          </w:p>
        </w:tc>
        <w:tc>
          <w:tcPr>
            <w:tcW w:w="2582" w:type="pct"/>
            <w:gridSpan w:val="2"/>
            <w:vAlign w:val="center"/>
          </w:tcPr>
          <w:p w14:paraId="681A1B1B">
            <w:pPr>
              <w:pStyle w:val="19"/>
              <w:bidi w:val="0"/>
              <w:jc w:val="center"/>
            </w:pPr>
            <w:r>
              <w:t>粒状</w:t>
            </w:r>
          </w:p>
        </w:tc>
      </w:tr>
      <w:tr w14:paraId="4E79E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75DE03FD">
            <w:pPr>
              <w:pStyle w:val="19"/>
              <w:bidi w:val="0"/>
              <w:jc w:val="center"/>
            </w:pPr>
          </w:p>
        </w:tc>
        <w:tc>
          <w:tcPr>
            <w:tcW w:w="1481" w:type="pct"/>
            <w:vAlign w:val="center"/>
          </w:tcPr>
          <w:p w14:paraId="1BBF1BC4">
            <w:pPr>
              <w:pStyle w:val="19"/>
              <w:bidi w:val="0"/>
              <w:jc w:val="center"/>
            </w:pPr>
            <w:r>
              <w:t>质地</w:t>
            </w:r>
          </w:p>
        </w:tc>
        <w:tc>
          <w:tcPr>
            <w:tcW w:w="2582" w:type="pct"/>
            <w:gridSpan w:val="2"/>
            <w:vAlign w:val="center"/>
          </w:tcPr>
          <w:p w14:paraId="1C9238A8">
            <w:pPr>
              <w:pStyle w:val="19"/>
              <w:bidi w:val="0"/>
              <w:jc w:val="center"/>
            </w:pPr>
            <w:r>
              <w:t>砂土</w:t>
            </w:r>
          </w:p>
        </w:tc>
      </w:tr>
      <w:tr w14:paraId="57901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2975E249">
            <w:pPr>
              <w:pStyle w:val="19"/>
              <w:bidi w:val="0"/>
              <w:jc w:val="center"/>
            </w:pPr>
          </w:p>
        </w:tc>
        <w:tc>
          <w:tcPr>
            <w:tcW w:w="1481" w:type="pct"/>
            <w:vAlign w:val="center"/>
          </w:tcPr>
          <w:p w14:paraId="1919FA38">
            <w:pPr>
              <w:pStyle w:val="19"/>
              <w:bidi w:val="0"/>
              <w:jc w:val="center"/>
            </w:pPr>
            <w:r>
              <w:t>砂砾含量(%)</w:t>
            </w:r>
          </w:p>
        </w:tc>
        <w:tc>
          <w:tcPr>
            <w:tcW w:w="2582" w:type="pct"/>
            <w:gridSpan w:val="2"/>
            <w:vAlign w:val="center"/>
          </w:tcPr>
          <w:p w14:paraId="603EDE76">
            <w:pPr>
              <w:pStyle w:val="19"/>
              <w:bidi w:val="0"/>
              <w:jc w:val="center"/>
            </w:pPr>
            <w:r>
              <w:t>57</w:t>
            </w:r>
          </w:p>
        </w:tc>
      </w:tr>
      <w:tr w14:paraId="0FE1B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6C7112B9">
            <w:pPr>
              <w:pStyle w:val="19"/>
              <w:bidi w:val="0"/>
              <w:jc w:val="center"/>
            </w:pPr>
          </w:p>
        </w:tc>
        <w:tc>
          <w:tcPr>
            <w:tcW w:w="1481" w:type="pct"/>
            <w:vAlign w:val="center"/>
          </w:tcPr>
          <w:p w14:paraId="7A171C71">
            <w:pPr>
              <w:pStyle w:val="19"/>
              <w:bidi w:val="0"/>
              <w:jc w:val="center"/>
            </w:pPr>
            <w:r>
              <w:t>其他异物</w:t>
            </w:r>
          </w:p>
        </w:tc>
        <w:tc>
          <w:tcPr>
            <w:tcW w:w="2582" w:type="pct"/>
            <w:gridSpan w:val="2"/>
            <w:vAlign w:val="center"/>
          </w:tcPr>
          <w:p w14:paraId="3843A2B0">
            <w:pPr>
              <w:pStyle w:val="19"/>
              <w:bidi w:val="0"/>
              <w:jc w:val="center"/>
            </w:pPr>
            <w:r>
              <w:t>/</w:t>
            </w:r>
          </w:p>
        </w:tc>
      </w:tr>
      <w:tr w14:paraId="279EA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tcBorders>
            <w:vAlign w:val="center"/>
          </w:tcPr>
          <w:p w14:paraId="1E6A2591">
            <w:pPr>
              <w:pStyle w:val="19"/>
              <w:bidi w:val="0"/>
              <w:jc w:val="center"/>
            </w:pPr>
          </w:p>
        </w:tc>
        <w:tc>
          <w:tcPr>
            <w:tcW w:w="1481" w:type="pct"/>
            <w:vAlign w:val="center"/>
          </w:tcPr>
          <w:p w14:paraId="742A2FF6">
            <w:pPr>
              <w:pStyle w:val="19"/>
              <w:bidi w:val="0"/>
              <w:jc w:val="center"/>
            </w:pPr>
            <w:r>
              <w:t>氧化还原电位(mv)</w:t>
            </w:r>
          </w:p>
        </w:tc>
        <w:tc>
          <w:tcPr>
            <w:tcW w:w="2582" w:type="pct"/>
            <w:gridSpan w:val="2"/>
            <w:vAlign w:val="center"/>
          </w:tcPr>
          <w:p w14:paraId="332D758E">
            <w:pPr>
              <w:pStyle w:val="19"/>
              <w:bidi w:val="0"/>
              <w:jc w:val="center"/>
            </w:pPr>
            <w:r>
              <w:t>522</w:t>
            </w:r>
          </w:p>
        </w:tc>
      </w:tr>
      <w:tr w14:paraId="50D4C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restart"/>
            <w:tcBorders>
              <w:bottom w:val="nil"/>
            </w:tcBorders>
            <w:vAlign w:val="center"/>
          </w:tcPr>
          <w:p w14:paraId="2CEC67CA">
            <w:pPr>
              <w:pStyle w:val="19"/>
              <w:bidi w:val="0"/>
              <w:jc w:val="center"/>
            </w:pPr>
            <w:r>
              <w:t>实验室测定</w:t>
            </w:r>
          </w:p>
        </w:tc>
        <w:tc>
          <w:tcPr>
            <w:tcW w:w="1481" w:type="pct"/>
            <w:vAlign w:val="center"/>
          </w:tcPr>
          <w:p w14:paraId="79FC0930">
            <w:pPr>
              <w:pStyle w:val="19"/>
              <w:bidi w:val="0"/>
              <w:jc w:val="center"/>
            </w:pPr>
            <w:r>
              <w:t>pH(无量纲)</w:t>
            </w:r>
          </w:p>
        </w:tc>
        <w:tc>
          <w:tcPr>
            <w:tcW w:w="2582" w:type="pct"/>
            <w:gridSpan w:val="2"/>
            <w:vAlign w:val="center"/>
          </w:tcPr>
          <w:p w14:paraId="6B281A03">
            <w:pPr>
              <w:pStyle w:val="19"/>
              <w:bidi w:val="0"/>
              <w:jc w:val="center"/>
            </w:pPr>
            <w:r>
              <w:t>8.12</w:t>
            </w:r>
          </w:p>
        </w:tc>
      </w:tr>
      <w:tr w14:paraId="6187C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50463B8E">
            <w:pPr>
              <w:pStyle w:val="19"/>
              <w:bidi w:val="0"/>
              <w:jc w:val="center"/>
            </w:pPr>
          </w:p>
        </w:tc>
        <w:tc>
          <w:tcPr>
            <w:tcW w:w="1481" w:type="pct"/>
            <w:vAlign w:val="center"/>
          </w:tcPr>
          <w:p w14:paraId="4BF62821">
            <w:pPr>
              <w:pStyle w:val="19"/>
              <w:bidi w:val="0"/>
              <w:jc w:val="center"/>
            </w:pPr>
            <w:r>
              <w:t>阳离子交换量(cmol*/kg)</w:t>
            </w:r>
          </w:p>
        </w:tc>
        <w:tc>
          <w:tcPr>
            <w:tcW w:w="2582" w:type="pct"/>
            <w:gridSpan w:val="2"/>
            <w:vAlign w:val="center"/>
          </w:tcPr>
          <w:p w14:paraId="41FFE84D">
            <w:pPr>
              <w:pStyle w:val="19"/>
              <w:bidi w:val="0"/>
              <w:jc w:val="center"/>
            </w:pPr>
            <w:r>
              <w:t>8.2</w:t>
            </w:r>
          </w:p>
        </w:tc>
      </w:tr>
      <w:tr w14:paraId="4D51C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4EE777B7">
            <w:pPr>
              <w:pStyle w:val="19"/>
              <w:bidi w:val="0"/>
              <w:jc w:val="center"/>
            </w:pPr>
          </w:p>
        </w:tc>
        <w:tc>
          <w:tcPr>
            <w:tcW w:w="1481" w:type="pct"/>
            <w:vAlign w:val="center"/>
          </w:tcPr>
          <w:p w14:paraId="755713AC">
            <w:pPr>
              <w:pStyle w:val="19"/>
              <w:bidi w:val="0"/>
              <w:jc w:val="center"/>
            </w:pPr>
            <w:r>
              <w:t>渗滤率(mm/min)</w:t>
            </w:r>
          </w:p>
        </w:tc>
        <w:tc>
          <w:tcPr>
            <w:tcW w:w="2582" w:type="pct"/>
            <w:gridSpan w:val="2"/>
            <w:vAlign w:val="center"/>
          </w:tcPr>
          <w:p w14:paraId="06B5DD03">
            <w:pPr>
              <w:pStyle w:val="19"/>
              <w:bidi w:val="0"/>
              <w:jc w:val="center"/>
            </w:pPr>
            <w:r>
              <w:t>0.609</w:t>
            </w:r>
          </w:p>
        </w:tc>
      </w:tr>
      <w:tr w14:paraId="47FD0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bottom w:val="nil"/>
            </w:tcBorders>
            <w:vAlign w:val="center"/>
          </w:tcPr>
          <w:p w14:paraId="33C4F36A">
            <w:pPr>
              <w:pStyle w:val="19"/>
              <w:bidi w:val="0"/>
              <w:jc w:val="center"/>
            </w:pPr>
          </w:p>
        </w:tc>
        <w:tc>
          <w:tcPr>
            <w:tcW w:w="1481" w:type="pct"/>
            <w:vAlign w:val="center"/>
          </w:tcPr>
          <w:p w14:paraId="7BCE413D">
            <w:pPr>
              <w:pStyle w:val="19"/>
              <w:bidi w:val="0"/>
              <w:jc w:val="center"/>
            </w:pPr>
            <w:r>
              <w:t>土壤容重(g/cm³)</w:t>
            </w:r>
          </w:p>
        </w:tc>
        <w:tc>
          <w:tcPr>
            <w:tcW w:w="2582" w:type="pct"/>
            <w:gridSpan w:val="2"/>
            <w:vAlign w:val="center"/>
          </w:tcPr>
          <w:p w14:paraId="11DB39C3">
            <w:pPr>
              <w:pStyle w:val="19"/>
              <w:bidi w:val="0"/>
              <w:jc w:val="center"/>
            </w:pPr>
            <w:r>
              <w:t>1.92</w:t>
            </w:r>
          </w:p>
        </w:tc>
      </w:tr>
      <w:tr w14:paraId="6D1B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5" w:type="pct"/>
            <w:vMerge w:val="continue"/>
            <w:tcBorders>
              <w:top w:val="nil"/>
            </w:tcBorders>
            <w:vAlign w:val="center"/>
          </w:tcPr>
          <w:p w14:paraId="1B793897">
            <w:pPr>
              <w:pStyle w:val="19"/>
              <w:bidi w:val="0"/>
              <w:jc w:val="center"/>
            </w:pPr>
          </w:p>
        </w:tc>
        <w:tc>
          <w:tcPr>
            <w:tcW w:w="1481" w:type="pct"/>
            <w:vAlign w:val="center"/>
          </w:tcPr>
          <w:p w14:paraId="4453B4F3">
            <w:pPr>
              <w:pStyle w:val="19"/>
              <w:bidi w:val="0"/>
              <w:jc w:val="center"/>
            </w:pPr>
            <w:r>
              <w:t>总孔隙度(%)</w:t>
            </w:r>
          </w:p>
        </w:tc>
        <w:tc>
          <w:tcPr>
            <w:tcW w:w="2582" w:type="pct"/>
            <w:gridSpan w:val="2"/>
            <w:vAlign w:val="center"/>
          </w:tcPr>
          <w:p w14:paraId="761A4EE9">
            <w:pPr>
              <w:pStyle w:val="19"/>
              <w:bidi w:val="0"/>
              <w:jc w:val="center"/>
            </w:pPr>
            <w:r>
              <w:t>32.5</w:t>
            </w:r>
          </w:p>
        </w:tc>
      </w:tr>
    </w:tbl>
    <w:p w14:paraId="6B1CD55B">
      <w:pPr>
        <w:rPr>
          <w:rFonts w:hint="eastAsia"/>
          <w:lang w:val="en-US" w:eastAsia="zh-CN"/>
        </w:rPr>
      </w:pPr>
      <w:r>
        <w:rPr>
          <w:rFonts w:hint="eastAsia"/>
          <w:lang w:val="en-US" w:eastAsia="zh-CN"/>
        </w:rPr>
        <w:t>根据表4.2-11和表4.2-12中的统计结果，各土壤监测点的各监测因子均未出现超标情况。</w:t>
      </w:r>
    </w:p>
    <w:p w14:paraId="0EFC8C0D">
      <w:pPr>
        <w:pStyle w:val="27"/>
        <w:bidi w:val="0"/>
        <w:rPr>
          <w:rFonts w:hint="default"/>
          <w:lang w:val="en-US" w:eastAsia="zh-CN"/>
        </w:rPr>
      </w:pPr>
      <w:r>
        <w:rPr>
          <w:rFonts w:hint="eastAsia"/>
          <w:lang w:val="en-US" w:eastAsia="zh-CN"/>
        </w:rPr>
        <w:t>生态环境质量现状调查与评价</w:t>
      </w:r>
    </w:p>
    <w:p w14:paraId="54437CBD">
      <w:pPr>
        <w:bidi w:val="0"/>
        <w:rPr>
          <w:rFonts w:hint="default"/>
          <w:lang w:val="en-US" w:eastAsia="zh-CN"/>
        </w:rPr>
      </w:pPr>
      <w:r>
        <w:rPr>
          <w:rFonts w:hint="eastAsia"/>
          <w:lang w:val="en-US" w:eastAsia="zh-CN"/>
        </w:rPr>
        <w:t>根据《环境影响评价技术导则 生态影响》（HJ19-2022）中“7. 4.2三级评价可采用定性描述或面积、比例等定量指标，重点对评价范围内的土地利用现状、植被现状、野生动植物现状等进行分析，编制土地利用现状图、植被类型图、生态保护目标分布图等图件。”章节的要求，本次生态环境质量现状调查与评价中关注评价范围内的情况，根据导则要求，生态环境影响评价范围为</w:t>
      </w:r>
      <w:r>
        <w:t>项目区</w:t>
      </w:r>
      <w:r>
        <w:rPr>
          <w:rFonts w:hint="eastAsia"/>
          <w:lang w:eastAsia="zh-CN"/>
        </w:rPr>
        <w:t>，</w:t>
      </w:r>
      <w:r>
        <w:rPr>
          <w:rFonts w:hint="eastAsia"/>
          <w:lang w:val="en-US" w:eastAsia="zh-CN"/>
        </w:rPr>
        <w:t>具体如下：</w:t>
      </w:r>
    </w:p>
    <w:p w14:paraId="263720DA">
      <w:pPr>
        <w:pStyle w:val="28"/>
        <w:bidi w:val="0"/>
        <w:rPr>
          <w:rFonts w:hint="default"/>
          <w:lang w:val="en-US" w:eastAsia="zh-CN"/>
        </w:rPr>
      </w:pPr>
      <w:r>
        <w:rPr>
          <w:rFonts w:hint="eastAsia"/>
          <w:lang w:val="en-US" w:eastAsia="zh-CN"/>
        </w:rPr>
        <w:t>土地利用现状</w:t>
      </w:r>
    </w:p>
    <w:p w14:paraId="1BE5CE84">
      <w:pPr>
        <w:bidi w:val="0"/>
        <w:rPr>
          <w:rFonts w:hint="default"/>
          <w:lang w:val="en-US" w:eastAsia="zh-CN"/>
        </w:rPr>
      </w:pPr>
      <w:r>
        <w:rPr>
          <w:rFonts w:hint="eastAsia"/>
          <w:lang w:val="en-US" w:eastAsia="zh-CN"/>
        </w:rPr>
        <w:t>根据现场勘察与《第七师胡杨河市明源农业发展有限公司129团13连10万头生猪现代循环农牧业示范项目设施农用地备案通知书》（设施农用地备字〔2023〕67号）可知，本项目选址位于第七师胡杨河市129团13连，占地范围的</w:t>
      </w:r>
      <w:r>
        <w:rPr>
          <w:rFonts w:hint="eastAsia"/>
          <w:color w:val="000000" w:themeColor="text1"/>
          <w:highlight w:val="none"/>
          <w:lang w:val="en-US" w:eastAsia="zh-CN"/>
          <w14:textFill>
            <w14:solidFill>
              <w14:schemeClr w14:val="tx1"/>
            </w14:solidFill>
          </w14:textFill>
        </w:rPr>
        <w:t>土地性质为</w:t>
      </w:r>
      <w:r>
        <w:rPr>
          <w:rFonts w:hint="eastAsia" w:ascii="Times New Roman" w:hAnsi="Times New Roman" w:eastAsia="宋体" w:cs="宋体"/>
          <w:color w:val="000000" w:themeColor="text1"/>
          <w:highlight w:val="none"/>
          <w:lang w:val="en-US" w:eastAsia="zh-CN"/>
          <w14:textFill>
            <w14:solidFill>
              <w14:schemeClr w14:val="tx1"/>
            </w14:solidFill>
          </w14:textFill>
        </w:rPr>
        <w:t>未利用地</w:t>
      </w:r>
      <w:r>
        <w:rPr>
          <w:rFonts w:hint="eastAsia" w:cs="宋体"/>
          <w:color w:val="000000" w:themeColor="text1"/>
          <w:highlight w:val="none"/>
          <w:lang w:val="en-US" w:eastAsia="zh-CN"/>
          <w14:textFill>
            <w14:solidFill>
              <w14:schemeClr w14:val="tx1"/>
            </w14:solidFill>
          </w14:textFill>
        </w:rPr>
        <w:t>，土地利用类型具体见图4.2-2。</w:t>
      </w:r>
    </w:p>
    <w:p w14:paraId="667C3E1D">
      <w:pPr>
        <w:pStyle w:val="28"/>
        <w:bidi w:val="0"/>
        <w:rPr>
          <w:rFonts w:hint="default"/>
          <w:lang w:val="en-US" w:eastAsia="zh-CN"/>
        </w:rPr>
      </w:pPr>
      <w:r>
        <w:rPr>
          <w:rFonts w:hint="eastAsia"/>
          <w:lang w:val="en-US" w:eastAsia="zh-CN"/>
        </w:rPr>
        <w:t>植被现状</w:t>
      </w:r>
    </w:p>
    <w:p w14:paraId="051BC15E">
      <w:pPr>
        <w:bidi w:val="0"/>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区域内气候干旱，植物群落较为单一，主要以荒漠植被为主，评价区域内天然植被及野生动物种类较少，生态结构简单，耐冲积力弱，易遭破坏，难恢复，无国家级保护物种。</w:t>
      </w:r>
    </w:p>
    <w:p w14:paraId="0840C43A">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根据收集资料和现场踏勘，评价区地表主要以温性荒漠类草原为主，</w:t>
      </w:r>
      <w:r>
        <w:rPr>
          <w:rFonts w:hint="eastAsia"/>
          <w:color w:val="000000" w:themeColor="text1"/>
          <w:highlight w:val="none"/>
          <w:lang w:val="en-US" w:eastAsia="zh-CN"/>
          <w14:textFill>
            <w14:solidFill>
              <w14:schemeClr w14:val="tx1"/>
            </w14:solidFill>
          </w14:textFill>
        </w:rPr>
        <w:t>项目区主要为栽培植被，具体见图4.2-3</w:t>
      </w:r>
      <w:r>
        <w:rPr>
          <w:rFonts w:hint="eastAsia"/>
          <w:color w:val="000000" w:themeColor="text1"/>
          <w:highlight w:val="none"/>
          <w14:textFill>
            <w14:solidFill>
              <w14:schemeClr w14:val="tx1"/>
            </w14:solidFill>
          </w14:textFill>
        </w:rPr>
        <w:t>。</w:t>
      </w:r>
    </w:p>
    <w:p w14:paraId="534A9503">
      <w:pPr>
        <w:bidi w:val="0"/>
        <w:rPr>
          <w:rFonts w:hint="default"/>
          <w:lang w:val="en-US" w:eastAsia="zh-CN"/>
        </w:rPr>
      </w:pPr>
      <w:r>
        <w:rPr>
          <w:rFonts w:hint="eastAsia"/>
          <w:color w:val="000000" w:themeColor="text1"/>
          <w:highlight w:val="none"/>
          <w14:textFill>
            <w14:solidFill>
              <w14:schemeClr w14:val="tx1"/>
            </w14:solidFill>
          </w14:textFill>
        </w:rPr>
        <w:t>根据《中国稀有濒危保护植物目录》《新疆维吾尔自治区重点保护野生植物目录》，经对照查询，结合现场考察，评价区内没有发现国家保护濒危植物。</w:t>
      </w:r>
    </w:p>
    <w:p w14:paraId="3D068B05">
      <w:pPr>
        <w:pStyle w:val="28"/>
        <w:bidi w:val="0"/>
        <w:rPr>
          <w:rFonts w:hint="default"/>
          <w:lang w:val="en-US" w:eastAsia="zh-CN"/>
        </w:rPr>
      </w:pPr>
      <w:r>
        <w:rPr>
          <w:rFonts w:hint="eastAsia"/>
          <w:lang w:val="en-US" w:eastAsia="zh-CN"/>
        </w:rPr>
        <w:t>野生动植物现状</w:t>
      </w:r>
    </w:p>
    <w:p w14:paraId="607A7971">
      <w:pPr>
        <w:bidi w:val="0"/>
        <w:rPr>
          <w:rFonts w:hint="default"/>
          <w:lang w:val="en-US" w:eastAsia="zh-CN"/>
        </w:rPr>
      </w:pPr>
      <w:r>
        <w:rPr>
          <w:rFonts w:hint="default"/>
          <w:lang w:val="en-US" w:eastAsia="zh-CN"/>
        </w:rPr>
        <w:t>经咨询当地有关部门及周边群众，该区域近年来未见有大中型兽类活动，也未发现国家和自治区重点保护野生动物在沿线栖息。只有少部分野兔、五趾跳鼠、快步麻蜥、小家鼠等分布，鸟类有乌鸦、麻雀等。</w:t>
      </w:r>
    </w:p>
    <w:p w14:paraId="7890D092">
      <w:pPr>
        <w:pStyle w:val="2"/>
        <w:rPr>
          <w:rFonts w:hint="eastAsia"/>
          <w:lang w:val="en-US" w:eastAsia="zh-CN"/>
        </w:rPr>
      </w:pPr>
    </w:p>
    <w:p w14:paraId="10FE3C67">
      <w:pPr>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10ECCAE3">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p w14:paraId="36B96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6E051F08">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14:paraId="1472BA73">
      <w:pPr>
        <w:pStyle w:val="25"/>
        <w:bidi w:val="0"/>
        <w:rPr>
          <w:rFonts w:hint="default"/>
          <w:lang w:val="en-US" w:eastAsia="zh-CN"/>
        </w:rPr>
      </w:pPr>
      <w:bookmarkStart w:id="27" w:name="_Toc23883"/>
      <w:r>
        <w:rPr>
          <w:rFonts w:hint="eastAsia"/>
          <w:lang w:val="en-US" w:eastAsia="zh-CN"/>
        </w:rPr>
        <w:t>环境影响预测与评价</w:t>
      </w:r>
      <w:bookmarkEnd w:id="27"/>
    </w:p>
    <w:p w14:paraId="424AEA75">
      <w:pPr>
        <w:pStyle w:val="26"/>
        <w:bidi w:val="0"/>
        <w:rPr>
          <w:rFonts w:hint="default"/>
          <w:lang w:val="en-US" w:eastAsia="zh-CN"/>
        </w:rPr>
      </w:pPr>
      <w:bookmarkStart w:id="28" w:name="_Toc23203"/>
      <w:r>
        <w:rPr>
          <w:rFonts w:hint="eastAsia"/>
          <w:lang w:val="en-US" w:eastAsia="zh-CN"/>
        </w:rPr>
        <w:t>施工期环境影响分析</w:t>
      </w:r>
      <w:bookmarkEnd w:id="28"/>
    </w:p>
    <w:p w14:paraId="1F5C0421">
      <w:pPr>
        <w:rPr>
          <w:rFonts w:hint="eastAsia"/>
          <w:lang w:val="en-US" w:eastAsia="zh-CN"/>
        </w:rPr>
      </w:pPr>
      <w:r>
        <w:rPr>
          <w:rFonts w:hint="eastAsia"/>
          <w:lang w:val="en-US" w:eastAsia="zh-CN"/>
        </w:rPr>
        <w:t>本项目在建设的过程中，土地平整、土地开挖、铺设管道、基础处理、建设施工等施工过程会产生扬尘、噪声、污水及水土流失等污染因素，如不妥善处理，对周围环境会产生一定影响。故建设单位在本项目的施工建设中，应严格按照《建设工程施工现场环境与卫生标准》（JGJ146-2013）行，注意避免或减轻其对周围环境的各种影响。</w:t>
      </w:r>
    </w:p>
    <w:p w14:paraId="4C689738">
      <w:pPr>
        <w:pStyle w:val="27"/>
        <w:bidi w:val="0"/>
        <w:rPr>
          <w:rFonts w:hint="eastAsia"/>
          <w:lang w:val="en-US" w:eastAsia="zh-CN"/>
        </w:rPr>
      </w:pPr>
      <w:r>
        <w:rPr>
          <w:rFonts w:hint="eastAsia"/>
          <w:lang w:val="en-US" w:eastAsia="zh-CN"/>
        </w:rPr>
        <w:t>施工期大气环境影响分析</w:t>
      </w:r>
    </w:p>
    <w:p w14:paraId="7A0F6848">
      <w:pPr>
        <w:bidi w:val="0"/>
        <w:rPr>
          <w:rFonts w:hint="eastAsia"/>
          <w:lang w:val="en-US" w:eastAsia="zh-CN"/>
        </w:rPr>
      </w:pPr>
      <w:r>
        <w:rPr>
          <w:rFonts w:hint="eastAsia"/>
          <w:lang w:val="en-US" w:eastAsia="zh-CN"/>
        </w:rPr>
        <w:t>施工期的废气主要为扬尘，还有部分施工机械以及运输车辆排放的尾气。</w:t>
      </w:r>
    </w:p>
    <w:p w14:paraId="2E220A79">
      <w:pPr>
        <w:bidi w:val="0"/>
        <w:rPr>
          <w:rFonts w:hint="eastAsia"/>
          <w:lang w:val="en-US" w:eastAsia="zh-CN"/>
        </w:rPr>
      </w:pPr>
      <w:r>
        <w:rPr>
          <w:rFonts w:hint="eastAsia"/>
          <w:lang w:val="en-US" w:eastAsia="zh-CN"/>
        </w:rPr>
        <w:t>（1）扬尘环境影响分析</w:t>
      </w:r>
    </w:p>
    <w:p w14:paraId="43EC92E1">
      <w:pPr>
        <w:bidi w:val="0"/>
        <w:rPr>
          <w:rFonts w:hint="eastAsia"/>
          <w:lang w:val="en-US" w:eastAsia="zh-CN"/>
        </w:rPr>
      </w:pPr>
      <w:r>
        <w:rPr>
          <w:rFonts w:hint="eastAsia"/>
          <w:lang w:val="en-US" w:eastAsia="zh-CN"/>
        </w:rPr>
        <w:t>扬尘的来源包括有：土方挖掘及现场堆放扬尘；建筑材料的堆放、现场搬运、装卸等产生扬尘；车来往造成的现场道路扬尘。</w:t>
      </w:r>
    </w:p>
    <w:p w14:paraId="4096FC6F">
      <w:pPr>
        <w:bidi w:val="0"/>
        <w:rPr>
          <w:rFonts w:hint="eastAsia"/>
          <w:lang w:val="en-US" w:eastAsia="zh-CN"/>
        </w:rPr>
      </w:pPr>
      <w:r>
        <w:rPr>
          <w:rFonts w:hint="eastAsia"/>
          <w:lang w:val="en-US" w:eastAsia="zh-CN"/>
        </w:rPr>
        <w:t>根据国内外的有关研究资料，扬尘起尘量与许多因素有关，如挖土机等施工机械在工作时的起尘量决定于挖坑深度、挖土机抓斗与地面的相对高度、风速、土壤的颗粒度、土壤含水量、渣土分散度等条件；而对于渣土堆扬尘而言，起尘量还与堆放方式、起动风速及堆粪场有无防护措施、尘粒和沉降速度等密切相关。不同的粒径的尘粒的沉降速度见表5.1-1。</w:t>
      </w:r>
    </w:p>
    <w:p w14:paraId="13E0EA95">
      <w:pPr>
        <w:pStyle w:val="30"/>
        <w:bidi w:val="0"/>
      </w:pPr>
      <w:r>
        <w:t xml:space="preserve">表5.1-1 </w:t>
      </w:r>
      <w:r>
        <w:rPr>
          <w:rFonts w:hint="eastAsia"/>
          <w:lang w:val="en-US" w:eastAsia="zh-CN"/>
        </w:rPr>
        <w:t xml:space="preserve"> </w:t>
      </w:r>
      <w:r>
        <w:t xml:space="preserve"> 不同粒径尘粒的沉降速度</w:t>
      </w:r>
    </w:p>
    <w:tbl>
      <w:tblPr>
        <w:tblStyle w:val="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2039"/>
        <w:gridCol w:w="810"/>
        <w:gridCol w:w="863"/>
        <w:gridCol w:w="937"/>
        <w:gridCol w:w="937"/>
        <w:gridCol w:w="947"/>
        <w:gridCol w:w="937"/>
        <w:gridCol w:w="947"/>
      </w:tblGrid>
      <w:tr w14:paraId="1BE49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1211" w:type="pct"/>
            <w:vAlign w:val="center"/>
          </w:tcPr>
          <w:p w14:paraId="00092661">
            <w:pPr>
              <w:pStyle w:val="19"/>
              <w:bidi w:val="0"/>
            </w:pPr>
            <w:r>
              <w:t>粒径(μm）</w:t>
            </w:r>
          </w:p>
        </w:tc>
        <w:tc>
          <w:tcPr>
            <w:tcW w:w="481" w:type="pct"/>
            <w:vAlign w:val="center"/>
          </w:tcPr>
          <w:p w14:paraId="6A7DEC02">
            <w:pPr>
              <w:pStyle w:val="19"/>
              <w:bidi w:val="0"/>
            </w:pPr>
            <w:r>
              <w:t>10</w:t>
            </w:r>
          </w:p>
        </w:tc>
        <w:tc>
          <w:tcPr>
            <w:tcW w:w="512" w:type="pct"/>
            <w:vAlign w:val="center"/>
          </w:tcPr>
          <w:p w14:paraId="614BBFB5">
            <w:pPr>
              <w:pStyle w:val="19"/>
              <w:bidi w:val="0"/>
            </w:pPr>
            <w:r>
              <w:t>20</w:t>
            </w:r>
          </w:p>
        </w:tc>
        <w:tc>
          <w:tcPr>
            <w:tcW w:w="556" w:type="pct"/>
            <w:vAlign w:val="center"/>
          </w:tcPr>
          <w:p w14:paraId="0DE71852">
            <w:pPr>
              <w:pStyle w:val="19"/>
              <w:bidi w:val="0"/>
            </w:pPr>
            <w:r>
              <w:t>30</w:t>
            </w:r>
          </w:p>
        </w:tc>
        <w:tc>
          <w:tcPr>
            <w:tcW w:w="556" w:type="pct"/>
            <w:vAlign w:val="center"/>
          </w:tcPr>
          <w:p w14:paraId="5FFC64AF">
            <w:pPr>
              <w:pStyle w:val="19"/>
              <w:bidi w:val="0"/>
            </w:pPr>
            <w:r>
              <w:t>40</w:t>
            </w:r>
          </w:p>
        </w:tc>
        <w:tc>
          <w:tcPr>
            <w:tcW w:w="562" w:type="pct"/>
            <w:vAlign w:val="center"/>
          </w:tcPr>
          <w:p w14:paraId="0203F411">
            <w:pPr>
              <w:pStyle w:val="19"/>
              <w:bidi w:val="0"/>
            </w:pPr>
            <w:r>
              <w:t>50</w:t>
            </w:r>
          </w:p>
        </w:tc>
        <w:tc>
          <w:tcPr>
            <w:tcW w:w="556" w:type="pct"/>
            <w:vAlign w:val="center"/>
          </w:tcPr>
          <w:p w14:paraId="52BFF6AA">
            <w:pPr>
              <w:pStyle w:val="19"/>
              <w:bidi w:val="0"/>
            </w:pPr>
            <w:r>
              <w:t>60</w:t>
            </w:r>
          </w:p>
        </w:tc>
        <w:tc>
          <w:tcPr>
            <w:tcW w:w="562" w:type="pct"/>
            <w:vAlign w:val="center"/>
          </w:tcPr>
          <w:p w14:paraId="13006D47">
            <w:pPr>
              <w:pStyle w:val="19"/>
              <w:bidi w:val="0"/>
            </w:pPr>
            <w:r>
              <w:t>70</w:t>
            </w:r>
          </w:p>
        </w:tc>
      </w:tr>
      <w:tr w14:paraId="662EB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1211" w:type="pct"/>
            <w:vAlign w:val="center"/>
          </w:tcPr>
          <w:p w14:paraId="0848EFC5">
            <w:pPr>
              <w:pStyle w:val="19"/>
              <w:bidi w:val="0"/>
            </w:pPr>
            <w:r>
              <w:t>沉降速度（m/s）</w:t>
            </w:r>
          </w:p>
        </w:tc>
        <w:tc>
          <w:tcPr>
            <w:tcW w:w="481" w:type="pct"/>
            <w:vAlign w:val="center"/>
          </w:tcPr>
          <w:p w14:paraId="4EB4802C">
            <w:pPr>
              <w:pStyle w:val="19"/>
              <w:bidi w:val="0"/>
            </w:pPr>
            <w:r>
              <w:t>0.003</w:t>
            </w:r>
          </w:p>
        </w:tc>
        <w:tc>
          <w:tcPr>
            <w:tcW w:w="512" w:type="pct"/>
            <w:vAlign w:val="center"/>
          </w:tcPr>
          <w:p w14:paraId="2E050739">
            <w:pPr>
              <w:pStyle w:val="19"/>
              <w:bidi w:val="0"/>
            </w:pPr>
            <w:r>
              <w:t>0.012</w:t>
            </w:r>
          </w:p>
        </w:tc>
        <w:tc>
          <w:tcPr>
            <w:tcW w:w="556" w:type="pct"/>
            <w:vAlign w:val="center"/>
          </w:tcPr>
          <w:p w14:paraId="448CF52C">
            <w:pPr>
              <w:pStyle w:val="19"/>
              <w:bidi w:val="0"/>
            </w:pPr>
            <w:r>
              <w:t>0.027</w:t>
            </w:r>
          </w:p>
        </w:tc>
        <w:tc>
          <w:tcPr>
            <w:tcW w:w="556" w:type="pct"/>
            <w:vAlign w:val="center"/>
          </w:tcPr>
          <w:p w14:paraId="21D5017C">
            <w:pPr>
              <w:pStyle w:val="19"/>
              <w:bidi w:val="0"/>
            </w:pPr>
            <w:r>
              <w:t>0.048</w:t>
            </w:r>
          </w:p>
        </w:tc>
        <w:tc>
          <w:tcPr>
            <w:tcW w:w="562" w:type="pct"/>
            <w:vAlign w:val="center"/>
          </w:tcPr>
          <w:p w14:paraId="36919F8A">
            <w:pPr>
              <w:pStyle w:val="19"/>
              <w:bidi w:val="0"/>
            </w:pPr>
            <w:r>
              <w:t>0.075</w:t>
            </w:r>
          </w:p>
        </w:tc>
        <w:tc>
          <w:tcPr>
            <w:tcW w:w="556" w:type="pct"/>
            <w:vAlign w:val="center"/>
          </w:tcPr>
          <w:p w14:paraId="090DE031">
            <w:pPr>
              <w:pStyle w:val="19"/>
              <w:bidi w:val="0"/>
            </w:pPr>
            <w:r>
              <w:t>0.108</w:t>
            </w:r>
          </w:p>
        </w:tc>
        <w:tc>
          <w:tcPr>
            <w:tcW w:w="562" w:type="pct"/>
            <w:vAlign w:val="center"/>
          </w:tcPr>
          <w:p w14:paraId="56D82000">
            <w:pPr>
              <w:pStyle w:val="19"/>
              <w:bidi w:val="0"/>
            </w:pPr>
            <w:r>
              <w:t>0.147</w:t>
            </w:r>
          </w:p>
        </w:tc>
      </w:tr>
      <w:tr w14:paraId="329C5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1211" w:type="pct"/>
            <w:vAlign w:val="center"/>
          </w:tcPr>
          <w:p w14:paraId="787A2277">
            <w:pPr>
              <w:pStyle w:val="19"/>
              <w:bidi w:val="0"/>
            </w:pPr>
            <w:r>
              <w:t>粒径(μm）</w:t>
            </w:r>
          </w:p>
        </w:tc>
        <w:tc>
          <w:tcPr>
            <w:tcW w:w="481" w:type="pct"/>
            <w:vAlign w:val="center"/>
          </w:tcPr>
          <w:p w14:paraId="7655107D">
            <w:pPr>
              <w:pStyle w:val="19"/>
              <w:bidi w:val="0"/>
            </w:pPr>
            <w:r>
              <w:t>80</w:t>
            </w:r>
          </w:p>
        </w:tc>
        <w:tc>
          <w:tcPr>
            <w:tcW w:w="512" w:type="pct"/>
            <w:vAlign w:val="center"/>
          </w:tcPr>
          <w:p w14:paraId="1841951A">
            <w:pPr>
              <w:pStyle w:val="19"/>
              <w:bidi w:val="0"/>
            </w:pPr>
            <w:r>
              <w:t>90</w:t>
            </w:r>
          </w:p>
        </w:tc>
        <w:tc>
          <w:tcPr>
            <w:tcW w:w="556" w:type="pct"/>
            <w:vAlign w:val="center"/>
          </w:tcPr>
          <w:p w14:paraId="32C4BCF6">
            <w:pPr>
              <w:pStyle w:val="19"/>
              <w:bidi w:val="0"/>
            </w:pPr>
            <w:r>
              <w:t>100</w:t>
            </w:r>
          </w:p>
        </w:tc>
        <w:tc>
          <w:tcPr>
            <w:tcW w:w="556" w:type="pct"/>
            <w:vAlign w:val="center"/>
          </w:tcPr>
          <w:p w14:paraId="2050E2CD">
            <w:pPr>
              <w:pStyle w:val="19"/>
              <w:bidi w:val="0"/>
            </w:pPr>
            <w:r>
              <w:t>150</w:t>
            </w:r>
          </w:p>
        </w:tc>
        <w:tc>
          <w:tcPr>
            <w:tcW w:w="562" w:type="pct"/>
            <w:vAlign w:val="center"/>
          </w:tcPr>
          <w:p w14:paraId="6A98B6D6">
            <w:pPr>
              <w:pStyle w:val="19"/>
              <w:bidi w:val="0"/>
            </w:pPr>
            <w:r>
              <w:t>200</w:t>
            </w:r>
          </w:p>
        </w:tc>
        <w:tc>
          <w:tcPr>
            <w:tcW w:w="556" w:type="pct"/>
            <w:vAlign w:val="center"/>
          </w:tcPr>
          <w:p w14:paraId="5D151A9C">
            <w:pPr>
              <w:pStyle w:val="19"/>
              <w:bidi w:val="0"/>
            </w:pPr>
            <w:r>
              <w:t>250</w:t>
            </w:r>
          </w:p>
        </w:tc>
        <w:tc>
          <w:tcPr>
            <w:tcW w:w="562" w:type="pct"/>
            <w:vAlign w:val="center"/>
          </w:tcPr>
          <w:p w14:paraId="7D24E7ED">
            <w:pPr>
              <w:pStyle w:val="19"/>
              <w:bidi w:val="0"/>
            </w:pPr>
            <w:r>
              <w:t>350</w:t>
            </w:r>
          </w:p>
        </w:tc>
      </w:tr>
      <w:tr w14:paraId="42A57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1211" w:type="pct"/>
            <w:vAlign w:val="center"/>
          </w:tcPr>
          <w:p w14:paraId="79B1994B">
            <w:pPr>
              <w:pStyle w:val="19"/>
              <w:bidi w:val="0"/>
            </w:pPr>
            <w:r>
              <w:t>沉降速度（m/s）</w:t>
            </w:r>
          </w:p>
        </w:tc>
        <w:tc>
          <w:tcPr>
            <w:tcW w:w="481" w:type="pct"/>
            <w:vAlign w:val="center"/>
          </w:tcPr>
          <w:p w14:paraId="08E71125">
            <w:pPr>
              <w:pStyle w:val="19"/>
              <w:bidi w:val="0"/>
            </w:pPr>
            <w:r>
              <w:t>0.158</w:t>
            </w:r>
          </w:p>
        </w:tc>
        <w:tc>
          <w:tcPr>
            <w:tcW w:w="512" w:type="pct"/>
            <w:vAlign w:val="center"/>
          </w:tcPr>
          <w:p w14:paraId="26778DE0">
            <w:pPr>
              <w:pStyle w:val="19"/>
              <w:bidi w:val="0"/>
            </w:pPr>
            <w:r>
              <w:t>0.170</w:t>
            </w:r>
          </w:p>
        </w:tc>
        <w:tc>
          <w:tcPr>
            <w:tcW w:w="556" w:type="pct"/>
            <w:vAlign w:val="center"/>
          </w:tcPr>
          <w:p w14:paraId="76998EEA">
            <w:pPr>
              <w:pStyle w:val="19"/>
              <w:bidi w:val="0"/>
            </w:pPr>
            <w:r>
              <w:t>0.182</w:t>
            </w:r>
          </w:p>
        </w:tc>
        <w:tc>
          <w:tcPr>
            <w:tcW w:w="556" w:type="pct"/>
            <w:vAlign w:val="center"/>
          </w:tcPr>
          <w:p w14:paraId="3E839C7F">
            <w:pPr>
              <w:pStyle w:val="19"/>
              <w:bidi w:val="0"/>
            </w:pPr>
            <w:r>
              <w:t>0.239</w:t>
            </w:r>
          </w:p>
        </w:tc>
        <w:tc>
          <w:tcPr>
            <w:tcW w:w="562" w:type="pct"/>
            <w:vAlign w:val="center"/>
          </w:tcPr>
          <w:p w14:paraId="5CB92C0A">
            <w:pPr>
              <w:pStyle w:val="19"/>
              <w:bidi w:val="0"/>
            </w:pPr>
            <w:r>
              <w:t>0.804</w:t>
            </w:r>
          </w:p>
        </w:tc>
        <w:tc>
          <w:tcPr>
            <w:tcW w:w="556" w:type="pct"/>
            <w:vAlign w:val="center"/>
          </w:tcPr>
          <w:p w14:paraId="6C35D6AF">
            <w:pPr>
              <w:pStyle w:val="19"/>
              <w:bidi w:val="0"/>
            </w:pPr>
            <w:r>
              <w:t>1.005</w:t>
            </w:r>
          </w:p>
        </w:tc>
        <w:tc>
          <w:tcPr>
            <w:tcW w:w="562" w:type="pct"/>
            <w:vAlign w:val="center"/>
          </w:tcPr>
          <w:p w14:paraId="50FECD59">
            <w:pPr>
              <w:pStyle w:val="19"/>
              <w:bidi w:val="0"/>
            </w:pPr>
            <w:r>
              <w:t>1.829</w:t>
            </w:r>
          </w:p>
        </w:tc>
      </w:tr>
      <w:tr w14:paraId="6A3C9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1211" w:type="pct"/>
            <w:vAlign w:val="center"/>
          </w:tcPr>
          <w:p w14:paraId="0FCE3011">
            <w:pPr>
              <w:pStyle w:val="19"/>
              <w:bidi w:val="0"/>
            </w:pPr>
            <w:r>
              <w:t>粒径(μm）</w:t>
            </w:r>
          </w:p>
        </w:tc>
        <w:tc>
          <w:tcPr>
            <w:tcW w:w="481" w:type="pct"/>
            <w:vAlign w:val="center"/>
          </w:tcPr>
          <w:p w14:paraId="7118203A">
            <w:pPr>
              <w:pStyle w:val="19"/>
              <w:bidi w:val="0"/>
            </w:pPr>
            <w:r>
              <w:t>450</w:t>
            </w:r>
          </w:p>
        </w:tc>
        <w:tc>
          <w:tcPr>
            <w:tcW w:w="512" w:type="pct"/>
            <w:vAlign w:val="center"/>
          </w:tcPr>
          <w:p w14:paraId="2F19590E">
            <w:pPr>
              <w:pStyle w:val="19"/>
              <w:bidi w:val="0"/>
            </w:pPr>
            <w:r>
              <w:t>550</w:t>
            </w:r>
          </w:p>
        </w:tc>
        <w:tc>
          <w:tcPr>
            <w:tcW w:w="556" w:type="pct"/>
            <w:vAlign w:val="center"/>
          </w:tcPr>
          <w:p w14:paraId="5CDBDD3B">
            <w:pPr>
              <w:pStyle w:val="19"/>
              <w:bidi w:val="0"/>
            </w:pPr>
            <w:r>
              <w:t>650</w:t>
            </w:r>
          </w:p>
        </w:tc>
        <w:tc>
          <w:tcPr>
            <w:tcW w:w="556" w:type="pct"/>
            <w:vAlign w:val="center"/>
          </w:tcPr>
          <w:p w14:paraId="5CAF210D">
            <w:pPr>
              <w:pStyle w:val="19"/>
              <w:bidi w:val="0"/>
            </w:pPr>
            <w:r>
              <w:t>750</w:t>
            </w:r>
          </w:p>
        </w:tc>
        <w:tc>
          <w:tcPr>
            <w:tcW w:w="562" w:type="pct"/>
            <w:vAlign w:val="center"/>
          </w:tcPr>
          <w:p w14:paraId="27945DAD">
            <w:pPr>
              <w:pStyle w:val="19"/>
              <w:bidi w:val="0"/>
            </w:pPr>
            <w:r>
              <w:t>850</w:t>
            </w:r>
          </w:p>
        </w:tc>
        <w:tc>
          <w:tcPr>
            <w:tcW w:w="556" w:type="pct"/>
            <w:vAlign w:val="center"/>
          </w:tcPr>
          <w:p w14:paraId="307DFF51">
            <w:pPr>
              <w:pStyle w:val="19"/>
              <w:bidi w:val="0"/>
            </w:pPr>
            <w:r>
              <w:t>950</w:t>
            </w:r>
          </w:p>
        </w:tc>
        <w:tc>
          <w:tcPr>
            <w:tcW w:w="562" w:type="pct"/>
            <w:vAlign w:val="center"/>
          </w:tcPr>
          <w:p w14:paraId="37730D62">
            <w:pPr>
              <w:pStyle w:val="19"/>
              <w:bidi w:val="0"/>
            </w:pPr>
            <w:r>
              <w:t>1050</w:t>
            </w:r>
          </w:p>
        </w:tc>
      </w:tr>
      <w:tr w14:paraId="2D230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1211" w:type="pct"/>
            <w:vAlign w:val="center"/>
          </w:tcPr>
          <w:p w14:paraId="4A6E23E4">
            <w:pPr>
              <w:pStyle w:val="19"/>
              <w:bidi w:val="0"/>
            </w:pPr>
            <w:r>
              <w:t>沉降速度（m/s）</w:t>
            </w:r>
          </w:p>
        </w:tc>
        <w:tc>
          <w:tcPr>
            <w:tcW w:w="481" w:type="pct"/>
            <w:vAlign w:val="center"/>
          </w:tcPr>
          <w:p w14:paraId="4AB411E6">
            <w:pPr>
              <w:pStyle w:val="19"/>
              <w:bidi w:val="0"/>
            </w:pPr>
            <w:r>
              <w:t>2.211</w:t>
            </w:r>
          </w:p>
        </w:tc>
        <w:tc>
          <w:tcPr>
            <w:tcW w:w="512" w:type="pct"/>
            <w:vAlign w:val="center"/>
          </w:tcPr>
          <w:p w14:paraId="007F06AB">
            <w:pPr>
              <w:pStyle w:val="19"/>
              <w:bidi w:val="0"/>
            </w:pPr>
            <w:r>
              <w:t>2.614</w:t>
            </w:r>
          </w:p>
        </w:tc>
        <w:tc>
          <w:tcPr>
            <w:tcW w:w="556" w:type="pct"/>
            <w:vAlign w:val="center"/>
          </w:tcPr>
          <w:p w14:paraId="76E9ECD7">
            <w:pPr>
              <w:pStyle w:val="19"/>
              <w:bidi w:val="0"/>
            </w:pPr>
            <w:r>
              <w:t>3.016</w:t>
            </w:r>
          </w:p>
        </w:tc>
        <w:tc>
          <w:tcPr>
            <w:tcW w:w="556" w:type="pct"/>
            <w:vAlign w:val="center"/>
          </w:tcPr>
          <w:p w14:paraId="4A05414C">
            <w:pPr>
              <w:pStyle w:val="19"/>
              <w:bidi w:val="0"/>
            </w:pPr>
            <w:r>
              <w:t>3.418</w:t>
            </w:r>
          </w:p>
        </w:tc>
        <w:tc>
          <w:tcPr>
            <w:tcW w:w="562" w:type="pct"/>
            <w:vAlign w:val="center"/>
          </w:tcPr>
          <w:p w14:paraId="3D93F1A4">
            <w:pPr>
              <w:pStyle w:val="19"/>
              <w:bidi w:val="0"/>
            </w:pPr>
            <w:r>
              <w:t>3.820</w:t>
            </w:r>
          </w:p>
        </w:tc>
        <w:tc>
          <w:tcPr>
            <w:tcW w:w="556" w:type="pct"/>
            <w:vAlign w:val="center"/>
          </w:tcPr>
          <w:p w14:paraId="4F9C0E24">
            <w:pPr>
              <w:pStyle w:val="19"/>
              <w:bidi w:val="0"/>
            </w:pPr>
            <w:r>
              <w:t>4.222</w:t>
            </w:r>
          </w:p>
        </w:tc>
        <w:tc>
          <w:tcPr>
            <w:tcW w:w="562" w:type="pct"/>
            <w:vAlign w:val="center"/>
          </w:tcPr>
          <w:p w14:paraId="191E4C46">
            <w:pPr>
              <w:pStyle w:val="19"/>
              <w:bidi w:val="0"/>
            </w:pPr>
            <w:r>
              <w:t>4.624</w:t>
            </w:r>
          </w:p>
        </w:tc>
      </w:tr>
    </w:tbl>
    <w:p w14:paraId="25CFDD2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此外，根据有关市政施工现场实测资料的记录，在一般气象条件下，当风速在2.5m/s的情况下，建筑工地内TSP浓度是上风向对照点的2.0~2.5倍，建筑施工扬尘的影响范围为其下风向150m左右。通过类比调查研究，未采取防护措施和土壤较干燥时，开挖的最大扬尘约为开挖土量的1%。在采取一定防护措施或土壤较湿润时，开挖的扬尘量约为0.1%。在采取适当防护措施后，施工扬尘范围一般在厂界外50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200m左右。</w:t>
      </w:r>
    </w:p>
    <w:p w14:paraId="118C0F6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扬尘的大小跟风力及气候有一定的关系，本项目厂址降雨稀少，沙尘天气</w:t>
      </w:r>
      <w:r>
        <w:rPr>
          <w:rFonts w:hint="eastAsia"/>
          <w:color w:val="000000" w:themeColor="text1"/>
          <w:highlight w:val="none"/>
          <w:lang w:val="en-US" w:eastAsia="zh-CN"/>
          <w14:textFill>
            <w14:solidFill>
              <w14:schemeClr w14:val="tx1"/>
            </w14:solidFill>
          </w14:textFill>
        </w:rPr>
        <w:t>较</w:t>
      </w:r>
      <w:r>
        <w:rPr>
          <w:color w:val="000000" w:themeColor="text1"/>
          <w:highlight w:val="none"/>
          <w14:textFill>
            <w14:solidFill>
              <w14:schemeClr w14:val="tx1"/>
            </w14:solidFill>
          </w14:textFill>
        </w:rPr>
        <w:t>多，相应的扬尘影响范围较大，细颗粒的输送距离可以达到几十公里以上。而在洒水和避免大风日的情况下施工，下风向50mTSP浓度会小于0.3mg/m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7E1858D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以上分析可知，在不采用措施的情况下，施工场地的扬尘会对当地环境产生一定的影响，而在通过采取合理布置施工场地，同时在洒水和避免大风日情况下施工等措施下，扬尘的影响将得到一定程度降低，且扬尘的不良影响将伴随着施工期的结束而结束。</w:t>
      </w:r>
    </w:p>
    <w:p w14:paraId="4B5631A2">
      <w:pPr>
        <w:rPr>
          <w:rFonts w:hint="eastAsia" w:eastAsia="宋体"/>
          <w:lang w:val="en-US" w:eastAsia="zh-CN"/>
        </w:rPr>
      </w:pPr>
      <w:r>
        <w:rPr>
          <w:color w:val="000000" w:themeColor="text1"/>
          <w:highlight w:val="none"/>
          <w14:textFill>
            <w14:solidFill>
              <w14:schemeClr w14:val="tx1"/>
            </w14:solidFill>
          </w14:textFill>
        </w:rPr>
        <w:t>施工运输车辆通过便道行驶产生的扬尘源强大小与污染源的距离、道路路面、行驶速度有关。一般情况，在自然风作用下车辆产生的扬尘所影响的范围在100m以内。如果在施工期间对车辆行驶的路面洒水抑尘，每天洒水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5次，扬尘减少70%左右，施工场地洒水试验结果见表5.1-2。</w:t>
      </w:r>
    </w:p>
    <w:p w14:paraId="7202B6D5">
      <w:pPr>
        <w:pStyle w:val="30"/>
        <w:bidi w:val="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 xml:space="preserve">表5.1-2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施工工地大气TSP浓度变化表  单位：mg/m</w:t>
      </w:r>
      <w:r>
        <w:rPr>
          <w:b/>
          <w:bCs/>
          <w:color w:val="000000" w:themeColor="text1"/>
          <w:sz w:val="21"/>
          <w:szCs w:val="21"/>
          <w:highlight w:val="none"/>
          <w:vertAlign w:val="superscript"/>
          <w14:textFill>
            <w14:solidFill>
              <w14:schemeClr w14:val="tx1"/>
            </w14:solidFill>
          </w14:textFill>
        </w:rPr>
        <w:t>3</w:t>
      </w:r>
    </w:p>
    <w:tbl>
      <w:tblPr>
        <w:tblStyle w:val="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91"/>
        <w:gridCol w:w="859"/>
        <w:gridCol w:w="852"/>
        <w:gridCol w:w="778"/>
        <w:gridCol w:w="873"/>
        <w:gridCol w:w="842"/>
        <w:gridCol w:w="884"/>
        <w:gridCol w:w="1338"/>
      </w:tblGrid>
      <w:tr w14:paraId="68B3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82" w:type="pct"/>
            <w:tcMar>
              <w:top w:w="0" w:type="dxa"/>
              <w:left w:w="57" w:type="dxa"/>
              <w:bottom w:w="0" w:type="dxa"/>
              <w:right w:w="57" w:type="dxa"/>
            </w:tcMar>
            <w:vAlign w:val="center"/>
          </w:tcPr>
          <w:p w14:paraId="0D8F3757">
            <w:pPr>
              <w:pStyle w:val="19"/>
              <w:bidi w:val="0"/>
            </w:pPr>
            <w:r>
              <w:t>据工地距离</w:t>
            </w:r>
          </w:p>
        </w:tc>
        <w:tc>
          <w:tcPr>
            <w:tcW w:w="510" w:type="pct"/>
            <w:tcMar>
              <w:top w:w="0" w:type="dxa"/>
              <w:left w:w="57" w:type="dxa"/>
              <w:bottom w:w="0" w:type="dxa"/>
              <w:right w:w="57" w:type="dxa"/>
            </w:tcMar>
            <w:vAlign w:val="center"/>
          </w:tcPr>
          <w:p w14:paraId="5991B12B">
            <w:pPr>
              <w:pStyle w:val="19"/>
              <w:bidi w:val="0"/>
            </w:pPr>
            <w:r>
              <w:t>对照点</w:t>
            </w:r>
          </w:p>
        </w:tc>
        <w:tc>
          <w:tcPr>
            <w:tcW w:w="506" w:type="pct"/>
            <w:tcMar>
              <w:top w:w="0" w:type="dxa"/>
              <w:left w:w="57" w:type="dxa"/>
              <w:bottom w:w="0" w:type="dxa"/>
              <w:right w:w="57" w:type="dxa"/>
            </w:tcMar>
            <w:vAlign w:val="center"/>
          </w:tcPr>
          <w:p w14:paraId="00753521">
            <w:pPr>
              <w:pStyle w:val="19"/>
              <w:bidi w:val="0"/>
            </w:pPr>
            <w:r>
              <w:t>10m</w:t>
            </w:r>
          </w:p>
        </w:tc>
        <w:tc>
          <w:tcPr>
            <w:tcW w:w="462" w:type="pct"/>
            <w:tcMar>
              <w:top w:w="0" w:type="dxa"/>
              <w:left w:w="57" w:type="dxa"/>
              <w:bottom w:w="0" w:type="dxa"/>
              <w:right w:w="57" w:type="dxa"/>
            </w:tcMar>
            <w:vAlign w:val="center"/>
          </w:tcPr>
          <w:p w14:paraId="7941AF68">
            <w:pPr>
              <w:pStyle w:val="19"/>
              <w:bidi w:val="0"/>
            </w:pPr>
            <w:r>
              <w:t>30m</w:t>
            </w:r>
          </w:p>
        </w:tc>
        <w:tc>
          <w:tcPr>
            <w:tcW w:w="518" w:type="pct"/>
            <w:tcMar>
              <w:top w:w="0" w:type="dxa"/>
              <w:left w:w="57" w:type="dxa"/>
              <w:bottom w:w="0" w:type="dxa"/>
              <w:right w:w="57" w:type="dxa"/>
            </w:tcMar>
            <w:vAlign w:val="center"/>
          </w:tcPr>
          <w:p w14:paraId="31A50BCD">
            <w:pPr>
              <w:pStyle w:val="19"/>
              <w:bidi w:val="0"/>
            </w:pPr>
            <w:r>
              <w:t>50m</w:t>
            </w:r>
          </w:p>
        </w:tc>
        <w:tc>
          <w:tcPr>
            <w:tcW w:w="500" w:type="pct"/>
            <w:tcMar>
              <w:top w:w="0" w:type="dxa"/>
              <w:left w:w="57" w:type="dxa"/>
              <w:bottom w:w="0" w:type="dxa"/>
              <w:right w:w="57" w:type="dxa"/>
            </w:tcMar>
            <w:vAlign w:val="center"/>
          </w:tcPr>
          <w:p w14:paraId="669709FA">
            <w:pPr>
              <w:pStyle w:val="19"/>
              <w:bidi w:val="0"/>
            </w:pPr>
            <w:r>
              <w:t>100m</w:t>
            </w:r>
          </w:p>
        </w:tc>
        <w:tc>
          <w:tcPr>
            <w:tcW w:w="525" w:type="pct"/>
            <w:tcMar>
              <w:top w:w="0" w:type="dxa"/>
              <w:left w:w="57" w:type="dxa"/>
              <w:bottom w:w="0" w:type="dxa"/>
              <w:right w:w="57" w:type="dxa"/>
            </w:tcMar>
            <w:vAlign w:val="center"/>
          </w:tcPr>
          <w:p w14:paraId="14AE0800">
            <w:pPr>
              <w:pStyle w:val="19"/>
              <w:bidi w:val="0"/>
            </w:pPr>
            <w:r>
              <w:t>200m</w:t>
            </w:r>
          </w:p>
        </w:tc>
        <w:tc>
          <w:tcPr>
            <w:tcW w:w="794" w:type="pct"/>
            <w:tcMar>
              <w:top w:w="0" w:type="dxa"/>
              <w:left w:w="57" w:type="dxa"/>
              <w:bottom w:w="0" w:type="dxa"/>
              <w:right w:w="57" w:type="dxa"/>
            </w:tcMar>
            <w:vAlign w:val="center"/>
          </w:tcPr>
          <w:p w14:paraId="3906259B">
            <w:pPr>
              <w:pStyle w:val="19"/>
              <w:bidi w:val="0"/>
            </w:pPr>
            <w:r>
              <w:t>备注</w:t>
            </w:r>
          </w:p>
        </w:tc>
      </w:tr>
      <w:tr w14:paraId="0D055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82" w:type="pct"/>
            <w:tcMar>
              <w:top w:w="0" w:type="dxa"/>
              <w:left w:w="57" w:type="dxa"/>
              <w:bottom w:w="0" w:type="dxa"/>
              <w:right w:w="57" w:type="dxa"/>
            </w:tcMar>
            <w:vAlign w:val="center"/>
          </w:tcPr>
          <w:p w14:paraId="5D9F6D69">
            <w:pPr>
              <w:pStyle w:val="19"/>
              <w:bidi w:val="0"/>
            </w:pPr>
            <w:r>
              <w:t>场地未洒水TSP浓度</w:t>
            </w:r>
          </w:p>
        </w:tc>
        <w:tc>
          <w:tcPr>
            <w:tcW w:w="510" w:type="pct"/>
            <w:tcMar>
              <w:top w:w="0" w:type="dxa"/>
              <w:left w:w="57" w:type="dxa"/>
              <w:bottom w:w="0" w:type="dxa"/>
              <w:right w:w="57" w:type="dxa"/>
            </w:tcMar>
            <w:vAlign w:val="center"/>
          </w:tcPr>
          <w:p w14:paraId="60E2153C">
            <w:pPr>
              <w:pStyle w:val="19"/>
              <w:bidi w:val="0"/>
            </w:pPr>
            <w:r>
              <w:t>0.541</w:t>
            </w:r>
          </w:p>
        </w:tc>
        <w:tc>
          <w:tcPr>
            <w:tcW w:w="506" w:type="pct"/>
            <w:tcMar>
              <w:top w:w="0" w:type="dxa"/>
              <w:left w:w="57" w:type="dxa"/>
              <w:bottom w:w="0" w:type="dxa"/>
              <w:right w:w="57" w:type="dxa"/>
            </w:tcMar>
            <w:vAlign w:val="center"/>
          </w:tcPr>
          <w:p w14:paraId="067C1643">
            <w:pPr>
              <w:pStyle w:val="19"/>
              <w:bidi w:val="0"/>
            </w:pPr>
            <w:r>
              <w:t>1.843</w:t>
            </w:r>
          </w:p>
        </w:tc>
        <w:tc>
          <w:tcPr>
            <w:tcW w:w="462" w:type="pct"/>
            <w:tcMar>
              <w:top w:w="0" w:type="dxa"/>
              <w:left w:w="57" w:type="dxa"/>
              <w:bottom w:w="0" w:type="dxa"/>
              <w:right w:w="57" w:type="dxa"/>
            </w:tcMar>
            <w:vAlign w:val="center"/>
          </w:tcPr>
          <w:p w14:paraId="5FA9E734">
            <w:pPr>
              <w:pStyle w:val="19"/>
              <w:bidi w:val="0"/>
            </w:pPr>
            <w:r>
              <w:t>0.987</w:t>
            </w:r>
          </w:p>
        </w:tc>
        <w:tc>
          <w:tcPr>
            <w:tcW w:w="518" w:type="pct"/>
            <w:tcMar>
              <w:top w:w="0" w:type="dxa"/>
              <w:left w:w="57" w:type="dxa"/>
              <w:bottom w:w="0" w:type="dxa"/>
              <w:right w:w="57" w:type="dxa"/>
            </w:tcMar>
            <w:vAlign w:val="center"/>
          </w:tcPr>
          <w:p w14:paraId="1A2543F9">
            <w:pPr>
              <w:pStyle w:val="19"/>
              <w:bidi w:val="0"/>
            </w:pPr>
            <w:r>
              <w:t>0.542</w:t>
            </w:r>
          </w:p>
        </w:tc>
        <w:tc>
          <w:tcPr>
            <w:tcW w:w="500" w:type="pct"/>
            <w:tcMar>
              <w:top w:w="0" w:type="dxa"/>
              <w:left w:w="57" w:type="dxa"/>
              <w:bottom w:w="0" w:type="dxa"/>
              <w:right w:w="57" w:type="dxa"/>
            </w:tcMar>
            <w:vAlign w:val="center"/>
          </w:tcPr>
          <w:p w14:paraId="3E027311">
            <w:pPr>
              <w:pStyle w:val="19"/>
              <w:bidi w:val="0"/>
            </w:pPr>
            <w:r>
              <w:t>0.398</w:t>
            </w:r>
          </w:p>
        </w:tc>
        <w:tc>
          <w:tcPr>
            <w:tcW w:w="525" w:type="pct"/>
            <w:tcMar>
              <w:top w:w="0" w:type="dxa"/>
              <w:left w:w="57" w:type="dxa"/>
              <w:bottom w:w="0" w:type="dxa"/>
              <w:right w:w="57" w:type="dxa"/>
            </w:tcMar>
            <w:vAlign w:val="center"/>
          </w:tcPr>
          <w:p w14:paraId="18691AE8">
            <w:pPr>
              <w:pStyle w:val="19"/>
              <w:bidi w:val="0"/>
            </w:pPr>
            <w:r>
              <w:t>0.372</w:t>
            </w:r>
          </w:p>
        </w:tc>
        <w:tc>
          <w:tcPr>
            <w:tcW w:w="794" w:type="pct"/>
            <w:tcMar>
              <w:top w:w="0" w:type="dxa"/>
              <w:left w:w="57" w:type="dxa"/>
              <w:bottom w:w="0" w:type="dxa"/>
              <w:right w:w="57" w:type="dxa"/>
            </w:tcMar>
            <w:vAlign w:val="center"/>
          </w:tcPr>
          <w:p w14:paraId="33E30CE6">
            <w:pPr>
              <w:pStyle w:val="19"/>
              <w:bidi w:val="0"/>
            </w:pPr>
            <w:r>
              <w:rPr>
                <w:rFonts w:hint="eastAsia"/>
                <w:lang w:val="en-US" w:eastAsia="zh-CN"/>
              </w:rPr>
              <w:t>施工</w:t>
            </w:r>
            <w:r>
              <w:t>季监测</w:t>
            </w:r>
          </w:p>
        </w:tc>
      </w:tr>
    </w:tbl>
    <w:p w14:paraId="0FD435D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由表5.1-2可见，每天洒水4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5次，可有效控制车辆扬尘，将TSP污染缩小到20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50m。混凝土浇筑期间，大量混凝土运输车频繁驶入现场，在物料转接口处，每辆车都有不同程度生产物料散落在地面现象。经车辆碾压，在工地周边形成大面积水泥路面或扬尘，破坏了地面道路，施工现场周边形成大量的固废层，景观影响较大。同时，车辆洒落尘土的一次扬尘污染和车辆运行时产生的二次扬尘污染均会对环境产生明显不利影响。运输车辆扬尘的产生量及扬尘污染程度与车辆的运输方式、路面状况、天气条件等因素关系密切，采取合适的防护措施可以有效的避免或大幅降低其污染，在建设项目的施工过程中必须对其加以重视。</w:t>
      </w:r>
    </w:p>
    <w:p w14:paraId="39A2E2C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（2）车辆尾气</w:t>
      </w:r>
    </w:p>
    <w:p w14:paraId="000D4B2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施工机械和运输车辆排放尾气主要的污染物有CO、THC、NO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主要对作业点周围和运输线路两侧局部范围产生一定影响，由于排放量不大，其影响的程度与范围也相对较小，通过采取限制超载、限制车速等措施可以大大降低运输车辆及施工机械废气对周围环境的影响。施工场地应设置洗车平台，完善排水设施，防止泥土粘带。不得在未实施洒水等抑尘措施情况下进行直接清扫。</w:t>
      </w:r>
    </w:p>
    <w:p w14:paraId="1BD6E6F1">
      <w:pPr>
        <w:rPr>
          <w:rFonts w:hint="eastAsia"/>
          <w:lang w:val="en-US" w:eastAsia="zh-CN"/>
        </w:rPr>
      </w:pPr>
      <w:r>
        <w:rPr>
          <w:color w:val="000000" w:themeColor="text1"/>
          <w:highlight w:val="none"/>
          <w14:textFill>
            <w14:solidFill>
              <w14:schemeClr w14:val="tx1"/>
            </w14:solidFill>
          </w14:textFill>
        </w:rPr>
        <w:t>项目施工造成的不利影响是局部的、短期的，项目建设完成之后影响就会消失，因此施工扬尘对周围环境空气和居民的影响可以接受。</w:t>
      </w:r>
    </w:p>
    <w:p w14:paraId="68604174">
      <w:pPr>
        <w:pStyle w:val="27"/>
        <w:bidi w:val="0"/>
        <w:rPr>
          <w:rFonts w:hint="eastAsia"/>
          <w:lang w:val="en-US" w:eastAsia="zh-CN"/>
        </w:rPr>
      </w:pPr>
      <w:r>
        <w:rPr>
          <w:rFonts w:hint="eastAsia"/>
          <w:lang w:val="en-US" w:eastAsia="zh-CN"/>
        </w:rPr>
        <w:t>施工期废水影响分析</w:t>
      </w:r>
    </w:p>
    <w:p w14:paraId="71DF07D6">
      <w:pPr>
        <w:rPr>
          <w:rFonts w:hint="eastAsia"/>
          <w:lang w:val="en-US" w:eastAsia="zh-CN"/>
        </w:rPr>
      </w:pPr>
      <w:r>
        <w:rPr>
          <w:rFonts w:hint="eastAsia"/>
          <w:lang w:val="en-US" w:eastAsia="zh-CN"/>
        </w:rPr>
        <w:t>施工场地不设置生活营地，无集中餐饮废水排放。生活污水主要来自施工人员的日常生活，以施工平均40人/d，每天耗水量按50L/人·d计，生活用水量为840m</w:t>
      </w:r>
      <w:r>
        <w:rPr>
          <w:rFonts w:hint="eastAsia"/>
          <w:vertAlign w:val="superscript"/>
          <w:lang w:val="en-US" w:eastAsia="zh-CN"/>
        </w:rPr>
        <w:t>3</w:t>
      </w:r>
      <w:r>
        <w:rPr>
          <w:rFonts w:hint="eastAsia"/>
          <w:lang w:val="en-US" w:eastAsia="zh-CN"/>
        </w:rPr>
        <w:t>，生活污水排放量按用水量的80%计，则生活污水排放量共672m</w:t>
      </w:r>
      <w:r>
        <w:rPr>
          <w:rFonts w:hint="eastAsia"/>
          <w:vertAlign w:val="superscript"/>
          <w:lang w:val="en-US" w:eastAsia="zh-CN"/>
        </w:rPr>
        <w:t>3</w:t>
      </w:r>
      <w:r>
        <w:rPr>
          <w:rFonts w:hint="eastAsia"/>
          <w:lang w:val="en-US" w:eastAsia="zh-CN"/>
        </w:rPr>
        <w:t>。类比同类型污水水质，工程排放生活污水中主要污染物为CODcr、BOD</w:t>
      </w:r>
      <w:r>
        <w:rPr>
          <w:rFonts w:hint="eastAsia"/>
          <w:vertAlign w:val="subscript"/>
          <w:lang w:val="en-US" w:eastAsia="zh-CN"/>
        </w:rPr>
        <w:t>5</w:t>
      </w:r>
      <w:r>
        <w:rPr>
          <w:rFonts w:hint="eastAsia"/>
          <w:lang w:val="en-US" w:eastAsia="zh-CN"/>
        </w:rPr>
        <w:t>、NH</w:t>
      </w:r>
      <w:r>
        <w:rPr>
          <w:rFonts w:hint="eastAsia"/>
          <w:vertAlign w:val="subscript"/>
          <w:lang w:val="en-US" w:eastAsia="zh-CN"/>
        </w:rPr>
        <w:t>3</w:t>
      </w:r>
      <w:r>
        <w:rPr>
          <w:rFonts w:hint="eastAsia"/>
          <w:lang w:val="en-US" w:eastAsia="zh-CN"/>
        </w:rPr>
        <w:t>-N和SS，各污染物浓度分别为：CODcr：280mg/L、BOD</w:t>
      </w:r>
      <w:r>
        <w:rPr>
          <w:rFonts w:hint="eastAsia"/>
          <w:vertAlign w:val="subscript"/>
          <w:lang w:val="en-US" w:eastAsia="zh-CN"/>
        </w:rPr>
        <w:t>5</w:t>
      </w:r>
      <w:r>
        <w:rPr>
          <w:rFonts w:hint="eastAsia"/>
          <w:lang w:val="en-US" w:eastAsia="zh-CN"/>
        </w:rPr>
        <w:t>：160mg/L、NH</w:t>
      </w:r>
      <w:r>
        <w:rPr>
          <w:rFonts w:hint="eastAsia"/>
          <w:vertAlign w:val="subscript"/>
          <w:lang w:val="en-US" w:eastAsia="zh-CN"/>
        </w:rPr>
        <w:t>3</w:t>
      </w:r>
      <w:r>
        <w:rPr>
          <w:rFonts w:hint="eastAsia"/>
          <w:lang w:val="en-US" w:eastAsia="zh-CN"/>
        </w:rPr>
        <w:t>-N：30mg/L、SS：200mg/L。施工期生活污水依托租用房屋的现有收集处置方式处理。</w:t>
      </w:r>
    </w:p>
    <w:p w14:paraId="0B5BA30E">
      <w:pPr>
        <w:rPr>
          <w:rFonts w:hint="eastAsia"/>
          <w:lang w:val="en-US" w:eastAsia="zh-CN"/>
        </w:rPr>
      </w:pPr>
      <w:r>
        <w:rPr>
          <w:rFonts w:hint="eastAsia"/>
          <w:lang w:val="en-US" w:eastAsia="zh-CN"/>
        </w:rPr>
        <w:t>施工废水来自材料、设备冲洗和水泥养护等过程，废水中主要以悬浮物为主，未经处理的施工废水水质pH：9～12，SS：3000～5000mg/L，考虑项目废水流动性强，废水处理单元简单，处理效果明显的要求，项目施工废水设置沉淀池并进行防渗，沉淀两小时以上后，经沉淀分离后的上清液回用，沉淀泥浆固化后应定期及时清运至建筑垃圾堆放场地。</w:t>
      </w:r>
    </w:p>
    <w:p w14:paraId="57BE86E6">
      <w:pPr>
        <w:pStyle w:val="27"/>
        <w:bidi w:val="0"/>
        <w:rPr>
          <w:rFonts w:hint="eastAsia"/>
          <w:lang w:val="en-US" w:eastAsia="zh-CN"/>
        </w:rPr>
      </w:pPr>
      <w:r>
        <w:rPr>
          <w:rFonts w:hint="eastAsia"/>
          <w:lang w:val="en-US" w:eastAsia="zh-CN"/>
        </w:rPr>
        <w:t>施工期噪声影响分析</w:t>
      </w:r>
    </w:p>
    <w:p w14:paraId="71C58D3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（1）施工期的噪声源和振动源</w:t>
      </w:r>
    </w:p>
    <w:p w14:paraId="236D981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建筑施工通常可以分为四个阶段，即土方阶段、打桩阶段、结构阶段和装修阶段。每一阶段所采用的施工机械不同，对环境所造成的噪声水平也不同。</w:t>
      </w:r>
    </w:p>
    <w:p w14:paraId="7DBC3E1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建筑施工期的噪声源虽然较多，但对环境影响起主要作用的是土石方阶段的推土机和挖掘机，基础阶段的打桩机、结构阶段的混凝土搅拌机和振捣棒，以及装修阶段短时间使用的高噪声设备。</w:t>
      </w:r>
    </w:p>
    <w:p w14:paraId="2F189D3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（2）施工设备噪声源强及预测强度分析</w:t>
      </w:r>
    </w:p>
    <w:p w14:paraId="7CA9B7F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施工期的主要噪声源是各类高噪声的施工机械设备，评价采用点声源几何衰减计算公式对主要噪声源进行环境影响预测分析，距声源不同距离处噪声预测值见表5.1-3。</w:t>
      </w:r>
    </w:p>
    <w:p w14:paraId="31F500EA">
      <w:pPr>
        <w:pStyle w:val="30"/>
        <w:bidi w:val="0"/>
      </w:pPr>
      <w:r>
        <w:t xml:space="preserve">表5.1-3  </w:t>
      </w:r>
      <w:r>
        <w:rPr>
          <w:rFonts w:hint="eastAsia"/>
          <w:lang w:val="en-US" w:eastAsia="zh-CN"/>
        </w:rPr>
        <w:t xml:space="preserve"> </w:t>
      </w:r>
      <w:r>
        <w:t>距声源不同距离处的噪声预测值  单位：dB（A）</w:t>
      </w:r>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1050"/>
        <w:gridCol w:w="767"/>
        <w:gridCol w:w="881"/>
        <w:gridCol w:w="881"/>
        <w:gridCol w:w="881"/>
        <w:gridCol w:w="1036"/>
        <w:gridCol w:w="1036"/>
        <w:gridCol w:w="1037"/>
        <w:gridCol w:w="849"/>
      </w:tblGrid>
      <w:tr w14:paraId="2829B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Merge w:val="restart"/>
            <w:tcBorders>
              <w:bottom w:val="nil"/>
            </w:tcBorders>
            <w:vAlign w:val="center"/>
          </w:tcPr>
          <w:p w14:paraId="654B8C32">
            <w:pPr>
              <w:pStyle w:val="19"/>
              <w:bidi w:val="0"/>
            </w:pPr>
            <w:r>
              <w:t>声源</w:t>
            </w:r>
          </w:p>
        </w:tc>
        <w:tc>
          <w:tcPr>
            <w:tcW w:w="456" w:type="pct"/>
            <w:vMerge w:val="restart"/>
            <w:tcBorders>
              <w:bottom w:val="nil"/>
            </w:tcBorders>
            <w:vAlign w:val="center"/>
          </w:tcPr>
          <w:p w14:paraId="1BAC7169">
            <w:pPr>
              <w:pStyle w:val="19"/>
              <w:bidi w:val="0"/>
            </w:pPr>
            <w:r>
              <w:t>源强</w:t>
            </w:r>
          </w:p>
        </w:tc>
        <w:tc>
          <w:tcPr>
            <w:tcW w:w="3919" w:type="pct"/>
            <w:gridSpan w:val="7"/>
            <w:vAlign w:val="center"/>
          </w:tcPr>
          <w:p w14:paraId="1B728307">
            <w:pPr>
              <w:pStyle w:val="19"/>
              <w:bidi w:val="0"/>
            </w:pPr>
            <w:r>
              <w:t>位于声源不同距离处的噪声值</w:t>
            </w:r>
          </w:p>
        </w:tc>
      </w:tr>
      <w:tr w14:paraId="2B6FF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Merge w:val="continue"/>
            <w:tcBorders>
              <w:top w:val="nil"/>
            </w:tcBorders>
            <w:vAlign w:val="center"/>
          </w:tcPr>
          <w:p w14:paraId="2F2BFE1A">
            <w:pPr>
              <w:pStyle w:val="19"/>
              <w:bidi w:val="0"/>
            </w:pPr>
          </w:p>
        </w:tc>
        <w:tc>
          <w:tcPr>
            <w:tcW w:w="456" w:type="pct"/>
            <w:vMerge w:val="continue"/>
            <w:tcBorders>
              <w:top w:val="nil"/>
            </w:tcBorders>
            <w:vAlign w:val="center"/>
          </w:tcPr>
          <w:p w14:paraId="57AE6809">
            <w:pPr>
              <w:pStyle w:val="19"/>
              <w:bidi w:val="0"/>
            </w:pPr>
          </w:p>
        </w:tc>
        <w:tc>
          <w:tcPr>
            <w:tcW w:w="523" w:type="pct"/>
            <w:vAlign w:val="center"/>
          </w:tcPr>
          <w:p w14:paraId="07485CEE">
            <w:pPr>
              <w:pStyle w:val="19"/>
              <w:bidi w:val="0"/>
            </w:pPr>
            <w:r>
              <w:t>10m</w:t>
            </w:r>
          </w:p>
        </w:tc>
        <w:tc>
          <w:tcPr>
            <w:tcW w:w="523" w:type="pct"/>
            <w:vAlign w:val="center"/>
          </w:tcPr>
          <w:p w14:paraId="1294A057">
            <w:pPr>
              <w:pStyle w:val="19"/>
              <w:bidi w:val="0"/>
            </w:pPr>
            <w:r>
              <w:t>30m</w:t>
            </w:r>
          </w:p>
        </w:tc>
        <w:tc>
          <w:tcPr>
            <w:tcW w:w="523" w:type="pct"/>
            <w:vAlign w:val="center"/>
          </w:tcPr>
          <w:p w14:paraId="22930A4D">
            <w:pPr>
              <w:pStyle w:val="19"/>
              <w:bidi w:val="0"/>
            </w:pPr>
            <w:r>
              <w:t>50m</w:t>
            </w:r>
          </w:p>
        </w:tc>
        <w:tc>
          <w:tcPr>
            <w:tcW w:w="615" w:type="pct"/>
            <w:vAlign w:val="center"/>
          </w:tcPr>
          <w:p w14:paraId="0D478C69">
            <w:pPr>
              <w:pStyle w:val="19"/>
              <w:bidi w:val="0"/>
            </w:pPr>
            <w:r>
              <w:t>100m</w:t>
            </w:r>
          </w:p>
        </w:tc>
        <w:tc>
          <w:tcPr>
            <w:tcW w:w="615" w:type="pct"/>
            <w:vAlign w:val="center"/>
          </w:tcPr>
          <w:p w14:paraId="777866A8">
            <w:pPr>
              <w:pStyle w:val="19"/>
              <w:bidi w:val="0"/>
            </w:pPr>
            <w:r>
              <w:t>150m</w:t>
            </w:r>
          </w:p>
        </w:tc>
        <w:tc>
          <w:tcPr>
            <w:tcW w:w="616" w:type="pct"/>
            <w:vAlign w:val="center"/>
          </w:tcPr>
          <w:p w14:paraId="05B09B90">
            <w:pPr>
              <w:pStyle w:val="19"/>
              <w:bidi w:val="0"/>
            </w:pPr>
            <w:r>
              <w:t>200m</w:t>
            </w:r>
          </w:p>
        </w:tc>
        <w:tc>
          <w:tcPr>
            <w:tcW w:w="500" w:type="pct"/>
            <w:vAlign w:val="center"/>
          </w:tcPr>
          <w:p w14:paraId="52712267">
            <w:pPr>
              <w:pStyle w:val="19"/>
              <w:bidi w:val="0"/>
            </w:pPr>
            <w:r>
              <w:t>500m*</w:t>
            </w:r>
          </w:p>
        </w:tc>
      </w:tr>
      <w:tr w14:paraId="3B4BC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Align w:val="center"/>
          </w:tcPr>
          <w:p w14:paraId="356C43AB">
            <w:pPr>
              <w:pStyle w:val="19"/>
              <w:bidi w:val="0"/>
            </w:pPr>
            <w:r>
              <w:t>挖土机</w:t>
            </w:r>
          </w:p>
        </w:tc>
        <w:tc>
          <w:tcPr>
            <w:tcW w:w="456" w:type="pct"/>
            <w:vAlign w:val="center"/>
          </w:tcPr>
          <w:p w14:paraId="2B18A998">
            <w:pPr>
              <w:pStyle w:val="19"/>
              <w:bidi w:val="0"/>
            </w:pPr>
            <w:r>
              <w:t>95</w:t>
            </w:r>
          </w:p>
        </w:tc>
        <w:tc>
          <w:tcPr>
            <w:tcW w:w="523" w:type="pct"/>
            <w:vAlign w:val="center"/>
          </w:tcPr>
          <w:p w14:paraId="3547CF26">
            <w:pPr>
              <w:pStyle w:val="19"/>
              <w:bidi w:val="0"/>
            </w:pPr>
            <w:r>
              <w:t>75.0</w:t>
            </w:r>
          </w:p>
        </w:tc>
        <w:tc>
          <w:tcPr>
            <w:tcW w:w="523" w:type="pct"/>
            <w:vAlign w:val="center"/>
          </w:tcPr>
          <w:p w14:paraId="7764DE0D">
            <w:pPr>
              <w:pStyle w:val="19"/>
              <w:bidi w:val="0"/>
            </w:pPr>
            <w:r>
              <w:t>65.5</w:t>
            </w:r>
          </w:p>
        </w:tc>
        <w:tc>
          <w:tcPr>
            <w:tcW w:w="523" w:type="pct"/>
            <w:vAlign w:val="center"/>
          </w:tcPr>
          <w:p w14:paraId="71683FEF">
            <w:pPr>
              <w:pStyle w:val="19"/>
              <w:bidi w:val="0"/>
            </w:pPr>
            <w:r>
              <w:t>61.0</w:t>
            </w:r>
          </w:p>
        </w:tc>
        <w:tc>
          <w:tcPr>
            <w:tcW w:w="615" w:type="pct"/>
            <w:vAlign w:val="center"/>
          </w:tcPr>
          <w:p w14:paraId="67E575C5">
            <w:pPr>
              <w:pStyle w:val="19"/>
              <w:bidi w:val="0"/>
            </w:pPr>
            <w:r>
              <w:t>55.0</w:t>
            </w:r>
          </w:p>
        </w:tc>
        <w:tc>
          <w:tcPr>
            <w:tcW w:w="615" w:type="pct"/>
            <w:vAlign w:val="center"/>
          </w:tcPr>
          <w:p w14:paraId="23BE6B8D">
            <w:pPr>
              <w:pStyle w:val="19"/>
              <w:bidi w:val="0"/>
            </w:pPr>
            <w:r>
              <w:t>51.5</w:t>
            </w:r>
          </w:p>
        </w:tc>
        <w:tc>
          <w:tcPr>
            <w:tcW w:w="616" w:type="pct"/>
            <w:vAlign w:val="center"/>
          </w:tcPr>
          <w:p w14:paraId="0500BF01">
            <w:pPr>
              <w:pStyle w:val="19"/>
              <w:bidi w:val="0"/>
            </w:pPr>
            <w:r>
              <w:t>49.0</w:t>
            </w:r>
          </w:p>
        </w:tc>
        <w:tc>
          <w:tcPr>
            <w:tcW w:w="500" w:type="pct"/>
            <w:vAlign w:val="center"/>
          </w:tcPr>
          <w:p w14:paraId="7895FCA3">
            <w:pPr>
              <w:pStyle w:val="19"/>
              <w:bidi w:val="0"/>
            </w:pPr>
            <w:r>
              <w:t>26.0</w:t>
            </w:r>
          </w:p>
        </w:tc>
      </w:tr>
      <w:tr w14:paraId="5D03F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Align w:val="center"/>
          </w:tcPr>
          <w:p w14:paraId="788A26D3">
            <w:pPr>
              <w:pStyle w:val="19"/>
              <w:bidi w:val="0"/>
            </w:pPr>
            <w:r>
              <w:t>推土机</w:t>
            </w:r>
          </w:p>
        </w:tc>
        <w:tc>
          <w:tcPr>
            <w:tcW w:w="456" w:type="pct"/>
            <w:vAlign w:val="center"/>
          </w:tcPr>
          <w:p w14:paraId="386C997B">
            <w:pPr>
              <w:pStyle w:val="19"/>
              <w:bidi w:val="0"/>
            </w:pPr>
            <w:r>
              <w:t>95</w:t>
            </w:r>
          </w:p>
        </w:tc>
        <w:tc>
          <w:tcPr>
            <w:tcW w:w="523" w:type="pct"/>
            <w:vAlign w:val="center"/>
          </w:tcPr>
          <w:p w14:paraId="2271D234">
            <w:pPr>
              <w:pStyle w:val="19"/>
              <w:bidi w:val="0"/>
            </w:pPr>
            <w:r>
              <w:t>75.0</w:t>
            </w:r>
          </w:p>
        </w:tc>
        <w:tc>
          <w:tcPr>
            <w:tcW w:w="523" w:type="pct"/>
            <w:vAlign w:val="center"/>
          </w:tcPr>
          <w:p w14:paraId="0202416A">
            <w:pPr>
              <w:pStyle w:val="19"/>
              <w:bidi w:val="0"/>
            </w:pPr>
            <w:r>
              <w:t>65.5</w:t>
            </w:r>
          </w:p>
        </w:tc>
        <w:tc>
          <w:tcPr>
            <w:tcW w:w="523" w:type="pct"/>
            <w:vAlign w:val="center"/>
          </w:tcPr>
          <w:p w14:paraId="59B2CB6C">
            <w:pPr>
              <w:pStyle w:val="19"/>
              <w:bidi w:val="0"/>
            </w:pPr>
            <w:r>
              <w:t>61.0</w:t>
            </w:r>
          </w:p>
        </w:tc>
        <w:tc>
          <w:tcPr>
            <w:tcW w:w="615" w:type="pct"/>
            <w:vAlign w:val="center"/>
          </w:tcPr>
          <w:p w14:paraId="30C462E7">
            <w:pPr>
              <w:pStyle w:val="19"/>
              <w:bidi w:val="0"/>
            </w:pPr>
            <w:r>
              <w:t>55.0</w:t>
            </w:r>
          </w:p>
        </w:tc>
        <w:tc>
          <w:tcPr>
            <w:tcW w:w="615" w:type="pct"/>
            <w:vAlign w:val="center"/>
          </w:tcPr>
          <w:p w14:paraId="6AECE5ED">
            <w:pPr>
              <w:pStyle w:val="19"/>
              <w:bidi w:val="0"/>
            </w:pPr>
            <w:r>
              <w:t>51.5</w:t>
            </w:r>
          </w:p>
        </w:tc>
        <w:tc>
          <w:tcPr>
            <w:tcW w:w="616" w:type="pct"/>
            <w:vAlign w:val="center"/>
          </w:tcPr>
          <w:p w14:paraId="602ADB80">
            <w:pPr>
              <w:pStyle w:val="19"/>
              <w:bidi w:val="0"/>
            </w:pPr>
            <w:r>
              <w:t>49.0</w:t>
            </w:r>
          </w:p>
        </w:tc>
        <w:tc>
          <w:tcPr>
            <w:tcW w:w="500" w:type="pct"/>
            <w:vAlign w:val="center"/>
          </w:tcPr>
          <w:p w14:paraId="1794B1EF">
            <w:pPr>
              <w:pStyle w:val="19"/>
              <w:bidi w:val="0"/>
            </w:pPr>
            <w:r>
              <w:t>26.0</w:t>
            </w:r>
          </w:p>
        </w:tc>
      </w:tr>
      <w:tr w14:paraId="7A0FA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Align w:val="center"/>
          </w:tcPr>
          <w:p w14:paraId="55989836">
            <w:pPr>
              <w:pStyle w:val="19"/>
              <w:bidi w:val="0"/>
            </w:pPr>
            <w:r>
              <w:t>搅拌机</w:t>
            </w:r>
          </w:p>
        </w:tc>
        <w:tc>
          <w:tcPr>
            <w:tcW w:w="456" w:type="pct"/>
            <w:vAlign w:val="center"/>
          </w:tcPr>
          <w:p w14:paraId="10DA72FE">
            <w:pPr>
              <w:pStyle w:val="19"/>
              <w:bidi w:val="0"/>
            </w:pPr>
            <w:r>
              <w:t>90</w:t>
            </w:r>
          </w:p>
        </w:tc>
        <w:tc>
          <w:tcPr>
            <w:tcW w:w="523" w:type="pct"/>
            <w:vAlign w:val="center"/>
          </w:tcPr>
          <w:p w14:paraId="40172A50">
            <w:pPr>
              <w:pStyle w:val="19"/>
              <w:bidi w:val="0"/>
            </w:pPr>
            <w:r>
              <w:t>70.0</w:t>
            </w:r>
          </w:p>
        </w:tc>
        <w:tc>
          <w:tcPr>
            <w:tcW w:w="523" w:type="pct"/>
            <w:vAlign w:val="center"/>
          </w:tcPr>
          <w:p w14:paraId="421FFDC7">
            <w:pPr>
              <w:pStyle w:val="19"/>
              <w:bidi w:val="0"/>
            </w:pPr>
            <w:r>
              <w:t>60.5</w:t>
            </w:r>
          </w:p>
        </w:tc>
        <w:tc>
          <w:tcPr>
            <w:tcW w:w="523" w:type="pct"/>
            <w:vAlign w:val="center"/>
          </w:tcPr>
          <w:p w14:paraId="60083F92">
            <w:pPr>
              <w:pStyle w:val="19"/>
              <w:bidi w:val="0"/>
            </w:pPr>
            <w:r>
              <w:t>56.0</w:t>
            </w:r>
          </w:p>
        </w:tc>
        <w:tc>
          <w:tcPr>
            <w:tcW w:w="615" w:type="pct"/>
            <w:vAlign w:val="center"/>
          </w:tcPr>
          <w:p w14:paraId="75F716B3">
            <w:pPr>
              <w:pStyle w:val="19"/>
              <w:bidi w:val="0"/>
            </w:pPr>
            <w:r>
              <w:t>50.0</w:t>
            </w:r>
          </w:p>
        </w:tc>
        <w:tc>
          <w:tcPr>
            <w:tcW w:w="615" w:type="pct"/>
            <w:vAlign w:val="center"/>
          </w:tcPr>
          <w:p w14:paraId="330F3265">
            <w:pPr>
              <w:pStyle w:val="19"/>
              <w:bidi w:val="0"/>
            </w:pPr>
            <w:r>
              <w:t>46.5</w:t>
            </w:r>
          </w:p>
        </w:tc>
        <w:tc>
          <w:tcPr>
            <w:tcW w:w="616" w:type="pct"/>
            <w:vAlign w:val="center"/>
          </w:tcPr>
          <w:p w14:paraId="3F63AC03">
            <w:pPr>
              <w:pStyle w:val="19"/>
              <w:bidi w:val="0"/>
            </w:pPr>
            <w:r>
              <w:t>44.0</w:t>
            </w:r>
          </w:p>
        </w:tc>
        <w:tc>
          <w:tcPr>
            <w:tcW w:w="500" w:type="pct"/>
            <w:vAlign w:val="center"/>
          </w:tcPr>
          <w:p w14:paraId="58F75CEE">
            <w:pPr>
              <w:pStyle w:val="19"/>
              <w:bidi w:val="0"/>
            </w:pPr>
            <w:r>
              <w:t>21.0</w:t>
            </w:r>
          </w:p>
        </w:tc>
      </w:tr>
      <w:tr w14:paraId="60382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Align w:val="center"/>
          </w:tcPr>
          <w:p w14:paraId="517C7C47">
            <w:pPr>
              <w:pStyle w:val="19"/>
              <w:bidi w:val="0"/>
            </w:pPr>
            <w:r>
              <w:t>压路机</w:t>
            </w:r>
          </w:p>
        </w:tc>
        <w:tc>
          <w:tcPr>
            <w:tcW w:w="456" w:type="pct"/>
            <w:vAlign w:val="center"/>
          </w:tcPr>
          <w:p w14:paraId="2396309B">
            <w:pPr>
              <w:pStyle w:val="19"/>
              <w:bidi w:val="0"/>
            </w:pPr>
            <w:r>
              <w:t>90</w:t>
            </w:r>
          </w:p>
        </w:tc>
        <w:tc>
          <w:tcPr>
            <w:tcW w:w="523" w:type="pct"/>
            <w:vAlign w:val="center"/>
          </w:tcPr>
          <w:p w14:paraId="09A2DB2D">
            <w:pPr>
              <w:pStyle w:val="19"/>
              <w:bidi w:val="0"/>
            </w:pPr>
            <w:r>
              <w:t>70.0</w:t>
            </w:r>
          </w:p>
        </w:tc>
        <w:tc>
          <w:tcPr>
            <w:tcW w:w="523" w:type="pct"/>
            <w:vAlign w:val="center"/>
          </w:tcPr>
          <w:p w14:paraId="438812FC">
            <w:pPr>
              <w:pStyle w:val="19"/>
              <w:bidi w:val="0"/>
            </w:pPr>
            <w:r>
              <w:t>60.5</w:t>
            </w:r>
          </w:p>
        </w:tc>
        <w:tc>
          <w:tcPr>
            <w:tcW w:w="523" w:type="pct"/>
            <w:vAlign w:val="center"/>
          </w:tcPr>
          <w:p w14:paraId="2F590F4E">
            <w:pPr>
              <w:pStyle w:val="19"/>
              <w:bidi w:val="0"/>
            </w:pPr>
            <w:r>
              <w:t>56.0</w:t>
            </w:r>
          </w:p>
        </w:tc>
        <w:tc>
          <w:tcPr>
            <w:tcW w:w="615" w:type="pct"/>
            <w:vAlign w:val="center"/>
          </w:tcPr>
          <w:p w14:paraId="75542360">
            <w:pPr>
              <w:pStyle w:val="19"/>
              <w:bidi w:val="0"/>
            </w:pPr>
            <w:r>
              <w:t>50.0</w:t>
            </w:r>
          </w:p>
        </w:tc>
        <w:tc>
          <w:tcPr>
            <w:tcW w:w="615" w:type="pct"/>
            <w:vAlign w:val="center"/>
          </w:tcPr>
          <w:p w14:paraId="6EF8F79D">
            <w:pPr>
              <w:pStyle w:val="19"/>
              <w:bidi w:val="0"/>
            </w:pPr>
            <w:r>
              <w:t>46.5</w:t>
            </w:r>
          </w:p>
        </w:tc>
        <w:tc>
          <w:tcPr>
            <w:tcW w:w="616" w:type="pct"/>
            <w:vAlign w:val="center"/>
          </w:tcPr>
          <w:p w14:paraId="4429D584">
            <w:pPr>
              <w:pStyle w:val="19"/>
              <w:bidi w:val="0"/>
            </w:pPr>
            <w:r>
              <w:t>46.0</w:t>
            </w:r>
          </w:p>
        </w:tc>
        <w:tc>
          <w:tcPr>
            <w:tcW w:w="500" w:type="pct"/>
            <w:vAlign w:val="center"/>
          </w:tcPr>
          <w:p w14:paraId="7416E292">
            <w:pPr>
              <w:pStyle w:val="19"/>
              <w:bidi w:val="0"/>
            </w:pPr>
            <w:r>
              <w:t>21.0</w:t>
            </w:r>
          </w:p>
        </w:tc>
      </w:tr>
      <w:tr w14:paraId="7CEF9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0" w:hRule="atLeast"/>
          <w:jc w:val="center"/>
        </w:trPr>
        <w:tc>
          <w:tcPr>
            <w:tcW w:w="624" w:type="pct"/>
            <w:vAlign w:val="center"/>
          </w:tcPr>
          <w:p w14:paraId="013E110B">
            <w:pPr>
              <w:pStyle w:val="19"/>
              <w:bidi w:val="0"/>
            </w:pPr>
            <w:r>
              <w:t>震捣棒</w:t>
            </w:r>
          </w:p>
        </w:tc>
        <w:tc>
          <w:tcPr>
            <w:tcW w:w="456" w:type="pct"/>
            <w:vAlign w:val="center"/>
          </w:tcPr>
          <w:p w14:paraId="6A2E9287">
            <w:pPr>
              <w:pStyle w:val="19"/>
              <w:bidi w:val="0"/>
            </w:pPr>
            <w:r>
              <w:t>80</w:t>
            </w:r>
          </w:p>
        </w:tc>
        <w:tc>
          <w:tcPr>
            <w:tcW w:w="523" w:type="pct"/>
            <w:vAlign w:val="center"/>
          </w:tcPr>
          <w:p w14:paraId="7966B958">
            <w:pPr>
              <w:pStyle w:val="19"/>
              <w:bidi w:val="0"/>
            </w:pPr>
            <w:r>
              <w:t>60.0</w:t>
            </w:r>
          </w:p>
        </w:tc>
        <w:tc>
          <w:tcPr>
            <w:tcW w:w="523" w:type="pct"/>
            <w:vAlign w:val="center"/>
          </w:tcPr>
          <w:p w14:paraId="15FB5345">
            <w:pPr>
              <w:pStyle w:val="19"/>
              <w:bidi w:val="0"/>
            </w:pPr>
            <w:r>
              <w:t>50.5</w:t>
            </w:r>
          </w:p>
        </w:tc>
        <w:tc>
          <w:tcPr>
            <w:tcW w:w="523" w:type="pct"/>
            <w:vAlign w:val="center"/>
          </w:tcPr>
          <w:p w14:paraId="25CE8158">
            <w:pPr>
              <w:pStyle w:val="19"/>
              <w:bidi w:val="0"/>
            </w:pPr>
            <w:r>
              <w:t>46.0</w:t>
            </w:r>
          </w:p>
        </w:tc>
        <w:tc>
          <w:tcPr>
            <w:tcW w:w="615" w:type="pct"/>
            <w:vAlign w:val="center"/>
          </w:tcPr>
          <w:p w14:paraId="50DDE72D">
            <w:pPr>
              <w:pStyle w:val="19"/>
              <w:bidi w:val="0"/>
            </w:pPr>
            <w:r>
              <w:t>40.0</w:t>
            </w:r>
          </w:p>
        </w:tc>
        <w:tc>
          <w:tcPr>
            <w:tcW w:w="615" w:type="pct"/>
            <w:vAlign w:val="center"/>
          </w:tcPr>
          <w:p w14:paraId="4C1FCCC1">
            <w:pPr>
              <w:pStyle w:val="19"/>
              <w:bidi w:val="0"/>
            </w:pPr>
            <w:r>
              <w:t>36.5</w:t>
            </w:r>
          </w:p>
        </w:tc>
        <w:tc>
          <w:tcPr>
            <w:tcW w:w="616" w:type="pct"/>
            <w:vAlign w:val="center"/>
          </w:tcPr>
          <w:p w14:paraId="1576F853">
            <w:pPr>
              <w:pStyle w:val="19"/>
              <w:bidi w:val="0"/>
            </w:pPr>
            <w:r>
              <w:t>34.0</w:t>
            </w:r>
          </w:p>
        </w:tc>
        <w:tc>
          <w:tcPr>
            <w:tcW w:w="500" w:type="pct"/>
            <w:vAlign w:val="center"/>
          </w:tcPr>
          <w:p w14:paraId="43D83029">
            <w:pPr>
              <w:pStyle w:val="19"/>
              <w:bidi w:val="0"/>
            </w:pPr>
            <w:r>
              <w:t>11.0</w:t>
            </w:r>
          </w:p>
        </w:tc>
      </w:tr>
    </w:tbl>
    <w:p w14:paraId="7E02084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由表5.1-3可见，在施工过程中，厂区内施工机械距厂界30m以上就可使</w:t>
      </w:r>
      <w:r>
        <w:rPr>
          <w:rFonts w:hint="eastAsia"/>
          <w:color w:val="000000" w:themeColor="text1"/>
          <w:highlight w:val="none"/>
          <w:lang w:eastAsia="zh-CN"/>
          <w14:textFill>
            <w14:solidFill>
              <w14:schemeClr w14:val="tx1"/>
            </w14:solidFill>
          </w14:textFill>
        </w:rPr>
        <w:t>场</w:t>
      </w:r>
      <w:r>
        <w:rPr>
          <w:color w:val="000000" w:themeColor="text1"/>
          <w:highlight w:val="none"/>
          <w14:textFill>
            <w14:solidFill>
              <w14:schemeClr w14:val="tx1"/>
            </w14:solidFill>
          </w14:textFill>
        </w:rPr>
        <w:t>界噪声符合《建筑施工场界环境噪声排放标准》</w:t>
      </w:r>
      <w:r>
        <w:rPr>
          <w:rFonts w:hint="eastAsia"/>
          <w:color w:val="000000" w:themeColor="text1"/>
          <w:highlight w:val="none"/>
          <w14:textFill>
            <w14:solidFill>
              <w14:schemeClr w14:val="tx1"/>
            </w14:solidFill>
          </w14:textFill>
        </w:rPr>
        <w:t>（GB12523-2011</w:t>
      </w:r>
      <w:r>
        <w:rPr>
          <w:color w:val="000000" w:themeColor="text1"/>
          <w:highlight w:val="none"/>
          <w14:textFill>
            <w14:solidFill>
              <w14:schemeClr w14:val="tx1"/>
            </w14:solidFill>
          </w14:textFill>
        </w:rPr>
        <w:t>）标准（70dB（A））的要求；本工程主要建构筑物距离厂界都在50m以上，因此，本工程施工期</w:t>
      </w:r>
      <w:r>
        <w:rPr>
          <w:rFonts w:hint="eastAsia"/>
          <w:color w:val="000000" w:themeColor="text1"/>
          <w:highlight w:val="none"/>
          <w:lang w:val="en-US" w:eastAsia="zh-CN"/>
          <w14:textFill>
            <w14:solidFill>
              <w14:schemeClr w14:val="tx1"/>
            </w14:solidFill>
          </w14:textFill>
        </w:rPr>
        <w:t>场</w:t>
      </w:r>
      <w:r>
        <w:rPr>
          <w:color w:val="000000" w:themeColor="text1"/>
          <w:highlight w:val="none"/>
          <w14:textFill>
            <w14:solidFill>
              <w14:schemeClr w14:val="tx1"/>
            </w14:solidFill>
          </w14:textFill>
        </w:rPr>
        <w:t>界噪声能够满足《建筑施工场界环境噪声排放标准》（GB12523-2011）标准（70dB（A））的要求。</w:t>
      </w:r>
    </w:p>
    <w:p w14:paraId="545CE7FA">
      <w:pPr>
        <w:rPr>
          <w:rFonts w:hint="eastAsia"/>
          <w:lang w:val="en-US" w:eastAsia="zh-CN"/>
        </w:rPr>
      </w:pPr>
      <w:r>
        <w:rPr>
          <w:color w:val="000000" w:themeColor="text1"/>
          <w:highlight w:val="none"/>
          <w14:textFill>
            <w14:solidFill>
              <w14:schemeClr w14:val="tx1"/>
            </w14:solidFill>
          </w14:textFill>
        </w:rPr>
        <w:t>由表5.1-3可见，在施工过程中，厂区外200m完全可以满足《声环境质量标准》（GB3096-2008）中2类声功能区的要求。并且项目区周边1km内并无声环境敏感目标，</w:t>
      </w: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预测：本工程施工机械噪声不会降低声环境级别，本项目在设计和建设中，通过对装置噪声源强的控制</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对声环境造成影响</w:t>
      </w:r>
      <w:r>
        <w:rPr>
          <w:rFonts w:hint="eastAsia"/>
          <w:color w:val="000000" w:themeColor="text1"/>
          <w:highlight w:val="none"/>
          <w:lang w:val="en-US" w:eastAsia="zh-CN"/>
          <w14:textFill>
            <w14:solidFill>
              <w14:schemeClr w14:val="tx1"/>
            </w14:solidFill>
          </w14:textFill>
        </w:rPr>
        <w:t>较小</w:t>
      </w:r>
      <w:r>
        <w:rPr>
          <w:color w:val="000000" w:themeColor="text1"/>
          <w:highlight w:val="none"/>
          <w14:textFill>
            <w14:solidFill>
              <w14:schemeClr w14:val="tx1"/>
            </w14:solidFill>
          </w14:textFill>
        </w:rPr>
        <w:t>。</w:t>
      </w:r>
    </w:p>
    <w:p w14:paraId="7F06D512">
      <w:pPr>
        <w:pStyle w:val="27"/>
        <w:bidi w:val="0"/>
        <w:rPr>
          <w:rFonts w:hint="eastAsia"/>
          <w:lang w:val="en-US" w:eastAsia="zh-CN"/>
        </w:rPr>
      </w:pPr>
      <w:r>
        <w:rPr>
          <w:rFonts w:hint="eastAsia"/>
          <w:lang w:val="en-US" w:eastAsia="zh-CN"/>
        </w:rPr>
        <w:t>施工期固废环境影响分析</w:t>
      </w:r>
    </w:p>
    <w:p w14:paraId="5AF6D0CF">
      <w:pPr>
        <w:rPr>
          <w:rFonts w:hint="eastAsia"/>
          <w:lang w:val="en-US" w:eastAsia="zh-CN"/>
        </w:rPr>
      </w:pPr>
      <w:r>
        <w:rPr>
          <w:rFonts w:hint="eastAsia"/>
          <w:lang w:val="en-US" w:eastAsia="zh-CN"/>
        </w:rPr>
        <w:t>（1）生活垃圾</w:t>
      </w:r>
    </w:p>
    <w:p w14:paraId="0AB8A105">
      <w:pPr>
        <w:rPr>
          <w:rFonts w:hint="eastAsia"/>
          <w:lang w:val="en-US" w:eastAsia="zh-CN"/>
        </w:rPr>
      </w:pPr>
      <w:r>
        <w:rPr>
          <w:rFonts w:hint="eastAsia"/>
          <w:lang w:val="en-US" w:eastAsia="zh-CN"/>
        </w:rPr>
        <w:t>施工过程中的生活垃圾，如不及时处理，在气温适宜的条件下则会滋生蚊虫、产生恶臭、传播疾病，对周围环境产生不利影响，必须及时清运，杜绝因乱堆乱放对环境产生的影响。</w:t>
      </w:r>
    </w:p>
    <w:p w14:paraId="59280757">
      <w:pPr>
        <w:rPr>
          <w:rFonts w:hint="eastAsia"/>
          <w:lang w:val="en-US" w:eastAsia="zh-CN"/>
        </w:rPr>
      </w:pPr>
      <w:r>
        <w:rPr>
          <w:rFonts w:hint="eastAsia"/>
          <w:lang w:val="en-US" w:eastAsia="zh-CN"/>
        </w:rPr>
        <w:t>（2）建筑垃圾</w:t>
      </w:r>
    </w:p>
    <w:p w14:paraId="2536E7FD">
      <w:pPr>
        <w:rPr>
          <w:rFonts w:hint="eastAsia"/>
          <w:lang w:val="en-US" w:eastAsia="zh-CN"/>
        </w:rPr>
      </w:pPr>
      <w:r>
        <w:rPr>
          <w:rFonts w:hint="eastAsia"/>
          <w:lang w:val="en-US" w:eastAsia="zh-CN"/>
        </w:rPr>
        <w:t>建筑垃圾主要来自施工作业，包括砂石、石块、碎砖瓦、废木料、废金属、废钢筋等。通过在施工现场应设置临时建筑废物堆放场并进行密闭处理，并做好地面的防渗漏处理；另外，建筑废料可以回收利用的回收利用，目前技术条件下无法再次利用的运至政府部门指定的建筑垃圾堆放场处置。</w:t>
      </w:r>
    </w:p>
    <w:p w14:paraId="4E3FC3A5">
      <w:pPr>
        <w:rPr>
          <w:rFonts w:hint="eastAsia"/>
          <w:lang w:val="en-US" w:eastAsia="zh-CN"/>
        </w:rPr>
      </w:pPr>
      <w:r>
        <w:rPr>
          <w:rFonts w:hint="eastAsia"/>
          <w:lang w:val="en-US" w:eastAsia="zh-CN"/>
        </w:rPr>
        <w:t>在建设过程中，建设单位应要求施工单位规范运输，不要随意倾倒建筑垃圾，对周围环境造成的影响较小。</w:t>
      </w:r>
    </w:p>
    <w:p w14:paraId="6A6654F9">
      <w:pPr>
        <w:rPr>
          <w:rFonts w:hint="eastAsia"/>
          <w:lang w:val="en-US" w:eastAsia="zh-CN"/>
        </w:rPr>
      </w:pPr>
      <w:r>
        <w:rPr>
          <w:rFonts w:hint="eastAsia"/>
          <w:lang w:val="en-US" w:eastAsia="zh-CN"/>
        </w:rPr>
        <w:t>（3）废弃土石方</w:t>
      </w:r>
    </w:p>
    <w:p w14:paraId="744C963F">
      <w:pPr>
        <w:rPr>
          <w:rFonts w:hint="eastAsia"/>
          <w:lang w:val="en-US" w:eastAsia="zh-CN"/>
        </w:rPr>
      </w:pPr>
      <w:r>
        <w:rPr>
          <w:rFonts w:hint="eastAsia"/>
          <w:lang w:val="en-US" w:eastAsia="zh-CN"/>
        </w:rPr>
        <w:t>根据现场勘查，项目拟建区域地势平坦，项目厂房建设除部分池体、建筑基底需要进行少量开挖外，无其他高填深挖区域，池体开挖土石方可用于场区内道路回填等，实现场内平衡，无弃土产生，不会对周边环境造成不良影响。</w:t>
      </w:r>
    </w:p>
    <w:p w14:paraId="6A6268A5">
      <w:pPr>
        <w:pStyle w:val="27"/>
        <w:bidi w:val="0"/>
        <w:rPr>
          <w:rFonts w:hint="eastAsia"/>
          <w:lang w:val="en-US" w:eastAsia="zh-CN"/>
        </w:rPr>
      </w:pPr>
      <w:r>
        <w:rPr>
          <w:rFonts w:hint="eastAsia"/>
          <w:lang w:val="en-US" w:eastAsia="zh-CN"/>
        </w:rPr>
        <w:t>施工期生态环境影响分析</w:t>
      </w:r>
    </w:p>
    <w:p w14:paraId="4AD0B0F3">
      <w:pPr>
        <w:rPr>
          <w:rFonts w:hint="eastAsia"/>
          <w:lang w:val="en-US" w:eastAsia="zh-CN"/>
        </w:rPr>
      </w:pPr>
      <w:r>
        <w:rPr>
          <w:rFonts w:hint="eastAsia"/>
          <w:lang w:val="en-US" w:eastAsia="zh-CN"/>
        </w:rPr>
        <w:t>本项目建设施工对生态环境的影响主要表现在工程占地及“三废”排放对项目区影响范围内土壤植被的影响；施工噪声对野生动物的影响；运输、人类活动对土壤植被及野生动物的影响。</w:t>
      </w:r>
    </w:p>
    <w:p w14:paraId="5519D458">
      <w:pPr>
        <w:rPr>
          <w:rFonts w:hint="eastAsia"/>
          <w:lang w:val="en-US" w:eastAsia="zh-CN"/>
        </w:rPr>
      </w:pPr>
      <w:r>
        <w:rPr>
          <w:rFonts w:hint="eastAsia"/>
          <w:lang w:val="en-US" w:eastAsia="zh-CN"/>
        </w:rPr>
        <w:t>（1）对土壤环境的影响分析</w:t>
      </w:r>
    </w:p>
    <w:p w14:paraId="32E2A036">
      <w:pPr>
        <w:rPr>
          <w:rFonts w:hint="eastAsia"/>
          <w:lang w:val="en-US" w:eastAsia="zh-CN"/>
        </w:rPr>
      </w:pPr>
      <w:r>
        <w:rPr>
          <w:rFonts w:hint="eastAsia"/>
          <w:lang w:val="en-US" w:eastAsia="zh-CN"/>
        </w:rPr>
        <w:t>①工程施工对土壤的扰动影响</w:t>
      </w:r>
    </w:p>
    <w:p w14:paraId="0A35C0E0">
      <w:pPr>
        <w:rPr>
          <w:rFonts w:hint="eastAsia"/>
          <w:lang w:val="en-US" w:eastAsia="zh-CN"/>
        </w:rPr>
      </w:pPr>
      <w:r>
        <w:rPr>
          <w:rFonts w:hint="eastAsia"/>
          <w:lang w:val="en-US" w:eastAsia="zh-CN"/>
        </w:rPr>
        <w:t>项目在建设施工期内，工程作业对土壤生态环境的影响主要表现在：占地改变土地使用功能；土壤扰动将使土壤结构、组成及理化性质等发生变化；建筑垃圾处置不当会加剧水土流失等。</w:t>
      </w:r>
    </w:p>
    <w:p w14:paraId="2385B517">
      <w:pPr>
        <w:rPr>
          <w:rFonts w:hint="eastAsia"/>
          <w:lang w:val="en-US" w:eastAsia="zh-CN"/>
        </w:rPr>
      </w:pPr>
      <w:r>
        <w:rPr>
          <w:rFonts w:hint="eastAsia"/>
          <w:lang w:val="en-US" w:eastAsia="zh-CN"/>
        </w:rPr>
        <w:t>施工期内单位面积上施工机械、人类活动的频率将大大增加，施工初期的挖土工程和车辆无规律的运行将践踏、碾压和破坏区域内土壤，造成表层土壤过于紧实，降低土壤的通透性和渗水性，对植物的生长会造成不良影响，这种破坏具有暂时性，经过一定时期能够恢复。</w:t>
      </w:r>
    </w:p>
    <w:p w14:paraId="654310F7">
      <w:pPr>
        <w:rPr>
          <w:rFonts w:hint="eastAsia"/>
          <w:lang w:val="en-US" w:eastAsia="zh-CN"/>
        </w:rPr>
      </w:pPr>
      <w:r>
        <w:rPr>
          <w:rFonts w:hint="eastAsia"/>
          <w:lang w:val="en-US" w:eastAsia="zh-CN"/>
        </w:rPr>
        <w:t>②对土壤结构和质地影响</w:t>
      </w:r>
    </w:p>
    <w:p w14:paraId="4A96A54A">
      <w:pPr>
        <w:rPr>
          <w:rFonts w:hint="eastAsia"/>
          <w:lang w:val="en-US" w:eastAsia="zh-CN"/>
        </w:rPr>
      </w:pPr>
      <w:r>
        <w:rPr>
          <w:rFonts w:hint="eastAsia"/>
          <w:lang w:val="en-US" w:eastAsia="zh-CN"/>
        </w:rPr>
        <w:t>土壤结构是经过较长的历史时期适应于当地环境而形成的，在形成过程中层次分明，结构紧实，在自然状况下具有其自身的稳定性。施工过程中地基、管沟的开挖势必破坏土壤结构，混合了不同层次的土质，影响了土壤的发育，即使回填也不能使其结构在短时间得到恢复。其次是由于对表层土的破坏，使表层土的保护层作用消失，形成松土区，为加剧水土流失创造了有利条件。由于在厂区内，最终要进行硬化处理，因此，其影响是暂时性的，可以得到恢复。</w:t>
      </w:r>
    </w:p>
    <w:p w14:paraId="3675D082">
      <w:pPr>
        <w:rPr>
          <w:rFonts w:hint="eastAsia"/>
          <w:lang w:val="en-US" w:eastAsia="zh-CN"/>
        </w:rPr>
      </w:pPr>
      <w:r>
        <w:rPr>
          <w:rFonts w:hint="eastAsia"/>
          <w:lang w:val="en-US" w:eastAsia="zh-CN"/>
        </w:rPr>
        <w:t>（2）对植被的影响分析</w:t>
      </w:r>
    </w:p>
    <w:p w14:paraId="09A51FAB">
      <w:pPr>
        <w:rPr>
          <w:rFonts w:hint="eastAsia"/>
          <w:lang w:val="en-US" w:eastAsia="zh-CN"/>
        </w:rPr>
      </w:pPr>
      <w:r>
        <w:rPr>
          <w:rFonts w:hint="eastAsia"/>
          <w:lang w:val="en-US" w:eastAsia="zh-CN"/>
        </w:rPr>
        <w:t>经过施工期的场地平整建设，厂区大部分地表原生植被及土壤结构将被破坏，地形地貌被改变，厂区植被覆盖度总体有所下降。永久性占地将改变土壤表层结构，破坏其中大部分地表植被，虽然本项目所占用土地性质为未利用地，但从目前的实际自然状态而言，工程建设将间接地对周围植被造成一定影响。施工临时占地范围内部分地表植被和土壤表层结构被破坏，但随着施工的结束，地表植被将逐渐恢复，同时土地原有功能也得以恢复。</w:t>
      </w:r>
    </w:p>
    <w:p w14:paraId="116D7897">
      <w:pPr>
        <w:rPr>
          <w:rFonts w:hint="eastAsia"/>
          <w:lang w:val="en-US" w:eastAsia="zh-CN"/>
        </w:rPr>
      </w:pPr>
      <w:r>
        <w:rPr>
          <w:rFonts w:hint="eastAsia"/>
          <w:lang w:val="en-US" w:eastAsia="zh-CN"/>
        </w:rPr>
        <w:t>施工建设过程人员本身产生的“三废”量较少，影响不大，但场地平整和入厂道路建设开挖土方量很大，要求全部在厂区内部平衡，避免在工程用地范围以外设立堆粪场等设施，控制对土壤植被的破坏。</w:t>
      </w:r>
    </w:p>
    <w:p w14:paraId="0783BD03">
      <w:pPr>
        <w:rPr>
          <w:rFonts w:hint="eastAsia"/>
          <w:lang w:val="en-US" w:eastAsia="zh-CN"/>
        </w:rPr>
      </w:pPr>
      <w:r>
        <w:rPr>
          <w:rFonts w:hint="eastAsia"/>
          <w:lang w:val="en-US" w:eastAsia="zh-CN"/>
        </w:rPr>
        <w:t>（3）对生态系统连续性、生物多样性的影响</w:t>
      </w:r>
    </w:p>
    <w:p w14:paraId="297E54F6">
      <w:pPr>
        <w:rPr>
          <w:rFonts w:hint="eastAsia"/>
          <w:lang w:val="en-US" w:eastAsia="zh-CN"/>
        </w:rPr>
      </w:pPr>
      <w:r>
        <w:rPr>
          <w:rFonts w:hint="eastAsia"/>
          <w:lang w:val="en-US" w:eastAsia="zh-CN"/>
        </w:rPr>
        <w:t>生态系统的功能是以系统完整的结构和良好的运行为基础的，要保护生态系统的整体性和运行的连续性，则要做到①地域的连续性，这是生态系统存在和长久维持的重要条件；②物种的多样性，这也是生态系统趋于稳定的重要因素，物种多样性越低，生态系统也就越脆弱。</w:t>
      </w:r>
    </w:p>
    <w:p w14:paraId="1EEDDC55">
      <w:pPr>
        <w:rPr>
          <w:rFonts w:hint="eastAsia"/>
          <w:lang w:val="en-US" w:eastAsia="zh-CN"/>
        </w:rPr>
      </w:pPr>
      <w:r>
        <w:rPr>
          <w:rFonts w:hint="eastAsia"/>
          <w:lang w:val="en-US" w:eastAsia="zh-CN"/>
        </w:rPr>
        <w:t>本项目的建设对生态系统地域的连续性和物种的多样性影响微弱，因为厂区占地面积有限且集中，厂外道路均依托原有设施，不会对本地区生态系统的功能和可持续利用造成影响。</w:t>
      </w:r>
    </w:p>
    <w:p w14:paraId="1EA3B932">
      <w:pPr>
        <w:rPr>
          <w:rFonts w:hint="eastAsia"/>
          <w:lang w:val="en-US" w:eastAsia="zh-CN"/>
        </w:rPr>
      </w:pPr>
      <w:r>
        <w:rPr>
          <w:rFonts w:hint="eastAsia"/>
          <w:lang w:val="en-US" w:eastAsia="zh-CN"/>
        </w:rPr>
        <w:t>此外，本项目对野生动物的影响方式，就鸟类而言，由于施工范围内地表植被为草本和木本植物，施工过程中会减少一部分植被，主要影响是施工过程惊吓和栖息地减少造成的间接影响；对两栖类动物而言，其敏感性反应较差，无固定巢穴，施工对其影响不大；施工对啮齿类和爬行类动物的影响主要在于施工开挖会毁坏这些动物在施工地带的洞穴，同时，施工人员的活动和来往机械的运动也会使它们受到惊吓，其结果是迫使它们迁往别处。就与人类的关系而言，人们更喜欢留住那些能给环境带来美感并无害于人类和环境的动物，如绝大部分鸟类，而不喜欢那些怵人耳目（蜥脚类）及有害于人类和环境的动物（如鼠类）。由以上分析可知，工程施工期会对生物种群正常生活造成一定的干扰，但由于施工区没有珍稀及濒危物种存在，不会对生物多样性造成不利影响。</w:t>
      </w:r>
    </w:p>
    <w:p w14:paraId="255EA21E">
      <w:pPr>
        <w:rPr>
          <w:rFonts w:hint="eastAsia"/>
          <w:lang w:val="en-US" w:eastAsia="zh-CN"/>
        </w:rPr>
      </w:pPr>
      <w:r>
        <w:rPr>
          <w:rFonts w:hint="eastAsia"/>
          <w:lang w:val="en-US" w:eastAsia="zh-CN"/>
        </w:rPr>
        <w:t>施工建设期间，施工噪声、人流物流将会影响野生动物的活动，使较敏感的野生动物远离施工区。由于拟定厂址区域目前野生动物较少，本项目对野生动物的影响有限。</w:t>
      </w:r>
    </w:p>
    <w:p w14:paraId="0C0E25C1">
      <w:pPr>
        <w:rPr>
          <w:rFonts w:hint="eastAsia"/>
          <w:lang w:val="en-US" w:eastAsia="zh-CN"/>
        </w:rPr>
      </w:pPr>
      <w:r>
        <w:rPr>
          <w:rFonts w:hint="eastAsia"/>
          <w:lang w:val="en-US" w:eastAsia="zh-CN"/>
        </w:rPr>
        <w:t>（4）对水土流失的影响分析</w:t>
      </w:r>
    </w:p>
    <w:p w14:paraId="1A34C3BB">
      <w:pPr>
        <w:rPr>
          <w:rFonts w:hint="eastAsia"/>
          <w:lang w:val="en-US" w:eastAsia="zh-CN"/>
        </w:rPr>
      </w:pPr>
      <w:r>
        <w:rPr>
          <w:rFonts w:hint="eastAsia"/>
          <w:lang w:val="en-US" w:eastAsia="zh-CN"/>
        </w:rPr>
        <w:t>水土流失将造成一定程度的生态影响，具体表现在：</w:t>
      </w:r>
    </w:p>
    <w:p w14:paraId="745E90AD">
      <w:pPr>
        <w:rPr>
          <w:rFonts w:hint="eastAsia"/>
          <w:lang w:val="en-US" w:eastAsia="zh-CN"/>
        </w:rPr>
      </w:pPr>
      <w:r>
        <w:rPr>
          <w:rFonts w:hint="eastAsia"/>
          <w:lang w:val="en-US" w:eastAsia="zh-CN"/>
        </w:rPr>
        <w:t>①因施工开挖，将改变原土壤结构和地表物质组成，影响土壤肥力，从而导致土地生产力降低，给区域植被带来一定影响。</w:t>
      </w:r>
    </w:p>
    <w:p w14:paraId="7DA28A1D">
      <w:pPr>
        <w:rPr>
          <w:rFonts w:hint="eastAsia"/>
          <w:lang w:val="en-US" w:eastAsia="zh-CN"/>
        </w:rPr>
      </w:pPr>
      <w:r>
        <w:rPr>
          <w:rFonts w:hint="eastAsia"/>
          <w:lang w:val="en-US" w:eastAsia="zh-CN"/>
        </w:rPr>
        <w:t>②施工期运输机械往来，使施工区表层土碾压疏松，大风天将产生扬尘，加剧区域水土流失。</w:t>
      </w:r>
    </w:p>
    <w:p w14:paraId="0914C606">
      <w:pPr>
        <w:rPr>
          <w:rFonts w:hint="eastAsia"/>
          <w:lang w:val="en-US" w:eastAsia="zh-CN"/>
        </w:rPr>
      </w:pPr>
      <w:r>
        <w:rPr>
          <w:rFonts w:hint="eastAsia"/>
          <w:lang w:val="en-US" w:eastAsia="zh-CN"/>
        </w:rPr>
        <w:t>③施工时产生大量的临时堆土，虽然堆置为临时堆置，但受大风影响也会产生水土流失。</w:t>
      </w:r>
    </w:p>
    <w:p w14:paraId="3EA689D2">
      <w:pPr>
        <w:rPr>
          <w:rFonts w:hint="eastAsia"/>
          <w:lang w:val="en-US" w:eastAsia="zh-CN"/>
        </w:rPr>
      </w:pPr>
      <w:r>
        <w:rPr>
          <w:rFonts w:hint="eastAsia"/>
          <w:lang w:val="en-US" w:eastAsia="zh-CN"/>
        </w:rPr>
        <w:t>④土建工程施工过程中对占地区造成扰动，降低土壤抗侵蚀能力，使施工期间项目部分区域土壤侵蚀强度呈增加趋势。</w:t>
      </w:r>
    </w:p>
    <w:p w14:paraId="44BF03A3">
      <w:pPr>
        <w:rPr>
          <w:rFonts w:hint="eastAsia"/>
          <w:lang w:val="en-US" w:eastAsia="zh-CN"/>
        </w:rPr>
      </w:pPr>
      <w:r>
        <w:rPr>
          <w:rFonts w:hint="eastAsia"/>
          <w:lang w:val="en-US" w:eastAsia="zh-CN"/>
        </w:rPr>
        <w:t>区域土壤侵蚀主要为风蚀，项目建设不可避免地要加重区域水土流失。拟建项目产生的水土流失可以分为三个阶段，第一阶段是在施工准备期，“三通一平”工作产生大量土石方的开挖、运移活动，地表扰动严重，植被几乎完全被破坏，裸露的地表水土保持功能明显减弱，土壤侵蚀强度增强；第二阶段是土建期，工业场地“三通一平”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建筑物等建设完成，土石方清理完毕，地表因大部分被硬化，地表土壤侵蚀强度较建设期有明显下降，但此时仍存在裸露地表，特别是林草植被种刚刚栽植，不能完全覆盖裸露的地表，林草植被措施还不能发挥作用，此时遇侵蚀性降雨等天气仍将不可避免的产生水土流失。</w:t>
      </w:r>
    </w:p>
    <w:p w14:paraId="18BCEC74">
      <w:pPr>
        <w:rPr>
          <w:rFonts w:hint="eastAsia"/>
          <w:lang w:val="en-US" w:eastAsia="zh-CN"/>
        </w:rPr>
      </w:pPr>
      <w:r>
        <w:rPr>
          <w:rFonts w:hint="eastAsia"/>
          <w:lang w:val="en-US" w:eastAsia="zh-CN"/>
        </w:rP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土流失的加剧，对当地环境及周边居民的生产生活产生影响。</w:t>
      </w:r>
    </w:p>
    <w:p w14:paraId="30AD512D">
      <w:pPr>
        <w:rPr>
          <w:rFonts w:hint="eastAsia"/>
          <w:lang w:val="en-US" w:eastAsia="zh-CN"/>
        </w:rPr>
      </w:pPr>
      <w:r>
        <w:rPr>
          <w:rFonts w:hint="eastAsia"/>
          <w:lang w:val="en-US" w:eastAsia="zh-CN"/>
        </w:rPr>
        <w:t>为减少施工期的水土流失，建设单位应精心组织，合理安排施工计划，在暴雨季节采取合理的防护措施，并减少雨季时的施工，对土石方挖填等方案进行周密论证，优选出水土流失较少的方案。要尽量做到挖、填方的平衡，减少借方和弃方；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14:paraId="0D04A829">
      <w:pPr>
        <w:pStyle w:val="26"/>
        <w:bidi w:val="0"/>
        <w:rPr>
          <w:rFonts w:hint="eastAsia"/>
          <w:lang w:val="en-US" w:eastAsia="zh-CN"/>
        </w:rPr>
      </w:pPr>
      <w:bookmarkStart w:id="29" w:name="_Toc19582"/>
      <w:r>
        <w:rPr>
          <w:rFonts w:hint="eastAsia"/>
          <w:lang w:val="en-US" w:eastAsia="zh-CN"/>
        </w:rPr>
        <w:t>运营期环境影响分析与评价</w:t>
      </w:r>
      <w:bookmarkEnd w:id="29"/>
    </w:p>
    <w:p w14:paraId="25D53BD4">
      <w:pPr>
        <w:pStyle w:val="27"/>
        <w:bidi w:val="0"/>
        <w:rPr>
          <w:rFonts w:hint="default"/>
          <w:lang w:val="en-US" w:eastAsia="zh-CN"/>
        </w:rPr>
      </w:pPr>
      <w:r>
        <w:rPr>
          <w:rFonts w:hint="eastAsia"/>
          <w:lang w:val="en-US" w:eastAsia="zh-CN"/>
        </w:rPr>
        <w:t>大气环境影响分析与评价</w:t>
      </w:r>
    </w:p>
    <w:p w14:paraId="42413C80">
      <w:pPr>
        <w:pStyle w:val="28"/>
        <w:bidi w:val="0"/>
        <w:rPr>
          <w:rFonts w:hint="default"/>
          <w:lang w:val="en-US" w:eastAsia="zh-CN"/>
        </w:rPr>
      </w:pPr>
      <w:r>
        <w:rPr>
          <w:rFonts w:hint="eastAsia"/>
          <w:lang w:val="en-US" w:eastAsia="zh-CN"/>
        </w:rPr>
        <w:t>污染物影响分析</w:t>
      </w:r>
    </w:p>
    <w:p w14:paraId="3F4E35B8">
      <w:pPr>
        <w:rPr>
          <w:rFonts w:hint="default"/>
          <w:lang w:val="en-US" w:eastAsia="zh-CN"/>
        </w:rPr>
      </w:pPr>
      <w:r>
        <w:rPr>
          <w:rFonts w:hint="eastAsia"/>
          <w:lang w:val="en-US" w:eastAsia="zh-CN"/>
        </w:rPr>
        <w:t>本项目大气污染来源于养殖过程中产生的恶臭、生物质锅炉烟气、沼气及燃烧废气、畜禽粪污处置过程中产生的恶臭等。</w:t>
      </w:r>
    </w:p>
    <w:p w14:paraId="7736618D">
      <w:pPr>
        <w:rPr>
          <w:rFonts w:hint="default"/>
          <w:lang w:val="en-US" w:eastAsia="zh-CN"/>
        </w:rPr>
      </w:pPr>
      <w:r>
        <w:rPr>
          <w:rFonts w:hint="eastAsia"/>
          <w:lang w:val="en-US" w:eastAsia="zh-CN"/>
        </w:rPr>
        <w:t>（1）育肥舍、堆肥场等恶臭</w:t>
      </w:r>
    </w:p>
    <w:p w14:paraId="506AAEED">
      <w:pPr>
        <w:rPr>
          <w:rFonts w:hint="eastAsia"/>
          <w:lang w:val="en-US" w:eastAsia="zh-CN"/>
        </w:rPr>
      </w:pPr>
      <w:r>
        <w:rPr>
          <w:rFonts w:hint="eastAsia"/>
          <w:lang w:val="en-US" w:eastAsia="zh-CN"/>
        </w:rPr>
        <w:t>根据前文工程分析可知，本项目恶臭污染物排放情况如下：</w:t>
      </w:r>
    </w:p>
    <w:p w14:paraId="0D05186D">
      <w:pPr>
        <w:pStyle w:val="30"/>
        <w:bidi w:val="0"/>
        <w:rPr>
          <w:rFonts w:hint="eastAsia"/>
          <w:lang w:val="en-US" w:eastAsia="zh-CN"/>
        </w:rPr>
      </w:pPr>
      <w:r>
        <w:rPr>
          <w:rFonts w:hint="eastAsia"/>
          <w:lang w:val="en-US" w:eastAsia="zh-CN"/>
        </w:rPr>
        <w:t>表5.2-1   本项目恶臭产生及排放一览表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690"/>
        <w:gridCol w:w="840"/>
        <w:gridCol w:w="870"/>
        <w:gridCol w:w="1035"/>
        <w:gridCol w:w="2235"/>
        <w:gridCol w:w="885"/>
        <w:gridCol w:w="1064"/>
      </w:tblGrid>
      <w:tr w14:paraId="2C48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5FCFC4F4">
            <w:pPr>
              <w:pStyle w:val="19"/>
              <w:bidi w:val="0"/>
            </w:pPr>
            <w:r>
              <w:rPr>
                <w:rFonts w:hint="default"/>
              </w:rPr>
              <w:t>污染源</w:t>
            </w:r>
          </w:p>
        </w:tc>
        <w:tc>
          <w:tcPr>
            <w:tcW w:w="404" w:type="pct"/>
            <w:vMerge w:val="restart"/>
            <w:vAlign w:val="center"/>
          </w:tcPr>
          <w:p w14:paraId="1140715A">
            <w:pPr>
              <w:pStyle w:val="19"/>
              <w:bidi w:val="0"/>
            </w:pPr>
            <w:r>
              <w:rPr>
                <w:rFonts w:hint="default"/>
              </w:rPr>
              <w:t>排放形式</w:t>
            </w:r>
          </w:p>
        </w:tc>
        <w:tc>
          <w:tcPr>
            <w:tcW w:w="492" w:type="pct"/>
            <w:vMerge w:val="restart"/>
            <w:vAlign w:val="center"/>
          </w:tcPr>
          <w:p w14:paraId="7A43904B">
            <w:pPr>
              <w:pStyle w:val="19"/>
              <w:bidi w:val="0"/>
            </w:pPr>
            <w:r>
              <w:rPr>
                <w:rFonts w:hint="default"/>
              </w:rPr>
              <w:t>污染物名称</w:t>
            </w:r>
          </w:p>
        </w:tc>
        <w:tc>
          <w:tcPr>
            <w:tcW w:w="1117" w:type="pct"/>
            <w:gridSpan w:val="2"/>
            <w:vAlign w:val="center"/>
          </w:tcPr>
          <w:p w14:paraId="53C64D55">
            <w:pPr>
              <w:pStyle w:val="19"/>
              <w:bidi w:val="0"/>
            </w:pPr>
            <w:r>
              <w:rPr>
                <w:rFonts w:hint="default"/>
              </w:rPr>
              <w:t>产生情况</w:t>
            </w:r>
          </w:p>
        </w:tc>
        <w:tc>
          <w:tcPr>
            <w:tcW w:w="1311" w:type="pct"/>
            <w:vMerge w:val="restart"/>
            <w:vAlign w:val="center"/>
          </w:tcPr>
          <w:p w14:paraId="0A752AD1">
            <w:pPr>
              <w:pStyle w:val="19"/>
              <w:bidi w:val="0"/>
            </w:pPr>
            <w:r>
              <w:rPr>
                <w:rFonts w:hint="default"/>
              </w:rPr>
              <w:t>治理措施</w:t>
            </w:r>
          </w:p>
        </w:tc>
        <w:tc>
          <w:tcPr>
            <w:tcW w:w="1143" w:type="pct"/>
            <w:gridSpan w:val="2"/>
            <w:vAlign w:val="center"/>
          </w:tcPr>
          <w:p w14:paraId="3D3F4060">
            <w:pPr>
              <w:pStyle w:val="19"/>
              <w:bidi w:val="0"/>
              <w:rPr>
                <w:rFonts w:hint="default"/>
              </w:rPr>
            </w:pPr>
            <w:r>
              <w:rPr>
                <w:rFonts w:hint="default"/>
              </w:rPr>
              <w:t>排放情况</w:t>
            </w:r>
          </w:p>
        </w:tc>
      </w:tr>
      <w:tr w14:paraId="604F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2C169776">
            <w:pPr>
              <w:pStyle w:val="19"/>
              <w:bidi w:val="0"/>
            </w:pPr>
          </w:p>
        </w:tc>
        <w:tc>
          <w:tcPr>
            <w:tcW w:w="404" w:type="pct"/>
            <w:vMerge w:val="continue"/>
            <w:vAlign w:val="center"/>
          </w:tcPr>
          <w:p w14:paraId="4289802A">
            <w:pPr>
              <w:pStyle w:val="19"/>
              <w:bidi w:val="0"/>
            </w:pPr>
          </w:p>
        </w:tc>
        <w:tc>
          <w:tcPr>
            <w:tcW w:w="492" w:type="pct"/>
            <w:vMerge w:val="continue"/>
            <w:vAlign w:val="center"/>
          </w:tcPr>
          <w:p w14:paraId="0A7903E9">
            <w:pPr>
              <w:pStyle w:val="19"/>
              <w:bidi w:val="0"/>
            </w:pPr>
          </w:p>
        </w:tc>
        <w:tc>
          <w:tcPr>
            <w:tcW w:w="510" w:type="pct"/>
            <w:vAlign w:val="center"/>
          </w:tcPr>
          <w:p w14:paraId="58608808">
            <w:pPr>
              <w:pStyle w:val="19"/>
              <w:bidi w:val="0"/>
            </w:pPr>
            <w:r>
              <w:rPr>
                <w:rFonts w:hint="default"/>
              </w:rPr>
              <w:t>产生量（t/a）</w:t>
            </w:r>
          </w:p>
        </w:tc>
        <w:tc>
          <w:tcPr>
            <w:tcW w:w="607" w:type="pct"/>
            <w:vAlign w:val="center"/>
          </w:tcPr>
          <w:p w14:paraId="58E914B6">
            <w:pPr>
              <w:pStyle w:val="19"/>
              <w:bidi w:val="0"/>
            </w:pPr>
            <w:r>
              <w:rPr>
                <w:rFonts w:hint="default"/>
              </w:rPr>
              <w:t>产生速率（kg/h）</w:t>
            </w:r>
          </w:p>
        </w:tc>
        <w:tc>
          <w:tcPr>
            <w:tcW w:w="1311" w:type="pct"/>
            <w:vMerge w:val="continue"/>
            <w:vAlign w:val="center"/>
          </w:tcPr>
          <w:p w14:paraId="1EE0498C">
            <w:pPr>
              <w:pStyle w:val="19"/>
              <w:bidi w:val="0"/>
              <w:rPr>
                <w:lang w:eastAsia="zh-TW"/>
              </w:rPr>
            </w:pPr>
          </w:p>
        </w:tc>
        <w:tc>
          <w:tcPr>
            <w:tcW w:w="519" w:type="pct"/>
            <w:vAlign w:val="center"/>
          </w:tcPr>
          <w:p w14:paraId="2202CAAB">
            <w:pPr>
              <w:pStyle w:val="19"/>
              <w:bidi w:val="0"/>
              <w:rPr>
                <w:lang w:eastAsia="zh-TW"/>
              </w:rPr>
            </w:pPr>
            <w:r>
              <w:rPr>
                <w:rFonts w:hint="default"/>
              </w:rPr>
              <w:t>排放量（t/a）</w:t>
            </w:r>
          </w:p>
        </w:tc>
        <w:tc>
          <w:tcPr>
            <w:tcW w:w="624" w:type="pct"/>
            <w:vAlign w:val="center"/>
          </w:tcPr>
          <w:p w14:paraId="17302359">
            <w:pPr>
              <w:pStyle w:val="19"/>
              <w:bidi w:val="0"/>
              <w:rPr>
                <w:rFonts w:hint="default"/>
              </w:rPr>
            </w:pPr>
            <w:r>
              <w:rPr>
                <w:rFonts w:hint="default"/>
              </w:rPr>
              <w:t>排放速率（kg/h）</w:t>
            </w:r>
          </w:p>
        </w:tc>
      </w:tr>
      <w:tr w14:paraId="7FF7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1F5E59F0">
            <w:pPr>
              <w:pStyle w:val="19"/>
              <w:bidi w:val="0"/>
              <w:rPr>
                <w:rFonts w:hint="default" w:eastAsia="宋体"/>
                <w:lang w:val="en-US" w:eastAsia="zh-CN"/>
              </w:rPr>
            </w:pPr>
            <w:r>
              <w:rPr>
                <w:rFonts w:hint="eastAsia"/>
                <w:lang w:val="en-US" w:eastAsia="zh-CN"/>
              </w:rPr>
              <w:t>育肥</w:t>
            </w:r>
            <w:r>
              <w:rPr>
                <w:rFonts w:hint="default"/>
              </w:rPr>
              <w:t>舍</w:t>
            </w:r>
            <w:r>
              <w:rPr>
                <w:rFonts w:hint="eastAsia"/>
                <w:lang w:val="en-US" w:eastAsia="zh-CN"/>
              </w:rPr>
              <w:t>恶臭废气G1</w:t>
            </w:r>
          </w:p>
        </w:tc>
        <w:tc>
          <w:tcPr>
            <w:tcW w:w="404" w:type="pct"/>
            <w:vMerge w:val="restart"/>
            <w:vAlign w:val="center"/>
          </w:tcPr>
          <w:p w14:paraId="43129466">
            <w:pPr>
              <w:pStyle w:val="19"/>
              <w:bidi w:val="0"/>
            </w:pPr>
            <w:r>
              <w:rPr>
                <w:rFonts w:hint="default"/>
              </w:rPr>
              <w:t>无组织</w:t>
            </w:r>
          </w:p>
        </w:tc>
        <w:tc>
          <w:tcPr>
            <w:tcW w:w="492" w:type="pct"/>
            <w:vAlign w:val="center"/>
          </w:tcPr>
          <w:p w14:paraId="501B895F">
            <w:pPr>
              <w:pStyle w:val="19"/>
              <w:bidi w:val="0"/>
            </w:pPr>
            <w:r>
              <w:rPr>
                <w:rFonts w:hint="default"/>
              </w:rPr>
              <w:t>NH</w:t>
            </w:r>
            <w:r>
              <w:rPr>
                <w:rFonts w:hint="default"/>
                <w:vertAlign w:val="subscript"/>
              </w:rPr>
              <w:t>3</w:t>
            </w:r>
          </w:p>
        </w:tc>
        <w:tc>
          <w:tcPr>
            <w:tcW w:w="510" w:type="pct"/>
            <w:vAlign w:val="center"/>
          </w:tcPr>
          <w:p w14:paraId="1C25B9E0">
            <w:pPr>
              <w:pStyle w:val="19"/>
              <w:bidi w:val="0"/>
              <w:rPr>
                <w:rFonts w:hint="default"/>
                <w:lang w:val="en-US"/>
              </w:rPr>
            </w:pPr>
            <w:r>
              <w:rPr>
                <w:rFonts w:hint="default"/>
                <w:lang w:val="en-US" w:eastAsia="zh-CN"/>
              </w:rPr>
              <w:t>27.475</w:t>
            </w:r>
          </w:p>
        </w:tc>
        <w:tc>
          <w:tcPr>
            <w:tcW w:w="607" w:type="pct"/>
            <w:vAlign w:val="center"/>
          </w:tcPr>
          <w:p w14:paraId="4F0FEE10">
            <w:pPr>
              <w:pStyle w:val="19"/>
              <w:bidi w:val="0"/>
              <w:rPr>
                <w:rFonts w:hint="default"/>
                <w:lang w:val="en-US"/>
              </w:rPr>
            </w:pPr>
            <w:r>
              <w:rPr>
                <w:rFonts w:hint="default"/>
                <w:lang w:val="en-US" w:eastAsia="zh-CN"/>
              </w:rPr>
              <w:t>3.816</w:t>
            </w:r>
          </w:p>
        </w:tc>
        <w:tc>
          <w:tcPr>
            <w:tcW w:w="1311" w:type="pct"/>
            <w:vMerge w:val="restart"/>
            <w:vAlign w:val="center"/>
          </w:tcPr>
          <w:p w14:paraId="7BD5847C">
            <w:pPr>
              <w:pStyle w:val="19"/>
              <w:bidi w:val="0"/>
              <w:rPr>
                <w:rFonts w:hint="eastAsia" w:eastAsia="宋体"/>
                <w:lang w:eastAsia="zh-CN"/>
              </w:rPr>
            </w:pPr>
            <w:r>
              <w:rPr>
                <w:rFonts w:hint="default"/>
              </w:rPr>
              <w:t>加强通风、合理搭配饲料、投放吸附剂和喷洒除臭剂、全漏缝地板、及时清除粪便，定期冲洗和杀菌消毒</w:t>
            </w:r>
            <w:r>
              <w:rPr>
                <w:rFonts w:hint="eastAsia"/>
                <w:lang w:eastAsia="zh-CN"/>
              </w:rPr>
              <w:t>。</w:t>
            </w:r>
          </w:p>
        </w:tc>
        <w:tc>
          <w:tcPr>
            <w:tcW w:w="519" w:type="pct"/>
            <w:vAlign w:val="center"/>
          </w:tcPr>
          <w:p w14:paraId="014A8D77">
            <w:pPr>
              <w:pStyle w:val="19"/>
              <w:bidi w:val="0"/>
              <w:rPr>
                <w:rFonts w:hint="default"/>
                <w:lang w:val="en-US"/>
              </w:rPr>
            </w:pPr>
            <w:r>
              <w:rPr>
                <w:rFonts w:hint="default"/>
                <w:lang w:val="en-US" w:eastAsia="zh-CN"/>
              </w:rPr>
              <w:t>2.745</w:t>
            </w:r>
          </w:p>
        </w:tc>
        <w:tc>
          <w:tcPr>
            <w:tcW w:w="624" w:type="pct"/>
            <w:vAlign w:val="center"/>
          </w:tcPr>
          <w:p w14:paraId="1E7E8126">
            <w:pPr>
              <w:pStyle w:val="19"/>
              <w:bidi w:val="0"/>
              <w:rPr>
                <w:rFonts w:hint="default"/>
                <w:lang w:val="en-US" w:eastAsia="zh-CN"/>
              </w:rPr>
            </w:pPr>
            <w:r>
              <w:rPr>
                <w:rFonts w:hint="default"/>
                <w:lang w:val="en-US" w:eastAsia="zh-CN"/>
              </w:rPr>
              <w:t>0.3816</w:t>
            </w:r>
          </w:p>
        </w:tc>
      </w:tr>
      <w:tr w14:paraId="270F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1E1B7712">
            <w:pPr>
              <w:pStyle w:val="19"/>
              <w:bidi w:val="0"/>
            </w:pPr>
          </w:p>
        </w:tc>
        <w:tc>
          <w:tcPr>
            <w:tcW w:w="404" w:type="pct"/>
            <w:vMerge w:val="continue"/>
            <w:vAlign w:val="center"/>
          </w:tcPr>
          <w:p w14:paraId="6C28F7AB">
            <w:pPr>
              <w:pStyle w:val="19"/>
              <w:bidi w:val="0"/>
            </w:pPr>
          </w:p>
        </w:tc>
        <w:tc>
          <w:tcPr>
            <w:tcW w:w="492" w:type="pct"/>
            <w:vAlign w:val="center"/>
          </w:tcPr>
          <w:p w14:paraId="14D77609">
            <w:pPr>
              <w:pStyle w:val="19"/>
              <w:bidi w:val="0"/>
            </w:pPr>
            <w:r>
              <w:rPr>
                <w:rFonts w:hint="default"/>
              </w:rPr>
              <w:t>H</w:t>
            </w:r>
            <w:r>
              <w:rPr>
                <w:rFonts w:hint="default"/>
                <w:vertAlign w:val="subscript"/>
              </w:rPr>
              <w:t>2</w:t>
            </w:r>
            <w:r>
              <w:rPr>
                <w:rFonts w:hint="default"/>
              </w:rPr>
              <w:t>S</w:t>
            </w:r>
          </w:p>
        </w:tc>
        <w:tc>
          <w:tcPr>
            <w:tcW w:w="510" w:type="pct"/>
            <w:vAlign w:val="center"/>
          </w:tcPr>
          <w:p w14:paraId="289DD133">
            <w:pPr>
              <w:pStyle w:val="19"/>
              <w:bidi w:val="0"/>
              <w:rPr>
                <w:rFonts w:hint="default"/>
                <w:lang w:val="en-US"/>
              </w:rPr>
            </w:pPr>
            <w:r>
              <w:rPr>
                <w:rFonts w:hint="default"/>
                <w:lang w:val="en-US" w:eastAsia="zh-CN"/>
              </w:rPr>
              <w:t>2.905</w:t>
            </w:r>
          </w:p>
        </w:tc>
        <w:tc>
          <w:tcPr>
            <w:tcW w:w="607" w:type="pct"/>
            <w:vAlign w:val="center"/>
          </w:tcPr>
          <w:p w14:paraId="028C24B0">
            <w:pPr>
              <w:pStyle w:val="19"/>
              <w:bidi w:val="0"/>
              <w:rPr>
                <w:rFonts w:hint="default"/>
                <w:lang w:val="en-US"/>
              </w:rPr>
            </w:pPr>
            <w:r>
              <w:rPr>
                <w:rFonts w:hint="default"/>
                <w:lang w:val="en-US" w:eastAsia="zh-CN"/>
              </w:rPr>
              <w:t>0.403</w:t>
            </w:r>
          </w:p>
        </w:tc>
        <w:tc>
          <w:tcPr>
            <w:tcW w:w="1311" w:type="pct"/>
            <w:vMerge w:val="continue"/>
            <w:vAlign w:val="center"/>
          </w:tcPr>
          <w:p w14:paraId="15D5A762">
            <w:pPr>
              <w:pStyle w:val="19"/>
              <w:bidi w:val="0"/>
              <w:rPr>
                <w:lang w:eastAsia="zh-TW"/>
              </w:rPr>
            </w:pPr>
          </w:p>
        </w:tc>
        <w:tc>
          <w:tcPr>
            <w:tcW w:w="519" w:type="pct"/>
            <w:vAlign w:val="center"/>
          </w:tcPr>
          <w:p w14:paraId="6425CBBA">
            <w:pPr>
              <w:pStyle w:val="19"/>
              <w:bidi w:val="0"/>
              <w:rPr>
                <w:rFonts w:hint="default"/>
                <w:lang w:val="en-US"/>
              </w:rPr>
            </w:pPr>
            <w:r>
              <w:rPr>
                <w:rFonts w:hint="default"/>
                <w:lang w:val="en-US" w:eastAsia="zh-CN"/>
              </w:rPr>
              <w:t>0.2905</w:t>
            </w:r>
          </w:p>
        </w:tc>
        <w:tc>
          <w:tcPr>
            <w:tcW w:w="624" w:type="pct"/>
            <w:vAlign w:val="center"/>
          </w:tcPr>
          <w:p w14:paraId="0F0DFAC1">
            <w:pPr>
              <w:pStyle w:val="19"/>
              <w:bidi w:val="0"/>
              <w:rPr>
                <w:rFonts w:hint="default"/>
                <w:lang w:val="en-US" w:eastAsia="zh-CN"/>
              </w:rPr>
            </w:pPr>
            <w:r>
              <w:rPr>
                <w:rFonts w:hint="default"/>
                <w:lang w:val="en-US" w:eastAsia="zh-CN"/>
              </w:rPr>
              <w:t>0.0403</w:t>
            </w:r>
          </w:p>
        </w:tc>
      </w:tr>
      <w:tr w14:paraId="7CD0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44C94E26">
            <w:pPr>
              <w:pStyle w:val="19"/>
              <w:bidi w:val="0"/>
              <w:rPr>
                <w:rFonts w:hint="default"/>
                <w:highlight w:val="none"/>
                <w:lang w:val="en-US"/>
              </w:rPr>
            </w:pPr>
            <w:r>
              <w:rPr>
                <w:rFonts w:hint="default"/>
                <w:highlight w:val="none"/>
              </w:rPr>
              <w:t>堆</w:t>
            </w:r>
            <w:r>
              <w:rPr>
                <w:rFonts w:hint="eastAsia"/>
                <w:highlight w:val="none"/>
                <w:lang w:val="en-US" w:eastAsia="zh-CN"/>
              </w:rPr>
              <w:t>肥</w:t>
            </w:r>
            <w:r>
              <w:rPr>
                <w:rFonts w:hint="default"/>
                <w:highlight w:val="none"/>
              </w:rPr>
              <w:t>场</w:t>
            </w:r>
            <w:r>
              <w:rPr>
                <w:rFonts w:hint="eastAsia"/>
                <w:highlight w:val="none"/>
                <w:lang w:val="en-US" w:eastAsia="zh-CN"/>
              </w:rPr>
              <w:t>恶臭废气G2</w:t>
            </w:r>
          </w:p>
        </w:tc>
        <w:tc>
          <w:tcPr>
            <w:tcW w:w="404" w:type="pct"/>
            <w:vMerge w:val="restart"/>
            <w:vAlign w:val="center"/>
          </w:tcPr>
          <w:p w14:paraId="37F17361">
            <w:pPr>
              <w:pStyle w:val="19"/>
              <w:bidi w:val="0"/>
              <w:rPr>
                <w:rFonts w:hint="eastAsia"/>
                <w:highlight w:val="none"/>
                <w:lang w:eastAsia="zh-CN"/>
              </w:rPr>
            </w:pPr>
            <w:r>
              <w:rPr>
                <w:rFonts w:hint="default"/>
                <w:highlight w:val="none"/>
                <w:lang w:val="en-US" w:eastAsia="zh-CN"/>
              </w:rPr>
              <w:t>无组织</w:t>
            </w:r>
          </w:p>
        </w:tc>
        <w:tc>
          <w:tcPr>
            <w:tcW w:w="492" w:type="pct"/>
            <w:vAlign w:val="center"/>
          </w:tcPr>
          <w:p w14:paraId="0668321A">
            <w:pPr>
              <w:pStyle w:val="19"/>
              <w:bidi w:val="0"/>
              <w:ind w:firstLine="0" w:firstLineChars="0"/>
              <w:rPr>
                <w:highlight w:val="none"/>
              </w:rPr>
            </w:pPr>
            <w:r>
              <w:rPr>
                <w:rFonts w:hint="default"/>
                <w:highlight w:val="none"/>
              </w:rPr>
              <w:t>NH</w:t>
            </w:r>
            <w:r>
              <w:rPr>
                <w:rFonts w:hint="default"/>
                <w:highlight w:val="none"/>
                <w:vertAlign w:val="subscript"/>
              </w:rPr>
              <w:t>3</w:t>
            </w:r>
          </w:p>
        </w:tc>
        <w:tc>
          <w:tcPr>
            <w:tcW w:w="510" w:type="pct"/>
            <w:vAlign w:val="center"/>
          </w:tcPr>
          <w:p w14:paraId="6750F180">
            <w:pPr>
              <w:pStyle w:val="19"/>
              <w:bidi w:val="0"/>
              <w:ind w:firstLine="0" w:firstLineChars="0"/>
              <w:rPr>
                <w:rFonts w:hint="default" w:eastAsia="宋体"/>
                <w:highlight w:val="none"/>
                <w:lang w:val="en-US" w:eastAsia="zh-CN"/>
              </w:rPr>
            </w:pPr>
            <w:r>
              <w:rPr>
                <w:rFonts w:hint="eastAsia"/>
                <w:lang w:val="en-US" w:eastAsia="zh-CN"/>
              </w:rPr>
              <w:t>0.053</w:t>
            </w:r>
          </w:p>
        </w:tc>
        <w:tc>
          <w:tcPr>
            <w:tcW w:w="607" w:type="pct"/>
            <w:vAlign w:val="center"/>
          </w:tcPr>
          <w:p w14:paraId="53529D58">
            <w:pPr>
              <w:pStyle w:val="19"/>
              <w:bidi w:val="0"/>
              <w:ind w:firstLine="0" w:firstLineChars="0"/>
              <w:rPr>
                <w:rFonts w:hint="default"/>
                <w:highlight w:val="none"/>
                <w:lang w:val="en-US" w:eastAsia="zh-CN"/>
              </w:rPr>
            </w:pPr>
            <w:r>
              <w:rPr>
                <w:rFonts w:hint="eastAsia"/>
                <w:lang w:val="en-US" w:eastAsia="zh-CN"/>
              </w:rPr>
              <w:t>0.006</w:t>
            </w:r>
          </w:p>
        </w:tc>
        <w:tc>
          <w:tcPr>
            <w:tcW w:w="1311" w:type="pct"/>
            <w:vMerge w:val="restart"/>
            <w:vAlign w:val="center"/>
          </w:tcPr>
          <w:p w14:paraId="55EE6196">
            <w:pPr>
              <w:pStyle w:val="19"/>
              <w:bidi w:val="0"/>
              <w:rPr>
                <w:rFonts w:hint="default"/>
                <w:highlight w:val="none"/>
                <w:lang w:val="en-US" w:eastAsia="zh-CN"/>
              </w:rPr>
            </w:pPr>
            <w:r>
              <w:rPr>
                <w:rFonts w:hint="default"/>
                <w:highlight w:val="none"/>
              </w:rPr>
              <w:t>添加物理吸附剂、喷洒除臭剂</w:t>
            </w:r>
          </w:p>
        </w:tc>
        <w:tc>
          <w:tcPr>
            <w:tcW w:w="519" w:type="pct"/>
            <w:vAlign w:val="center"/>
          </w:tcPr>
          <w:p w14:paraId="1B5B2EED">
            <w:pPr>
              <w:pStyle w:val="19"/>
              <w:bidi w:val="0"/>
              <w:ind w:firstLine="0" w:firstLineChars="0"/>
              <w:rPr>
                <w:rFonts w:hint="default"/>
                <w:highlight w:val="none"/>
                <w:lang w:val="en-US"/>
              </w:rPr>
            </w:pPr>
            <w:r>
              <w:rPr>
                <w:rFonts w:hint="eastAsia"/>
                <w:lang w:val="en-US" w:eastAsia="zh-CN"/>
              </w:rPr>
              <w:t>0.053</w:t>
            </w:r>
          </w:p>
        </w:tc>
        <w:tc>
          <w:tcPr>
            <w:tcW w:w="624" w:type="pct"/>
            <w:vAlign w:val="center"/>
          </w:tcPr>
          <w:p w14:paraId="49C88A8B">
            <w:pPr>
              <w:pStyle w:val="19"/>
              <w:bidi w:val="0"/>
              <w:ind w:firstLine="0" w:firstLineChars="0"/>
              <w:rPr>
                <w:rFonts w:hint="default"/>
                <w:highlight w:val="none"/>
              </w:rPr>
            </w:pPr>
            <w:r>
              <w:rPr>
                <w:rFonts w:hint="eastAsia"/>
                <w:lang w:val="en-US" w:eastAsia="zh-CN"/>
              </w:rPr>
              <w:t>0.006</w:t>
            </w:r>
          </w:p>
        </w:tc>
      </w:tr>
      <w:tr w14:paraId="6838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3584DBEB">
            <w:pPr>
              <w:pStyle w:val="19"/>
              <w:bidi w:val="0"/>
              <w:rPr>
                <w:highlight w:val="none"/>
              </w:rPr>
            </w:pPr>
          </w:p>
        </w:tc>
        <w:tc>
          <w:tcPr>
            <w:tcW w:w="404" w:type="pct"/>
            <w:vMerge w:val="continue"/>
            <w:vAlign w:val="center"/>
          </w:tcPr>
          <w:p w14:paraId="40453581">
            <w:pPr>
              <w:pStyle w:val="19"/>
              <w:bidi w:val="0"/>
              <w:rPr>
                <w:highlight w:val="none"/>
              </w:rPr>
            </w:pPr>
          </w:p>
        </w:tc>
        <w:tc>
          <w:tcPr>
            <w:tcW w:w="492" w:type="pct"/>
            <w:vAlign w:val="center"/>
          </w:tcPr>
          <w:p w14:paraId="5E45F28B">
            <w:pPr>
              <w:pStyle w:val="19"/>
              <w:bidi w:val="0"/>
              <w:ind w:firstLine="0" w:firstLineChars="0"/>
              <w:rPr>
                <w:highlight w:val="none"/>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196E48D3">
            <w:pPr>
              <w:pStyle w:val="19"/>
              <w:bidi w:val="0"/>
              <w:ind w:firstLine="0" w:firstLineChars="0"/>
              <w:rPr>
                <w:rFonts w:hint="default" w:eastAsia="宋体"/>
                <w:highlight w:val="none"/>
                <w:lang w:val="en-US" w:eastAsia="zh-CN"/>
              </w:rPr>
            </w:pPr>
            <w:r>
              <w:rPr>
                <w:rFonts w:hint="eastAsia"/>
                <w:lang w:val="en-US" w:eastAsia="zh-CN"/>
              </w:rPr>
              <w:t>0.005</w:t>
            </w:r>
          </w:p>
        </w:tc>
        <w:tc>
          <w:tcPr>
            <w:tcW w:w="607" w:type="pct"/>
            <w:vAlign w:val="center"/>
          </w:tcPr>
          <w:p w14:paraId="460B35EA">
            <w:pPr>
              <w:pStyle w:val="19"/>
              <w:bidi w:val="0"/>
              <w:ind w:firstLine="0" w:firstLineChars="0"/>
              <w:rPr>
                <w:rFonts w:hint="default"/>
                <w:highlight w:val="none"/>
                <w:lang w:val="en-US" w:eastAsia="zh-CN"/>
              </w:rPr>
            </w:pPr>
            <w:r>
              <w:rPr>
                <w:rFonts w:hint="eastAsia"/>
                <w:lang w:val="en-US" w:eastAsia="zh-CN"/>
              </w:rPr>
              <w:t>0.0006</w:t>
            </w:r>
          </w:p>
        </w:tc>
        <w:tc>
          <w:tcPr>
            <w:tcW w:w="1311" w:type="pct"/>
            <w:vMerge w:val="continue"/>
            <w:vAlign w:val="center"/>
          </w:tcPr>
          <w:p w14:paraId="3F0E19F7">
            <w:pPr>
              <w:pStyle w:val="19"/>
              <w:bidi w:val="0"/>
              <w:rPr>
                <w:highlight w:val="none"/>
                <w:lang w:eastAsia="zh-TW"/>
              </w:rPr>
            </w:pPr>
          </w:p>
        </w:tc>
        <w:tc>
          <w:tcPr>
            <w:tcW w:w="519" w:type="pct"/>
            <w:vAlign w:val="center"/>
          </w:tcPr>
          <w:p w14:paraId="0FB00077">
            <w:pPr>
              <w:pStyle w:val="19"/>
              <w:bidi w:val="0"/>
              <w:ind w:firstLine="0" w:firstLineChars="0"/>
              <w:rPr>
                <w:rFonts w:hint="default"/>
                <w:highlight w:val="none"/>
                <w:lang w:val="en-US" w:eastAsia="zh-CN"/>
              </w:rPr>
            </w:pPr>
            <w:r>
              <w:rPr>
                <w:rFonts w:hint="eastAsia"/>
                <w:lang w:val="en-US" w:eastAsia="zh-CN"/>
              </w:rPr>
              <w:t>0.005</w:t>
            </w:r>
          </w:p>
        </w:tc>
        <w:tc>
          <w:tcPr>
            <w:tcW w:w="624" w:type="pct"/>
            <w:vAlign w:val="center"/>
          </w:tcPr>
          <w:p w14:paraId="02E0C07B">
            <w:pPr>
              <w:pStyle w:val="19"/>
              <w:bidi w:val="0"/>
              <w:ind w:firstLine="0" w:firstLineChars="0"/>
              <w:rPr>
                <w:rFonts w:hint="default"/>
                <w:highlight w:val="none"/>
              </w:rPr>
            </w:pPr>
            <w:r>
              <w:rPr>
                <w:rFonts w:hint="eastAsia"/>
                <w:lang w:val="en-US" w:eastAsia="zh-CN"/>
              </w:rPr>
              <w:t>0.0006</w:t>
            </w:r>
          </w:p>
        </w:tc>
      </w:tr>
      <w:tr w14:paraId="3163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restart"/>
            <w:vAlign w:val="center"/>
          </w:tcPr>
          <w:p w14:paraId="745CB130">
            <w:pPr>
              <w:pStyle w:val="19"/>
              <w:bidi w:val="0"/>
              <w:rPr>
                <w:rFonts w:hint="default"/>
                <w:highlight w:val="yellow"/>
                <w:lang w:val="en-US" w:eastAsia="zh-CN"/>
              </w:rPr>
            </w:pPr>
            <w:r>
              <w:rPr>
                <w:rFonts w:hint="eastAsia"/>
                <w:highlight w:val="none"/>
                <w:lang w:val="en-US" w:eastAsia="zh-CN"/>
              </w:rPr>
              <w:t>污水处理系统</w:t>
            </w:r>
            <w:r>
              <w:rPr>
                <w:rFonts w:hint="default"/>
                <w:highlight w:val="none"/>
                <w:lang w:val="en-US" w:eastAsia="zh-CN"/>
              </w:rPr>
              <w:t>恶臭</w:t>
            </w:r>
            <w:r>
              <w:rPr>
                <w:rFonts w:hint="eastAsia"/>
                <w:highlight w:val="none"/>
                <w:lang w:val="en-US" w:eastAsia="zh-CN"/>
              </w:rPr>
              <w:t>废气G3</w:t>
            </w:r>
          </w:p>
        </w:tc>
        <w:tc>
          <w:tcPr>
            <w:tcW w:w="404" w:type="pct"/>
            <w:vMerge w:val="restart"/>
            <w:vAlign w:val="center"/>
          </w:tcPr>
          <w:p w14:paraId="2AE807D6">
            <w:pPr>
              <w:pStyle w:val="19"/>
              <w:bidi w:val="0"/>
              <w:rPr>
                <w:highlight w:val="none"/>
              </w:rPr>
            </w:pPr>
            <w:r>
              <w:rPr>
                <w:rFonts w:hint="default"/>
                <w:highlight w:val="none"/>
              </w:rPr>
              <w:t>无组织</w:t>
            </w:r>
          </w:p>
        </w:tc>
        <w:tc>
          <w:tcPr>
            <w:tcW w:w="492" w:type="pct"/>
            <w:vAlign w:val="center"/>
          </w:tcPr>
          <w:p w14:paraId="501EF72C">
            <w:pPr>
              <w:pStyle w:val="19"/>
              <w:bidi w:val="0"/>
              <w:ind w:firstLine="0" w:firstLineChars="0"/>
              <w:rPr>
                <w:highlight w:val="none"/>
              </w:rPr>
            </w:pPr>
            <w:r>
              <w:rPr>
                <w:rFonts w:hint="default"/>
                <w:highlight w:val="none"/>
              </w:rPr>
              <w:t>NH</w:t>
            </w:r>
            <w:r>
              <w:rPr>
                <w:rFonts w:hint="default"/>
                <w:highlight w:val="none"/>
                <w:vertAlign w:val="subscript"/>
              </w:rPr>
              <w:t>3</w:t>
            </w:r>
          </w:p>
        </w:tc>
        <w:tc>
          <w:tcPr>
            <w:tcW w:w="510" w:type="pct"/>
            <w:vAlign w:val="center"/>
          </w:tcPr>
          <w:p w14:paraId="373342A1">
            <w:pPr>
              <w:pStyle w:val="19"/>
              <w:bidi w:val="0"/>
              <w:ind w:firstLine="0" w:firstLineChars="0"/>
              <w:rPr>
                <w:rFonts w:hint="default" w:eastAsia="宋体"/>
                <w:highlight w:val="none"/>
                <w:lang w:val="en-US" w:eastAsia="zh-CN"/>
              </w:rPr>
            </w:pPr>
            <w:r>
              <w:rPr>
                <w:rFonts w:hint="eastAsia"/>
                <w:lang w:val="en-US" w:eastAsia="zh-CN"/>
              </w:rPr>
              <w:t>0.147</w:t>
            </w:r>
          </w:p>
        </w:tc>
        <w:tc>
          <w:tcPr>
            <w:tcW w:w="607" w:type="pct"/>
            <w:vAlign w:val="center"/>
          </w:tcPr>
          <w:p w14:paraId="11BDA820">
            <w:pPr>
              <w:pStyle w:val="19"/>
              <w:bidi w:val="0"/>
              <w:ind w:firstLine="0" w:firstLineChars="0"/>
              <w:rPr>
                <w:rFonts w:hint="default"/>
                <w:highlight w:val="none"/>
                <w:lang w:val="en-US"/>
              </w:rPr>
            </w:pPr>
            <w:r>
              <w:rPr>
                <w:rFonts w:hint="eastAsia"/>
                <w:lang w:val="en-US" w:eastAsia="zh-CN"/>
              </w:rPr>
              <w:t>0.017</w:t>
            </w:r>
          </w:p>
        </w:tc>
        <w:tc>
          <w:tcPr>
            <w:tcW w:w="1311" w:type="pct"/>
            <w:vMerge w:val="restart"/>
            <w:vAlign w:val="center"/>
          </w:tcPr>
          <w:p w14:paraId="601904A2">
            <w:pPr>
              <w:pStyle w:val="19"/>
              <w:bidi w:val="0"/>
              <w:rPr>
                <w:highlight w:val="none"/>
              </w:rPr>
            </w:pPr>
            <w:r>
              <w:rPr>
                <w:rFonts w:hint="eastAsia"/>
                <w:highlight w:val="none"/>
                <w:lang w:val="en-US" w:eastAsia="zh-CN"/>
              </w:rPr>
              <w:t>收集池</w:t>
            </w:r>
            <w:r>
              <w:rPr>
                <w:rFonts w:hint="eastAsia"/>
                <w:highlight w:val="none"/>
              </w:rPr>
              <w:t>加盖密闭、</w:t>
            </w:r>
            <w:r>
              <w:rPr>
                <w:rFonts w:hint="eastAsia"/>
                <w:highlight w:val="none"/>
                <w:lang w:val="en-US" w:eastAsia="zh-CN"/>
              </w:rPr>
              <w:t>1号粪污处理池</w:t>
            </w:r>
            <w:r>
              <w:rPr>
                <w:rFonts w:hint="eastAsia"/>
                <w:highlight w:val="none"/>
              </w:rPr>
              <w:t>外围定期喷洒除臭剂、厂区绿化</w:t>
            </w:r>
          </w:p>
        </w:tc>
        <w:tc>
          <w:tcPr>
            <w:tcW w:w="519" w:type="pct"/>
            <w:vAlign w:val="center"/>
          </w:tcPr>
          <w:p w14:paraId="26A6B231">
            <w:pPr>
              <w:pStyle w:val="19"/>
              <w:bidi w:val="0"/>
              <w:ind w:firstLine="0" w:firstLineChars="0"/>
              <w:rPr>
                <w:rFonts w:hint="default"/>
                <w:highlight w:val="none"/>
                <w:lang w:val="en-US"/>
              </w:rPr>
            </w:pPr>
            <w:r>
              <w:rPr>
                <w:rFonts w:hint="eastAsia"/>
                <w:lang w:val="en-US" w:eastAsia="zh-CN"/>
              </w:rPr>
              <w:t>0.022</w:t>
            </w:r>
          </w:p>
        </w:tc>
        <w:tc>
          <w:tcPr>
            <w:tcW w:w="624" w:type="pct"/>
            <w:vAlign w:val="center"/>
          </w:tcPr>
          <w:p w14:paraId="393F3625">
            <w:pPr>
              <w:pStyle w:val="19"/>
              <w:bidi w:val="0"/>
              <w:ind w:firstLine="0" w:firstLineChars="0"/>
              <w:rPr>
                <w:rFonts w:hint="eastAsia"/>
                <w:highlight w:val="none"/>
                <w:lang w:val="en-US" w:eastAsia="zh-CN"/>
              </w:rPr>
            </w:pPr>
            <w:r>
              <w:rPr>
                <w:rFonts w:hint="eastAsia"/>
                <w:lang w:val="en-US" w:eastAsia="zh-CN"/>
              </w:rPr>
              <w:t>0.003</w:t>
            </w:r>
          </w:p>
        </w:tc>
      </w:tr>
      <w:tr w14:paraId="13DE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487A2B78">
            <w:pPr>
              <w:pStyle w:val="19"/>
              <w:bidi w:val="0"/>
              <w:rPr>
                <w:highlight w:val="yellow"/>
              </w:rPr>
            </w:pPr>
          </w:p>
        </w:tc>
        <w:tc>
          <w:tcPr>
            <w:tcW w:w="404" w:type="pct"/>
            <w:vMerge w:val="continue"/>
            <w:vAlign w:val="center"/>
          </w:tcPr>
          <w:p w14:paraId="279F6B4A">
            <w:pPr>
              <w:pStyle w:val="19"/>
              <w:bidi w:val="0"/>
              <w:rPr>
                <w:highlight w:val="none"/>
              </w:rPr>
            </w:pPr>
          </w:p>
        </w:tc>
        <w:tc>
          <w:tcPr>
            <w:tcW w:w="492" w:type="pct"/>
            <w:vAlign w:val="center"/>
          </w:tcPr>
          <w:p w14:paraId="03B93F2E">
            <w:pPr>
              <w:pStyle w:val="19"/>
              <w:bidi w:val="0"/>
              <w:ind w:firstLine="0" w:firstLineChars="0"/>
              <w:rPr>
                <w:highlight w:val="none"/>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016C2382">
            <w:pPr>
              <w:pStyle w:val="19"/>
              <w:bidi w:val="0"/>
              <w:ind w:firstLine="0" w:firstLineChars="0"/>
              <w:rPr>
                <w:rFonts w:hint="default" w:eastAsia="宋体"/>
                <w:highlight w:val="none"/>
                <w:lang w:val="en-US" w:eastAsia="zh-CN"/>
              </w:rPr>
            </w:pPr>
            <w:r>
              <w:rPr>
                <w:rFonts w:hint="eastAsia"/>
                <w:lang w:val="en-US" w:eastAsia="zh-CN"/>
              </w:rPr>
              <w:t>0.006</w:t>
            </w:r>
          </w:p>
        </w:tc>
        <w:tc>
          <w:tcPr>
            <w:tcW w:w="607" w:type="pct"/>
            <w:vAlign w:val="center"/>
          </w:tcPr>
          <w:p w14:paraId="71D52657">
            <w:pPr>
              <w:pStyle w:val="19"/>
              <w:bidi w:val="0"/>
              <w:ind w:firstLine="0" w:firstLineChars="0"/>
              <w:rPr>
                <w:highlight w:val="none"/>
              </w:rPr>
            </w:pPr>
            <w:r>
              <w:rPr>
                <w:rFonts w:hint="eastAsia"/>
                <w:vertAlign w:val="baseline"/>
                <w:lang w:val="en-US" w:eastAsia="zh-CN"/>
              </w:rPr>
              <w:t>0.007</w:t>
            </w:r>
          </w:p>
        </w:tc>
        <w:tc>
          <w:tcPr>
            <w:tcW w:w="1311" w:type="pct"/>
            <w:vMerge w:val="continue"/>
            <w:vAlign w:val="center"/>
          </w:tcPr>
          <w:p w14:paraId="4B5B0728">
            <w:pPr>
              <w:pStyle w:val="19"/>
              <w:bidi w:val="0"/>
              <w:rPr>
                <w:highlight w:val="none"/>
                <w:lang w:eastAsia="zh-TW"/>
              </w:rPr>
            </w:pPr>
          </w:p>
        </w:tc>
        <w:tc>
          <w:tcPr>
            <w:tcW w:w="519" w:type="pct"/>
            <w:vAlign w:val="center"/>
          </w:tcPr>
          <w:p w14:paraId="4D806387">
            <w:pPr>
              <w:pStyle w:val="19"/>
              <w:bidi w:val="0"/>
              <w:ind w:firstLine="0" w:firstLineChars="0"/>
              <w:rPr>
                <w:rFonts w:hint="default"/>
                <w:highlight w:val="none"/>
                <w:lang w:val="en-US"/>
              </w:rPr>
            </w:pPr>
            <w:r>
              <w:rPr>
                <w:rFonts w:hint="eastAsia"/>
                <w:lang w:val="en-US" w:eastAsia="zh-CN"/>
              </w:rPr>
              <w:t>0.001</w:t>
            </w:r>
          </w:p>
        </w:tc>
        <w:tc>
          <w:tcPr>
            <w:tcW w:w="624" w:type="pct"/>
            <w:vAlign w:val="center"/>
          </w:tcPr>
          <w:p w14:paraId="2467D5E6">
            <w:pPr>
              <w:pStyle w:val="19"/>
              <w:bidi w:val="0"/>
              <w:ind w:firstLine="0" w:firstLineChars="0"/>
              <w:rPr>
                <w:rFonts w:hint="eastAsia"/>
                <w:highlight w:val="none"/>
                <w:lang w:val="en-US" w:eastAsia="zh-CN"/>
              </w:rPr>
            </w:pPr>
            <w:r>
              <w:rPr>
                <w:rFonts w:hint="eastAsia"/>
                <w:lang w:val="en-US" w:eastAsia="zh-CN"/>
              </w:rPr>
              <w:t>0.001</w:t>
            </w:r>
          </w:p>
        </w:tc>
      </w:tr>
      <w:tr w14:paraId="7EB0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9" w:type="pct"/>
            <w:vMerge w:val="restart"/>
            <w:vAlign w:val="center"/>
          </w:tcPr>
          <w:p w14:paraId="119C5887">
            <w:pPr>
              <w:pStyle w:val="19"/>
              <w:bidi w:val="0"/>
              <w:rPr>
                <w:rFonts w:hint="default"/>
                <w:highlight w:val="none"/>
                <w:lang w:val="en-US" w:eastAsia="zh-CN"/>
              </w:rPr>
            </w:pPr>
            <w:r>
              <w:rPr>
                <w:rFonts w:hint="default"/>
                <w:highlight w:val="none"/>
                <w:lang w:val="en-US" w:eastAsia="zh-CN"/>
              </w:rPr>
              <w:t>干湿气分离</w:t>
            </w:r>
            <w:r>
              <w:rPr>
                <w:rFonts w:hint="eastAsia"/>
                <w:highlight w:val="none"/>
                <w:lang w:val="en-US" w:eastAsia="zh-CN"/>
              </w:rPr>
              <w:t>房</w:t>
            </w:r>
            <w:r>
              <w:rPr>
                <w:rFonts w:hint="default"/>
                <w:highlight w:val="none"/>
                <w:lang w:val="en-US" w:eastAsia="zh-CN"/>
              </w:rPr>
              <w:t>恶臭</w:t>
            </w:r>
            <w:r>
              <w:rPr>
                <w:rFonts w:hint="eastAsia"/>
                <w:highlight w:val="none"/>
                <w:lang w:val="en-US" w:eastAsia="zh-CN"/>
              </w:rPr>
              <w:t>G4</w:t>
            </w:r>
          </w:p>
        </w:tc>
        <w:tc>
          <w:tcPr>
            <w:tcW w:w="404" w:type="pct"/>
            <w:vMerge w:val="restart"/>
            <w:vAlign w:val="center"/>
          </w:tcPr>
          <w:p w14:paraId="0BCE6BD0">
            <w:pPr>
              <w:pStyle w:val="19"/>
              <w:bidi w:val="0"/>
              <w:rPr>
                <w:highlight w:val="none"/>
              </w:rPr>
            </w:pPr>
            <w:r>
              <w:rPr>
                <w:rFonts w:hint="default"/>
                <w:highlight w:val="none"/>
                <w:lang w:val="en-US" w:eastAsia="zh-CN"/>
              </w:rPr>
              <w:t>无</w:t>
            </w:r>
            <w:r>
              <w:rPr>
                <w:rFonts w:hint="default"/>
                <w:highlight w:val="none"/>
              </w:rPr>
              <w:t>组织</w:t>
            </w:r>
          </w:p>
        </w:tc>
        <w:tc>
          <w:tcPr>
            <w:tcW w:w="492" w:type="pct"/>
            <w:vAlign w:val="center"/>
          </w:tcPr>
          <w:p w14:paraId="0D261ED5">
            <w:pPr>
              <w:pStyle w:val="19"/>
              <w:bidi w:val="0"/>
              <w:ind w:firstLine="0" w:firstLineChars="0"/>
              <w:rPr>
                <w:highlight w:val="none"/>
              </w:rPr>
            </w:pPr>
            <w:r>
              <w:rPr>
                <w:rFonts w:hint="default"/>
                <w:highlight w:val="none"/>
              </w:rPr>
              <w:t>NH</w:t>
            </w:r>
            <w:r>
              <w:rPr>
                <w:rFonts w:hint="default"/>
                <w:highlight w:val="none"/>
                <w:vertAlign w:val="subscript"/>
              </w:rPr>
              <w:t>3</w:t>
            </w:r>
          </w:p>
        </w:tc>
        <w:tc>
          <w:tcPr>
            <w:tcW w:w="510" w:type="pct"/>
            <w:vAlign w:val="center"/>
          </w:tcPr>
          <w:p w14:paraId="566168B4">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0.06</w:t>
            </w:r>
          </w:p>
        </w:tc>
        <w:tc>
          <w:tcPr>
            <w:tcW w:w="607" w:type="pct"/>
            <w:vAlign w:val="center"/>
          </w:tcPr>
          <w:p w14:paraId="0D08B076">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0.006</w:t>
            </w:r>
          </w:p>
        </w:tc>
        <w:tc>
          <w:tcPr>
            <w:tcW w:w="1311" w:type="pct"/>
            <w:vMerge w:val="restart"/>
            <w:vAlign w:val="center"/>
          </w:tcPr>
          <w:p w14:paraId="68B7DAC6">
            <w:pPr>
              <w:pStyle w:val="19"/>
              <w:bidi w:val="0"/>
              <w:rPr>
                <w:highlight w:val="none"/>
              </w:rPr>
            </w:pPr>
            <w:r>
              <w:rPr>
                <w:rFonts w:hint="default"/>
                <w:highlight w:val="none"/>
                <w:lang w:val="en-US" w:eastAsia="zh-CN"/>
              </w:rPr>
              <w:t>密闭、喷洒除臭剂</w:t>
            </w:r>
          </w:p>
        </w:tc>
        <w:tc>
          <w:tcPr>
            <w:tcW w:w="519" w:type="pct"/>
            <w:vAlign w:val="center"/>
          </w:tcPr>
          <w:p w14:paraId="1CD1CEBD">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0.018</w:t>
            </w:r>
          </w:p>
        </w:tc>
        <w:tc>
          <w:tcPr>
            <w:tcW w:w="624" w:type="pct"/>
            <w:vAlign w:val="center"/>
          </w:tcPr>
          <w:p w14:paraId="5E0D90B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0.0018</w:t>
            </w:r>
          </w:p>
        </w:tc>
      </w:tr>
      <w:tr w14:paraId="7F91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29" w:type="pct"/>
            <w:vMerge w:val="continue"/>
            <w:vAlign w:val="center"/>
          </w:tcPr>
          <w:p w14:paraId="309FCE27">
            <w:pPr>
              <w:pStyle w:val="19"/>
              <w:bidi w:val="0"/>
              <w:rPr>
                <w:highlight w:val="none"/>
              </w:rPr>
            </w:pPr>
          </w:p>
        </w:tc>
        <w:tc>
          <w:tcPr>
            <w:tcW w:w="404" w:type="pct"/>
            <w:vMerge w:val="continue"/>
            <w:vAlign w:val="center"/>
          </w:tcPr>
          <w:p w14:paraId="4857847E">
            <w:pPr>
              <w:pStyle w:val="19"/>
              <w:bidi w:val="0"/>
              <w:rPr>
                <w:highlight w:val="none"/>
              </w:rPr>
            </w:pPr>
          </w:p>
        </w:tc>
        <w:tc>
          <w:tcPr>
            <w:tcW w:w="492" w:type="pct"/>
            <w:vAlign w:val="center"/>
          </w:tcPr>
          <w:p w14:paraId="3682F59A">
            <w:pPr>
              <w:pStyle w:val="19"/>
              <w:bidi w:val="0"/>
              <w:ind w:firstLine="0" w:firstLineChars="0"/>
              <w:rPr>
                <w:highlight w:val="none"/>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18D6355B">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0.003</w:t>
            </w:r>
          </w:p>
        </w:tc>
        <w:tc>
          <w:tcPr>
            <w:tcW w:w="607" w:type="pct"/>
            <w:vAlign w:val="center"/>
          </w:tcPr>
          <w:p w14:paraId="69989852">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0.0004</w:t>
            </w:r>
          </w:p>
        </w:tc>
        <w:tc>
          <w:tcPr>
            <w:tcW w:w="1311" w:type="pct"/>
            <w:vMerge w:val="continue"/>
            <w:vAlign w:val="center"/>
          </w:tcPr>
          <w:p w14:paraId="5C3AAC66">
            <w:pPr>
              <w:pStyle w:val="19"/>
              <w:bidi w:val="0"/>
              <w:rPr>
                <w:highlight w:val="none"/>
                <w:lang w:eastAsia="zh-TW"/>
              </w:rPr>
            </w:pPr>
          </w:p>
        </w:tc>
        <w:tc>
          <w:tcPr>
            <w:tcW w:w="519" w:type="pct"/>
            <w:vAlign w:val="center"/>
          </w:tcPr>
          <w:p w14:paraId="70B13CEE">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0.0009</w:t>
            </w:r>
          </w:p>
        </w:tc>
        <w:tc>
          <w:tcPr>
            <w:tcW w:w="624" w:type="pct"/>
            <w:vAlign w:val="center"/>
          </w:tcPr>
          <w:p w14:paraId="022C93AF">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0.00012</w:t>
            </w:r>
          </w:p>
        </w:tc>
      </w:tr>
      <w:tr w14:paraId="2EA4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34" w:type="pct"/>
            <w:gridSpan w:val="2"/>
            <w:vMerge w:val="restart"/>
            <w:vAlign w:val="center"/>
          </w:tcPr>
          <w:p w14:paraId="1208EF5F">
            <w:pPr>
              <w:pStyle w:val="19"/>
              <w:bidi w:val="0"/>
              <w:rPr>
                <w:highlight w:val="none"/>
              </w:rPr>
            </w:pPr>
            <w:r>
              <w:rPr>
                <w:rFonts w:hint="eastAsia"/>
                <w:highlight w:val="none"/>
                <w:lang w:val="en-US" w:eastAsia="zh-CN"/>
              </w:rPr>
              <w:t>合计</w:t>
            </w:r>
          </w:p>
        </w:tc>
        <w:tc>
          <w:tcPr>
            <w:tcW w:w="492" w:type="pct"/>
            <w:vAlign w:val="center"/>
          </w:tcPr>
          <w:p w14:paraId="67DE5F33">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default"/>
                <w:highlight w:val="none"/>
              </w:rPr>
              <w:t>NH</w:t>
            </w:r>
            <w:r>
              <w:rPr>
                <w:rFonts w:hint="default"/>
                <w:highlight w:val="none"/>
                <w:vertAlign w:val="subscript"/>
              </w:rPr>
              <w:t>3</w:t>
            </w:r>
          </w:p>
        </w:tc>
        <w:tc>
          <w:tcPr>
            <w:tcW w:w="510" w:type="pct"/>
            <w:vAlign w:val="center"/>
          </w:tcPr>
          <w:p w14:paraId="7AAD3609">
            <w:pPr>
              <w:pStyle w:val="19"/>
              <w:bidi w:val="0"/>
              <w:rPr>
                <w:rFonts w:hint="default"/>
                <w:highlight w:val="none"/>
                <w:lang w:val="en-US" w:eastAsia="zh-CN"/>
              </w:rPr>
            </w:pPr>
            <w:r>
              <w:rPr>
                <w:rFonts w:hint="eastAsia"/>
                <w:highlight w:val="none"/>
                <w:lang w:val="en-US" w:eastAsia="zh-CN"/>
              </w:rPr>
              <w:t>27.735</w:t>
            </w:r>
          </w:p>
        </w:tc>
        <w:tc>
          <w:tcPr>
            <w:tcW w:w="607" w:type="pct"/>
            <w:vAlign w:val="center"/>
          </w:tcPr>
          <w:p w14:paraId="40BFDD2A">
            <w:pPr>
              <w:pStyle w:val="19"/>
              <w:bidi w:val="0"/>
              <w:rPr>
                <w:rFonts w:hint="default"/>
                <w:highlight w:val="none"/>
                <w:lang w:val="en-US" w:eastAsia="zh-CN"/>
              </w:rPr>
            </w:pPr>
            <w:r>
              <w:rPr>
                <w:rFonts w:hint="eastAsia"/>
                <w:highlight w:val="none"/>
                <w:lang w:val="en-US" w:eastAsia="zh-CN"/>
              </w:rPr>
              <w:t>0.405</w:t>
            </w:r>
          </w:p>
        </w:tc>
        <w:tc>
          <w:tcPr>
            <w:tcW w:w="1311" w:type="pct"/>
            <w:vMerge w:val="restart"/>
            <w:vAlign w:val="center"/>
          </w:tcPr>
          <w:p w14:paraId="4AE1A0A6">
            <w:pPr>
              <w:pStyle w:val="19"/>
              <w:bidi w:val="0"/>
              <w:rPr>
                <w:rFonts w:hint="default" w:eastAsia="宋体"/>
                <w:highlight w:val="none"/>
                <w:lang w:val="en-US" w:eastAsia="zh-CN"/>
              </w:rPr>
            </w:pPr>
            <w:r>
              <w:rPr>
                <w:rFonts w:hint="eastAsia"/>
                <w:highlight w:val="none"/>
                <w:lang w:val="en-US" w:eastAsia="zh-CN"/>
              </w:rPr>
              <w:t>喷洒除臭剂等</w:t>
            </w:r>
          </w:p>
        </w:tc>
        <w:tc>
          <w:tcPr>
            <w:tcW w:w="519" w:type="pct"/>
            <w:vAlign w:val="center"/>
          </w:tcPr>
          <w:p w14:paraId="61883E1A">
            <w:pPr>
              <w:pStyle w:val="19"/>
              <w:bidi w:val="0"/>
              <w:rPr>
                <w:rFonts w:hint="default"/>
                <w:highlight w:val="none"/>
                <w:lang w:val="en-US" w:eastAsia="zh-CN"/>
              </w:rPr>
            </w:pPr>
            <w:r>
              <w:rPr>
                <w:rFonts w:hint="eastAsia"/>
                <w:highlight w:val="none"/>
                <w:lang w:val="en-US" w:eastAsia="zh-CN"/>
              </w:rPr>
              <w:t>2.838</w:t>
            </w:r>
          </w:p>
        </w:tc>
        <w:tc>
          <w:tcPr>
            <w:tcW w:w="624" w:type="pct"/>
            <w:vAlign w:val="center"/>
          </w:tcPr>
          <w:p w14:paraId="0914CEB9">
            <w:pPr>
              <w:pStyle w:val="19"/>
              <w:bidi w:val="0"/>
              <w:rPr>
                <w:rFonts w:hint="default"/>
                <w:highlight w:val="none"/>
                <w:lang w:val="en-US" w:eastAsia="zh-CN"/>
              </w:rPr>
            </w:pPr>
            <w:r>
              <w:rPr>
                <w:rFonts w:hint="eastAsia"/>
                <w:highlight w:val="none"/>
                <w:lang w:val="en-US" w:eastAsia="zh-CN"/>
              </w:rPr>
              <w:t>0.392</w:t>
            </w:r>
          </w:p>
        </w:tc>
      </w:tr>
      <w:tr w14:paraId="7AB8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34" w:type="pct"/>
            <w:gridSpan w:val="2"/>
            <w:vMerge w:val="continue"/>
            <w:vAlign w:val="center"/>
          </w:tcPr>
          <w:p w14:paraId="71A5C994">
            <w:pPr>
              <w:pStyle w:val="19"/>
              <w:bidi w:val="0"/>
              <w:rPr>
                <w:highlight w:val="none"/>
              </w:rPr>
            </w:pPr>
          </w:p>
        </w:tc>
        <w:tc>
          <w:tcPr>
            <w:tcW w:w="492" w:type="pct"/>
            <w:vAlign w:val="center"/>
          </w:tcPr>
          <w:p w14:paraId="6C612931">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default"/>
                <w:highlight w:val="none"/>
              </w:rPr>
              <w:t>H</w:t>
            </w:r>
            <w:r>
              <w:rPr>
                <w:rFonts w:hint="default"/>
                <w:highlight w:val="none"/>
                <w:vertAlign w:val="subscript"/>
              </w:rPr>
              <w:t>2</w:t>
            </w:r>
            <w:r>
              <w:rPr>
                <w:rFonts w:hint="default"/>
                <w:highlight w:val="none"/>
              </w:rPr>
              <w:t>S</w:t>
            </w:r>
          </w:p>
        </w:tc>
        <w:tc>
          <w:tcPr>
            <w:tcW w:w="510" w:type="pct"/>
            <w:vAlign w:val="center"/>
          </w:tcPr>
          <w:p w14:paraId="4CFBD1E0">
            <w:pPr>
              <w:pStyle w:val="19"/>
              <w:bidi w:val="0"/>
              <w:rPr>
                <w:rFonts w:hint="default"/>
                <w:highlight w:val="none"/>
                <w:lang w:val="en-US" w:eastAsia="zh-CN"/>
              </w:rPr>
            </w:pPr>
            <w:r>
              <w:rPr>
                <w:rFonts w:hint="eastAsia"/>
                <w:highlight w:val="none"/>
                <w:lang w:val="en-US" w:eastAsia="zh-CN"/>
              </w:rPr>
              <w:t>2.919</w:t>
            </w:r>
          </w:p>
        </w:tc>
        <w:tc>
          <w:tcPr>
            <w:tcW w:w="607" w:type="pct"/>
            <w:vAlign w:val="center"/>
          </w:tcPr>
          <w:p w14:paraId="5A6CEA61">
            <w:pPr>
              <w:pStyle w:val="19"/>
              <w:bidi w:val="0"/>
              <w:rPr>
                <w:rFonts w:hint="default"/>
                <w:highlight w:val="none"/>
                <w:lang w:val="en-US" w:eastAsia="zh-CN"/>
              </w:rPr>
            </w:pPr>
            <w:r>
              <w:rPr>
                <w:rFonts w:hint="eastAsia"/>
                <w:highlight w:val="none"/>
                <w:lang w:val="en-US" w:eastAsia="zh-CN"/>
              </w:rPr>
              <w:t>3.845</w:t>
            </w:r>
          </w:p>
        </w:tc>
        <w:tc>
          <w:tcPr>
            <w:tcW w:w="1311" w:type="pct"/>
            <w:vMerge w:val="continue"/>
            <w:vAlign w:val="center"/>
          </w:tcPr>
          <w:p w14:paraId="66053CA7">
            <w:pPr>
              <w:pStyle w:val="19"/>
              <w:bidi w:val="0"/>
              <w:rPr>
                <w:highlight w:val="none"/>
                <w:lang w:eastAsia="zh-TW"/>
              </w:rPr>
            </w:pPr>
          </w:p>
        </w:tc>
        <w:tc>
          <w:tcPr>
            <w:tcW w:w="519" w:type="pct"/>
            <w:vAlign w:val="center"/>
          </w:tcPr>
          <w:p w14:paraId="34159EA8">
            <w:pPr>
              <w:pStyle w:val="19"/>
              <w:bidi w:val="0"/>
              <w:rPr>
                <w:rFonts w:hint="default"/>
                <w:highlight w:val="none"/>
                <w:lang w:val="en-US" w:eastAsia="zh-CN"/>
              </w:rPr>
            </w:pPr>
            <w:r>
              <w:rPr>
                <w:rFonts w:hint="eastAsia"/>
                <w:highlight w:val="none"/>
                <w:lang w:val="en-US" w:eastAsia="zh-CN"/>
              </w:rPr>
              <w:t>0.297</w:t>
            </w:r>
          </w:p>
        </w:tc>
        <w:tc>
          <w:tcPr>
            <w:tcW w:w="624" w:type="pct"/>
            <w:vAlign w:val="center"/>
          </w:tcPr>
          <w:p w14:paraId="793AAEDC">
            <w:pPr>
              <w:pStyle w:val="19"/>
              <w:bidi w:val="0"/>
              <w:rPr>
                <w:rFonts w:hint="default"/>
                <w:highlight w:val="none"/>
                <w:lang w:val="en-US" w:eastAsia="zh-CN"/>
              </w:rPr>
            </w:pPr>
            <w:r>
              <w:rPr>
                <w:rFonts w:hint="eastAsia"/>
                <w:highlight w:val="none"/>
                <w:lang w:val="en-US" w:eastAsia="zh-CN"/>
              </w:rPr>
              <w:t>0.042</w:t>
            </w:r>
          </w:p>
        </w:tc>
      </w:tr>
    </w:tbl>
    <w:p w14:paraId="0C2603B1">
      <w:pPr>
        <w:rPr>
          <w:rFonts w:hint="default"/>
          <w:lang w:val="en-US" w:eastAsia="zh-CN"/>
        </w:rPr>
      </w:pPr>
      <w:r>
        <w:rPr>
          <w:rFonts w:hint="eastAsia"/>
          <w:lang w:val="en-US" w:eastAsia="zh-CN"/>
        </w:rPr>
        <w:t>（2）生物质锅炉</w:t>
      </w:r>
    </w:p>
    <w:p w14:paraId="5B26746E">
      <w:pPr>
        <w:rPr>
          <w:rFonts w:hint="eastAsia"/>
          <w:lang w:val="en-US" w:eastAsia="zh-CN"/>
        </w:rPr>
      </w:pPr>
      <w:r>
        <w:rPr>
          <w:rFonts w:hint="eastAsia"/>
          <w:lang w:val="en-US" w:eastAsia="zh-CN"/>
        </w:rPr>
        <w:t>为满足本项目冬季供暖需求，在厂区共设置3座锅炉房，每座锅炉房中安装1台3t/h的生物质锅炉，锅炉年运行时间集中在冬季供暖季节，年运行181天，使用生物质作为主要燃料，运行过程产生锅炉烟气，主要污染物为颗粒物、二氧化硫和二氧化氮。</w:t>
      </w:r>
    </w:p>
    <w:p w14:paraId="7B698608">
      <w:pPr>
        <w:rPr>
          <w:rFonts w:hint="default"/>
          <w:lang w:val="en-US" w:eastAsia="zh-CN"/>
        </w:rPr>
      </w:pPr>
      <w:r>
        <w:rPr>
          <w:rFonts w:hint="eastAsia"/>
          <w:lang w:val="en-US" w:eastAsia="zh-CN"/>
        </w:rPr>
        <w:t>每台生物质锅炉均设置有低氮燃烧+布袋除尘+15m排气筒处理设施，经处理后烟气中各污染物浓度满足排放标准，可以做到达标排放。</w:t>
      </w:r>
    </w:p>
    <w:p w14:paraId="4CAEB145">
      <w:pPr>
        <w:rPr>
          <w:rFonts w:hint="eastAsia"/>
          <w:lang w:val="en-US" w:eastAsia="zh-CN"/>
        </w:rPr>
      </w:pPr>
      <w:r>
        <w:rPr>
          <w:rFonts w:hint="eastAsia"/>
          <w:lang w:val="en-US" w:eastAsia="zh-CN"/>
        </w:rPr>
        <w:t>（3）沼气及其燃烧废气</w:t>
      </w:r>
    </w:p>
    <w:p w14:paraId="1FE77267">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本项目厌氧发酵将产生沼气，厌氧发酵产生的沼气是含</w:t>
      </w:r>
      <w:r>
        <w:rPr>
          <w:rFonts w:hint="default" w:ascii="Times New Roman" w:hAnsi="Times New Roman" w:eastAsia="宋体" w:cs="Times New Roman"/>
          <w:color w:val="000000"/>
          <w:kern w:val="0"/>
          <w:sz w:val="24"/>
          <w:szCs w:val="24"/>
          <w:lang w:val="en-US" w:eastAsia="zh-CN" w:bidi="ar"/>
        </w:rPr>
        <w:t>CH</w:t>
      </w:r>
      <w:r>
        <w:rPr>
          <w:rFonts w:hint="default" w:ascii="Times New Roman" w:hAnsi="Times New Roman" w:eastAsia="宋体" w:cs="Times New Roman"/>
          <w:color w:val="000000"/>
          <w:kern w:val="0"/>
          <w:sz w:val="15"/>
          <w:szCs w:val="15"/>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等和饱和水蒸气的混合气体。沼气通过脱水、脱硫处理后，用于本项目生物质锅炉燃烧使用。多余沼气点火燃烧。沼气属于清洁能源，燃烧后的产污为二氧化碳和水，不会污染环境。</w:t>
      </w:r>
    </w:p>
    <w:p w14:paraId="0AEE123D">
      <w:pPr>
        <w:rPr>
          <w:rFonts w:hint="eastAsia"/>
          <w:lang w:val="en-US" w:eastAsia="zh-CN"/>
        </w:rPr>
      </w:pPr>
      <w:r>
        <w:rPr>
          <w:rFonts w:hint="eastAsia"/>
          <w:lang w:val="en-US" w:eastAsia="zh-CN"/>
        </w:rPr>
        <w:t>（4）粪污处理恶臭</w:t>
      </w:r>
    </w:p>
    <w:p w14:paraId="15EFAC22">
      <w:pPr>
        <w:rPr>
          <w:rFonts w:hint="eastAsia"/>
          <w:lang w:val="en-US" w:eastAsia="zh-CN"/>
        </w:rPr>
      </w:pPr>
      <w:r>
        <w:rPr>
          <w:rFonts w:hint="eastAsia"/>
          <w:lang w:val="en-US" w:eastAsia="zh-CN"/>
        </w:rPr>
        <w:t>主要来自堆肥场在堆肥过程中产生的恶臭气体，主要污染物为氨、硫化氢等，采取负压收集+生物除臭+15m排气筒处理工艺后排放的废气，能够做到达标排放。</w:t>
      </w:r>
    </w:p>
    <w:p w14:paraId="622166F7">
      <w:pPr>
        <w:pStyle w:val="28"/>
        <w:bidi w:val="0"/>
        <w:rPr>
          <w:rFonts w:hint="default"/>
          <w:lang w:val="en-US" w:eastAsia="zh-CN"/>
        </w:rPr>
      </w:pPr>
      <w:r>
        <w:rPr>
          <w:rFonts w:hint="default"/>
          <w:lang w:val="en-US" w:eastAsia="zh-CN"/>
        </w:rPr>
        <w:t>大气环境影响预测与评价</w:t>
      </w:r>
    </w:p>
    <w:p w14:paraId="162BB01B">
      <w:pPr>
        <w:rPr>
          <w:rFonts w:hint="eastAsia"/>
          <w:lang w:val="en-US" w:eastAsia="zh-CN"/>
        </w:rPr>
      </w:pPr>
      <w:r>
        <w:rPr>
          <w:rFonts w:hint="eastAsia"/>
          <w:lang w:val="en-US" w:eastAsia="zh-CN"/>
        </w:rPr>
        <w:t>（1）预测因子、预测范围及预测内容</w:t>
      </w:r>
    </w:p>
    <w:p w14:paraId="55161A6A">
      <w:pPr>
        <w:rPr>
          <w:rFonts w:hint="default"/>
          <w:vertAlign w:val="subscript"/>
          <w:lang w:val="en-US" w:eastAsia="zh-CN"/>
        </w:rPr>
      </w:pPr>
      <w:r>
        <w:rPr>
          <w:rFonts w:hint="eastAsia"/>
          <w:lang w:val="en-US" w:eastAsia="zh-CN"/>
        </w:rPr>
        <w:t>预测因子：PM</w:t>
      </w:r>
      <w:r>
        <w:rPr>
          <w:rFonts w:hint="eastAsia"/>
          <w:vertAlign w:val="subscript"/>
          <w:lang w:val="en-US" w:eastAsia="zh-CN"/>
        </w:rPr>
        <w:t>10</w:t>
      </w:r>
      <w:r>
        <w:rPr>
          <w:rFonts w:hint="eastAsia"/>
          <w:vertAlign w:val="baseline"/>
          <w:lang w:val="en-US" w:eastAsia="zh-CN"/>
        </w:rPr>
        <w:t>、SO</w:t>
      </w:r>
      <w:r>
        <w:rPr>
          <w:rFonts w:hint="eastAsia"/>
          <w:vertAlign w:val="subscript"/>
          <w:lang w:val="en-US" w:eastAsia="zh-CN"/>
        </w:rPr>
        <w:t>2</w:t>
      </w:r>
      <w:r>
        <w:rPr>
          <w:rFonts w:hint="eastAsia"/>
          <w:vertAlign w:val="baseline"/>
          <w:lang w:val="en-US" w:eastAsia="zh-CN"/>
        </w:rPr>
        <w:t>、NO</w:t>
      </w:r>
      <w:r>
        <w:rPr>
          <w:rFonts w:hint="eastAsia"/>
          <w:vertAlign w:val="subscript"/>
          <w:lang w:val="en-US" w:eastAsia="zh-CN"/>
        </w:rPr>
        <w:t>2</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S、NH</w:t>
      </w:r>
      <w:r>
        <w:rPr>
          <w:rFonts w:hint="eastAsia"/>
          <w:vertAlign w:val="subscript"/>
          <w:lang w:val="en-US" w:eastAsia="zh-CN"/>
        </w:rPr>
        <w:t>3</w:t>
      </w:r>
    </w:p>
    <w:p w14:paraId="27A10C61">
      <w:pPr>
        <w:rPr>
          <w:rFonts w:hint="default"/>
          <w:lang w:val="en-US" w:eastAsia="zh-CN"/>
        </w:rPr>
      </w:pPr>
      <w:r>
        <w:rPr>
          <w:rFonts w:hint="default"/>
          <w:lang w:val="en-US" w:eastAsia="zh-CN"/>
        </w:rPr>
        <w:t>预测范围：本次环境空气预测评价区范围为猪舍、污水处理站、堆肥间等产污单元为中心，</w:t>
      </w:r>
      <w:r>
        <w:rPr>
          <w:rFonts w:hint="eastAsia"/>
          <w:lang w:val="en-US" w:eastAsia="zh-CN"/>
        </w:rPr>
        <w:t>边长</w:t>
      </w:r>
      <w:r>
        <w:rPr>
          <w:rFonts w:hint="default"/>
          <w:lang w:val="en-US" w:eastAsia="zh-CN"/>
        </w:rPr>
        <w:t>5km的矩形区域。</w:t>
      </w:r>
    </w:p>
    <w:p w14:paraId="75358801">
      <w:pPr>
        <w:rPr>
          <w:rFonts w:hint="default"/>
          <w:lang w:val="en-US" w:eastAsia="zh-CN"/>
        </w:rPr>
      </w:pPr>
      <w:r>
        <w:rPr>
          <w:rFonts w:hint="default"/>
          <w:lang w:val="en-US" w:eastAsia="zh-CN"/>
        </w:rPr>
        <w:t>预测内容：根据项目污染因子特征和区域环境条件特征确定预测内容为多年平均风速不同稳定度下的各种污染物最大落地浓度及占标率。</w:t>
      </w:r>
    </w:p>
    <w:p w14:paraId="6626CA60">
      <w:pPr>
        <w:rPr>
          <w:rFonts w:hint="eastAsia"/>
          <w:lang w:val="en-US" w:eastAsia="zh-CN"/>
        </w:rPr>
      </w:pPr>
      <w:r>
        <w:rPr>
          <w:rFonts w:hint="eastAsia"/>
          <w:lang w:val="en-US" w:eastAsia="zh-CN"/>
        </w:rPr>
        <w:t>（2）主要污染物源强参数</w:t>
      </w:r>
    </w:p>
    <w:p w14:paraId="30B57198">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A.点源污染源强</w:t>
      </w:r>
    </w:p>
    <w:p w14:paraId="4A1BFEF5">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000000"/>
          <w:kern w:val="0"/>
          <w:sz w:val="24"/>
          <w:szCs w:val="24"/>
          <w:lang w:val="en-US" w:eastAsia="zh-CN" w:bidi="ar"/>
        </w:rPr>
        <w:t>根据工程分析可知，本项目</w:t>
      </w:r>
      <w:r>
        <w:rPr>
          <w:rFonts w:hint="eastAsia" w:ascii="Times New Roman" w:hAnsi="Times New Roman" w:eastAsia="宋体" w:cs="Times New Roman"/>
          <w:color w:val="000000"/>
          <w:kern w:val="0"/>
          <w:sz w:val="24"/>
          <w:szCs w:val="24"/>
          <w:lang w:val="en-US" w:eastAsia="zh-CN" w:bidi="ar"/>
        </w:rPr>
        <w:t>电源</w:t>
      </w:r>
      <w:r>
        <w:rPr>
          <w:rFonts w:hint="default" w:ascii="Times New Roman" w:hAnsi="Times New Roman" w:eastAsia="宋体" w:cs="Times New Roman"/>
          <w:color w:val="000000"/>
          <w:kern w:val="0"/>
          <w:sz w:val="24"/>
          <w:szCs w:val="24"/>
          <w:lang w:val="en-US" w:eastAsia="zh-CN" w:bidi="ar"/>
        </w:rPr>
        <w:t>污染源</w:t>
      </w:r>
      <w:r>
        <w:rPr>
          <w:rFonts w:hint="eastAsia" w:ascii="Times New Roman" w:hAnsi="Times New Roman" w:eastAsia="宋体" w:cs="Times New Roman"/>
          <w:color w:val="000000"/>
          <w:kern w:val="0"/>
          <w:sz w:val="24"/>
          <w:szCs w:val="24"/>
          <w:lang w:val="en-US" w:eastAsia="zh-CN" w:bidi="ar"/>
        </w:rPr>
        <w:t>主要为生物质锅炉排气筒</w:t>
      </w:r>
      <w:r>
        <w:rPr>
          <w:rFonts w:hint="default" w:ascii="Times New Roman" w:hAnsi="Times New Roman" w:eastAsia="宋体" w:cs="Times New Roman"/>
          <w:color w:val="000000"/>
          <w:kern w:val="0"/>
          <w:sz w:val="24"/>
          <w:szCs w:val="24"/>
          <w:lang w:val="en-US" w:eastAsia="zh-CN" w:bidi="ar"/>
        </w:rPr>
        <w:t>和</w:t>
      </w:r>
      <w:r>
        <w:rPr>
          <w:rFonts w:hint="eastAsia" w:ascii="Times New Roman" w:hAnsi="Times New Roman" w:eastAsia="宋体" w:cs="Times New Roman"/>
          <w:color w:val="000000"/>
          <w:kern w:val="0"/>
          <w:sz w:val="24"/>
          <w:szCs w:val="24"/>
          <w:lang w:val="en-US" w:eastAsia="zh-CN" w:bidi="ar"/>
        </w:rPr>
        <w:t>生物除臭排气筒</w:t>
      </w:r>
      <w:r>
        <w:rPr>
          <w:rFonts w:hint="default" w:ascii="Times New Roman" w:hAnsi="Times New Roman" w:eastAsia="宋体" w:cs="Times New Roman"/>
          <w:color w:val="000000"/>
          <w:kern w:val="0"/>
          <w:sz w:val="24"/>
          <w:szCs w:val="24"/>
          <w:lang w:val="en-US" w:eastAsia="zh-CN" w:bidi="ar"/>
        </w:rPr>
        <w:t>。具体见表2.3-2。</w:t>
      </w:r>
    </w:p>
    <w:p w14:paraId="14A0B9F3">
      <w:pPr>
        <w:rPr>
          <w:rFonts w:hint="default"/>
          <w:lang w:val="en-US" w:eastAsia="zh-CN"/>
        </w:rPr>
      </w:pPr>
      <w:r>
        <w:rPr>
          <w:rFonts w:hint="eastAsia"/>
          <w:lang w:val="en-US" w:eastAsia="zh-CN"/>
        </w:rPr>
        <w:t>B.</w:t>
      </w:r>
      <w:r>
        <w:rPr>
          <w:rFonts w:hint="eastAsia" w:ascii="宋体" w:hAnsi="宋体" w:eastAsia="宋体" w:cs="宋体"/>
          <w:color w:val="000000"/>
          <w:kern w:val="0"/>
          <w:sz w:val="24"/>
          <w:szCs w:val="24"/>
          <w:lang w:val="en-US" w:eastAsia="zh-CN" w:bidi="ar"/>
        </w:rPr>
        <w:t>点源污染源强</w:t>
      </w:r>
    </w:p>
    <w:p w14:paraId="6949493A">
      <w:pPr>
        <w:rPr>
          <w:rFonts w:hint="eastAsia"/>
          <w:lang w:val="en-US" w:eastAsia="zh-CN"/>
        </w:rPr>
      </w:pPr>
      <w:r>
        <w:rPr>
          <w:rFonts w:hint="eastAsia"/>
          <w:lang w:val="en-US" w:eastAsia="zh-CN"/>
        </w:rPr>
        <w:t>根据工程分析，恶臭面源主要为养殖区、污水处理区域、堆肥场，项目占地面积较小，各恶臭源相距较近，本项目将所有无组织产污单元视作为一个面源计算，具体见</w:t>
      </w:r>
      <w:r>
        <w:rPr>
          <w:rFonts w:hint="default" w:ascii="Times New Roman" w:hAnsi="Times New Roman" w:eastAsia="宋体" w:cs="Times New Roman"/>
          <w:color w:val="000000"/>
          <w:kern w:val="0"/>
          <w:sz w:val="24"/>
          <w:szCs w:val="24"/>
          <w:lang w:val="en-US" w:eastAsia="zh-CN" w:bidi="ar"/>
        </w:rPr>
        <w:t>表2.3-3</w:t>
      </w:r>
      <w:r>
        <w:rPr>
          <w:rFonts w:hint="eastAsia"/>
          <w:lang w:val="en-US" w:eastAsia="zh-CN"/>
        </w:rPr>
        <w:t>。</w:t>
      </w:r>
    </w:p>
    <w:p w14:paraId="451C8363">
      <w:pPr>
        <w:rPr>
          <w:rFonts w:hint="eastAsia"/>
          <w:lang w:val="en-US" w:eastAsia="zh-CN"/>
        </w:rPr>
      </w:pPr>
      <w:r>
        <w:rPr>
          <w:rFonts w:hint="eastAsia"/>
          <w:lang w:val="en-US" w:eastAsia="zh-CN"/>
        </w:rPr>
        <w:t>C.估算模型参数</w:t>
      </w:r>
    </w:p>
    <w:p w14:paraId="10BB3477">
      <w:pPr>
        <w:rPr>
          <w:rFonts w:hint="default"/>
          <w:lang w:val="en-US" w:eastAsia="zh-CN"/>
        </w:rPr>
      </w:pPr>
      <w:r>
        <w:rPr>
          <w:rFonts w:hint="default"/>
          <w:lang w:val="en-US" w:eastAsia="zh-CN"/>
        </w:rPr>
        <w:t>本次大气环境影响预测采用《环境影响评价技术导则—大气环境》（HJ2.2-2018）推荐模式清单中的AERSCREEN模型进行预测，计算各预测因子最大落地地面浓度值</w:t>
      </w:r>
      <w:r>
        <w:rPr>
          <w:rFonts w:hint="eastAsia"/>
          <w:lang w:val="en-US" w:eastAsia="zh-CN"/>
        </w:rPr>
        <w:t>，估算模式参数清单见表2.3-4</w:t>
      </w:r>
      <w:r>
        <w:rPr>
          <w:rFonts w:hint="default"/>
          <w:lang w:val="en-US" w:eastAsia="zh-CN"/>
        </w:rPr>
        <w:t>。</w:t>
      </w:r>
    </w:p>
    <w:p w14:paraId="2E4007B3">
      <w:pPr>
        <w:rPr>
          <w:rFonts w:hint="default"/>
          <w:lang w:val="en-US" w:eastAsia="zh-CN"/>
        </w:rPr>
      </w:pPr>
      <w:r>
        <w:rPr>
          <w:rFonts w:hint="eastAsia"/>
          <w:lang w:val="en-US" w:eastAsia="zh-CN"/>
        </w:rPr>
        <w:t>D.预测评价标准</w:t>
      </w:r>
    </w:p>
    <w:p w14:paraId="4BF9EF38">
      <w:pPr>
        <w:keepNext w:val="0"/>
        <w:keepLines w:val="0"/>
        <w:widowControl/>
        <w:suppressLineNumbers w:val="0"/>
        <w:jc w:val="left"/>
      </w:pPr>
      <w:r>
        <w:rPr>
          <w:rFonts w:hint="eastAsia"/>
          <w:lang w:val="en-US" w:eastAsia="zh-CN"/>
        </w:rPr>
        <w:t>①氨、硫化氢</w:t>
      </w:r>
      <w:r>
        <w:rPr>
          <w:rFonts w:hint="eastAsia" w:ascii="宋体" w:hAnsi="宋体" w:eastAsia="宋体" w:cs="宋体"/>
          <w:color w:val="000000"/>
          <w:kern w:val="0"/>
          <w:sz w:val="24"/>
          <w:szCs w:val="24"/>
          <w:lang w:val="en-US" w:eastAsia="zh-CN" w:bidi="ar"/>
        </w:rPr>
        <w:t>按照《环境影响评价技术导则 大气环境》（</w:t>
      </w:r>
      <w:r>
        <w:rPr>
          <w:rFonts w:hint="default" w:ascii="Times New Roman" w:hAnsi="Times New Roman" w:eastAsia="宋体" w:cs="Times New Roman"/>
          <w:color w:val="000000"/>
          <w:kern w:val="0"/>
          <w:sz w:val="24"/>
          <w:szCs w:val="24"/>
          <w:lang w:val="en-US" w:eastAsia="zh-CN" w:bidi="ar"/>
        </w:rPr>
        <w:t>HJ2.2-2018</w:t>
      </w:r>
      <w:r>
        <w:rPr>
          <w:rFonts w:hint="eastAsia" w:ascii="宋体" w:hAnsi="宋体" w:eastAsia="宋体" w:cs="宋体"/>
          <w:color w:val="000000"/>
          <w:kern w:val="0"/>
          <w:sz w:val="24"/>
          <w:szCs w:val="24"/>
          <w:lang w:val="en-US" w:eastAsia="zh-CN" w:bidi="ar"/>
        </w:rPr>
        <w:t>）附录</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中的浓度限值（</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10μg/m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和</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15"/>
          <w:szCs w:val="15"/>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200μg/m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，均为</w:t>
      </w:r>
      <w:r>
        <w:rPr>
          <w:rFonts w:hint="default" w:ascii="Times New Roman" w:hAnsi="Times New Roman" w:eastAsia="宋体" w:cs="Times New Roman"/>
          <w:color w:val="000000"/>
          <w:kern w:val="0"/>
          <w:sz w:val="24"/>
          <w:szCs w:val="24"/>
          <w:lang w:val="en-US" w:eastAsia="zh-CN" w:bidi="ar"/>
        </w:rPr>
        <w:t>1h</w:t>
      </w:r>
      <w:r>
        <w:rPr>
          <w:rFonts w:hint="eastAsia" w:ascii="宋体" w:hAnsi="宋体" w:eastAsia="宋体" w:cs="宋体"/>
          <w:color w:val="000000"/>
          <w:kern w:val="0"/>
          <w:sz w:val="24"/>
          <w:szCs w:val="24"/>
          <w:lang w:val="en-US" w:eastAsia="zh-CN" w:bidi="ar"/>
        </w:rPr>
        <w:t>浓度限值）进行预测评价。</w:t>
      </w:r>
    </w:p>
    <w:p w14:paraId="0A1744BA">
      <w:pPr>
        <w:rPr>
          <w:rFonts w:hint="eastAsia" w:cs="Times New Roman"/>
          <w:color w:val="000000"/>
          <w:kern w:val="0"/>
          <w:sz w:val="24"/>
          <w:szCs w:val="24"/>
          <w:vertAlign w:val="baseline"/>
          <w:lang w:val="en-US" w:eastAsia="zh-CN" w:bidi="ar"/>
        </w:rPr>
      </w:pPr>
      <w:r>
        <w:rPr>
          <w:rFonts w:hint="eastAsia"/>
          <w:lang w:val="en-US" w:eastAsia="zh-CN"/>
        </w:rPr>
        <w:t>②</w:t>
      </w:r>
      <w:r>
        <w:rPr>
          <w:rFonts w:hint="eastAsia"/>
        </w:rPr>
        <w:t>《环境空气质量标准》（</w:t>
      </w:r>
      <w:r>
        <w:t>GB3095-2012</w:t>
      </w:r>
      <w:r>
        <w:rPr>
          <w:rFonts w:hint="eastAsia"/>
        </w:rPr>
        <w:t>）中二级标准</w:t>
      </w:r>
      <w:r>
        <w:rPr>
          <w:rFonts w:hint="eastAsia"/>
          <w:lang w:eastAsia="zh-CN"/>
        </w:rPr>
        <w:t>（</w:t>
      </w:r>
      <w:r>
        <w:rPr>
          <w:rFonts w:hint="eastAsia"/>
          <w:lang w:val="en-US" w:eastAsia="zh-CN"/>
        </w:rPr>
        <w:t>PM</w:t>
      </w:r>
      <w:r>
        <w:rPr>
          <w:rFonts w:hint="eastAsia"/>
          <w:vertAlign w:val="subscript"/>
          <w:lang w:val="en-US" w:eastAsia="zh-CN"/>
        </w:rPr>
        <w:t>10</w:t>
      </w:r>
      <w:r>
        <w:rPr>
          <w:rFonts w:hint="eastAsia"/>
          <w:vertAlign w:val="baseline"/>
          <w:lang w:val="en-US" w:eastAsia="zh-CN"/>
        </w:rPr>
        <w:t>：年平均70</w:t>
      </w:r>
      <w:r>
        <w:rPr>
          <w:rFonts w:hint="default" w:ascii="Times New Roman" w:hAnsi="Times New Roman" w:eastAsia="宋体" w:cs="Times New Roman"/>
          <w:color w:val="000000"/>
          <w:kern w:val="0"/>
          <w:sz w:val="24"/>
          <w:szCs w:val="24"/>
          <w:lang w:val="en-US" w:eastAsia="zh-CN" w:bidi="ar"/>
        </w:rPr>
        <w:t>μg/m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cs="Times New Roman"/>
          <w:color w:val="000000"/>
          <w:kern w:val="0"/>
          <w:sz w:val="24"/>
          <w:szCs w:val="24"/>
          <w:vertAlign w:val="baseline"/>
          <w:lang w:val="en-US" w:eastAsia="zh-CN" w:bidi="ar"/>
        </w:rPr>
        <w:t>、24小时平均150</w:t>
      </w:r>
      <w:r>
        <w:rPr>
          <w:rFonts w:hint="default" w:ascii="Times New Roman" w:hAnsi="Times New Roman" w:eastAsia="宋体" w:cs="Times New Roman"/>
          <w:color w:val="000000"/>
          <w:kern w:val="0"/>
          <w:sz w:val="24"/>
          <w:szCs w:val="24"/>
          <w:lang w:val="en-US" w:eastAsia="zh-CN" w:bidi="ar"/>
        </w:rPr>
        <w:t>μg/m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vertAlign w:val="baseline"/>
          <w:lang w:val="en-US" w:eastAsia="zh-CN"/>
        </w:rPr>
        <w:t>、SO</w:t>
      </w:r>
      <w:r>
        <w:rPr>
          <w:rFonts w:hint="eastAsia"/>
          <w:vertAlign w:val="subscript"/>
          <w:lang w:val="en-US" w:eastAsia="zh-CN"/>
        </w:rPr>
        <w:t>2</w:t>
      </w:r>
      <w:r>
        <w:rPr>
          <w:rFonts w:hint="eastAsia"/>
          <w:vertAlign w:val="baseline"/>
          <w:lang w:val="en-US" w:eastAsia="zh-CN"/>
        </w:rPr>
        <w:t>：1小时平均500</w:t>
      </w:r>
      <w:r>
        <w:rPr>
          <w:rFonts w:hint="default" w:ascii="Times New Roman" w:hAnsi="Times New Roman" w:eastAsia="宋体" w:cs="Times New Roman"/>
          <w:color w:val="000000"/>
          <w:kern w:val="0"/>
          <w:sz w:val="24"/>
          <w:szCs w:val="24"/>
          <w:lang w:val="en-US" w:eastAsia="zh-CN" w:bidi="ar"/>
        </w:rPr>
        <w:t>μg/m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vertAlign w:val="baseline"/>
          <w:lang w:val="en-US" w:eastAsia="zh-CN"/>
        </w:rPr>
        <w:t>、NO</w:t>
      </w:r>
      <w:r>
        <w:rPr>
          <w:rFonts w:hint="eastAsia"/>
          <w:vertAlign w:val="subscript"/>
          <w:lang w:val="en-US" w:eastAsia="zh-CN"/>
        </w:rPr>
        <w:t>2</w:t>
      </w:r>
      <w:r>
        <w:rPr>
          <w:rFonts w:hint="eastAsia"/>
          <w:vertAlign w:val="baseline"/>
          <w:lang w:val="en-US" w:eastAsia="zh-CN"/>
        </w:rPr>
        <w:t>：1小时平均200</w:t>
      </w:r>
      <w:r>
        <w:rPr>
          <w:rFonts w:hint="default" w:ascii="Times New Roman" w:hAnsi="Times New Roman" w:eastAsia="宋体" w:cs="Times New Roman"/>
          <w:color w:val="000000"/>
          <w:kern w:val="0"/>
          <w:sz w:val="24"/>
          <w:szCs w:val="24"/>
          <w:lang w:val="en-US" w:eastAsia="zh-CN" w:bidi="ar"/>
        </w:rPr>
        <w:t>μg/m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cs="Times New Roman"/>
          <w:color w:val="000000"/>
          <w:kern w:val="0"/>
          <w:sz w:val="24"/>
          <w:szCs w:val="24"/>
          <w:vertAlign w:val="baseline"/>
          <w:lang w:val="en-US" w:eastAsia="zh-CN" w:bidi="ar"/>
        </w:rPr>
        <w:t>）进行预测评价。</w:t>
      </w:r>
    </w:p>
    <w:p w14:paraId="319E292A">
      <w:pPr>
        <w:rPr>
          <w:rFonts w:hint="eastAsia"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（3）估算模式预测结果</w:t>
      </w:r>
    </w:p>
    <w:p w14:paraId="7EFA1E3D">
      <w:pPr>
        <w:rPr>
          <w:rFonts w:hint="eastAsia"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根据《环境影响评价技术导则 大气环境》（HJ2.2-2018）推荐模式清单中的估算模式AERSCREEN模型计算项目外排</w:t>
      </w:r>
      <w:r>
        <w:rPr>
          <w:rFonts w:hint="eastAsia"/>
          <w:lang w:val="en-US" w:eastAsia="zh-CN"/>
        </w:rPr>
        <w:t>PM</w:t>
      </w:r>
      <w:r>
        <w:rPr>
          <w:rFonts w:hint="eastAsia"/>
          <w:vertAlign w:val="subscript"/>
          <w:lang w:val="en-US" w:eastAsia="zh-CN"/>
        </w:rPr>
        <w:t>10</w:t>
      </w:r>
      <w:r>
        <w:rPr>
          <w:rFonts w:hint="eastAsia"/>
          <w:vertAlign w:val="baseline"/>
          <w:lang w:val="en-US" w:eastAsia="zh-CN"/>
        </w:rPr>
        <w:t>、SO</w:t>
      </w:r>
      <w:r>
        <w:rPr>
          <w:rFonts w:hint="eastAsia"/>
          <w:vertAlign w:val="subscript"/>
          <w:lang w:val="en-US" w:eastAsia="zh-CN"/>
        </w:rPr>
        <w:t>2</w:t>
      </w:r>
      <w:r>
        <w:rPr>
          <w:rFonts w:hint="eastAsia"/>
          <w:vertAlign w:val="baseline"/>
          <w:lang w:val="en-US" w:eastAsia="zh-CN"/>
        </w:rPr>
        <w:t>、NO</w:t>
      </w:r>
      <w:r>
        <w:rPr>
          <w:rFonts w:hint="eastAsia"/>
          <w:vertAlign w:val="subscript"/>
          <w:lang w:val="en-US" w:eastAsia="zh-CN"/>
        </w:rPr>
        <w:t>2</w:t>
      </w:r>
      <w:r>
        <w:rPr>
          <w:rFonts w:hint="eastAsia" w:cs="Times New Roman"/>
          <w:color w:val="000000"/>
          <w:kern w:val="0"/>
          <w:sz w:val="24"/>
          <w:szCs w:val="24"/>
          <w:vertAlign w:val="baseline"/>
          <w:lang w:val="en-US" w:eastAsia="zh-CN" w:bidi="ar"/>
        </w:rPr>
        <w:t>、NH</w:t>
      </w:r>
      <w:r>
        <w:rPr>
          <w:rFonts w:hint="eastAsia" w:cs="Times New Roman"/>
          <w:color w:val="000000"/>
          <w:kern w:val="0"/>
          <w:sz w:val="24"/>
          <w:szCs w:val="24"/>
          <w:vertAlign w:val="subscript"/>
          <w:lang w:val="en-US" w:eastAsia="zh-CN" w:bidi="ar"/>
        </w:rPr>
        <w:t>3</w:t>
      </w:r>
      <w:r>
        <w:rPr>
          <w:rFonts w:hint="eastAsia" w:cs="Times New Roman"/>
          <w:color w:val="000000"/>
          <w:kern w:val="0"/>
          <w:sz w:val="24"/>
          <w:szCs w:val="24"/>
          <w:vertAlign w:val="baseline"/>
          <w:lang w:val="en-US" w:eastAsia="zh-CN" w:bidi="ar"/>
        </w:rPr>
        <w:t>、H</w:t>
      </w:r>
      <w:r>
        <w:rPr>
          <w:rFonts w:hint="eastAsia" w:cs="Times New Roman"/>
          <w:color w:val="000000"/>
          <w:kern w:val="0"/>
          <w:sz w:val="24"/>
          <w:szCs w:val="24"/>
          <w:vertAlign w:val="subscript"/>
          <w:lang w:val="en-US" w:eastAsia="zh-CN" w:bidi="ar"/>
        </w:rPr>
        <w:t>2</w:t>
      </w:r>
      <w:r>
        <w:rPr>
          <w:rFonts w:hint="eastAsia" w:cs="Times New Roman"/>
          <w:color w:val="000000"/>
          <w:kern w:val="0"/>
          <w:sz w:val="24"/>
          <w:szCs w:val="24"/>
          <w:vertAlign w:val="baseline"/>
          <w:lang w:val="en-US" w:eastAsia="zh-CN" w:bidi="ar"/>
        </w:rPr>
        <w:t>S的最大地面浓度及占标率Pi如下：</w:t>
      </w:r>
    </w:p>
    <w:p w14:paraId="3B9391A3">
      <w:pPr>
        <w:pStyle w:val="30"/>
        <w:bidi w:val="0"/>
        <w:rPr>
          <w:lang w:val="en-US" w:eastAsia="zh-CN"/>
        </w:rPr>
      </w:pPr>
      <w:r>
        <w:rPr>
          <w:rFonts w:hint="eastAsia"/>
          <w:lang w:val="en-US" w:eastAsia="zh-CN"/>
        </w:rPr>
        <w:t>表5.2-2   DA001</w:t>
      </w:r>
      <w:r>
        <w:rPr>
          <w:lang w:val="en-US" w:eastAsia="zh-CN"/>
        </w:rPr>
        <w:t>大气估算结果统计表（点源）</w:t>
      </w:r>
    </w:p>
    <w:tbl>
      <w:tblPr>
        <w:tblStyle w:val="21"/>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Layout w:type="autofit"/>
        <w:tblCellMar>
          <w:top w:w="0" w:type="dxa"/>
          <w:left w:w="0" w:type="dxa"/>
          <w:bottom w:w="0" w:type="dxa"/>
          <w:right w:w="0" w:type="dxa"/>
        </w:tblCellMar>
      </w:tblPr>
      <w:tblGrid>
        <w:gridCol w:w="613"/>
        <w:gridCol w:w="1282"/>
        <w:gridCol w:w="1285"/>
        <w:gridCol w:w="2"/>
        <w:gridCol w:w="1280"/>
        <w:gridCol w:w="1282"/>
        <w:gridCol w:w="7"/>
        <w:gridCol w:w="1282"/>
        <w:gridCol w:w="1287"/>
      </w:tblGrid>
      <w:tr w14:paraId="50130AD2">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vMerge w:val="restart"/>
            <w:tcBorders>
              <w:tl2br w:val="nil"/>
              <w:tr2bl w:val="nil"/>
            </w:tcBorders>
            <w:noWrap w:val="0"/>
            <w:vAlign w:val="center"/>
          </w:tcPr>
          <w:p w14:paraId="45331C35">
            <w:pPr>
              <w:pStyle w:val="19"/>
              <w:bidi w:val="0"/>
              <w:rPr>
                <w:b/>
                <w:bCs/>
              </w:rPr>
            </w:pPr>
            <w:r>
              <w:rPr>
                <w:b/>
                <w:bCs/>
              </w:rPr>
              <w:t>距离（m）</w:t>
            </w:r>
          </w:p>
        </w:tc>
        <w:tc>
          <w:tcPr>
            <w:tcW w:w="1544" w:type="pct"/>
            <w:gridSpan w:val="3"/>
            <w:tcBorders>
              <w:tl2br w:val="nil"/>
              <w:tr2bl w:val="nil"/>
            </w:tcBorders>
            <w:noWrap w:val="0"/>
            <w:vAlign w:val="center"/>
          </w:tcPr>
          <w:p w14:paraId="41D23499">
            <w:pPr>
              <w:pStyle w:val="19"/>
              <w:bidi w:val="0"/>
              <w:rPr>
                <w:b/>
                <w:bCs/>
              </w:rPr>
            </w:pPr>
            <w:r>
              <w:rPr>
                <w:b/>
                <w:bCs/>
              </w:rPr>
              <w:t>SO</w:t>
            </w:r>
            <w:r>
              <w:rPr>
                <w:b/>
                <w:bCs/>
                <w:vertAlign w:val="subscript"/>
              </w:rPr>
              <w:t>2</w:t>
            </w:r>
          </w:p>
        </w:tc>
        <w:tc>
          <w:tcPr>
            <w:tcW w:w="1543" w:type="pct"/>
            <w:gridSpan w:val="3"/>
            <w:tcBorders>
              <w:tl2br w:val="nil"/>
              <w:tr2bl w:val="nil"/>
            </w:tcBorders>
            <w:noWrap w:val="0"/>
            <w:vAlign w:val="center"/>
          </w:tcPr>
          <w:p w14:paraId="7B83E40E">
            <w:pPr>
              <w:pStyle w:val="19"/>
              <w:bidi w:val="0"/>
              <w:rPr>
                <w:b/>
                <w:bCs/>
              </w:rPr>
            </w:pPr>
            <w:r>
              <w:rPr>
                <w:b/>
                <w:bCs/>
              </w:rPr>
              <w:t>NO</w:t>
            </w:r>
            <w:r>
              <w:rPr>
                <w:b/>
                <w:bCs/>
                <w:vertAlign w:val="subscript"/>
              </w:rPr>
              <w:t>2</w:t>
            </w:r>
          </w:p>
        </w:tc>
        <w:tc>
          <w:tcPr>
            <w:tcW w:w="1543" w:type="pct"/>
            <w:gridSpan w:val="2"/>
            <w:tcBorders>
              <w:tl2br w:val="nil"/>
              <w:tr2bl w:val="nil"/>
            </w:tcBorders>
            <w:noWrap w:val="0"/>
            <w:vAlign w:val="center"/>
          </w:tcPr>
          <w:p w14:paraId="54DB127F">
            <w:pPr>
              <w:pStyle w:val="19"/>
              <w:bidi w:val="0"/>
              <w:rPr>
                <w:b/>
                <w:bCs/>
              </w:rPr>
            </w:pPr>
            <w:r>
              <w:rPr>
                <w:b/>
                <w:bCs/>
              </w:rPr>
              <w:t>烟尘（PM</w:t>
            </w:r>
            <w:r>
              <w:rPr>
                <w:b/>
                <w:bCs/>
                <w:vertAlign w:val="subscript"/>
              </w:rPr>
              <w:t>10</w:t>
            </w:r>
            <w:r>
              <w:rPr>
                <w:b/>
                <w:bCs/>
              </w:rPr>
              <w:t>）</w:t>
            </w:r>
          </w:p>
        </w:tc>
      </w:tr>
      <w:tr w14:paraId="73E3C74A">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vMerge w:val="continue"/>
            <w:tcBorders>
              <w:tl2br w:val="nil"/>
              <w:tr2bl w:val="nil"/>
            </w:tcBorders>
            <w:noWrap w:val="0"/>
            <w:vAlign w:val="center"/>
          </w:tcPr>
          <w:p w14:paraId="0304474D">
            <w:pPr>
              <w:pStyle w:val="19"/>
              <w:bidi w:val="0"/>
              <w:rPr>
                <w:b/>
                <w:bCs/>
              </w:rPr>
            </w:pPr>
          </w:p>
        </w:tc>
        <w:tc>
          <w:tcPr>
            <w:tcW w:w="771" w:type="pct"/>
            <w:tcBorders>
              <w:tl2br w:val="nil"/>
              <w:tr2bl w:val="nil"/>
            </w:tcBorders>
            <w:noWrap w:val="0"/>
            <w:vAlign w:val="center"/>
          </w:tcPr>
          <w:p w14:paraId="22444AD3">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gridSpan w:val="2"/>
            <w:tcBorders>
              <w:tl2br w:val="nil"/>
              <w:tr2bl w:val="nil"/>
            </w:tcBorders>
            <w:noWrap w:val="0"/>
            <w:vAlign w:val="center"/>
          </w:tcPr>
          <w:p w14:paraId="5D019821">
            <w:pPr>
              <w:pStyle w:val="19"/>
              <w:bidi w:val="0"/>
              <w:rPr>
                <w:b/>
                <w:bCs/>
              </w:rPr>
            </w:pPr>
            <w:r>
              <w:rPr>
                <w:b/>
                <w:bCs/>
              </w:rPr>
              <w:t>占标率(%)</w:t>
            </w:r>
          </w:p>
        </w:tc>
        <w:tc>
          <w:tcPr>
            <w:tcW w:w="769" w:type="pct"/>
            <w:tcBorders>
              <w:tl2br w:val="nil"/>
              <w:tr2bl w:val="nil"/>
            </w:tcBorders>
            <w:noWrap w:val="0"/>
            <w:vAlign w:val="center"/>
          </w:tcPr>
          <w:p w14:paraId="4985AE5F">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gridSpan w:val="2"/>
            <w:tcBorders>
              <w:tl2br w:val="nil"/>
              <w:tr2bl w:val="nil"/>
            </w:tcBorders>
            <w:noWrap w:val="0"/>
            <w:vAlign w:val="center"/>
          </w:tcPr>
          <w:p w14:paraId="584DE33D">
            <w:pPr>
              <w:pStyle w:val="19"/>
              <w:bidi w:val="0"/>
              <w:rPr>
                <w:b/>
                <w:bCs/>
              </w:rPr>
            </w:pPr>
            <w:r>
              <w:rPr>
                <w:b/>
                <w:bCs/>
              </w:rPr>
              <w:t>占标率(%)</w:t>
            </w:r>
          </w:p>
        </w:tc>
        <w:tc>
          <w:tcPr>
            <w:tcW w:w="770" w:type="pct"/>
            <w:tcBorders>
              <w:tl2br w:val="nil"/>
              <w:tr2bl w:val="nil"/>
            </w:tcBorders>
            <w:noWrap w:val="0"/>
            <w:vAlign w:val="center"/>
          </w:tcPr>
          <w:p w14:paraId="6F0C0A4D">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tcBorders>
              <w:tl2br w:val="nil"/>
              <w:tr2bl w:val="nil"/>
            </w:tcBorders>
            <w:noWrap w:val="0"/>
            <w:vAlign w:val="center"/>
          </w:tcPr>
          <w:p w14:paraId="5EB11721">
            <w:pPr>
              <w:pStyle w:val="19"/>
              <w:bidi w:val="0"/>
              <w:rPr>
                <w:b/>
                <w:bCs/>
              </w:rPr>
            </w:pPr>
            <w:r>
              <w:rPr>
                <w:b/>
                <w:bCs/>
              </w:rPr>
              <w:t>占标率(%)</w:t>
            </w:r>
          </w:p>
        </w:tc>
      </w:tr>
      <w:tr w14:paraId="0021978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64FEB3D">
            <w:pPr>
              <w:pStyle w:val="19"/>
              <w:bidi w:val="0"/>
            </w:pPr>
            <w:r>
              <w:t>50</w:t>
            </w:r>
          </w:p>
        </w:tc>
        <w:tc>
          <w:tcPr>
            <w:tcW w:w="1282" w:type="dxa"/>
            <w:tcBorders>
              <w:tl2br w:val="nil"/>
              <w:tr2bl w:val="nil"/>
            </w:tcBorders>
            <w:noWrap w:val="0"/>
            <w:vAlign w:val="center"/>
          </w:tcPr>
          <w:p w14:paraId="425CF425">
            <w:pPr>
              <w:pStyle w:val="19"/>
              <w:bidi w:val="0"/>
            </w:pPr>
            <w:r>
              <w:rPr>
                <w:rFonts w:hint="eastAsia"/>
                <w:lang w:val="en-US" w:eastAsia="zh-CN"/>
              </w:rPr>
              <w:t xml:space="preserve">0.3157 </w:t>
            </w:r>
          </w:p>
        </w:tc>
        <w:tc>
          <w:tcPr>
            <w:tcW w:w="1287" w:type="dxa"/>
            <w:gridSpan w:val="2"/>
            <w:tcBorders>
              <w:tl2br w:val="nil"/>
              <w:tr2bl w:val="nil"/>
            </w:tcBorders>
            <w:noWrap w:val="0"/>
            <w:vAlign w:val="center"/>
          </w:tcPr>
          <w:p w14:paraId="5F3DFBC3">
            <w:pPr>
              <w:pStyle w:val="19"/>
              <w:bidi w:val="0"/>
            </w:pPr>
            <w:r>
              <w:rPr>
                <w:rFonts w:hint="eastAsia"/>
                <w:lang w:val="en-US" w:eastAsia="zh-CN"/>
              </w:rPr>
              <w:t xml:space="preserve">0.0631 </w:t>
            </w:r>
          </w:p>
        </w:tc>
        <w:tc>
          <w:tcPr>
            <w:tcW w:w="1280" w:type="dxa"/>
            <w:tcBorders>
              <w:tl2br w:val="nil"/>
              <w:tr2bl w:val="nil"/>
            </w:tcBorders>
            <w:noWrap w:val="0"/>
            <w:vAlign w:val="center"/>
          </w:tcPr>
          <w:p w14:paraId="053133BF">
            <w:pPr>
              <w:pStyle w:val="19"/>
              <w:bidi w:val="0"/>
            </w:pPr>
            <w:r>
              <w:rPr>
                <w:rFonts w:hint="eastAsia"/>
                <w:lang w:val="en-US" w:eastAsia="zh-CN"/>
              </w:rPr>
              <w:t xml:space="preserve">0.3969 </w:t>
            </w:r>
          </w:p>
        </w:tc>
        <w:tc>
          <w:tcPr>
            <w:tcW w:w="1289" w:type="dxa"/>
            <w:gridSpan w:val="2"/>
            <w:tcBorders>
              <w:tl2br w:val="nil"/>
              <w:tr2bl w:val="nil"/>
            </w:tcBorders>
            <w:noWrap w:val="0"/>
            <w:vAlign w:val="center"/>
          </w:tcPr>
          <w:p w14:paraId="50B234F2">
            <w:pPr>
              <w:pStyle w:val="19"/>
              <w:bidi w:val="0"/>
            </w:pPr>
            <w:r>
              <w:rPr>
                <w:rFonts w:hint="eastAsia"/>
                <w:lang w:val="en-US" w:eastAsia="zh-CN"/>
              </w:rPr>
              <w:t xml:space="preserve">0.2779 </w:t>
            </w:r>
          </w:p>
        </w:tc>
        <w:tc>
          <w:tcPr>
            <w:tcW w:w="1282" w:type="dxa"/>
            <w:tcBorders>
              <w:tl2br w:val="nil"/>
              <w:tr2bl w:val="nil"/>
            </w:tcBorders>
            <w:noWrap w:val="0"/>
            <w:vAlign w:val="center"/>
          </w:tcPr>
          <w:p w14:paraId="51CB8D0C">
            <w:pPr>
              <w:pStyle w:val="19"/>
              <w:bidi w:val="0"/>
            </w:pPr>
            <w:r>
              <w:rPr>
                <w:rFonts w:hint="eastAsia"/>
                <w:lang w:val="en-US" w:eastAsia="zh-CN"/>
              </w:rPr>
              <w:t xml:space="preserve">0.0755 </w:t>
            </w:r>
          </w:p>
        </w:tc>
        <w:tc>
          <w:tcPr>
            <w:tcW w:w="1287" w:type="dxa"/>
            <w:tcBorders>
              <w:tl2br w:val="nil"/>
              <w:tr2bl w:val="nil"/>
            </w:tcBorders>
            <w:noWrap w:val="0"/>
            <w:vAlign w:val="center"/>
          </w:tcPr>
          <w:p w14:paraId="2B606EEE">
            <w:pPr>
              <w:pStyle w:val="19"/>
              <w:bidi w:val="0"/>
            </w:pPr>
            <w:r>
              <w:rPr>
                <w:rFonts w:hint="eastAsia"/>
                <w:lang w:val="en-US" w:eastAsia="zh-CN"/>
              </w:rPr>
              <w:t xml:space="preserve">0.0151 </w:t>
            </w:r>
          </w:p>
        </w:tc>
      </w:tr>
      <w:tr w14:paraId="1D504952">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6FFDCE4">
            <w:pPr>
              <w:pStyle w:val="19"/>
              <w:bidi w:val="0"/>
            </w:pPr>
            <w:r>
              <w:t>100</w:t>
            </w:r>
          </w:p>
        </w:tc>
        <w:tc>
          <w:tcPr>
            <w:tcW w:w="1282" w:type="dxa"/>
            <w:tcBorders>
              <w:tl2br w:val="nil"/>
              <w:tr2bl w:val="nil"/>
            </w:tcBorders>
            <w:noWrap w:val="0"/>
            <w:vAlign w:val="center"/>
          </w:tcPr>
          <w:p w14:paraId="23B04B53">
            <w:pPr>
              <w:pStyle w:val="19"/>
              <w:bidi w:val="0"/>
            </w:pPr>
            <w:r>
              <w:rPr>
                <w:rFonts w:hint="eastAsia"/>
                <w:lang w:val="en-US" w:eastAsia="zh-CN"/>
              </w:rPr>
              <w:t xml:space="preserve">5.0508 </w:t>
            </w:r>
          </w:p>
        </w:tc>
        <w:tc>
          <w:tcPr>
            <w:tcW w:w="1287" w:type="dxa"/>
            <w:gridSpan w:val="2"/>
            <w:tcBorders>
              <w:tl2br w:val="nil"/>
              <w:tr2bl w:val="nil"/>
            </w:tcBorders>
            <w:noWrap w:val="0"/>
            <w:vAlign w:val="center"/>
          </w:tcPr>
          <w:p w14:paraId="47C0952D">
            <w:pPr>
              <w:pStyle w:val="19"/>
              <w:bidi w:val="0"/>
            </w:pPr>
            <w:r>
              <w:rPr>
                <w:rFonts w:hint="eastAsia"/>
                <w:lang w:val="en-US" w:eastAsia="zh-CN"/>
              </w:rPr>
              <w:t xml:space="preserve">1.0102 </w:t>
            </w:r>
          </w:p>
        </w:tc>
        <w:tc>
          <w:tcPr>
            <w:tcW w:w="1280" w:type="dxa"/>
            <w:tcBorders>
              <w:tl2br w:val="nil"/>
              <w:tr2bl w:val="nil"/>
            </w:tcBorders>
            <w:noWrap w:val="0"/>
            <w:vAlign w:val="center"/>
          </w:tcPr>
          <w:p w14:paraId="366D75F6">
            <w:pPr>
              <w:pStyle w:val="19"/>
              <w:bidi w:val="0"/>
            </w:pPr>
            <w:r>
              <w:rPr>
                <w:rFonts w:hint="eastAsia"/>
                <w:lang w:val="en-US" w:eastAsia="zh-CN"/>
              </w:rPr>
              <w:t xml:space="preserve">10.7176 </w:t>
            </w:r>
          </w:p>
        </w:tc>
        <w:tc>
          <w:tcPr>
            <w:tcW w:w="1289" w:type="dxa"/>
            <w:gridSpan w:val="2"/>
            <w:tcBorders>
              <w:tl2br w:val="nil"/>
              <w:tr2bl w:val="nil"/>
            </w:tcBorders>
            <w:noWrap w:val="0"/>
            <w:vAlign w:val="center"/>
          </w:tcPr>
          <w:p w14:paraId="702ADE74">
            <w:pPr>
              <w:pStyle w:val="19"/>
              <w:bidi w:val="0"/>
            </w:pPr>
            <w:r>
              <w:rPr>
                <w:rFonts w:hint="eastAsia"/>
                <w:lang w:val="en-US" w:eastAsia="zh-CN"/>
              </w:rPr>
              <w:t xml:space="preserve">5.2794 </w:t>
            </w:r>
          </w:p>
        </w:tc>
        <w:tc>
          <w:tcPr>
            <w:tcW w:w="1282" w:type="dxa"/>
            <w:tcBorders>
              <w:tl2br w:val="nil"/>
              <w:tr2bl w:val="nil"/>
            </w:tcBorders>
            <w:noWrap w:val="0"/>
            <w:vAlign w:val="center"/>
          </w:tcPr>
          <w:p w14:paraId="15D3E063">
            <w:pPr>
              <w:pStyle w:val="19"/>
              <w:bidi w:val="0"/>
            </w:pPr>
            <w:r>
              <w:rPr>
                <w:rFonts w:hint="eastAsia"/>
                <w:lang w:val="en-US" w:eastAsia="zh-CN"/>
              </w:rPr>
              <w:t xml:space="preserve">0.0755 </w:t>
            </w:r>
          </w:p>
        </w:tc>
        <w:tc>
          <w:tcPr>
            <w:tcW w:w="1287" w:type="dxa"/>
            <w:tcBorders>
              <w:tl2br w:val="nil"/>
              <w:tr2bl w:val="nil"/>
            </w:tcBorders>
            <w:noWrap w:val="0"/>
            <w:vAlign w:val="center"/>
          </w:tcPr>
          <w:p w14:paraId="277385EF">
            <w:pPr>
              <w:pStyle w:val="19"/>
              <w:bidi w:val="0"/>
            </w:pPr>
            <w:r>
              <w:rPr>
                <w:rFonts w:hint="eastAsia"/>
                <w:lang w:val="en-US" w:eastAsia="zh-CN"/>
              </w:rPr>
              <w:t xml:space="preserve">0.0189 </w:t>
            </w:r>
          </w:p>
        </w:tc>
      </w:tr>
      <w:tr w14:paraId="4B1935DF">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0B83225C">
            <w:pPr>
              <w:pStyle w:val="19"/>
              <w:bidi w:val="0"/>
            </w:pPr>
            <w:r>
              <w:t>200</w:t>
            </w:r>
          </w:p>
        </w:tc>
        <w:tc>
          <w:tcPr>
            <w:tcW w:w="1282" w:type="dxa"/>
            <w:tcBorders>
              <w:tl2br w:val="nil"/>
              <w:tr2bl w:val="nil"/>
            </w:tcBorders>
            <w:noWrap w:val="0"/>
            <w:vAlign w:val="center"/>
          </w:tcPr>
          <w:p w14:paraId="530C3D93">
            <w:pPr>
              <w:pStyle w:val="19"/>
              <w:bidi w:val="0"/>
            </w:pPr>
            <w:r>
              <w:rPr>
                <w:rFonts w:hint="eastAsia"/>
                <w:lang w:val="en-US" w:eastAsia="zh-CN"/>
              </w:rPr>
              <w:t xml:space="preserve">5.3665 </w:t>
            </w:r>
          </w:p>
        </w:tc>
        <w:tc>
          <w:tcPr>
            <w:tcW w:w="1287" w:type="dxa"/>
            <w:gridSpan w:val="2"/>
            <w:tcBorders>
              <w:tl2br w:val="nil"/>
              <w:tr2bl w:val="nil"/>
            </w:tcBorders>
            <w:noWrap w:val="0"/>
            <w:vAlign w:val="center"/>
          </w:tcPr>
          <w:p w14:paraId="747A372D">
            <w:pPr>
              <w:pStyle w:val="19"/>
              <w:bidi w:val="0"/>
            </w:pPr>
            <w:r>
              <w:rPr>
                <w:rFonts w:hint="eastAsia"/>
                <w:lang w:val="en-US" w:eastAsia="zh-CN"/>
              </w:rPr>
              <w:t xml:space="preserve">1.0733 </w:t>
            </w:r>
          </w:p>
        </w:tc>
        <w:tc>
          <w:tcPr>
            <w:tcW w:w="1280" w:type="dxa"/>
            <w:tcBorders>
              <w:tl2br w:val="nil"/>
              <w:tr2bl w:val="nil"/>
            </w:tcBorders>
            <w:noWrap w:val="0"/>
            <w:vAlign w:val="center"/>
          </w:tcPr>
          <w:p w14:paraId="7590F63D">
            <w:pPr>
              <w:pStyle w:val="19"/>
              <w:bidi w:val="0"/>
            </w:pPr>
            <w:r>
              <w:rPr>
                <w:rFonts w:hint="eastAsia"/>
                <w:lang w:val="en-US" w:eastAsia="zh-CN"/>
              </w:rPr>
              <w:t xml:space="preserve">11.5115 </w:t>
            </w:r>
          </w:p>
        </w:tc>
        <w:tc>
          <w:tcPr>
            <w:tcW w:w="1289" w:type="dxa"/>
            <w:gridSpan w:val="2"/>
            <w:tcBorders>
              <w:tl2br w:val="nil"/>
              <w:tr2bl w:val="nil"/>
            </w:tcBorders>
            <w:noWrap w:val="0"/>
            <w:vAlign w:val="center"/>
          </w:tcPr>
          <w:p w14:paraId="7FF22C48">
            <w:pPr>
              <w:pStyle w:val="19"/>
              <w:bidi w:val="0"/>
            </w:pPr>
            <w:r>
              <w:rPr>
                <w:rFonts w:hint="eastAsia"/>
                <w:lang w:val="en-US" w:eastAsia="zh-CN"/>
              </w:rPr>
              <w:t xml:space="preserve">5.6764 </w:t>
            </w:r>
          </w:p>
        </w:tc>
        <w:tc>
          <w:tcPr>
            <w:tcW w:w="1282" w:type="dxa"/>
            <w:tcBorders>
              <w:tl2br w:val="nil"/>
              <w:tr2bl w:val="nil"/>
            </w:tcBorders>
            <w:noWrap w:val="0"/>
            <w:vAlign w:val="center"/>
          </w:tcPr>
          <w:p w14:paraId="128A9112">
            <w:pPr>
              <w:pStyle w:val="19"/>
              <w:bidi w:val="0"/>
            </w:pPr>
            <w:r>
              <w:rPr>
                <w:rFonts w:hint="eastAsia"/>
                <w:lang w:val="en-US" w:eastAsia="zh-CN"/>
              </w:rPr>
              <w:t xml:space="preserve">0.0378 </w:t>
            </w:r>
          </w:p>
        </w:tc>
        <w:tc>
          <w:tcPr>
            <w:tcW w:w="1287" w:type="dxa"/>
            <w:tcBorders>
              <w:tl2br w:val="nil"/>
              <w:tr2bl w:val="nil"/>
            </w:tcBorders>
            <w:noWrap w:val="0"/>
            <w:vAlign w:val="center"/>
          </w:tcPr>
          <w:p w14:paraId="6E087951">
            <w:pPr>
              <w:pStyle w:val="19"/>
              <w:bidi w:val="0"/>
            </w:pPr>
            <w:r>
              <w:rPr>
                <w:rFonts w:hint="eastAsia"/>
                <w:lang w:val="en-US" w:eastAsia="zh-CN"/>
              </w:rPr>
              <w:t xml:space="preserve">0.0113 </w:t>
            </w:r>
          </w:p>
        </w:tc>
      </w:tr>
      <w:tr w14:paraId="0E75A638">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F24E964">
            <w:pPr>
              <w:pStyle w:val="19"/>
              <w:bidi w:val="0"/>
            </w:pPr>
            <w:r>
              <w:t>300</w:t>
            </w:r>
          </w:p>
        </w:tc>
        <w:tc>
          <w:tcPr>
            <w:tcW w:w="1282" w:type="dxa"/>
            <w:tcBorders>
              <w:tl2br w:val="nil"/>
              <w:tr2bl w:val="nil"/>
            </w:tcBorders>
            <w:noWrap w:val="0"/>
            <w:vAlign w:val="center"/>
          </w:tcPr>
          <w:p w14:paraId="766B5946">
            <w:pPr>
              <w:pStyle w:val="19"/>
              <w:bidi w:val="0"/>
            </w:pPr>
            <w:r>
              <w:rPr>
                <w:rFonts w:hint="eastAsia"/>
                <w:lang w:val="en-US" w:eastAsia="zh-CN"/>
              </w:rPr>
              <w:t xml:space="preserve">3.4725 </w:t>
            </w:r>
          </w:p>
        </w:tc>
        <w:tc>
          <w:tcPr>
            <w:tcW w:w="1287" w:type="dxa"/>
            <w:gridSpan w:val="2"/>
            <w:tcBorders>
              <w:tl2br w:val="nil"/>
              <w:tr2bl w:val="nil"/>
            </w:tcBorders>
            <w:noWrap w:val="0"/>
            <w:vAlign w:val="center"/>
          </w:tcPr>
          <w:p w14:paraId="0EEF162C">
            <w:pPr>
              <w:pStyle w:val="19"/>
              <w:bidi w:val="0"/>
            </w:pPr>
            <w:r>
              <w:rPr>
                <w:rFonts w:hint="eastAsia"/>
                <w:lang w:val="en-US" w:eastAsia="zh-CN"/>
              </w:rPr>
              <w:t xml:space="preserve">0.6629 </w:t>
            </w:r>
          </w:p>
        </w:tc>
        <w:tc>
          <w:tcPr>
            <w:tcW w:w="1280" w:type="dxa"/>
            <w:tcBorders>
              <w:tl2br w:val="nil"/>
              <w:tr2bl w:val="nil"/>
            </w:tcBorders>
            <w:noWrap w:val="0"/>
            <w:vAlign w:val="center"/>
          </w:tcPr>
          <w:p w14:paraId="13706754">
            <w:pPr>
              <w:pStyle w:val="19"/>
              <w:bidi w:val="0"/>
            </w:pPr>
            <w:r>
              <w:rPr>
                <w:rFonts w:hint="eastAsia"/>
                <w:lang w:val="en-US" w:eastAsia="zh-CN"/>
              </w:rPr>
              <w:t xml:space="preserve">7.1451 </w:t>
            </w:r>
          </w:p>
        </w:tc>
        <w:tc>
          <w:tcPr>
            <w:tcW w:w="1289" w:type="dxa"/>
            <w:gridSpan w:val="2"/>
            <w:tcBorders>
              <w:tl2br w:val="nil"/>
              <w:tr2bl w:val="nil"/>
            </w:tcBorders>
            <w:noWrap w:val="0"/>
            <w:vAlign w:val="center"/>
          </w:tcPr>
          <w:p w14:paraId="65D1625B">
            <w:pPr>
              <w:pStyle w:val="19"/>
              <w:bidi w:val="0"/>
            </w:pPr>
            <w:r>
              <w:rPr>
                <w:rFonts w:hint="eastAsia"/>
                <w:lang w:val="en-US" w:eastAsia="zh-CN"/>
              </w:rPr>
              <w:t xml:space="preserve">3.5328 </w:t>
            </w:r>
          </w:p>
        </w:tc>
        <w:tc>
          <w:tcPr>
            <w:tcW w:w="1282" w:type="dxa"/>
            <w:tcBorders>
              <w:tl2br w:val="nil"/>
              <w:tr2bl w:val="nil"/>
            </w:tcBorders>
            <w:noWrap w:val="0"/>
            <w:vAlign w:val="center"/>
          </w:tcPr>
          <w:p w14:paraId="0581FCAD">
            <w:pPr>
              <w:pStyle w:val="19"/>
              <w:bidi w:val="0"/>
            </w:pPr>
            <w:r>
              <w:rPr>
                <w:rFonts w:hint="eastAsia"/>
                <w:lang w:val="en-US" w:eastAsia="zh-CN"/>
              </w:rPr>
              <w:t xml:space="preserve">0.0755 </w:t>
            </w:r>
          </w:p>
        </w:tc>
        <w:tc>
          <w:tcPr>
            <w:tcW w:w="1287" w:type="dxa"/>
            <w:tcBorders>
              <w:tl2br w:val="nil"/>
              <w:tr2bl w:val="nil"/>
            </w:tcBorders>
            <w:noWrap w:val="0"/>
            <w:vAlign w:val="center"/>
          </w:tcPr>
          <w:p w14:paraId="7F2F4794">
            <w:pPr>
              <w:pStyle w:val="19"/>
              <w:bidi w:val="0"/>
            </w:pPr>
            <w:r>
              <w:rPr>
                <w:rFonts w:hint="eastAsia"/>
                <w:lang w:val="en-US" w:eastAsia="zh-CN"/>
              </w:rPr>
              <w:t xml:space="preserve">0.0113 </w:t>
            </w:r>
          </w:p>
        </w:tc>
      </w:tr>
      <w:tr w14:paraId="53250D7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7BDEC30D">
            <w:pPr>
              <w:pStyle w:val="19"/>
              <w:bidi w:val="0"/>
            </w:pPr>
            <w:r>
              <w:t>400</w:t>
            </w:r>
          </w:p>
        </w:tc>
        <w:tc>
          <w:tcPr>
            <w:tcW w:w="1282" w:type="dxa"/>
            <w:tcBorders>
              <w:tl2br w:val="nil"/>
              <w:tr2bl w:val="nil"/>
            </w:tcBorders>
            <w:noWrap w:val="0"/>
            <w:vAlign w:val="center"/>
          </w:tcPr>
          <w:p w14:paraId="2158DEB3">
            <w:pPr>
              <w:pStyle w:val="19"/>
              <w:bidi w:val="0"/>
            </w:pPr>
            <w:r>
              <w:rPr>
                <w:rFonts w:hint="eastAsia"/>
                <w:lang w:val="en-US" w:eastAsia="zh-CN"/>
              </w:rPr>
              <w:t xml:space="preserve">4.1038 </w:t>
            </w:r>
          </w:p>
        </w:tc>
        <w:tc>
          <w:tcPr>
            <w:tcW w:w="1287" w:type="dxa"/>
            <w:gridSpan w:val="2"/>
            <w:tcBorders>
              <w:tl2br w:val="nil"/>
              <w:tr2bl w:val="nil"/>
            </w:tcBorders>
            <w:noWrap w:val="0"/>
            <w:vAlign w:val="center"/>
          </w:tcPr>
          <w:p w14:paraId="2103C0D7">
            <w:pPr>
              <w:pStyle w:val="19"/>
              <w:bidi w:val="0"/>
            </w:pPr>
            <w:r>
              <w:rPr>
                <w:rFonts w:hint="eastAsia"/>
                <w:lang w:val="en-US" w:eastAsia="zh-CN"/>
              </w:rPr>
              <w:t xml:space="preserve">0.7892 </w:t>
            </w:r>
          </w:p>
        </w:tc>
        <w:tc>
          <w:tcPr>
            <w:tcW w:w="1280" w:type="dxa"/>
            <w:tcBorders>
              <w:tl2br w:val="nil"/>
              <w:tr2bl w:val="nil"/>
            </w:tcBorders>
            <w:noWrap w:val="0"/>
            <w:vAlign w:val="center"/>
          </w:tcPr>
          <w:p w14:paraId="41C9AA73">
            <w:pPr>
              <w:pStyle w:val="19"/>
              <w:bidi w:val="0"/>
            </w:pPr>
            <w:r>
              <w:rPr>
                <w:rFonts w:hint="eastAsia"/>
                <w:lang w:val="en-US" w:eastAsia="zh-CN"/>
              </w:rPr>
              <w:t xml:space="preserve">8.3359 </w:t>
            </w:r>
          </w:p>
        </w:tc>
        <w:tc>
          <w:tcPr>
            <w:tcW w:w="1289" w:type="dxa"/>
            <w:gridSpan w:val="2"/>
            <w:tcBorders>
              <w:tl2br w:val="nil"/>
              <w:tr2bl w:val="nil"/>
            </w:tcBorders>
            <w:noWrap w:val="0"/>
            <w:vAlign w:val="center"/>
          </w:tcPr>
          <w:p w14:paraId="17B02C38">
            <w:pPr>
              <w:pStyle w:val="19"/>
              <w:bidi w:val="0"/>
            </w:pPr>
            <w:r>
              <w:rPr>
                <w:rFonts w:hint="eastAsia"/>
                <w:lang w:val="en-US" w:eastAsia="zh-CN"/>
              </w:rPr>
              <w:t xml:space="preserve">4.1680 </w:t>
            </w:r>
          </w:p>
        </w:tc>
        <w:tc>
          <w:tcPr>
            <w:tcW w:w="1282" w:type="dxa"/>
            <w:tcBorders>
              <w:tl2br w:val="nil"/>
              <w:tr2bl w:val="nil"/>
            </w:tcBorders>
            <w:noWrap w:val="0"/>
            <w:vAlign w:val="center"/>
          </w:tcPr>
          <w:p w14:paraId="1A8E7EFE">
            <w:pPr>
              <w:pStyle w:val="19"/>
              <w:bidi w:val="0"/>
            </w:pPr>
            <w:r>
              <w:rPr>
                <w:rFonts w:hint="eastAsia"/>
                <w:lang w:val="en-US" w:eastAsia="zh-CN"/>
              </w:rPr>
              <w:t xml:space="preserve">0.0378 </w:t>
            </w:r>
          </w:p>
        </w:tc>
        <w:tc>
          <w:tcPr>
            <w:tcW w:w="1287" w:type="dxa"/>
            <w:tcBorders>
              <w:tl2br w:val="nil"/>
              <w:tr2bl w:val="nil"/>
            </w:tcBorders>
            <w:noWrap w:val="0"/>
            <w:vAlign w:val="center"/>
          </w:tcPr>
          <w:p w14:paraId="4F33CA03">
            <w:pPr>
              <w:pStyle w:val="19"/>
              <w:bidi w:val="0"/>
            </w:pPr>
            <w:r>
              <w:rPr>
                <w:rFonts w:hint="eastAsia"/>
                <w:lang w:val="en-US" w:eastAsia="zh-CN"/>
              </w:rPr>
              <w:t xml:space="preserve">0.0113 </w:t>
            </w:r>
          </w:p>
        </w:tc>
      </w:tr>
      <w:tr w14:paraId="5CCE947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0A23A518">
            <w:pPr>
              <w:pStyle w:val="19"/>
              <w:bidi w:val="0"/>
            </w:pPr>
            <w:r>
              <w:t>475</w:t>
            </w:r>
          </w:p>
        </w:tc>
        <w:tc>
          <w:tcPr>
            <w:tcW w:w="1282" w:type="dxa"/>
            <w:tcBorders>
              <w:tl2br w:val="nil"/>
              <w:tr2bl w:val="nil"/>
            </w:tcBorders>
            <w:noWrap w:val="0"/>
            <w:vAlign w:val="center"/>
          </w:tcPr>
          <w:p w14:paraId="6EFEEA83">
            <w:pPr>
              <w:pStyle w:val="19"/>
              <w:bidi w:val="0"/>
            </w:pPr>
            <w:r>
              <w:rPr>
                <w:rFonts w:hint="eastAsia"/>
                <w:lang w:val="en-US" w:eastAsia="zh-CN"/>
              </w:rPr>
              <w:t xml:space="preserve">3.7881 </w:t>
            </w:r>
          </w:p>
        </w:tc>
        <w:tc>
          <w:tcPr>
            <w:tcW w:w="1287" w:type="dxa"/>
            <w:gridSpan w:val="2"/>
            <w:tcBorders>
              <w:tl2br w:val="nil"/>
              <w:tr2bl w:val="nil"/>
            </w:tcBorders>
            <w:noWrap w:val="0"/>
            <w:vAlign w:val="center"/>
          </w:tcPr>
          <w:p w14:paraId="0A1248A5">
            <w:pPr>
              <w:pStyle w:val="19"/>
              <w:bidi w:val="0"/>
            </w:pPr>
            <w:r>
              <w:rPr>
                <w:rFonts w:hint="eastAsia"/>
                <w:lang w:val="en-US" w:eastAsia="zh-CN"/>
              </w:rPr>
              <w:t xml:space="preserve">0.7576 </w:t>
            </w:r>
          </w:p>
        </w:tc>
        <w:tc>
          <w:tcPr>
            <w:tcW w:w="1280" w:type="dxa"/>
            <w:tcBorders>
              <w:tl2br w:val="nil"/>
              <w:tr2bl w:val="nil"/>
            </w:tcBorders>
            <w:noWrap w:val="0"/>
            <w:vAlign w:val="center"/>
          </w:tcPr>
          <w:p w14:paraId="2066B671">
            <w:pPr>
              <w:pStyle w:val="19"/>
              <w:bidi w:val="0"/>
            </w:pPr>
            <w:r>
              <w:rPr>
                <w:rFonts w:hint="eastAsia"/>
                <w:lang w:val="en-US" w:eastAsia="zh-CN"/>
              </w:rPr>
              <w:t xml:space="preserve">7.9390 </w:t>
            </w:r>
          </w:p>
        </w:tc>
        <w:tc>
          <w:tcPr>
            <w:tcW w:w="1289" w:type="dxa"/>
            <w:gridSpan w:val="2"/>
            <w:tcBorders>
              <w:tl2br w:val="nil"/>
              <w:tr2bl w:val="nil"/>
            </w:tcBorders>
            <w:noWrap w:val="0"/>
            <w:vAlign w:val="center"/>
          </w:tcPr>
          <w:p w14:paraId="62FB2986">
            <w:pPr>
              <w:pStyle w:val="19"/>
              <w:bidi w:val="0"/>
            </w:pPr>
            <w:r>
              <w:rPr>
                <w:rFonts w:hint="eastAsia"/>
                <w:lang w:val="en-US" w:eastAsia="zh-CN"/>
              </w:rPr>
              <w:t xml:space="preserve">3.9298 </w:t>
            </w:r>
          </w:p>
        </w:tc>
        <w:tc>
          <w:tcPr>
            <w:tcW w:w="1282" w:type="dxa"/>
            <w:tcBorders>
              <w:tl2br w:val="nil"/>
              <w:tr2bl w:val="nil"/>
            </w:tcBorders>
            <w:noWrap w:val="0"/>
            <w:vAlign w:val="center"/>
          </w:tcPr>
          <w:p w14:paraId="3D716734">
            <w:pPr>
              <w:pStyle w:val="19"/>
              <w:bidi w:val="0"/>
            </w:pPr>
            <w:r>
              <w:rPr>
                <w:rFonts w:hint="eastAsia"/>
                <w:lang w:val="en-US" w:eastAsia="zh-CN"/>
              </w:rPr>
              <w:t xml:space="preserve">0.0378 </w:t>
            </w:r>
          </w:p>
        </w:tc>
        <w:tc>
          <w:tcPr>
            <w:tcW w:w="1287" w:type="dxa"/>
            <w:tcBorders>
              <w:tl2br w:val="nil"/>
              <w:tr2bl w:val="nil"/>
            </w:tcBorders>
            <w:noWrap w:val="0"/>
            <w:vAlign w:val="center"/>
          </w:tcPr>
          <w:p w14:paraId="55961048">
            <w:pPr>
              <w:pStyle w:val="19"/>
              <w:bidi w:val="0"/>
            </w:pPr>
            <w:r>
              <w:rPr>
                <w:rFonts w:hint="eastAsia"/>
                <w:lang w:val="en-US" w:eastAsia="zh-CN"/>
              </w:rPr>
              <w:t xml:space="preserve">0.0113 </w:t>
            </w:r>
          </w:p>
        </w:tc>
      </w:tr>
      <w:tr w14:paraId="1B4F483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FD72AA1">
            <w:pPr>
              <w:pStyle w:val="19"/>
              <w:bidi w:val="0"/>
            </w:pPr>
            <w:r>
              <w:t>500</w:t>
            </w:r>
          </w:p>
        </w:tc>
        <w:tc>
          <w:tcPr>
            <w:tcW w:w="1282" w:type="dxa"/>
            <w:tcBorders>
              <w:tl2br w:val="nil"/>
              <w:tr2bl w:val="nil"/>
            </w:tcBorders>
            <w:noWrap w:val="0"/>
            <w:vAlign w:val="center"/>
          </w:tcPr>
          <w:p w14:paraId="662ED086">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402AA388">
            <w:pPr>
              <w:pStyle w:val="19"/>
              <w:bidi w:val="0"/>
            </w:pPr>
            <w:r>
              <w:rPr>
                <w:rFonts w:hint="eastAsia"/>
                <w:lang w:val="en-US" w:eastAsia="zh-CN"/>
              </w:rPr>
              <w:t xml:space="preserve">0.6629 </w:t>
            </w:r>
          </w:p>
        </w:tc>
        <w:tc>
          <w:tcPr>
            <w:tcW w:w="1280" w:type="dxa"/>
            <w:tcBorders>
              <w:tl2br w:val="nil"/>
              <w:tr2bl w:val="nil"/>
            </w:tcBorders>
            <w:noWrap w:val="0"/>
            <w:vAlign w:val="center"/>
          </w:tcPr>
          <w:p w14:paraId="4AB48345">
            <w:pPr>
              <w:pStyle w:val="19"/>
              <w:bidi w:val="0"/>
            </w:pPr>
            <w:r>
              <w:rPr>
                <w:rFonts w:hint="eastAsia"/>
                <w:lang w:val="en-US" w:eastAsia="zh-CN"/>
              </w:rPr>
              <w:t xml:space="preserve">6.7481 </w:t>
            </w:r>
          </w:p>
        </w:tc>
        <w:tc>
          <w:tcPr>
            <w:tcW w:w="1289" w:type="dxa"/>
            <w:gridSpan w:val="2"/>
            <w:tcBorders>
              <w:tl2br w:val="nil"/>
              <w:tr2bl w:val="nil"/>
            </w:tcBorders>
            <w:noWrap w:val="0"/>
            <w:vAlign w:val="center"/>
          </w:tcPr>
          <w:p w14:paraId="554A24EC">
            <w:pPr>
              <w:pStyle w:val="19"/>
              <w:bidi w:val="0"/>
            </w:pPr>
            <w:r>
              <w:rPr>
                <w:rFonts w:hint="eastAsia"/>
                <w:lang w:val="en-US" w:eastAsia="zh-CN"/>
              </w:rPr>
              <w:t xml:space="preserve">3.4535 </w:t>
            </w:r>
          </w:p>
        </w:tc>
        <w:tc>
          <w:tcPr>
            <w:tcW w:w="1282" w:type="dxa"/>
            <w:tcBorders>
              <w:tl2br w:val="nil"/>
              <w:tr2bl w:val="nil"/>
            </w:tcBorders>
            <w:noWrap w:val="0"/>
            <w:vAlign w:val="center"/>
          </w:tcPr>
          <w:p w14:paraId="4590C845">
            <w:pPr>
              <w:pStyle w:val="19"/>
              <w:bidi w:val="0"/>
            </w:pPr>
            <w:r>
              <w:rPr>
                <w:rFonts w:hint="eastAsia"/>
                <w:lang w:val="en-US" w:eastAsia="zh-CN"/>
              </w:rPr>
              <w:t xml:space="preserve">0.0378 </w:t>
            </w:r>
          </w:p>
        </w:tc>
        <w:tc>
          <w:tcPr>
            <w:tcW w:w="1287" w:type="dxa"/>
            <w:tcBorders>
              <w:tl2br w:val="nil"/>
              <w:tr2bl w:val="nil"/>
            </w:tcBorders>
            <w:noWrap w:val="0"/>
            <w:vAlign w:val="center"/>
          </w:tcPr>
          <w:p w14:paraId="75FBAA14">
            <w:pPr>
              <w:pStyle w:val="19"/>
              <w:bidi w:val="0"/>
            </w:pPr>
            <w:r>
              <w:rPr>
                <w:rFonts w:hint="eastAsia"/>
                <w:lang w:val="en-US" w:eastAsia="zh-CN"/>
              </w:rPr>
              <w:t xml:space="preserve">0.0076 </w:t>
            </w:r>
          </w:p>
        </w:tc>
      </w:tr>
      <w:tr w14:paraId="131B1A5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43E4455">
            <w:pPr>
              <w:pStyle w:val="19"/>
              <w:bidi w:val="0"/>
            </w:pPr>
            <w:r>
              <w:t>600</w:t>
            </w:r>
          </w:p>
        </w:tc>
        <w:tc>
          <w:tcPr>
            <w:tcW w:w="1282" w:type="dxa"/>
            <w:tcBorders>
              <w:tl2br w:val="nil"/>
              <w:tr2bl w:val="nil"/>
            </w:tcBorders>
            <w:noWrap w:val="0"/>
            <w:vAlign w:val="center"/>
          </w:tcPr>
          <w:p w14:paraId="223AC79A">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182005C4">
            <w:pPr>
              <w:pStyle w:val="19"/>
              <w:bidi w:val="0"/>
            </w:pPr>
            <w:r>
              <w:rPr>
                <w:rFonts w:hint="eastAsia"/>
                <w:lang w:val="en-US" w:eastAsia="zh-CN"/>
              </w:rPr>
              <w:t xml:space="preserve">0.5367 </w:t>
            </w:r>
          </w:p>
        </w:tc>
        <w:tc>
          <w:tcPr>
            <w:tcW w:w="1280" w:type="dxa"/>
            <w:tcBorders>
              <w:tl2br w:val="nil"/>
              <w:tr2bl w:val="nil"/>
            </w:tcBorders>
            <w:noWrap w:val="0"/>
            <w:vAlign w:val="center"/>
          </w:tcPr>
          <w:p w14:paraId="449DCA5B">
            <w:pPr>
              <w:pStyle w:val="19"/>
              <w:bidi w:val="0"/>
            </w:pPr>
            <w:r>
              <w:rPr>
                <w:rFonts w:hint="eastAsia"/>
                <w:lang w:val="en-US" w:eastAsia="zh-CN"/>
              </w:rPr>
              <w:t xml:space="preserve">5.5573 </w:t>
            </w:r>
          </w:p>
        </w:tc>
        <w:tc>
          <w:tcPr>
            <w:tcW w:w="1289" w:type="dxa"/>
            <w:gridSpan w:val="2"/>
            <w:tcBorders>
              <w:tl2br w:val="nil"/>
              <w:tr2bl w:val="nil"/>
            </w:tcBorders>
            <w:noWrap w:val="0"/>
            <w:vAlign w:val="center"/>
          </w:tcPr>
          <w:p w14:paraId="069D53AF">
            <w:pPr>
              <w:pStyle w:val="19"/>
              <w:bidi w:val="0"/>
            </w:pPr>
            <w:r>
              <w:rPr>
                <w:rFonts w:hint="eastAsia"/>
                <w:lang w:val="en-US" w:eastAsia="zh-CN"/>
              </w:rPr>
              <w:t xml:space="preserve">2.8580 </w:t>
            </w:r>
          </w:p>
        </w:tc>
        <w:tc>
          <w:tcPr>
            <w:tcW w:w="1282" w:type="dxa"/>
            <w:tcBorders>
              <w:tl2br w:val="nil"/>
              <w:tr2bl w:val="nil"/>
            </w:tcBorders>
            <w:noWrap w:val="0"/>
            <w:vAlign w:val="center"/>
          </w:tcPr>
          <w:p w14:paraId="5507EBCA">
            <w:pPr>
              <w:pStyle w:val="19"/>
              <w:bidi w:val="0"/>
            </w:pPr>
            <w:r>
              <w:rPr>
                <w:rFonts w:hint="eastAsia"/>
                <w:lang w:val="en-US" w:eastAsia="zh-CN"/>
              </w:rPr>
              <w:t xml:space="preserve">0.0378 </w:t>
            </w:r>
          </w:p>
        </w:tc>
        <w:tc>
          <w:tcPr>
            <w:tcW w:w="1287" w:type="dxa"/>
            <w:tcBorders>
              <w:tl2br w:val="nil"/>
              <w:tr2bl w:val="nil"/>
            </w:tcBorders>
            <w:noWrap w:val="0"/>
            <w:vAlign w:val="center"/>
          </w:tcPr>
          <w:p w14:paraId="31DBCCF4">
            <w:pPr>
              <w:pStyle w:val="19"/>
              <w:bidi w:val="0"/>
            </w:pPr>
            <w:r>
              <w:rPr>
                <w:rFonts w:hint="eastAsia"/>
                <w:lang w:val="en-US" w:eastAsia="zh-CN"/>
              </w:rPr>
              <w:t xml:space="preserve">0.0076 </w:t>
            </w:r>
          </w:p>
        </w:tc>
      </w:tr>
      <w:tr w14:paraId="3A845BB6">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14ADEF36">
            <w:pPr>
              <w:pStyle w:val="19"/>
              <w:bidi w:val="0"/>
            </w:pPr>
            <w:r>
              <w:t>700</w:t>
            </w:r>
          </w:p>
        </w:tc>
        <w:tc>
          <w:tcPr>
            <w:tcW w:w="1282" w:type="dxa"/>
            <w:tcBorders>
              <w:tl2br w:val="nil"/>
              <w:tr2bl w:val="nil"/>
            </w:tcBorders>
            <w:noWrap w:val="0"/>
            <w:vAlign w:val="center"/>
          </w:tcPr>
          <w:p w14:paraId="50ED7151">
            <w:pPr>
              <w:pStyle w:val="19"/>
              <w:bidi w:val="0"/>
            </w:pPr>
            <w:r>
              <w:rPr>
                <w:rFonts w:hint="eastAsia"/>
                <w:lang w:val="en-US" w:eastAsia="zh-CN"/>
              </w:rPr>
              <w:t xml:space="preserve">2.5254 </w:t>
            </w:r>
          </w:p>
        </w:tc>
        <w:tc>
          <w:tcPr>
            <w:tcW w:w="1287" w:type="dxa"/>
            <w:gridSpan w:val="2"/>
            <w:tcBorders>
              <w:tl2br w:val="nil"/>
              <w:tr2bl w:val="nil"/>
            </w:tcBorders>
            <w:noWrap w:val="0"/>
            <w:vAlign w:val="center"/>
          </w:tcPr>
          <w:p w14:paraId="02C61446">
            <w:pPr>
              <w:pStyle w:val="19"/>
              <w:bidi w:val="0"/>
            </w:pPr>
            <w:r>
              <w:rPr>
                <w:rFonts w:hint="eastAsia"/>
                <w:lang w:val="en-US" w:eastAsia="zh-CN"/>
              </w:rPr>
              <w:t xml:space="preserve">0.5051 </w:t>
            </w:r>
          </w:p>
        </w:tc>
        <w:tc>
          <w:tcPr>
            <w:tcW w:w="1280" w:type="dxa"/>
            <w:tcBorders>
              <w:tl2br w:val="nil"/>
              <w:tr2bl w:val="nil"/>
            </w:tcBorders>
            <w:noWrap w:val="0"/>
            <w:vAlign w:val="center"/>
          </w:tcPr>
          <w:p w14:paraId="45E9BCC0">
            <w:pPr>
              <w:pStyle w:val="19"/>
              <w:bidi w:val="0"/>
            </w:pPr>
            <w:r>
              <w:rPr>
                <w:rFonts w:hint="eastAsia"/>
                <w:lang w:val="en-US" w:eastAsia="zh-CN"/>
              </w:rPr>
              <w:t xml:space="preserve">5.1603 </w:t>
            </w:r>
          </w:p>
        </w:tc>
        <w:tc>
          <w:tcPr>
            <w:tcW w:w="1289" w:type="dxa"/>
            <w:gridSpan w:val="2"/>
            <w:tcBorders>
              <w:tl2br w:val="nil"/>
              <w:tr2bl w:val="nil"/>
            </w:tcBorders>
            <w:noWrap w:val="0"/>
            <w:vAlign w:val="center"/>
          </w:tcPr>
          <w:p w14:paraId="21726C03">
            <w:pPr>
              <w:pStyle w:val="19"/>
              <w:bidi w:val="0"/>
            </w:pPr>
            <w:r>
              <w:rPr>
                <w:rFonts w:hint="eastAsia"/>
                <w:lang w:val="en-US" w:eastAsia="zh-CN"/>
              </w:rPr>
              <w:t xml:space="preserve">2.5802 </w:t>
            </w:r>
          </w:p>
        </w:tc>
        <w:tc>
          <w:tcPr>
            <w:tcW w:w="1282" w:type="dxa"/>
            <w:tcBorders>
              <w:tl2br w:val="nil"/>
              <w:tr2bl w:val="nil"/>
            </w:tcBorders>
            <w:noWrap w:val="0"/>
            <w:vAlign w:val="center"/>
          </w:tcPr>
          <w:p w14:paraId="4983A96E">
            <w:pPr>
              <w:pStyle w:val="19"/>
              <w:bidi w:val="0"/>
            </w:pPr>
            <w:r>
              <w:rPr>
                <w:rFonts w:hint="eastAsia"/>
                <w:lang w:val="en-US" w:eastAsia="zh-CN"/>
              </w:rPr>
              <w:t xml:space="preserve">0.0378 </w:t>
            </w:r>
          </w:p>
        </w:tc>
        <w:tc>
          <w:tcPr>
            <w:tcW w:w="1287" w:type="dxa"/>
            <w:tcBorders>
              <w:tl2br w:val="nil"/>
              <w:tr2bl w:val="nil"/>
            </w:tcBorders>
            <w:noWrap w:val="0"/>
            <w:vAlign w:val="center"/>
          </w:tcPr>
          <w:p w14:paraId="40213296">
            <w:pPr>
              <w:pStyle w:val="19"/>
              <w:bidi w:val="0"/>
            </w:pPr>
            <w:r>
              <w:rPr>
                <w:rFonts w:hint="eastAsia"/>
                <w:lang w:val="en-US" w:eastAsia="zh-CN"/>
              </w:rPr>
              <w:t xml:space="preserve">0.0076 </w:t>
            </w:r>
          </w:p>
        </w:tc>
      </w:tr>
      <w:tr w14:paraId="3090E2A4">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7FF0020">
            <w:pPr>
              <w:pStyle w:val="19"/>
              <w:bidi w:val="0"/>
            </w:pPr>
            <w:r>
              <w:t>800</w:t>
            </w:r>
          </w:p>
        </w:tc>
        <w:tc>
          <w:tcPr>
            <w:tcW w:w="1282" w:type="dxa"/>
            <w:tcBorders>
              <w:tl2br w:val="nil"/>
              <w:tr2bl w:val="nil"/>
            </w:tcBorders>
            <w:noWrap w:val="0"/>
            <w:vAlign w:val="center"/>
          </w:tcPr>
          <w:p w14:paraId="138B8602">
            <w:pPr>
              <w:pStyle w:val="19"/>
              <w:bidi w:val="0"/>
            </w:pPr>
            <w:r>
              <w:rPr>
                <w:rFonts w:hint="eastAsia"/>
                <w:lang w:val="en-US" w:eastAsia="zh-CN"/>
              </w:rPr>
              <w:t xml:space="preserve">2.5254 </w:t>
            </w:r>
          </w:p>
        </w:tc>
        <w:tc>
          <w:tcPr>
            <w:tcW w:w="1287" w:type="dxa"/>
            <w:gridSpan w:val="2"/>
            <w:tcBorders>
              <w:tl2br w:val="nil"/>
              <w:tr2bl w:val="nil"/>
            </w:tcBorders>
            <w:noWrap w:val="0"/>
            <w:vAlign w:val="center"/>
          </w:tcPr>
          <w:p w14:paraId="58678C34">
            <w:pPr>
              <w:pStyle w:val="19"/>
              <w:bidi w:val="0"/>
            </w:pPr>
            <w:r>
              <w:rPr>
                <w:rFonts w:hint="eastAsia"/>
                <w:lang w:val="en-US" w:eastAsia="zh-CN"/>
              </w:rPr>
              <w:t xml:space="preserve">0.5051 </w:t>
            </w:r>
          </w:p>
        </w:tc>
        <w:tc>
          <w:tcPr>
            <w:tcW w:w="1280" w:type="dxa"/>
            <w:tcBorders>
              <w:tl2br w:val="nil"/>
              <w:tr2bl w:val="nil"/>
            </w:tcBorders>
            <w:noWrap w:val="0"/>
            <w:vAlign w:val="center"/>
          </w:tcPr>
          <w:p w14:paraId="15A0B685">
            <w:pPr>
              <w:pStyle w:val="19"/>
              <w:bidi w:val="0"/>
            </w:pPr>
            <w:r>
              <w:rPr>
                <w:rFonts w:hint="eastAsia"/>
                <w:lang w:val="en-US" w:eastAsia="zh-CN"/>
              </w:rPr>
              <w:t xml:space="preserve">5.1603 </w:t>
            </w:r>
          </w:p>
        </w:tc>
        <w:tc>
          <w:tcPr>
            <w:tcW w:w="1289" w:type="dxa"/>
            <w:gridSpan w:val="2"/>
            <w:tcBorders>
              <w:tl2br w:val="nil"/>
              <w:tr2bl w:val="nil"/>
            </w:tcBorders>
            <w:noWrap w:val="0"/>
            <w:vAlign w:val="center"/>
          </w:tcPr>
          <w:p w14:paraId="79907B2F">
            <w:pPr>
              <w:pStyle w:val="19"/>
              <w:bidi w:val="0"/>
            </w:pPr>
            <w:r>
              <w:rPr>
                <w:rFonts w:hint="eastAsia"/>
                <w:lang w:val="en-US" w:eastAsia="zh-CN"/>
              </w:rPr>
              <w:t xml:space="preserve">2.6596 </w:t>
            </w:r>
          </w:p>
        </w:tc>
        <w:tc>
          <w:tcPr>
            <w:tcW w:w="1282" w:type="dxa"/>
            <w:tcBorders>
              <w:tl2br w:val="nil"/>
              <w:tr2bl w:val="nil"/>
            </w:tcBorders>
            <w:noWrap w:val="0"/>
            <w:vAlign w:val="center"/>
          </w:tcPr>
          <w:p w14:paraId="32DF2195">
            <w:pPr>
              <w:pStyle w:val="19"/>
              <w:bidi w:val="0"/>
            </w:pPr>
            <w:r>
              <w:rPr>
                <w:rFonts w:hint="eastAsia"/>
                <w:lang w:val="en-US" w:eastAsia="zh-CN"/>
              </w:rPr>
              <w:t xml:space="preserve">0.0378 </w:t>
            </w:r>
          </w:p>
        </w:tc>
        <w:tc>
          <w:tcPr>
            <w:tcW w:w="1287" w:type="dxa"/>
            <w:tcBorders>
              <w:tl2br w:val="nil"/>
              <w:tr2bl w:val="nil"/>
            </w:tcBorders>
            <w:noWrap w:val="0"/>
            <w:vAlign w:val="center"/>
          </w:tcPr>
          <w:p w14:paraId="1679C0D8">
            <w:pPr>
              <w:pStyle w:val="19"/>
              <w:bidi w:val="0"/>
            </w:pPr>
            <w:r>
              <w:rPr>
                <w:rFonts w:hint="eastAsia"/>
                <w:lang w:val="en-US" w:eastAsia="zh-CN"/>
              </w:rPr>
              <w:t xml:space="preserve">0.0076 </w:t>
            </w:r>
          </w:p>
        </w:tc>
      </w:tr>
      <w:tr w14:paraId="6C5428FF">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641DB13">
            <w:pPr>
              <w:pStyle w:val="19"/>
              <w:bidi w:val="0"/>
            </w:pPr>
            <w:r>
              <w:t>900</w:t>
            </w:r>
          </w:p>
        </w:tc>
        <w:tc>
          <w:tcPr>
            <w:tcW w:w="1282" w:type="dxa"/>
            <w:tcBorders>
              <w:tl2br w:val="nil"/>
              <w:tr2bl w:val="nil"/>
            </w:tcBorders>
            <w:noWrap w:val="0"/>
            <w:vAlign w:val="center"/>
          </w:tcPr>
          <w:p w14:paraId="676058A7">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3283682C">
            <w:pPr>
              <w:pStyle w:val="19"/>
              <w:bidi w:val="0"/>
            </w:pPr>
            <w:r>
              <w:rPr>
                <w:rFonts w:hint="eastAsia"/>
                <w:lang w:val="en-US" w:eastAsia="zh-CN"/>
              </w:rPr>
              <w:t xml:space="preserve">0.5367 </w:t>
            </w:r>
          </w:p>
        </w:tc>
        <w:tc>
          <w:tcPr>
            <w:tcW w:w="1280" w:type="dxa"/>
            <w:tcBorders>
              <w:tl2br w:val="nil"/>
              <w:tr2bl w:val="nil"/>
            </w:tcBorders>
            <w:noWrap w:val="0"/>
            <w:vAlign w:val="center"/>
          </w:tcPr>
          <w:p w14:paraId="47495EA8">
            <w:pPr>
              <w:pStyle w:val="19"/>
              <w:bidi w:val="0"/>
            </w:pPr>
            <w:r>
              <w:rPr>
                <w:rFonts w:hint="eastAsia"/>
                <w:lang w:val="en-US" w:eastAsia="zh-CN"/>
              </w:rPr>
              <w:t xml:space="preserve">5.5573 </w:t>
            </w:r>
          </w:p>
        </w:tc>
        <w:tc>
          <w:tcPr>
            <w:tcW w:w="1289" w:type="dxa"/>
            <w:gridSpan w:val="2"/>
            <w:tcBorders>
              <w:tl2br w:val="nil"/>
              <w:tr2bl w:val="nil"/>
            </w:tcBorders>
            <w:noWrap w:val="0"/>
            <w:vAlign w:val="center"/>
          </w:tcPr>
          <w:p w14:paraId="6E5C8472">
            <w:pPr>
              <w:pStyle w:val="19"/>
              <w:bidi w:val="0"/>
            </w:pPr>
            <w:r>
              <w:rPr>
                <w:rFonts w:hint="eastAsia"/>
                <w:lang w:val="en-US" w:eastAsia="zh-CN"/>
              </w:rPr>
              <w:t xml:space="preserve">2.8183 </w:t>
            </w:r>
          </w:p>
        </w:tc>
        <w:tc>
          <w:tcPr>
            <w:tcW w:w="1282" w:type="dxa"/>
            <w:tcBorders>
              <w:tl2br w:val="nil"/>
              <w:tr2bl w:val="nil"/>
            </w:tcBorders>
            <w:noWrap w:val="0"/>
            <w:vAlign w:val="center"/>
          </w:tcPr>
          <w:p w14:paraId="212F3232">
            <w:pPr>
              <w:pStyle w:val="19"/>
              <w:bidi w:val="0"/>
            </w:pPr>
            <w:r>
              <w:rPr>
                <w:rFonts w:hint="eastAsia"/>
                <w:lang w:val="en-US" w:eastAsia="zh-CN"/>
              </w:rPr>
              <w:t xml:space="preserve">0.0378 </w:t>
            </w:r>
          </w:p>
        </w:tc>
        <w:tc>
          <w:tcPr>
            <w:tcW w:w="1287" w:type="dxa"/>
            <w:tcBorders>
              <w:tl2br w:val="nil"/>
              <w:tr2bl w:val="nil"/>
            </w:tcBorders>
            <w:noWrap w:val="0"/>
            <w:vAlign w:val="center"/>
          </w:tcPr>
          <w:p w14:paraId="02E7AA48">
            <w:pPr>
              <w:pStyle w:val="19"/>
              <w:bidi w:val="0"/>
            </w:pPr>
            <w:r>
              <w:rPr>
                <w:rFonts w:hint="eastAsia"/>
                <w:lang w:val="en-US" w:eastAsia="zh-CN"/>
              </w:rPr>
              <w:t xml:space="preserve">0.0113 </w:t>
            </w:r>
          </w:p>
        </w:tc>
      </w:tr>
      <w:tr w14:paraId="02829AC3">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30F2B4B">
            <w:pPr>
              <w:pStyle w:val="19"/>
              <w:bidi w:val="0"/>
            </w:pPr>
            <w:r>
              <w:t>1000</w:t>
            </w:r>
          </w:p>
        </w:tc>
        <w:tc>
          <w:tcPr>
            <w:tcW w:w="1282" w:type="dxa"/>
            <w:tcBorders>
              <w:tl2br w:val="nil"/>
              <w:tr2bl w:val="nil"/>
            </w:tcBorders>
            <w:noWrap w:val="0"/>
            <w:vAlign w:val="center"/>
          </w:tcPr>
          <w:p w14:paraId="1C590197">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18FCA9F5">
            <w:pPr>
              <w:pStyle w:val="19"/>
              <w:bidi w:val="0"/>
            </w:pPr>
            <w:r>
              <w:rPr>
                <w:rFonts w:hint="eastAsia"/>
                <w:lang w:val="en-US" w:eastAsia="zh-CN"/>
              </w:rPr>
              <w:t xml:space="preserve">0.5998 </w:t>
            </w:r>
          </w:p>
        </w:tc>
        <w:tc>
          <w:tcPr>
            <w:tcW w:w="1280" w:type="dxa"/>
            <w:tcBorders>
              <w:tl2br w:val="nil"/>
              <w:tr2bl w:val="nil"/>
            </w:tcBorders>
            <w:noWrap w:val="0"/>
            <w:vAlign w:val="center"/>
          </w:tcPr>
          <w:p w14:paraId="61EC8694">
            <w:pPr>
              <w:pStyle w:val="19"/>
              <w:bidi w:val="0"/>
            </w:pPr>
            <w:r>
              <w:rPr>
                <w:rFonts w:hint="eastAsia"/>
                <w:lang w:val="en-US" w:eastAsia="zh-CN"/>
              </w:rPr>
              <w:t xml:space="preserve">6.3512 </w:t>
            </w:r>
          </w:p>
        </w:tc>
        <w:tc>
          <w:tcPr>
            <w:tcW w:w="1289" w:type="dxa"/>
            <w:gridSpan w:val="2"/>
            <w:tcBorders>
              <w:tl2br w:val="nil"/>
              <w:tr2bl w:val="nil"/>
            </w:tcBorders>
            <w:noWrap w:val="0"/>
            <w:vAlign w:val="center"/>
          </w:tcPr>
          <w:p w14:paraId="2E4757DA">
            <w:pPr>
              <w:pStyle w:val="19"/>
              <w:bidi w:val="0"/>
            </w:pPr>
            <w:r>
              <w:rPr>
                <w:rFonts w:hint="eastAsia"/>
                <w:lang w:val="en-US" w:eastAsia="zh-CN"/>
              </w:rPr>
              <w:t xml:space="preserve">3.1756 </w:t>
            </w:r>
          </w:p>
        </w:tc>
        <w:tc>
          <w:tcPr>
            <w:tcW w:w="1282" w:type="dxa"/>
            <w:tcBorders>
              <w:tl2br w:val="nil"/>
              <w:tr2bl w:val="nil"/>
            </w:tcBorders>
            <w:noWrap w:val="0"/>
            <w:vAlign w:val="center"/>
          </w:tcPr>
          <w:p w14:paraId="2F12984A">
            <w:pPr>
              <w:pStyle w:val="19"/>
              <w:bidi w:val="0"/>
            </w:pPr>
            <w:r>
              <w:rPr>
                <w:rFonts w:hint="eastAsia"/>
                <w:lang w:val="en-US" w:eastAsia="zh-CN"/>
              </w:rPr>
              <w:t xml:space="preserve">0.0378 </w:t>
            </w:r>
          </w:p>
        </w:tc>
        <w:tc>
          <w:tcPr>
            <w:tcW w:w="1287" w:type="dxa"/>
            <w:tcBorders>
              <w:tl2br w:val="nil"/>
              <w:tr2bl w:val="nil"/>
            </w:tcBorders>
            <w:noWrap w:val="0"/>
            <w:vAlign w:val="center"/>
          </w:tcPr>
          <w:p w14:paraId="30A28E9E">
            <w:pPr>
              <w:pStyle w:val="19"/>
              <w:bidi w:val="0"/>
            </w:pPr>
            <w:r>
              <w:rPr>
                <w:rFonts w:hint="eastAsia"/>
                <w:lang w:val="en-US" w:eastAsia="zh-CN"/>
              </w:rPr>
              <w:t xml:space="preserve">0.0113 </w:t>
            </w:r>
          </w:p>
        </w:tc>
      </w:tr>
      <w:tr w14:paraId="4984B079">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11612C0C">
            <w:pPr>
              <w:pStyle w:val="19"/>
              <w:bidi w:val="0"/>
            </w:pPr>
            <w:r>
              <w:rPr>
                <w:rFonts w:hint="eastAsia"/>
              </w:rPr>
              <w:t>1</w:t>
            </w:r>
            <w:r>
              <w:t>200</w:t>
            </w:r>
          </w:p>
        </w:tc>
        <w:tc>
          <w:tcPr>
            <w:tcW w:w="1282" w:type="dxa"/>
            <w:tcBorders>
              <w:tl2br w:val="nil"/>
              <w:tr2bl w:val="nil"/>
            </w:tcBorders>
            <w:noWrap w:val="0"/>
            <w:vAlign w:val="center"/>
          </w:tcPr>
          <w:p w14:paraId="7AB4B145">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0488B130">
            <w:pPr>
              <w:pStyle w:val="19"/>
              <w:bidi w:val="0"/>
            </w:pPr>
            <w:r>
              <w:rPr>
                <w:rFonts w:hint="eastAsia"/>
                <w:lang w:val="en-US" w:eastAsia="zh-CN"/>
              </w:rPr>
              <w:t xml:space="preserve">0.6314 </w:t>
            </w:r>
          </w:p>
        </w:tc>
        <w:tc>
          <w:tcPr>
            <w:tcW w:w="1280" w:type="dxa"/>
            <w:tcBorders>
              <w:tl2br w:val="nil"/>
              <w:tr2bl w:val="nil"/>
            </w:tcBorders>
            <w:noWrap w:val="0"/>
            <w:vAlign w:val="center"/>
          </w:tcPr>
          <w:p w14:paraId="13EE4464">
            <w:pPr>
              <w:pStyle w:val="19"/>
              <w:bidi w:val="0"/>
            </w:pPr>
            <w:r>
              <w:rPr>
                <w:rFonts w:hint="eastAsia"/>
                <w:lang w:val="en-US" w:eastAsia="zh-CN"/>
              </w:rPr>
              <w:t xml:space="preserve">6.7481 </w:t>
            </w:r>
          </w:p>
        </w:tc>
        <w:tc>
          <w:tcPr>
            <w:tcW w:w="1289" w:type="dxa"/>
            <w:gridSpan w:val="2"/>
            <w:tcBorders>
              <w:tl2br w:val="nil"/>
              <w:tr2bl w:val="nil"/>
            </w:tcBorders>
            <w:noWrap w:val="0"/>
            <w:vAlign w:val="center"/>
          </w:tcPr>
          <w:p w14:paraId="3322EEFF">
            <w:pPr>
              <w:pStyle w:val="19"/>
              <w:bidi w:val="0"/>
            </w:pPr>
            <w:r>
              <w:rPr>
                <w:rFonts w:hint="eastAsia"/>
                <w:lang w:val="en-US" w:eastAsia="zh-CN"/>
              </w:rPr>
              <w:t xml:space="preserve">3.2947 </w:t>
            </w:r>
          </w:p>
        </w:tc>
        <w:tc>
          <w:tcPr>
            <w:tcW w:w="1282" w:type="dxa"/>
            <w:tcBorders>
              <w:tl2br w:val="nil"/>
              <w:tr2bl w:val="nil"/>
            </w:tcBorders>
            <w:noWrap w:val="0"/>
            <w:vAlign w:val="center"/>
          </w:tcPr>
          <w:p w14:paraId="401E7EBA">
            <w:pPr>
              <w:pStyle w:val="19"/>
              <w:bidi w:val="0"/>
            </w:pPr>
            <w:r>
              <w:rPr>
                <w:rFonts w:hint="eastAsia"/>
                <w:lang w:val="en-US" w:eastAsia="zh-CN"/>
              </w:rPr>
              <w:t xml:space="preserve">0.0378 </w:t>
            </w:r>
          </w:p>
        </w:tc>
        <w:tc>
          <w:tcPr>
            <w:tcW w:w="1287" w:type="dxa"/>
            <w:tcBorders>
              <w:tl2br w:val="nil"/>
              <w:tr2bl w:val="nil"/>
            </w:tcBorders>
            <w:noWrap w:val="0"/>
            <w:vAlign w:val="center"/>
          </w:tcPr>
          <w:p w14:paraId="18080081">
            <w:pPr>
              <w:pStyle w:val="19"/>
              <w:bidi w:val="0"/>
            </w:pPr>
            <w:r>
              <w:rPr>
                <w:rFonts w:hint="eastAsia"/>
                <w:lang w:val="en-US" w:eastAsia="zh-CN"/>
              </w:rPr>
              <w:t xml:space="preserve">0.0113 </w:t>
            </w:r>
          </w:p>
        </w:tc>
      </w:tr>
      <w:tr w14:paraId="03FE4983">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5C9DC02">
            <w:pPr>
              <w:pStyle w:val="19"/>
              <w:bidi w:val="0"/>
            </w:pPr>
            <w:r>
              <w:rPr>
                <w:rFonts w:hint="eastAsia"/>
              </w:rPr>
              <w:t>1</w:t>
            </w:r>
            <w:r>
              <w:t>500</w:t>
            </w:r>
          </w:p>
        </w:tc>
        <w:tc>
          <w:tcPr>
            <w:tcW w:w="1282" w:type="dxa"/>
            <w:tcBorders>
              <w:tl2br w:val="nil"/>
              <w:tr2bl w:val="nil"/>
            </w:tcBorders>
            <w:noWrap w:val="0"/>
            <w:vAlign w:val="center"/>
          </w:tcPr>
          <w:p w14:paraId="1E9108D9">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36DE8D11">
            <w:pPr>
              <w:pStyle w:val="19"/>
              <w:bidi w:val="0"/>
            </w:pPr>
            <w:r>
              <w:rPr>
                <w:rFonts w:hint="eastAsia"/>
                <w:lang w:val="en-US" w:eastAsia="zh-CN"/>
              </w:rPr>
              <w:t xml:space="preserve">0.6314 </w:t>
            </w:r>
          </w:p>
        </w:tc>
        <w:tc>
          <w:tcPr>
            <w:tcW w:w="1280" w:type="dxa"/>
            <w:tcBorders>
              <w:tl2br w:val="nil"/>
              <w:tr2bl w:val="nil"/>
            </w:tcBorders>
            <w:noWrap w:val="0"/>
            <w:vAlign w:val="center"/>
          </w:tcPr>
          <w:p w14:paraId="68390105">
            <w:pPr>
              <w:pStyle w:val="19"/>
              <w:bidi w:val="0"/>
            </w:pPr>
            <w:r>
              <w:rPr>
                <w:rFonts w:hint="eastAsia"/>
                <w:lang w:val="en-US" w:eastAsia="zh-CN"/>
              </w:rPr>
              <w:t xml:space="preserve">6.7481 </w:t>
            </w:r>
          </w:p>
        </w:tc>
        <w:tc>
          <w:tcPr>
            <w:tcW w:w="1289" w:type="dxa"/>
            <w:gridSpan w:val="2"/>
            <w:tcBorders>
              <w:tl2br w:val="nil"/>
              <w:tr2bl w:val="nil"/>
            </w:tcBorders>
            <w:noWrap w:val="0"/>
            <w:vAlign w:val="center"/>
          </w:tcPr>
          <w:p w14:paraId="694C640D">
            <w:pPr>
              <w:pStyle w:val="19"/>
              <w:bidi w:val="0"/>
            </w:pPr>
            <w:r>
              <w:rPr>
                <w:rFonts w:hint="eastAsia"/>
                <w:lang w:val="en-US" w:eastAsia="zh-CN"/>
              </w:rPr>
              <w:t xml:space="preserve">3.2947 </w:t>
            </w:r>
          </w:p>
        </w:tc>
        <w:tc>
          <w:tcPr>
            <w:tcW w:w="1282" w:type="dxa"/>
            <w:tcBorders>
              <w:tl2br w:val="nil"/>
              <w:tr2bl w:val="nil"/>
            </w:tcBorders>
            <w:noWrap w:val="0"/>
            <w:vAlign w:val="center"/>
          </w:tcPr>
          <w:p w14:paraId="24083316">
            <w:pPr>
              <w:pStyle w:val="19"/>
              <w:bidi w:val="0"/>
            </w:pPr>
            <w:r>
              <w:rPr>
                <w:rFonts w:hint="eastAsia"/>
                <w:lang w:val="en-US" w:eastAsia="zh-CN"/>
              </w:rPr>
              <w:t xml:space="preserve">0.0378 </w:t>
            </w:r>
          </w:p>
        </w:tc>
        <w:tc>
          <w:tcPr>
            <w:tcW w:w="1287" w:type="dxa"/>
            <w:tcBorders>
              <w:tl2br w:val="nil"/>
              <w:tr2bl w:val="nil"/>
            </w:tcBorders>
            <w:noWrap w:val="0"/>
            <w:vAlign w:val="center"/>
          </w:tcPr>
          <w:p w14:paraId="76606357">
            <w:pPr>
              <w:pStyle w:val="19"/>
              <w:bidi w:val="0"/>
            </w:pPr>
            <w:r>
              <w:rPr>
                <w:rFonts w:hint="eastAsia"/>
                <w:lang w:val="en-US" w:eastAsia="zh-CN"/>
              </w:rPr>
              <w:t xml:space="preserve">0.0113 </w:t>
            </w:r>
          </w:p>
        </w:tc>
      </w:tr>
      <w:tr w14:paraId="58041B4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0B9DFF0F">
            <w:pPr>
              <w:pStyle w:val="19"/>
              <w:bidi w:val="0"/>
            </w:pPr>
            <w:r>
              <w:rPr>
                <w:rFonts w:hint="eastAsia"/>
              </w:rPr>
              <w:t>2</w:t>
            </w:r>
            <w:r>
              <w:t>000</w:t>
            </w:r>
          </w:p>
        </w:tc>
        <w:tc>
          <w:tcPr>
            <w:tcW w:w="1282" w:type="dxa"/>
            <w:tcBorders>
              <w:tl2br w:val="nil"/>
              <w:tr2bl w:val="nil"/>
            </w:tcBorders>
            <w:noWrap w:val="0"/>
            <w:vAlign w:val="center"/>
          </w:tcPr>
          <w:p w14:paraId="2F1568B2">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443BC92B">
            <w:pPr>
              <w:pStyle w:val="19"/>
              <w:bidi w:val="0"/>
            </w:pPr>
            <w:r>
              <w:rPr>
                <w:rFonts w:hint="eastAsia"/>
                <w:lang w:val="en-US" w:eastAsia="zh-CN"/>
              </w:rPr>
              <w:t xml:space="preserve">0.6314 </w:t>
            </w:r>
          </w:p>
        </w:tc>
        <w:tc>
          <w:tcPr>
            <w:tcW w:w="1280" w:type="dxa"/>
            <w:tcBorders>
              <w:tl2br w:val="nil"/>
              <w:tr2bl w:val="nil"/>
            </w:tcBorders>
            <w:noWrap w:val="0"/>
            <w:vAlign w:val="center"/>
          </w:tcPr>
          <w:p w14:paraId="62E17CD5">
            <w:pPr>
              <w:pStyle w:val="19"/>
              <w:bidi w:val="0"/>
            </w:pPr>
            <w:r>
              <w:rPr>
                <w:rFonts w:hint="eastAsia"/>
                <w:lang w:val="en-US" w:eastAsia="zh-CN"/>
              </w:rPr>
              <w:t xml:space="preserve">6.3512 </w:t>
            </w:r>
          </w:p>
        </w:tc>
        <w:tc>
          <w:tcPr>
            <w:tcW w:w="1289" w:type="dxa"/>
            <w:gridSpan w:val="2"/>
            <w:tcBorders>
              <w:tl2br w:val="nil"/>
              <w:tr2bl w:val="nil"/>
            </w:tcBorders>
            <w:noWrap w:val="0"/>
            <w:vAlign w:val="center"/>
          </w:tcPr>
          <w:p w14:paraId="31D318DD">
            <w:pPr>
              <w:pStyle w:val="19"/>
              <w:bidi w:val="0"/>
            </w:pPr>
            <w:r>
              <w:rPr>
                <w:rFonts w:hint="eastAsia"/>
                <w:lang w:val="en-US" w:eastAsia="zh-CN"/>
              </w:rPr>
              <w:t xml:space="preserve">3.2550 </w:t>
            </w:r>
          </w:p>
        </w:tc>
        <w:tc>
          <w:tcPr>
            <w:tcW w:w="1282" w:type="dxa"/>
            <w:tcBorders>
              <w:tl2br w:val="nil"/>
              <w:tr2bl w:val="nil"/>
            </w:tcBorders>
            <w:noWrap w:val="0"/>
            <w:vAlign w:val="center"/>
          </w:tcPr>
          <w:p w14:paraId="1603FFF6">
            <w:pPr>
              <w:pStyle w:val="19"/>
              <w:bidi w:val="0"/>
            </w:pPr>
            <w:r>
              <w:rPr>
                <w:rFonts w:hint="eastAsia"/>
                <w:lang w:val="en-US" w:eastAsia="zh-CN"/>
              </w:rPr>
              <w:t xml:space="preserve">0.0378 </w:t>
            </w:r>
          </w:p>
        </w:tc>
        <w:tc>
          <w:tcPr>
            <w:tcW w:w="1287" w:type="dxa"/>
            <w:tcBorders>
              <w:tl2br w:val="nil"/>
              <w:tr2bl w:val="nil"/>
            </w:tcBorders>
            <w:noWrap w:val="0"/>
            <w:vAlign w:val="center"/>
          </w:tcPr>
          <w:p w14:paraId="17EB8C10">
            <w:pPr>
              <w:pStyle w:val="19"/>
              <w:bidi w:val="0"/>
            </w:pPr>
            <w:r>
              <w:rPr>
                <w:rFonts w:hint="eastAsia"/>
                <w:lang w:val="en-US" w:eastAsia="zh-CN"/>
              </w:rPr>
              <w:t xml:space="preserve">0.0113 </w:t>
            </w:r>
          </w:p>
        </w:tc>
      </w:tr>
      <w:tr w14:paraId="47E8E2C9">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138CE326">
            <w:pPr>
              <w:pStyle w:val="19"/>
              <w:bidi w:val="0"/>
            </w:pPr>
            <w:r>
              <w:rPr>
                <w:rFonts w:hint="eastAsia"/>
              </w:rPr>
              <w:t>2</w:t>
            </w:r>
            <w:r>
              <w:t>400</w:t>
            </w:r>
          </w:p>
        </w:tc>
        <w:tc>
          <w:tcPr>
            <w:tcW w:w="1282" w:type="dxa"/>
            <w:tcBorders>
              <w:tl2br w:val="nil"/>
              <w:tr2bl w:val="nil"/>
            </w:tcBorders>
            <w:noWrap w:val="0"/>
            <w:vAlign w:val="center"/>
          </w:tcPr>
          <w:p w14:paraId="664C5E02">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5E0435BB">
            <w:pPr>
              <w:pStyle w:val="19"/>
              <w:bidi w:val="0"/>
            </w:pPr>
            <w:r>
              <w:rPr>
                <w:rFonts w:hint="eastAsia"/>
                <w:lang w:val="en-US" w:eastAsia="zh-CN"/>
              </w:rPr>
              <w:t xml:space="preserve">0.5998 </w:t>
            </w:r>
          </w:p>
        </w:tc>
        <w:tc>
          <w:tcPr>
            <w:tcW w:w="1280" w:type="dxa"/>
            <w:tcBorders>
              <w:tl2br w:val="nil"/>
              <w:tr2bl w:val="nil"/>
            </w:tcBorders>
            <w:noWrap w:val="0"/>
            <w:vAlign w:val="center"/>
          </w:tcPr>
          <w:p w14:paraId="0665B693">
            <w:pPr>
              <w:pStyle w:val="19"/>
              <w:bidi w:val="0"/>
            </w:pPr>
            <w:r>
              <w:rPr>
                <w:rFonts w:hint="eastAsia"/>
                <w:lang w:val="en-US" w:eastAsia="zh-CN"/>
              </w:rPr>
              <w:t xml:space="preserve">6.3512 </w:t>
            </w:r>
          </w:p>
        </w:tc>
        <w:tc>
          <w:tcPr>
            <w:tcW w:w="1289" w:type="dxa"/>
            <w:gridSpan w:val="2"/>
            <w:tcBorders>
              <w:tl2br w:val="nil"/>
              <w:tr2bl w:val="nil"/>
            </w:tcBorders>
            <w:noWrap w:val="0"/>
            <w:vAlign w:val="center"/>
          </w:tcPr>
          <w:p w14:paraId="657EF47B">
            <w:pPr>
              <w:pStyle w:val="19"/>
              <w:bidi w:val="0"/>
            </w:pPr>
            <w:r>
              <w:rPr>
                <w:rFonts w:hint="eastAsia"/>
                <w:lang w:val="en-US" w:eastAsia="zh-CN"/>
              </w:rPr>
              <w:t xml:space="preserve">3.1756 </w:t>
            </w:r>
          </w:p>
        </w:tc>
        <w:tc>
          <w:tcPr>
            <w:tcW w:w="1282" w:type="dxa"/>
            <w:tcBorders>
              <w:tl2br w:val="nil"/>
              <w:tr2bl w:val="nil"/>
            </w:tcBorders>
            <w:noWrap w:val="0"/>
            <w:vAlign w:val="center"/>
          </w:tcPr>
          <w:p w14:paraId="33E5FAA8">
            <w:pPr>
              <w:pStyle w:val="19"/>
              <w:bidi w:val="0"/>
            </w:pPr>
            <w:r>
              <w:rPr>
                <w:rFonts w:hint="eastAsia"/>
                <w:lang w:val="en-US" w:eastAsia="zh-CN"/>
              </w:rPr>
              <w:t xml:space="preserve">0.0378 </w:t>
            </w:r>
          </w:p>
        </w:tc>
        <w:tc>
          <w:tcPr>
            <w:tcW w:w="1287" w:type="dxa"/>
            <w:tcBorders>
              <w:tl2br w:val="nil"/>
              <w:tr2bl w:val="nil"/>
            </w:tcBorders>
            <w:noWrap w:val="0"/>
            <w:vAlign w:val="center"/>
          </w:tcPr>
          <w:p w14:paraId="10443C75">
            <w:pPr>
              <w:pStyle w:val="19"/>
              <w:bidi w:val="0"/>
            </w:pPr>
            <w:r>
              <w:rPr>
                <w:rFonts w:hint="eastAsia"/>
                <w:lang w:val="en-US" w:eastAsia="zh-CN"/>
              </w:rPr>
              <w:t xml:space="preserve">0.0113 </w:t>
            </w:r>
          </w:p>
        </w:tc>
      </w:tr>
      <w:tr w14:paraId="656DD60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FE8D85A">
            <w:pPr>
              <w:pStyle w:val="19"/>
              <w:bidi w:val="0"/>
            </w:pPr>
            <w:r>
              <w:rPr>
                <w:rFonts w:hint="eastAsia"/>
              </w:rPr>
              <w:t>2</w:t>
            </w:r>
            <w:r>
              <w:t>800</w:t>
            </w:r>
          </w:p>
        </w:tc>
        <w:tc>
          <w:tcPr>
            <w:tcW w:w="1282" w:type="dxa"/>
            <w:tcBorders>
              <w:tl2br w:val="nil"/>
              <w:tr2bl w:val="nil"/>
            </w:tcBorders>
            <w:noWrap w:val="0"/>
            <w:vAlign w:val="center"/>
          </w:tcPr>
          <w:p w14:paraId="6638A349">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155767B0">
            <w:pPr>
              <w:pStyle w:val="19"/>
              <w:bidi w:val="0"/>
            </w:pPr>
            <w:r>
              <w:rPr>
                <w:rFonts w:hint="eastAsia"/>
                <w:lang w:val="en-US" w:eastAsia="zh-CN"/>
              </w:rPr>
              <w:t xml:space="preserve">0.5682 </w:t>
            </w:r>
          </w:p>
        </w:tc>
        <w:tc>
          <w:tcPr>
            <w:tcW w:w="1280" w:type="dxa"/>
            <w:tcBorders>
              <w:tl2br w:val="nil"/>
              <w:tr2bl w:val="nil"/>
            </w:tcBorders>
            <w:noWrap w:val="0"/>
            <w:vAlign w:val="center"/>
          </w:tcPr>
          <w:p w14:paraId="41F079E0">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5D62FC35">
            <w:pPr>
              <w:pStyle w:val="19"/>
              <w:bidi w:val="0"/>
            </w:pPr>
            <w:r>
              <w:rPr>
                <w:rFonts w:hint="eastAsia"/>
                <w:lang w:val="en-US" w:eastAsia="zh-CN"/>
              </w:rPr>
              <w:t xml:space="preserve">3.0565 </w:t>
            </w:r>
          </w:p>
        </w:tc>
        <w:tc>
          <w:tcPr>
            <w:tcW w:w="1282" w:type="dxa"/>
            <w:tcBorders>
              <w:tl2br w:val="nil"/>
              <w:tr2bl w:val="nil"/>
            </w:tcBorders>
            <w:noWrap w:val="0"/>
            <w:vAlign w:val="center"/>
          </w:tcPr>
          <w:p w14:paraId="54F278C8">
            <w:pPr>
              <w:pStyle w:val="19"/>
              <w:bidi w:val="0"/>
            </w:pPr>
            <w:r>
              <w:rPr>
                <w:rFonts w:hint="eastAsia"/>
                <w:lang w:val="en-US" w:eastAsia="zh-CN"/>
              </w:rPr>
              <w:t xml:space="preserve">0.0378 </w:t>
            </w:r>
          </w:p>
        </w:tc>
        <w:tc>
          <w:tcPr>
            <w:tcW w:w="1287" w:type="dxa"/>
            <w:tcBorders>
              <w:tl2br w:val="nil"/>
              <w:tr2bl w:val="nil"/>
            </w:tcBorders>
            <w:noWrap w:val="0"/>
            <w:vAlign w:val="center"/>
          </w:tcPr>
          <w:p w14:paraId="4CA651DF">
            <w:pPr>
              <w:pStyle w:val="19"/>
              <w:bidi w:val="0"/>
            </w:pPr>
            <w:r>
              <w:rPr>
                <w:rFonts w:hint="eastAsia"/>
                <w:lang w:val="en-US" w:eastAsia="zh-CN"/>
              </w:rPr>
              <w:t xml:space="preserve">0.0076 </w:t>
            </w:r>
          </w:p>
        </w:tc>
      </w:tr>
      <w:tr w14:paraId="0B8B7ECA">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69992173">
            <w:pPr>
              <w:pStyle w:val="19"/>
              <w:bidi w:val="0"/>
            </w:pPr>
            <w:r>
              <w:rPr>
                <w:rFonts w:hint="eastAsia"/>
              </w:rPr>
              <w:t>3</w:t>
            </w:r>
            <w:r>
              <w:t>000</w:t>
            </w:r>
          </w:p>
        </w:tc>
        <w:tc>
          <w:tcPr>
            <w:tcW w:w="1282" w:type="dxa"/>
            <w:tcBorders>
              <w:tl2br w:val="nil"/>
              <w:tr2bl w:val="nil"/>
            </w:tcBorders>
            <w:noWrap w:val="0"/>
            <w:vAlign w:val="center"/>
          </w:tcPr>
          <w:p w14:paraId="0969E27A">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297F9A91">
            <w:pPr>
              <w:pStyle w:val="19"/>
              <w:bidi w:val="0"/>
            </w:pPr>
            <w:r>
              <w:rPr>
                <w:rFonts w:hint="eastAsia"/>
                <w:lang w:val="en-US" w:eastAsia="zh-CN"/>
              </w:rPr>
              <w:t xml:space="preserve">0.5682 </w:t>
            </w:r>
          </w:p>
        </w:tc>
        <w:tc>
          <w:tcPr>
            <w:tcW w:w="1280" w:type="dxa"/>
            <w:tcBorders>
              <w:tl2br w:val="nil"/>
              <w:tr2bl w:val="nil"/>
            </w:tcBorders>
            <w:noWrap w:val="0"/>
            <w:vAlign w:val="center"/>
          </w:tcPr>
          <w:p w14:paraId="4006C39E">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52F263EF">
            <w:pPr>
              <w:pStyle w:val="19"/>
              <w:bidi w:val="0"/>
            </w:pPr>
            <w:r>
              <w:rPr>
                <w:rFonts w:hint="eastAsia"/>
                <w:lang w:val="en-US" w:eastAsia="zh-CN"/>
              </w:rPr>
              <w:t xml:space="preserve">2.9374 </w:t>
            </w:r>
          </w:p>
        </w:tc>
        <w:tc>
          <w:tcPr>
            <w:tcW w:w="1282" w:type="dxa"/>
            <w:tcBorders>
              <w:tl2br w:val="nil"/>
              <w:tr2bl w:val="nil"/>
            </w:tcBorders>
            <w:noWrap w:val="0"/>
            <w:vAlign w:val="center"/>
          </w:tcPr>
          <w:p w14:paraId="2C851A12">
            <w:pPr>
              <w:pStyle w:val="19"/>
              <w:bidi w:val="0"/>
            </w:pPr>
            <w:r>
              <w:rPr>
                <w:rFonts w:hint="eastAsia"/>
                <w:lang w:val="en-US" w:eastAsia="zh-CN"/>
              </w:rPr>
              <w:t xml:space="preserve">0.0378 </w:t>
            </w:r>
          </w:p>
        </w:tc>
        <w:tc>
          <w:tcPr>
            <w:tcW w:w="1287" w:type="dxa"/>
            <w:tcBorders>
              <w:tl2br w:val="nil"/>
              <w:tr2bl w:val="nil"/>
            </w:tcBorders>
            <w:noWrap w:val="0"/>
            <w:vAlign w:val="center"/>
          </w:tcPr>
          <w:p w14:paraId="4684D4C0">
            <w:pPr>
              <w:pStyle w:val="19"/>
              <w:bidi w:val="0"/>
            </w:pPr>
            <w:r>
              <w:rPr>
                <w:rFonts w:hint="eastAsia"/>
                <w:lang w:val="en-US" w:eastAsia="zh-CN"/>
              </w:rPr>
              <w:t xml:space="preserve">0.0076 </w:t>
            </w:r>
          </w:p>
        </w:tc>
      </w:tr>
      <w:tr w14:paraId="7B4B8A2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F1EC413">
            <w:pPr>
              <w:pStyle w:val="19"/>
              <w:bidi w:val="0"/>
            </w:pPr>
            <w:r>
              <w:rPr>
                <w:rFonts w:hint="eastAsia"/>
              </w:rPr>
              <w:t>3</w:t>
            </w:r>
            <w:r>
              <w:t>500</w:t>
            </w:r>
          </w:p>
        </w:tc>
        <w:tc>
          <w:tcPr>
            <w:tcW w:w="1282" w:type="dxa"/>
            <w:tcBorders>
              <w:tl2br w:val="nil"/>
              <w:tr2bl w:val="nil"/>
            </w:tcBorders>
            <w:noWrap w:val="0"/>
            <w:vAlign w:val="center"/>
          </w:tcPr>
          <w:p w14:paraId="62335862">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5C51C40F">
            <w:pPr>
              <w:pStyle w:val="19"/>
              <w:bidi w:val="0"/>
            </w:pPr>
            <w:r>
              <w:rPr>
                <w:rFonts w:hint="eastAsia"/>
                <w:lang w:val="en-US" w:eastAsia="zh-CN"/>
              </w:rPr>
              <w:t xml:space="preserve">0.5367 </w:t>
            </w:r>
          </w:p>
        </w:tc>
        <w:tc>
          <w:tcPr>
            <w:tcW w:w="1280" w:type="dxa"/>
            <w:tcBorders>
              <w:tl2br w:val="nil"/>
              <w:tr2bl w:val="nil"/>
            </w:tcBorders>
            <w:noWrap w:val="0"/>
            <w:vAlign w:val="center"/>
          </w:tcPr>
          <w:p w14:paraId="793D90C3">
            <w:pPr>
              <w:pStyle w:val="19"/>
              <w:bidi w:val="0"/>
            </w:pPr>
            <w:r>
              <w:rPr>
                <w:rFonts w:hint="eastAsia"/>
                <w:lang w:val="en-US" w:eastAsia="zh-CN"/>
              </w:rPr>
              <w:t xml:space="preserve">5.5573 </w:t>
            </w:r>
          </w:p>
        </w:tc>
        <w:tc>
          <w:tcPr>
            <w:tcW w:w="1289" w:type="dxa"/>
            <w:gridSpan w:val="2"/>
            <w:tcBorders>
              <w:tl2br w:val="nil"/>
              <w:tr2bl w:val="nil"/>
            </w:tcBorders>
            <w:noWrap w:val="0"/>
            <w:vAlign w:val="center"/>
          </w:tcPr>
          <w:p w14:paraId="5E36AE30">
            <w:pPr>
              <w:pStyle w:val="19"/>
              <w:bidi w:val="0"/>
            </w:pPr>
            <w:r>
              <w:rPr>
                <w:rFonts w:hint="eastAsia"/>
                <w:lang w:val="en-US" w:eastAsia="zh-CN"/>
              </w:rPr>
              <w:t xml:space="preserve">2.8183 </w:t>
            </w:r>
          </w:p>
        </w:tc>
        <w:tc>
          <w:tcPr>
            <w:tcW w:w="1282" w:type="dxa"/>
            <w:tcBorders>
              <w:tl2br w:val="nil"/>
              <w:tr2bl w:val="nil"/>
            </w:tcBorders>
            <w:noWrap w:val="0"/>
            <w:vAlign w:val="center"/>
          </w:tcPr>
          <w:p w14:paraId="48CC2B41">
            <w:pPr>
              <w:pStyle w:val="19"/>
              <w:bidi w:val="0"/>
            </w:pPr>
            <w:r>
              <w:rPr>
                <w:rFonts w:hint="eastAsia"/>
                <w:lang w:val="en-US" w:eastAsia="zh-CN"/>
              </w:rPr>
              <w:t xml:space="preserve">0.0378 </w:t>
            </w:r>
          </w:p>
        </w:tc>
        <w:tc>
          <w:tcPr>
            <w:tcW w:w="1287" w:type="dxa"/>
            <w:tcBorders>
              <w:tl2br w:val="nil"/>
              <w:tr2bl w:val="nil"/>
            </w:tcBorders>
            <w:noWrap w:val="0"/>
            <w:vAlign w:val="center"/>
          </w:tcPr>
          <w:p w14:paraId="72476B13">
            <w:pPr>
              <w:pStyle w:val="19"/>
              <w:bidi w:val="0"/>
            </w:pPr>
            <w:r>
              <w:rPr>
                <w:rFonts w:hint="eastAsia"/>
                <w:lang w:val="en-US" w:eastAsia="zh-CN"/>
              </w:rPr>
              <w:t xml:space="preserve">0.0076 </w:t>
            </w:r>
          </w:p>
        </w:tc>
      </w:tr>
      <w:tr w14:paraId="0FAD0C7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B3AF5F1">
            <w:pPr>
              <w:pStyle w:val="19"/>
              <w:bidi w:val="0"/>
            </w:pPr>
            <w:r>
              <w:rPr>
                <w:rFonts w:hint="eastAsia"/>
              </w:rPr>
              <w:t>4</w:t>
            </w:r>
            <w:r>
              <w:t>000</w:t>
            </w:r>
          </w:p>
        </w:tc>
        <w:tc>
          <w:tcPr>
            <w:tcW w:w="1282" w:type="dxa"/>
            <w:tcBorders>
              <w:tl2br w:val="nil"/>
              <w:tr2bl w:val="nil"/>
            </w:tcBorders>
            <w:noWrap w:val="0"/>
            <w:vAlign w:val="center"/>
          </w:tcPr>
          <w:p w14:paraId="742AE994">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1D842A82">
            <w:pPr>
              <w:pStyle w:val="19"/>
              <w:bidi w:val="0"/>
            </w:pPr>
            <w:r>
              <w:rPr>
                <w:rFonts w:hint="eastAsia"/>
                <w:lang w:val="en-US" w:eastAsia="zh-CN"/>
              </w:rPr>
              <w:t xml:space="preserve">0.5682 </w:t>
            </w:r>
          </w:p>
        </w:tc>
        <w:tc>
          <w:tcPr>
            <w:tcW w:w="1280" w:type="dxa"/>
            <w:tcBorders>
              <w:tl2br w:val="nil"/>
              <w:tr2bl w:val="nil"/>
            </w:tcBorders>
            <w:noWrap w:val="0"/>
            <w:vAlign w:val="center"/>
          </w:tcPr>
          <w:p w14:paraId="498D0D2B">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31C4D172">
            <w:pPr>
              <w:pStyle w:val="19"/>
              <w:bidi w:val="0"/>
            </w:pPr>
            <w:r>
              <w:rPr>
                <w:rFonts w:hint="eastAsia"/>
                <w:lang w:val="en-US" w:eastAsia="zh-CN"/>
              </w:rPr>
              <w:t xml:space="preserve">2.9374 </w:t>
            </w:r>
          </w:p>
        </w:tc>
        <w:tc>
          <w:tcPr>
            <w:tcW w:w="1282" w:type="dxa"/>
            <w:tcBorders>
              <w:tl2br w:val="nil"/>
              <w:tr2bl w:val="nil"/>
            </w:tcBorders>
            <w:noWrap w:val="0"/>
            <w:vAlign w:val="center"/>
          </w:tcPr>
          <w:p w14:paraId="341594D3">
            <w:pPr>
              <w:pStyle w:val="19"/>
              <w:bidi w:val="0"/>
            </w:pPr>
            <w:r>
              <w:rPr>
                <w:rFonts w:hint="eastAsia"/>
                <w:lang w:val="en-US" w:eastAsia="zh-CN"/>
              </w:rPr>
              <w:t xml:space="preserve">0.0378 </w:t>
            </w:r>
          </w:p>
        </w:tc>
        <w:tc>
          <w:tcPr>
            <w:tcW w:w="1287" w:type="dxa"/>
            <w:tcBorders>
              <w:tl2br w:val="nil"/>
              <w:tr2bl w:val="nil"/>
            </w:tcBorders>
            <w:noWrap w:val="0"/>
            <w:vAlign w:val="center"/>
          </w:tcPr>
          <w:p w14:paraId="5DBB234A">
            <w:pPr>
              <w:pStyle w:val="19"/>
              <w:bidi w:val="0"/>
            </w:pPr>
            <w:r>
              <w:rPr>
                <w:rFonts w:hint="eastAsia"/>
                <w:lang w:val="en-US" w:eastAsia="zh-CN"/>
              </w:rPr>
              <w:t xml:space="preserve">0.0076 </w:t>
            </w:r>
          </w:p>
        </w:tc>
      </w:tr>
      <w:tr w14:paraId="4E7A1B7D">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2BE7C06">
            <w:pPr>
              <w:pStyle w:val="19"/>
              <w:bidi w:val="0"/>
            </w:pPr>
            <w:r>
              <w:rPr>
                <w:rFonts w:hint="eastAsia"/>
              </w:rPr>
              <w:t>4</w:t>
            </w:r>
            <w:r>
              <w:t>500</w:t>
            </w:r>
          </w:p>
        </w:tc>
        <w:tc>
          <w:tcPr>
            <w:tcW w:w="1282" w:type="dxa"/>
            <w:tcBorders>
              <w:tl2br w:val="nil"/>
              <w:tr2bl w:val="nil"/>
            </w:tcBorders>
            <w:noWrap w:val="0"/>
            <w:vAlign w:val="center"/>
          </w:tcPr>
          <w:p w14:paraId="12FB4A12">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4F334537">
            <w:pPr>
              <w:pStyle w:val="19"/>
              <w:bidi w:val="0"/>
            </w:pPr>
            <w:r>
              <w:rPr>
                <w:rFonts w:hint="eastAsia"/>
                <w:lang w:val="en-US" w:eastAsia="zh-CN"/>
              </w:rPr>
              <w:t xml:space="preserve">0.5682 </w:t>
            </w:r>
          </w:p>
        </w:tc>
        <w:tc>
          <w:tcPr>
            <w:tcW w:w="1280" w:type="dxa"/>
            <w:tcBorders>
              <w:tl2br w:val="nil"/>
              <w:tr2bl w:val="nil"/>
            </w:tcBorders>
            <w:noWrap w:val="0"/>
            <w:vAlign w:val="center"/>
          </w:tcPr>
          <w:p w14:paraId="58540FDF">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5AFA4397">
            <w:pPr>
              <w:pStyle w:val="19"/>
              <w:bidi w:val="0"/>
            </w:pPr>
            <w:r>
              <w:rPr>
                <w:rFonts w:hint="eastAsia"/>
                <w:lang w:val="en-US" w:eastAsia="zh-CN"/>
              </w:rPr>
              <w:t xml:space="preserve">2.9771 </w:t>
            </w:r>
          </w:p>
        </w:tc>
        <w:tc>
          <w:tcPr>
            <w:tcW w:w="1282" w:type="dxa"/>
            <w:tcBorders>
              <w:tl2br w:val="nil"/>
              <w:tr2bl w:val="nil"/>
            </w:tcBorders>
            <w:noWrap w:val="0"/>
            <w:vAlign w:val="center"/>
          </w:tcPr>
          <w:p w14:paraId="2BE40710">
            <w:pPr>
              <w:pStyle w:val="19"/>
              <w:bidi w:val="0"/>
            </w:pPr>
            <w:r>
              <w:rPr>
                <w:rFonts w:hint="eastAsia"/>
                <w:lang w:val="en-US" w:eastAsia="zh-CN"/>
              </w:rPr>
              <w:t xml:space="preserve">0.0378 </w:t>
            </w:r>
          </w:p>
        </w:tc>
        <w:tc>
          <w:tcPr>
            <w:tcW w:w="1287" w:type="dxa"/>
            <w:tcBorders>
              <w:tl2br w:val="nil"/>
              <w:tr2bl w:val="nil"/>
            </w:tcBorders>
            <w:noWrap w:val="0"/>
            <w:vAlign w:val="center"/>
          </w:tcPr>
          <w:p w14:paraId="4B9AF075">
            <w:pPr>
              <w:pStyle w:val="19"/>
              <w:bidi w:val="0"/>
            </w:pPr>
            <w:r>
              <w:rPr>
                <w:rFonts w:hint="eastAsia"/>
                <w:lang w:val="en-US" w:eastAsia="zh-CN"/>
              </w:rPr>
              <w:t xml:space="preserve">0.0076 </w:t>
            </w:r>
          </w:p>
        </w:tc>
      </w:tr>
      <w:tr w14:paraId="00D0D07C">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3C893FD">
            <w:pPr>
              <w:pStyle w:val="19"/>
              <w:bidi w:val="0"/>
            </w:pPr>
            <w:r>
              <w:rPr>
                <w:rFonts w:hint="eastAsia"/>
              </w:rPr>
              <w:t>5</w:t>
            </w:r>
            <w:r>
              <w:t>000</w:t>
            </w:r>
          </w:p>
        </w:tc>
        <w:tc>
          <w:tcPr>
            <w:tcW w:w="1282" w:type="dxa"/>
            <w:tcBorders>
              <w:tl2br w:val="nil"/>
              <w:tr2bl w:val="nil"/>
            </w:tcBorders>
            <w:noWrap w:val="0"/>
            <w:vAlign w:val="center"/>
          </w:tcPr>
          <w:p w14:paraId="17B63D29">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6F0FA575">
            <w:pPr>
              <w:pStyle w:val="19"/>
              <w:bidi w:val="0"/>
            </w:pPr>
            <w:r>
              <w:rPr>
                <w:rFonts w:hint="eastAsia"/>
                <w:lang w:val="en-US" w:eastAsia="zh-CN"/>
              </w:rPr>
              <w:t xml:space="preserve">0.5682 </w:t>
            </w:r>
          </w:p>
        </w:tc>
        <w:tc>
          <w:tcPr>
            <w:tcW w:w="1280" w:type="dxa"/>
            <w:tcBorders>
              <w:tl2br w:val="nil"/>
              <w:tr2bl w:val="nil"/>
            </w:tcBorders>
            <w:noWrap w:val="0"/>
            <w:vAlign w:val="center"/>
          </w:tcPr>
          <w:p w14:paraId="376E4622">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132CF1CB">
            <w:pPr>
              <w:pStyle w:val="19"/>
              <w:bidi w:val="0"/>
            </w:pPr>
            <w:r>
              <w:rPr>
                <w:rFonts w:hint="eastAsia"/>
                <w:lang w:val="en-US" w:eastAsia="zh-CN"/>
              </w:rPr>
              <w:t xml:space="preserve">3.0168 </w:t>
            </w:r>
          </w:p>
        </w:tc>
        <w:tc>
          <w:tcPr>
            <w:tcW w:w="1282" w:type="dxa"/>
            <w:tcBorders>
              <w:tl2br w:val="nil"/>
              <w:tr2bl w:val="nil"/>
            </w:tcBorders>
            <w:noWrap w:val="0"/>
            <w:vAlign w:val="center"/>
          </w:tcPr>
          <w:p w14:paraId="441785D1">
            <w:pPr>
              <w:pStyle w:val="19"/>
              <w:bidi w:val="0"/>
            </w:pPr>
            <w:r>
              <w:rPr>
                <w:rFonts w:hint="eastAsia"/>
                <w:lang w:val="en-US" w:eastAsia="zh-CN"/>
              </w:rPr>
              <w:t xml:space="preserve">0.0000 </w:t>
            </w:r>
          </w:p>
        </w:tc>
        <w:tc>
          <w:tcPr>
            <w:tcW w:w="1287" w:type="dxa"/>
            <w:tcBorders>
              <w:tl2br w:val="nil"/>
              <w:tr2bl w:val="nil"/>
            </w:tcBorders>
            <w:noWrap w:val="0"/>
            <w:vAlign w:val="center"/>
          </w:tcPr>
          <w:p w14:paraId="26C9BCA6">
            <w:pPr>
              <w:pStyle w:val="19"/>
              <w:bidi w:val="0"/>
            </w:pPr>
            <w:r>
              <w:rPr>
                <w:rFonts w:hint="eastAsia"/>
                <w:lang w:val="en-US" w:eastAsia="zh-CN"/>
              </w:rPr>
              <w:t xml:space="preserve">0.0000 </w:t>
            </w:r>
          </w:p>
        </w:tc>
      </w:tr>
      <w:tr w14:paraId="48B28020">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top"/>
          </w:tcPr>
          <w:p w14:paraId="53B6A2CF">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C</w:t>
            </w:r>
            <w:r>
              <w:rPr>
                <w:rFonts w:hint="eastAsia"/>
                <w:vertAlign w:val="subscript"/>
                <w:lang w:val="en-US" w:eastAsia="zh-CN"/>
              </w:rPr>
              <w:t>max】</w:t>
            </w:r>
            <w:r>
              <w:t>/</w:t>
            </w:r>
            <w:r>
              <w:rPr>
                <w:rFonts w:hint="eastAsia"/>
                <w:lang w:val="en-US" w:eastAsia="zh-CN"/>
              </w:rPr>
              <w:t>P</w:t>
            </w:r>
            <w:r>
              <w:rPr>
                <w:rFonts w:hint="eastAsia"/>
                <w:vertAlign w:val="subscript"/>
                <w:lang w:val="en-US" w:eastAsia="zh-CN"/>
              </w:rPr>
              <w:t>max</w:t>
            </w:r>
          </w:p>
        </w:tc>
        <w:tc>
          <w:tcPr>
            <w:tcW w:w="1282" w:type="dxa"/>
            <w:tcBorders>
              <w:tl2br w:val="nil"/>
              <w:tr2bl w:val="nil"/>
            </w:tcBorders>
            <w:noWrap w:val="0"/>
            <w:vAlign w:val="center"/>
          </w:tcPr>
          <w:p w14:paraId="2C01BF7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5.3665 </w:t>
            </w:r>
          </w:p>
        </w:tc>
        <w:tc>
          <w:tcPr>
            <w:tcW w:w="1287" w:type="dxa"/>
            <w:gridSpan w:val="2"/>
            <w:tcBorders>
              <w:tl2br w:val="nil"/>
              <w:tr2bl w:val="nil"/>
            </w:tcBorders>
            <w:noWrap w:val="0"/>
            <w:vAlign w:val="center"/>
          </w:tcPr>
          <w:p w14:paraId="07A82268">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1.0733 </w:t>
            </w:r>
          </w:p>
        </w:tc>
        <w:tc>
          <w:tcPr>
            <w:tcW w:w="1280" w:type="dxa"/>
            <w:tcBorders>
              <w:tl2br w:val="nil"/>
              <w:tr2bl w:val="nil"/>
            </w:tcBorders>
            <w:noWrap w:val="0"/>
            <w:vAlign w:val="center"/>
          </w:tcPr>
          <w:p w14:paraId="3249249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11.5115 </w:t>
            </w:r>
          </w:p>
        </w:tc>
        <w:tc>
          <w:tcPr>
            <w:tcW w:w="1289" w:type="dxa"/>
            <w:gridSpan w:val="2"/>
            <w:tcBorders>
              <w:tl2br w:val="nil"/>
              <w:tr2bl w:val="nil"/>
            </w:tcBorders>
            <w:noWrap w:val="0"/>
            <w:vAlign w:val="center"/>
          </w:tcPr>
          <w:p w14:paraId="09F2221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5.6764 </w:t>
            </w:r>
          </w:p>
        </w:tc>
        <w:tc>
          <w:tcPr>
            <w:tcW w:w="1282" w:type="dxa"/>
            <w:tcBorders>
              <w:tl2br w:val="nil"/>
              <w:tr2bl w:val="nil"/>
            </w:tcBorders>
            <w:noWrap w:val="0"/>
            <w:vAlign w:val="center"/>
          </w:tcPr>
          <w:p w14:paraId="7F1EC03A">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0.0755 </w:t>
            </w:r>
          </w:p>
        </w:tc>
        <w:tc>
          <w:tcPr>
            <w:tcW w:w="1287" w:type="dxa"/>
            <w:tcBorders>
              <w:tl2br w:val="nil"/>
              <w:tr2bl w:val="nil"/>
            </w:tcBorders>
            <w:noWrap w:val="0"/>
            <w:vAlign w:val="center"/>
          </w:tcPr>
          <w:p w14:paraId="03E7672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0.0189 </w:t>
            </w:r>
          </w:p>
        </w:tc>
      </w:tr>
      <w:tr w14:paraId="1F9E972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top"/>
          </w:tcPr>
          <w:p w14:paraId="6134C582">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D</w:t>
            </w:r>
            <w:r>
              <w:t>（m）</w:t>
            </w:r>
          </w:p>
        </w:tc>
        <w:tc>
          <w:tcPr>
            <w:tcW w:w="1543" w:type="pct"/>
            <w:gridSpan w:val="2"/>
            <w:tcBorders>
              <w:tl2br w:val="nil"/>
              <w:tr2bl w:val="nil"/>
            </w:tcBorders>
            <w:noWrap w:val="0"/>
            <w:vAlign w:val="center"/>
          </w:tcPr>
          <w:p w14:paraId="25723E2C">
            <w:pPr>
              <w:pStyle w:val="19"/>
              <w:bidi w:val="0"/>
              <w:rPr>
                <w:rFonts w:hint="default"/>
                <w:lang w:val="en-US" w:eastAsia="zh-CN"/>
              </w:rPr>
            </w:pPr>
            <w:r>
              <w:rPr>
                <w:rFonts w:hint="eastAsia"/>
                <w:lang w:val="en-US" w:eastAsia="zh-CN"/>
              </w:rPr>
              <w:t>200</w:t>
            </w:r>
          </w:p>
        </w:tc>
        <w:tc>
          <w:tcPr>
            <w:tcW w:w="1540" w:type="pct"/>
            <w:gridSpan w:val="3"/>
            <w:tcBorders>
              <w:tl2br w:val="nil"/>
              <w:tr2bl w:val="nil"/>
            </w:tcBorders>
            <w:noWrap w:val="0"/>
            <w:vAlign w:val="center"/>
          </w:tcPr>
          <w:p w14:paraId="24F1C655">
            <w:pPr>
              <w:pStyle w:val="19"/>
              <w:bidi w:val="0"/>
              <w:rPr>
                <w:rFonts w:hint="default"/>
                <w:lang w:val="en-US" w:eastAsia="zh-CN"/>
              </w:rPr>
            </w:pPr>
            <w:r>
              <w:rPr>
                <w:rFonts w:hint="eastAsia"/>
                <w:lang w:val="en-US" w:eastAsia="zh-CN"/>
              </w:rPr>
              <w:t>200</w:t>
            </w:r>
          </w:p>
        </w:tc>
        <w:tc>
          <w:tcPr>
            <w:tcW w:w="1546" w:type="pct"/>
            <w:gridSpan w:val="3"/>
            <w:tcBorders>
              <w:tl2br w:val="nil"/>
              <w:tr2bl w:val="nil"/>
            </w:tcBorders>
            <w:noWrap w:val="0"/>
            <w:vAlign w:val="center"/>
          </w:tcPr>
          <w:p w14:paraId="1AF5C089">
            <w:pPr>
              <w:pStyle w:val="19"/>
              <w:bidi w:val="0"/>
              <w:rPr>
                <w:rFonts w:hint="default"/>
                <w:lang w:val="en-US" w:eastAsia="zh-CN"/>
              </w:rPr>
            </w:pPr>
            <w:r>
              <w:rPr>
                <w:rFonts w:hint="eastAsia"/>
                <w:lang w:val="en-US" w:eastAsia="zh-CN"/>
              </w:rPr>
              <w:t>100</w:t>
            </w:r>
          </w:p>
        </w:tc>
      </w:tr>
    </w:tbl>
    <w:p w14:paraId="26F36AF7">
      <w:pPr>
        <w:pStyle w:val="30"/>
        <w:bidi w:val="0"/>
        <w:rPr>
          <w:lang w:val="en-US" w:eastAsia="zh-CN"/>
        </w:rPr>
      </w:pPr>
      <w:r>
        <w:rPr>
          <w:rFonts w:hint="eastAsia"/>
          <w:lang w:val="en-US" w:eastAsia="zh-CN"/>
        </w:rPr>
        <w:t>表5.2-3   DA002</w:t>
      </w:r>
      <w:r>
        <w:rPr>
          <w:lang w:val="en-US" w:eastAsia="zh-CN"/>
        </w:rPr>
        <w:t>大气估算结果统计表（点源）</w:t>
      </w:r>
    </w:p>
    <w:tbl>
      <w:tblPr>
        <w:tblStyle w:val="21"/>
        <w:tblW w:w="501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Layout w:type="autofit"/>
        <w:tblCellMar>
          <w:top w:w="0" w:type="dxa"/>
          <w:left w:w="0" w:type="dxa"/>
          <w:bottom w:w="0" w:type="dxa"/>
          <w:right w:w="0" w:type="dxa"/>
        </w:tblCellMar>
      </w:tblPr>
      <w:tblGrid>
        <w:gridCol w:w="615"/>
        <w:gridCol w:w="1286"/>
        <w:gridCol w:w="1290"/>
        <w:gridCol w:w="2"/>
        <w:gridCol w:w="1283"/>
        <w:gridCol w:w="1290"/>
        <w:gridCol w:w="7"/>
        <w:gridCol w:w="1286"/>
        <w:gridCol w:w="1291"/>
      </w:tblGrid>
      <w:tr w14:paraId="0A6587AC">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vMerge w:val="restart"/>
            <w:tcBorders>
              <w:tl2br w:val="nil"/>
              <w:tr2bl w:val="nil"/>
            </w:tcBorders>
            <w:noWrap w:val="0"/>
            <w:vAlign w:val="center"/>
          </w:tcPr>
          <w:p w14:paraId="094E0287">
            <w:pPr>
              <w:pStyle w:val="19"/>
              <w:bidi w:val="0"/>
              <w:rPr>
                <w:b/>
                <w:bCs/>
              </w:rPr>
            </w:pPr>
            <w:r>
              <w:rPr>
                <w:b/>
                <w:bCs/>
              </w:rPr>
              <w:t>距离（m）</w:t>
            </w:r>
          </w:p>
        </w:tc>
        <w:tc>
          <w:tcPr>
            <w:tcW w:w="1543" w:type="pct"/>
            <w:gridSpan w:val="3"/>
            <w:tcBorders>
              <w:tl2br w:val="nil"/>
              <w:tr2bl w:val="nil"/>
            </w:tcBorders>
            <w:noWrap w:val="0"/>
            <w:vAlign w:val="center"/>
          </w:tcPr>
          <w:p w14:paraId="41C1DE3C">
            <w:pPr>
              <w:pStyle w:val="19"/>
              <w:bidi w:val="0"/>
              <w:rPr>
                <w:b/>
                <w:bCs/>
              </w:rPr>
            </w:pPr>
            <w:r>
              <w:rPr>
                <w:b/>
                <w:bCs/>
              </w:rPr>
              <w:t>SO</w:t>
            </w:r>
            <w:r>
              <w:rPr>
                <w:b/>
                <w:bCs/>
                <w:vertAlign w:val="subscript"/>
              </w:rPr>
              <w:t>2</w:t>
            </w:r>
          </w:p>
        </w:tc>
        <w:tc>
          <w:tcPr>
            <w:tcW w:w="1544" w:type="pct"/>
            <w:gridSpan w:val="3"/>
            <w:tcBorders>
              <w:tl2br w:val="nil"/>
              <w:tr2bl w:val="nil"/>
            </w:tcBorders>
            <w:noWrap w:val="0"/>
            <w:vAlign w:val="center"/>
          </w:tcPr>
          <w:p w14:paraId="3E94934C">
            <w:pPr>
              <w:pStyle w:val="19"/>
              <w:bidi w:val="0"/>
              <w:rPr>
                <w:b/>
                <w:bCs/>
              </w:rPr>
            </w:pPr>
            <w:r>
              <w:rPr>
                <w:b/>
                <w:bCs/>
              </w:rPr>
              <w:t>NO</w:t>
            </w:r>
            <w:r>
              <w:rPr>
                <w:b/>
                <w:bCs/>
                <w:vertAlign w:val="subscript"/>
              </w:rPr>
              <w:t>2</w:t>
            </w:r>
          </w:p>
        </w:tc>
        <w:tc>
          <w:tcPr>
            <w:tcW w:w="1543" w:type="pct"/>
            <w:gridSpan w:val="2"/>
            <w:tcBorders>
              <w:tl2br w:val="nil"/>
              <w:tr2bl w:val="nil"/>
            </w:tcBorders>
            <w:noWrap w:val="0"/>
            <w:vAlign w:val="center"/>
          </w:tcPr>
          <w:p w14:paraId="4DCF4E3C">
            <w:pPr>
              <w:pStyle w:val="19"/>
              <w:bidi w:val="0"/>
              <w:rPr>
                <w:b/>
                <w:bCs/>
              </w:rPr>
            </w:pPr>
            <w:r>
              <w:rPr>
                <w:b/>
                <w:bCs/>
              </w:rPr>
              <w:t>烟尘（PM</w:t>
            </w:r>
            <w:r>
              <w:rPr>
                <w:b/>
                <w:bCs/>
                <w:vertAlign w:val="subscript"/>
              </w:rPr>
              <w:t>10</w:t>
            </w:r>
            <w:r>
              <w:rPr>
                <w:b/>
                <w:bCs/>
              </w:rPr>
              <w:t>）</w:t>
            </w:r>
          </w:p>
        </w:tc>
      </w:tr>
      <w:tr w14:paraId="37DFDF3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vMerge w:val="continue"/>
            <w:tcBorders>
              <w:tl2br w:val="nil"/>
              <w:tr2bl w:val="nil"/>
            </w:tcBorders>
            <w:noWrap w:val="0"/>
            <w:vAlign w:val="center"/>
          </w:tcPr>
          <w:p w14:paraId="415ACABE">
            <w:pPr>
              <w:pStyle w:val="19"/>
              <w:bidi w:val="0"/>
              <w:rPr>
                <w:b/>
                <w:bCs/>
              </w:rPr>
            </w:pPr>
          </w:p>
        </w:tc>
        <w:tc>
          <w:tcPr>
            <w:tcW w:w="770" w:type="pct"/>
            <w:tcBorders>
              <w:tl2br w:val="nil"/>
              <w:tr2bl w:val="nil"/>
            </w:tcBorders>
            <w:noWrap w:val="0"/>
            <w:vAlign w:val="center"/>
          </w:tcPr>
          <w:p w14:paraId="539AB975">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gridSpan w:val="2"/>
            <w:tcBorders>
              <w:tl2br w:val="nil"/>
              <w:tr2bl w:val="nil"/>
            </w:tcBorders>
            <w:noWrap w:val="0"/>
            <w:vAlign w:val="center"/>
          </w:tcPr>
          <w:p w14:paraId="7F23902D">
            <w:pPr>
              <w:pStyle w:val="19"/>
              <w:bidi w:val="0"/>
              <w:rPr>
                <w:b/>
                <w:bCs/>
              </w:rPr>
            </w:pPr>
            <w:r>
              <w:rPr>
                <w:b/>
                <w:bCs/>
              </w:rPr>
              <w:t>占标率(%)</w:t>
            </w:r>
          </w:p>
        </w:tc>
        <w:tc>
          <w:tcPr>
            <w:tcW w:w="768" w:type="pct"/>
            <w:tcBorders>
              <w:tl2br w:val="nil"/>
              <w:tr2bl w:val="nil"/>
            </w:tcBorders>
            <w:noWrap w:val="0"/>
            <w:vAlign w:val="center"/>
          </w:tcPr>
          <w:p w14:paraId="35139B22">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6" w:type="pct"/>
            <w:gridSpan w:val="2"/>
            <w:tcBorders>
              <w:tl2br w:val="nil"/>
              <w:tr2bl w:val="nil"/>
            </w:tcBorders>
            <w:noWrap w:val="0"/>
            <w:vAlign w:val="center"/>
          </w:tcPr>
          <w:p w14:paraId="18DF5614">
            <w:pPr>
              <w:pStyle w:val="19"/>
              <w:bidi w:val="0"/>
              <w:rPr>
                <w:b/>
                <w:bCs/>
              </w:rPr>
            </w:pPr>
            <w:r>
              <w:rPr>
                <w:b/>
                <w:bCs/>
              </w:rPr>
              <w:t>占标率(%)</w:t>
            </w:r>
          </w:p>
        </w:tc>
        <w:tc>
          <w:tcPr>
            <w:tcW w:w="770" w:type="pct"/>
            <w:tcBorders>
              <w:tl2br w:val="nil"/>
              <w:tr2bl w:val="nil"/>
            </w:tcBorders>
            <w:noWrap w:val="0"/>
            <w:vAlign w:val="center"/>
          </w:tcPr>
          <w:p w14:paraId="61FBCB88">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tcBorders>
              <w:tl2br w:val="nil"/>
              <w:tr2bl w:val="nil"/>
            </w:tcBorders>
            <w:noWrap w:val="0"/>
            <w:vAlign w:val="center"/>
          </w:tcPr>
          <w:p w14:paraId="17E7D9AF">
            <w:pPr>
              <w:pStyle w:val="19"/>
              <w:bidi w:val="0"/>
              <w:rPr>
                <w:b/>
                <w:bCs/>
              </w:rPr>
            </w:pPr>
            <w:r>
              <w:rPr>
                <w:b/>
                <w:bCs/>
              </w:rPr>
              <w:t>占标率(%)</w:t>
            </w:r>
          </w:p>
        </w:tc>
      </w:tr>
      <w:tr w14:paraId="1622A4D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6FB48FD3">
            <w:pPr>
              <w:pStyle w:val="19"/>
              <w:bidi w:val="0"/>
            </w:pPr>
            <w:r>
              <w:t>50</w:t>
            </w:r>
          </w:p>
        </w:tc>
        <w:tc>
          <w:tcPr>
            <w:tcW w:w="770" w:type="pct"/>
            <w:tcBorders>
              <w:tl2br w:val="nil"/>
              <w:tr2bl w:val="nil"/>
            </w:tcBorders>
            <w:noWrap w:val="0"/>
            <w:vAlign w:val="center"/>
          </w:tcPr>
          <w:p w14:paraId="4F560CB8">
            <w:pPr>
              <w:pStyle w:val="19"/>
              <w:bidi w:val="0"/>
            </w:pPr>
            <w:r>
              <w:rPr>
                <w:rFonts w:hint="eastAsia"/>
                <w:lang w:val="en-US" w:eastAsia="zh-CN"/>
              </w:rPr>
              <w:t xml:space="preserve">0.3157 </w:t>
            </w:r>
          </w:p>
        </w:tc>
        <w:tc>
          <w:tcPr>
            <w:tcW w:w="773" w:type="pct"/>
            <w:gridSpan w:val="2"/>
            <w:tcBorders>
              <w:tl2br w:val="nil"/>
              <w:tr2bl w:val="nil"/>
            </w:tcBorders>
            <w:noWrap w:val="0"/>
            <w:vAlign w:val="center"/>
          </w:tcPr>
          <w:p w14:paraId="7D379566">
            <w:pPr>
              <w:pStyle w:val="19"/>
              <w:bidi w:val="0"/>
            </w:pPr>
            <w:r>
              <w:rPr>
                <w:rFonts w:hint="eastAsia"/>
                <w:lang w:val="en-US" w:eastAsia="zh-CN"/>
              </w:rPr>
              <w:t xml:space="preserve">0.0631 </w:t>
            </w:r>
          </w:p>
        </w:tc>
        <w:tc>
          <w:tcPr>
            <w:tcW w:w="768" w:type="pct"/>
            <w:tcBorders>
              <w:tl2br w:val="nil"/>
              <w:tr2bl w:val="nil"/>
            </w:tcBorders>
            <w:noWrap w:val="0"/>
            <w:vAlign w:val="center"/>
          </w:tcPr>
          <w:p w14:paraId="56F7649F">
            <w:pPr>
              <w:pStyle w:val="19"/>
              <w:bidi w:val="0"/>
            </w:pPr>
            <w:r>
              <w:rPr>
                <w:rFonts w:hint="eastAsia"/>
                <w:lang w:val="en-US" w:eastAsia="zh-CN"/>
              </w:rPr>
              <w:t xml:space="preserve">0.3969 </w:t>
            </w:r>
          </w:p>
        </w:tc>
        <w:tc>
          <w:tcPr>
            <w:tcW w:w="776" w:type="pct"/>
            <w:gridSpan w:val="2"/>
            <w:tcBorders>
              <w:tl2br w:val="nil"/>
              <w:tr2bl w:val="nil"/>
            </w:tcBorders>
            <w:noWrap w:val="0"/>
            <w:vAlign w:val="center"/>
          </w:tcPr>
          <w:p w14:paraId="25A160C9">
            <w:pPr>
              <w:pStyle w:val="19"/>
              <w:bidi w:val="0"/>
            </w:pPr>
            <w:r>
              <w:rPr>
                <w:rFonts w:hint="eastAsia"/>
                <w:lang w:val="en-US" w:eastAsia="zh-CN"/>
              </w:rPr>
              <w:t xml:space="preserve">0.2779 </w:t>
            </w:r>
          </w:p>
        </w:tc>
        <w:tc>
          <w:tcPr>
            <w:tcW w:w="770" w:type="pct"/>
            <w:tcBorders>
              <w:tl2br w:val="nil"/>
              <w:tr2bl w:val="nil"/>
            </w:tcBorders>
            <w:noWrap w:val="0"/>
            <w:vAlign w:val="center"/>
          </w:tcPr>
          <w:p w14:paraId="1B184FD8">
            <w:pPr>
              <w:pStyle w:val="19"/>
              <w:bidi w:val="0"/>
            </w:pPr>
            <w:r>
              <w:rPr>
                <w:rFonts w:hint="eastAsia"/>
                <w:lang w:val="en-US" w:eastAsia="zh-CN"/>
              </w:rPr>
              <w:t xml:space="preserve">0.0755 </w:t>
            </w:r>
          </w:p>
        </w:tc>
        <w:tc>
          <w:tcPr>
            <w:tcW w:w="773" w:type="pct"/>
            <w:tcBorders>
              <w:tl2br w:val="nil"/>
              <w:tr2bl w:val="nil"/>
            </w:tcBorders>
            <w:noWrap w:val="0"/>
            <w:vAlign w:val="center"/>
          </w:tcPr>
          <w:p w14:paraId="10DDB700">
            <w:pPr>
              <w:pStyle w:val="19"/>
              <w:bidi w:val="0"/>
            </w:pPr>
            <w:r>
              <w:rPr>
                <w:rFonts w:hint="eastAsia"/>
                <w:lang w:val="en-US" w:eastAsia="zh-CN"/>
              </w:rPr>
              <w:t xml:space="preserve">0.0151 </w:t>
            </w:r>
          </w:p>
        </w:tc>
      </w:tr>
      <w:tr w14:paraId="7D435601">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39BBD2F8">
            <w:pPr>
              <w:pStyle w:val="19"/>
              <w:bidi w:val="0"/>
            </w:pPr>
            <w:r>
              <w:t>100</w:t>
            </w:r>
          </w:p>
        </w:tc>
        <w:tc>
          <w:tcPr>
            <w:tcW w:w="770" w:type="pct"/>
            <w:tcBorders>
              <w:tl2br w:val="nil"/>
              <w:tr2bl w:val="nil"/>
            </w:tcBorders>
            <w:noWrap w:val="0"/>
            <w:vAlign w:val="center"/>
          </w:tcPr>
          <w:p w14:paraId="054027DE">
            <w:pPr>
              <w:pStyle w:val="19"/>
              <w:bidi w:val="0"/>
            </w:pPr>
            <w:r>
              <w:rPr>
                <w:rFonts w:hint="eastAsia"/>
                <w:lang w:val="en-US" w:eastAsia="zh-CN"/>
              </w:rPr>
              <w:t xml:space="preserve">5.0508 </w:t>
            </w:r>
          </w:p>
        </w:tc>
        <w:tc>
          <w:tcPr>
            <w:tcW w:w="773" w:type="pct"/>
            <w:gridSpan w:val="2"/>
            <w:tcBorders>
              <w:tl2br w:val="nil"/>
              <w:tr2bl w:val="nil"/>
            </w:tcBorders>
            <w:noWrap w:val="0"/>
            <w:vAlign w:val="center"/>
          </w:tcPr>
          <w:p w14:paraId="5D54F121">
            <w:pPr>
              <w:pStyle w:val="19"/>
              <w:bidi w:val="0"/>
            </w:pPr>
            <w:r>
              <w:rPr>
                <w:rFonts w:hint="eastAsia"/>
                <w:lang w:val="en-US" w:eastAsia="zh-CN"/>
              </w:rPr>
              <w:t xml:space="preserve">1.0102 </w:t>
            </w:r>
          </w:p>
        </w:tc>
        <w:tc>
          <w:tcPr>
            <w:tcW w:w="768" w:type="pct"/>
            <w:tcBorders>
              <w:tl2br w:val="nil"/>
              <w:tr2bl w:val="nil"/>
            </w:tcBorders>
            <w:noWrap w:val="0"/>
            <w:vAlign w:val="center"/>
          </w:tcPr>
          <w:p w14:paraId="4A1E3719">
            <w:pPr>
              <w:pStyle w:val="19"/>
              <w:bidi w:val="0"/>
            </w:pPr>
            <w:r>
              <w:rPr>
                <w:rFonts w:hint="eastAsia"/>
                <w:lang w:val="en-US" w:eastAsia="zh-CN"/>
              </w:rPr>
              <w:t xml:space="preserve">10.7176 </w:t>
            </w:r>
          </w:p>
        </w:tc>
        <w:tc>
          <w:tcPr>
            <w:tcW w:w="776" w:type="pct"/>
            <w:gridSpan w:val="2"/>
            <w:tcBorders>
              <w:tl2br w:val="nil"/>
              <w:tr2bl w:val="nil"/>
            </w:tcBorders>
            <w:noWrap w:val="0"/>
            <w:vAlign w:val="center"/>
          </w:tcPr>
          <w:p w14:paraId="4CD19BD5">
            <w:pPr>
              <w:pStyle w:val="19"/>
              <w:bidi w:val="0"/>
            </w:pPr>
            <w:r>
              <w:rPr>
                <w:rFonts w:hint="eastAsia"/>
                <w:lang w:val="en-US" w:eastAsia="zh-CN"/>
              </w:rPr>
              <w:t xml:space="preserve">5.2794 </w:t>
            </w:r>
          </w:p>
        </w:tc>
        <w:tc>
          <w:tcPr>
            <w:tcW w:w="770" w:type="pct"/>
            <w:tcBorders>
              <w:tl2br w:val="nil"/>
              <w:tr2bl w:val="nil"/>
            </w:tcBorders>
            <w:noWrap w:val="0"/>
            <w:vAlign w:val="center"/>
          </w:tcPr>
          <w:p w14:paraId="3222C35B">
            <w:pPr>
              <w:pStyle w:val="19"/>
              <w:bidi w:val="0"/>
            </w:pPr>
            <w:r>
              <w:rPr>
                <w:rFonts w:hint="eastAsia"/>
                <w:lang w:val="en-US" w:eastAsia="zh-CN"/>
              </w:rPr>
              <w:t xml:space="preserve">0.0755 </w:t>
            </w:r>
          </w:p>
        </w:tc>
        <w:tc>
          <w:tcPr>
            <w:tcW w:w="773" w:type="pct"/>
            <w:tcBorders>
              <w:tl2br w:val="nil"/>
              <w:tr2bl w:val="nil"/>
            </w:tcBorders>
            <w:noWrap w:val="0"/>
            <w:vAlign w:val="center"/>
          </w:tcPr>
          <w:p w14:paraId="58DCCD09">
            <w:pPr>
              <w:pStyle w:val="19"/>
              <w:bidi w:val="0"/>
            </w:pPr>
            <w:r>
              <w:rPr>
                <w:rFonts w:hint="eastAsia"/>
                <w:lang w:val="en-US" w:eastAsia="zh-CN"/>
              </w:rPr>
              <w:t xml:space="preserve">0.0189 </w:t>
            </w:r>
          </w:p>
        </w:tc>
      </w:tr>
      <w:tr w14:paraId="5E1F06F2">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5100BC42">
            <w:pPr>
              <w:pStyle w:val="19"/>
              <w:bidi w:val="0"/>
            </w:pPr>
            <w:r>
              <w:t>200</w:t>
            </w:r>
          </w:p>
        </w:tc>
        <w:tc>
          <w:tcPr>
            <w:tcW w:w="770" w:type="pct"/>
            <w:tcBorders>
              <w:tl2br w:val="nil"/>
              <w:tr2bl w:val="nil"/>
            </w:tcBorders>
            <w:noWrap w:val="0"/>
            <w:vAlign w:val="center"/>
          </w:tcPr>
          <w:p w14:paraId="3EA5BFCC">
            <w:pPr>
              <w:pStyle w:val="19"/>
              <w:bidi w:val="0"/>
            </w:pPr>
            <w:r>
              <w:rPr>
                <w:rFonts w:hint="eastAsia"/>
                <w:lang w:val="en-US" w:eastAsia="zh-CN"/>
              </w:rPr>
              <w:t xml:space="preserve">5.3665 </w:t>
            </w:r>
          </w:p>
        </w:tc>
        <w:tc>
          <w:tcPr>
            <w:tcW w:w="773" w:type="pct"/>
            <w:gridSpan w:val="2"/>
            <w:tcBorders>
              <w:tl2br w:val="nil"/>
              <w:tr2bl w:val="nil"/>
            </w:tcBorders>
            <w:noWrap w:val="0"/>
            <w:vAlign w:val="center"/>
          </w:tcPr>
          <w:p w14:paraId="7A9C3AD3">
            <w:pPr>
              <w:pStyle w:val="19"/>
              <w:bidi w:val="0"/>
            </w:pPr>
            <w:r>
              <w:rPr>
                <w:rFonts w:hint="eastAsia"/>
                <w:lang w:val="en-US" w:eastAsia="zh-CN"/>
              </w:rPr>
              <w:t xml:space="preserve">1.0733 </w:t>
            </w:r>
          </w:p>
        </w:tc>
        <w:tc>
          <w:tcPr>
            <w:tcW w:w="768" w:type="pct"/>
            <w:tcBorders>
              <w:tl2br w:val="nil"/>
              <w:tr2bl w:val="nil"/>
            </w:tcBorders>
            <w:noWrap w:val="0"/>
            <w:vAlign w:val="center"/>
          </w:tcPr>
          <w:p w14:paraId="4438BB8F">
            <w:pPr>
              <w:pStyle w:val="19"/>
              <w:bidi w:val="0"/>
            </w:pPr>
            <w:r>
              <w:rPr>
                <w:rFonts w:hint="eastAsia"/>
                <w:lang w:val="en-US" w:eastAsia="zh-CN"/>
              </w:rPr>
              <w:t xml:space="preserve">11.5115 </w:t>
            </w:r>
          </w:p>
        </w:tc>
        <w:tc>
          <w:tcPr>
            <w:tcW w:w="776" w:type="pct"/>
            <w:gridSpan w:val="2"/>
            <w:tcBorders>
              <w:tl2br w:val="nil"/>
              <w:tr2bl w:val="nil"/>
            </w:tcBorders>
            <w:noWrap w:val="0"/>
            <w:vAlign w:val="center"/>
          </w:tcPr>
          <w:p w14:paraId="348F1A3F">
            <w:pPr>
              <w:pStyle w:val="19"/>
              <w:bidi w:val="0"/>
            </w:pPr>
            <w:r>
              <w:rPr>
                <w:rFonts w:hint="eastAsia"/>
                <w:lang w:val="en-US" w:eastAsia="zh-CN"/>
              </w:rPr>
              <w:t xml:space="preserve">5.6764 </w:t>
            </w:r>
          </w:p>
        </w:tc>
        <w:tc>
          <w:tcPr>
            <w:tcW w:w="770" w:type="pct"/>
            <w:tcBorders>
              <w:tl2br w:val="nil"/>
              <w:tr2bl w:val="nil"/>
            </w:tcBorders>
            <w:noWrap w:val="0"/>
            <w:vAlign w:val="center"/>
          </w:tcPr>
          <w:p w14:paraId="32002160">
            <w:pPr>
              <w:pStyle w:val="19"/>
              <w:bidi w:val="0"/>
            </w:pPr>
            <w:r>
              <w:rPr>
                <w:rFonts w:hint="eastAsia"/>
                <w:lang w:val="en-US" w:eastAsia="zh-CN"/>
              </w:rPr>
              <w:t xml:space="preserve">0.0378 </w:t>
            </w:r>
          </w:p>
        </w:tc>
        <w:tc>
          <w:tcPr>
            <w:tcW w:w="773" w:type="pct"/>
            <w:tcBorders>
              <w:tl2br w:val="nil"/>
              <w:tr2bl w:val="nil"/>
            </w:tcBorders>
            <w:noWrap w:val="0"/>
            <w:vAlign w:val="center"/>
          </w:tcPr>
          <w:p w14:paraId="7C2F5D0A">
            <w:pPr>
              <w:pStyle w:val="19"/>
              <w:bidi w:val="0"/>
            </w:pPr>
            <w:r>
              <w:rPr>
                <w:rFonts w:hint="eastAsia"/>
                <w:lang w:val="en-US" w:eastAsia="zh-CN"/>
              </w:rPr>
              <w:t xml:space="preserve">0.0113 </w:t>
            </w:r>
          </w:p>
        </w:tc>
      </w:tr>
      <w:tr w14:paraId="2E61F81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0391E897">
            <w:pPr>
              <w:pStyle w:val="19"/>
              <w:bidi w:val="0"/>
            </w:pPr>
            <w:r>
              <w:t>300</w:t>
            </w:r>
          </w:p>
        </w:tc>
        <w:tc>
          <w:tcPr>
            <w:tcW w:w="770" w:type="pct"/>
            <w:tcBorders>
              <w:tl2br w:val="nil"/>
              <w:tr2bl w:val="nil"/>
            </w:tcBorders>
            <w:noWrap w:val="0"/>
            <w:vAlign w:val="center"/>
          </w:tcPr>
          <w:p w14:paraId="475DC129">
            <w:pPr>
              <w:pStyle w:val="19"/>
              <w:bidi w:val="0"/>
            </w:pPr>
            <w:r>
              <w:rPr>
                <w:rFonts w:hint="eastAsia"/>
                <w:lang w:val="en-US" w:eastAsia="zh-CN"/>
              </w:rPr>
              <w:t xml:space="preserve">3.4725 </w:t>
            </w:r>
          </w:p>
        </w:tc>
        <w:tc>
          <w:tcPr>
            <w:tcW w:w="773" w:type="pct"/>
            <w:gridSpan w:val="2"/>
            <w:tcBorders>
              <w:tl2br w:val="nil"/>
              <w:tr2bl w:val="nil"/>
            </w:tcBorders>
            <w:noWrap w:val="0"/>
            <w:vAlign w:val="center"/>
          </w:tcPr>
          <w:p w14:paraId="6D5C4BDC">
            <w:pPr>
              <w:pStyle w:val="19"/>
              <w:bidi w:val="0"/>
            </w:pPr>
            <w:r>
              <w:rPr>
                <w:rFonts w:hint="eastAsia"/>
                <w:lang w:val="en-US" w:eastAsia="zh-CN"/>
              </w:rPr>
              <w:t xml:space="preserve">0.6629 </w:t>
            </w:r>
          </w:p>
        </w:tc>
        <w:tc>
          <w:tcPr>
            <w:tcW w:w="768" w:type="pct"/>
            <w:tcBorders>
              <w:tl2br w:val="nil"/>
              <w:tr2bl w:val="nil"/>
            </w:tcBorders>
            <w:noWrap w:val="0"/>
            <w:vAlign w:val="center"/>
          </w:tcPr>
          <w:p w14:paraId="49CC1AB6">
            <w:pPr>
              <w:pStyle w:val="19"/>
              <w:bidi w:val="0"/>
            </w:pPr>
            <w:r>
              <w:rPr>
                <w:rFonts w:hint="eastAsia"/>
                <w:lang w:val="en-US" w:eastAsia="zh-CN"/>
              </w:rPr>
              <w:t xml:space="preserve">7.1451 </w:t>
            </w:r>
          </w:p>
        </w:tc>
        <w:tc>
          <w:tcPr>
            <w:tcW w:w="776" w:type="pct"/>
            <w:gridSpan w:val="2"/>
            <w:tcBorders>
              <w:tl2br w:val="nil"/>
              <w:tr2bl w:val="nil"/>
            </w:tcBorders>
            <w:noWrap w:val="0"/>
            <w:vAlign w:val="center"/>
          </w:tcPr>
          <w:p w14:paraId="579DC546">
            <w:pPr>
              <w:pStyle w:val="19"/>
              <w:bidi w:val="0"/>
            </w:pPr>
            <w:r>
              <w:rPr>
                <w:rFonts w:hint="eastAsia"/>
                <w:lang w:val="en-US" w:eastAsia="zh-CN"/>
              </w:rPr>
              <w:t xml:space="preserve">3.5328 </w:t>
            </w:r>
          </w:p>
        </w:tc>
        <w:tc>
          <w:tcPr>
            <w:tcW w:w="770" w:type="pct"/>
            <w:tcBorders>
              <w:tl2br w:val="nil"/>
              <w:tr2bl w:val="nil"/>
            </w:tcBorders>
            <w:noWrap w:val="0"/>
            <w:vAlign w:val="center"/>
          </w:tcPr>
          <w:p w14:paraId="60CF6F0B">
            <w:pPr>
              <w:pStyle w:val="19"/>
              <w:bidi w:val="0"/>
            </w:pPr>
            <w:r>
              <w:rPr>
                <w:rFonts w:hint="eastAsia"/>
                <w:lang w:val="en-US" w:eastAsia="zh-CN"/>
              </w:rPr>
              <w:t xml:space="preserve">0.0755 </w:t>
            </w:r>
          </w:p>
        </w:tc>
        <w:tc>
          <w:tcPr>
            <w:tcW w:w="773" w:type="pct"/>
            <w:tcBorders>
              <w:tl2br w:val="nil"/>
              <w:tr2bl w:val="nil"/>
            </w:tcBorders>
            <w:noWrap w:val="0"/>
            <w:vAlign w:val="center"/>
          </w:tcPr>
          <w:p w14:paraId="7959C2E5">
            <w:pPr>
              <w:pStyle w:val="19"/>
              <w:bidi w:val="0"/>
            </w:pPr>
            <w:r>
              <w:rPr>
                <w:rFonts w:hint="eastAsia"/>
                <w:lang w:val="en-US" w:eastAsia="zh-CN"/>
              </w:rPr>
              <w:t xml:space="preserve">0.0113 </w:t>
            </w:r>
          </w:p>
        </w:tc>
      </w:tr>
      <w:tr w14:paraId="200961CD">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5A53DFDA">
            <w:pPr>
              <w:pStyle w:val="19"/>
              <w:bidi w:val="0"/>
            </w:pPr>
            <w:r>
              <w:t>400</w:t>
            </w:r>
          </w:p>
        </w:tc>
        <w:tc>
          <w:tcPr>
            <w:tcW w:w="770" w:type="pct"/>
            <w:tcBorders>
              <w:tl2br w:val="nil"/>
              <w:tr2bl w:val="nil"/>
            </w:tcBorders>
            <w:noWrap w:val="0"/>
            <w:vAlign w:val="center"/>
          </w:tcPr>
          <w:p w14:paraId="4A1C883C">
            <w:pPr>
              <w:pStyle w:val="19"/>
              <w:bidi w:val="0"/>
            </w:pPr>
            <w:r>
              <w:rPr>
                <w:rFonts w:hint="eastAsia"/>
                <w:lang w:val="en-US" w:eastAsia="zh-CN"/>
              </w:rPr>
              <w:t xml:space="preserve">4.1038 </w:t>
            </w:r>
          </w:p>
        </w:tc>
        <w:tc>
          <w:tcPr>
            <w:tcW w:w="773" w:type="pct"/>
            <w:gridSpan w:val="2"/>
            <w:tcBorders>
              <w:tl2br w:val="nil"/>
              <w:tr2bl w:val="nil"/>
            </w:tcBorders>
            <w:noWrap w:val="0"/>
            <w:vAlign w:val="center"/>
          </w:tcPr>
          <w:p w14:paraId="3F8D7833">
            <w:pPr>
              <w:pStyle w:val="19"/>
              <w:bidi w:val="0"/>
            </w:pPr>
            <w:r>
              <w:rPr>
                <w:rFonts w:hint="eastAsia"/>
                <w:lang w:val="en-US" w:eastAsia="zh-CN"/>
              </w:rPr>
              <w:t xml:space="preserve">0.7892 </w:t>
            </w:r>
          </w:p>
        </w:tc>
        <w:tc>
          <w:tcPr>
            <w:tcW w:w="768" w:type="pct"/>
            <w:tcBorders>
              <w:tl2br w:val="nil"/>
              <w:tr2bl w:val="nil"/>
            </w:tcBorders>
            <w:noWrap w:val="0"/>
            <w:vAlign w:val="center"/>
          </w:tcPr>
          <w:p w14:paraId="72781EE0">
            <w:pPr>
              <w:pStyle w:val="19"/>
              <w:bidi w:val="0"/>
            </w:pPr>
            <w:r>
              <w:rPr>
                <w:rFonts w:hint="eastAsia"/>
                <w:lang w:val="en-US" w:eastAsia="zh-CN"/>
              </w:rPr>
              <w:t xml:space="preserve">8.3359 </w:t>
            </w:r>
          </w:p>
        </w:tc>
        <w:tc>
          <w:tcPr>
            <w:tcW w:w="776" w:type="pct"/>
            <w:gridSpan w:val="2"/>
            <w:tcBorders>
              <w:tl2br w:val="nil"/>
              <w:tr2bl w:val="nil"/>
            </w:tcBorders>
            <w:noWrap w:val="0"/>
            <w:vAlign w:val="center"/>
          </w:tcPr>
          <w:p w14:paraId="07CC75E3">
            <w:pPr>
              <w:pStyle w:val="19"/>
              <w:bidi w:val="0"/>
            </w:pPr>
            <w:r>
              <w:rPr>
                <w:rFonts w:hint="eastAsia"/>
                <w:lang w:val="en-US" w:eastAsia="zh-CN"/>
              </w:rPr>
              <w:t xml:space="preserve">4.1680 </w:t>
            </w:r>
          </w:p>
        </w:tc>
        <w:tc>
          <w:tcPr>
            <w:tcW w:w="770" w:type="pct"/>
            <w:tcBorders>
              <w:tl2br w:val="nil"/>
              <w:tr2bl w:val="nil"/>
            </w:tcBorders>
            <w:noWrap w:val="0"/>
            <w:vAlign w:val="center"/>
          </w:tcPr>
          <w:p w14:paraId="572BDE48">
            <w:pPr>
              <w:pStyle w:val="19"/>
              <w:bidi w:val="0"/>
            </w:pPr>
            <w:r>
              <w:rPr>
                <w:rFonts w:hint="eastAsia"/>
                <w:lang w:val="en-US" w:eastAsia="zh-CN"/>
              </w:rPr>
              <w:t xml:space="preserve">0.0378 </w:t>
            </w:r>
          </w:p>
        </w:tc>
        <w:tc>
          <w:tcPr>
            <w:tcW w:w="773" w:type="pct"/>
            <w:tcBorders>
              <w:tl2br w:val="nil"/>
              <w:tr2bl w:val="nil"/>
            </w:tcBorders>
            <w:noWrap w:val="0"/>
            <w:vAlign w:val="center"/>
          </w:tcPr>
          <w:p w14:paraId="36206995">
            <w:pPr>
              <w:pStyle w:val="19"/>
              <w:bidi w:val="0"/>
            </w:pPr>
            <w:r>
              <w:rPr>
                <w:rFonts w:hint="eastAsia"/>
                <w:lang w:val="en-US" w:eastAsia="zh-CN"/>
              </w:rPr>
              <w:t xml:space="preserve">0.0113 </w:t>
            </w:r>
          </w:p>
        </w:tc>
      </w:tr>
      <w:tr w14:paraId="0D511B0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1D1FEA81">
            <w:pPr>
              <w:pStyle w:val="19"/>
              <w:bidi w:val="0"/>
            </w:pPr>
            <w:r>
              <w:t>475</w:t>
            </w:r>
          </w:p>
        </w:tc>
        <w:tc>
          <w:tcPr>
            <w:tcW w:w="770" w:type="pct"/>
            <w:tcBorders>
              <w:tl2br w:val="nil"/>
              <w:tr2bl w:val="nil"/>
            </w:tcBorders>
            <w:noWrap w:val="0"/>
            <w:vAlign w:val="center"/>
          </w:tcPr>
          <w:p w14:paraId="36E8C196">
            <w:pPr>
              <w:pStyle w:val="19"/>
              <w:bidi w:val="0"/>
            </w:pPr>
            <w:r>
              <w:rPr>
                <w:rFonts w:hint="eastAsia"/>
                <w:lang w:val="en-US" w:eastAsia="zh-CN"/>
              </w:rPr>
              <w:t xml:space="preserve">3.7881 </w:t>
            </w:r>
          </w:p>
        </w:tc>
        <w:tc>
          <w:tcPr>
            <w:tcW w:w="773" w:type="pct"/>
            <w:gridSpan w:val="2"/>
            <w:tcBorders>
              <w:tl2br w:val="nil"/>
              <w:tr2bl w:val="nil"/>
            </w:tcBorders>
            <w:noWrap w:val="0"/>
            <w:vAlign w:val="center"/>
          </w:tcPr>
          <w:p w14:paraId="2E8138A1">
            <w:pPr>
              <w:pStyle w:val="19"/>
              <w:bidi w:val="0"/>
            </w:pPr>
            <w:r>
              <w:rPr>
                <w:rFonts w:hint="eastAsia"/>
                <w:lang w:val="en-US" w:eastAsia="zh-CN"/>
              </w:rPr>
              <w:t xml:space="preserve">0.7576 </w:t>
            </w:r>
          </w:p>
        </w:tc>
        <w:tc>
          <w:tcPr>
            <w:tcW w:w="768" w:type="pct"/>
            <w:tcBorders>
              <w:tl2br w:val="nil"/>
              <w:tr2bl w:val="nil"/>
            </w:tcBorders>
            <w:noWrap w:val="0"/>
            <w:vAlign w:val="center"/>
          </w:tcPr>
          <w:p w14:paraId="6AA508AC">
            <w:pPr>
              <w:pStyle w:val="19"/>
              <w:bidi w:val="0"/>
            </w:pPr>
            <w:r>
              <w:rPr>
                <w:rFonts w:hint="eastAsia"/>
                <w:lang w:val="en-US" w:eastAsia="zh-CN"/>
              </w:rPr>
              <w:t xml:space="preserve">7.9390 </w:t>
            </w:r>
          </w:p>
        </w:tc>
        <w:tc>
          <w:tcPr>
            <w:tcW w:w="776" w:type="pct"/>
            <w:gridSpan w:val="2"/>
            <w:tcBorders>
              <w:tl2br w:val="nil"/>
              <w:tr2bl w:val="nil"/>
            </w:tcBorders>
            <w:noWrap w:val="0"/>
            <w:vAlign w:val="center"/>
          </w:tcPr>
          <w:p w14:paraId="379CF3E4">
            <w:pPr>
              <w:pStyle w:val="19"/>
              <w:bidi w:val="0"/>
            </w:pPr>
            <w:r>
              <w:rPr>
                <w:rFonts w:hint="eastAsia"/>
                <w:lang w:val="en-US" w:eastAsia="zh-CN"/>
              </w:rPr>
              <w:t xml:space="preserve">3.9298 </w:t>
            </w:r>
          </w:p>
        </w:tc>
        <w:tc>
          <w:tcPr>
            <w:tcW w:w="770" w:type="pct"/>
            <w:tcBorders>
              <w:tl2br w:val="nil"/>
              <w:tr2bl w:val="nil"/>
            </w:tcBorders>
            <w:noWrap w:val="0"/>
            <w:vAlign w:val="center"/>
          </w:tcPr>
          <w:p w14:paraId="31FCF77A">
            <w:pPr>
              <w:pStyle w:val="19"/>
              <w:bidi w:val="0"/>
            </w:pPr>
            <w:r>
              <w:rPr>
                <w:rFonts w:hint="eastAsia"/>
                <w:lang w:val="en-US" w:eastAsia="zh-CN"/>
              </w:rPr>
              <w:t xml:space="preserve">0.0378 </w:t>
            </w:r>
          </w:p>
        </w:tc>
        <w:tc>
          <w:tcPr>
            <w:tcW w:w="773" w:type="pct"/>
            <w:tcBorders>
              <w:tl2br w:val="nil"/>
              <w:tr2bl w:val="nil"/>
            </w:tcBorders>
            <w:noWrap w:val="0"/>
            <w:vAlign w:val="center"/>
          </w:tcPr>
          <w:p w14:paraId="6430582D">
            <w:pPr>
              <w:pStyle w:val="19"/>
              <w:bidi w:val="0"/>
            </w:pPr>
            <w:r>
              <w:rPr>
                <w:rFonts w:hint="eastAsia"/>
                <w:lang w:val="en-US" w:eastAsia="zh-CN"/>
              </w:rPr>
              <w:t xml:space="preserve">0.0113 </w:t>
            </w:r>
          </w:p>
        </w:tc>
      </w:tr>
      <w:tr w14:paraId="238BE66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48A6E3F8">
            <w:pPr>
              <w:pStyle w:val="19"/>
              <w:bidi w:val="0"/>
            </w:pPr>
            <w:r>
              <w:t>500</w:t>
            </w:r>
          </w:p>
        </w:tc>
        <w:tc>
          <w:tcPr>
            <w:tcW w:w="770" w:type="pct"/>
            <w:tcBorders>
              <w:tl2br w:val="nil"/>
              <w:tr2bl w:val="nil"/>
            </w:tcBorders>
            <w:noWrap w:val="0"/>
            <w:vAlign w:val="center"/>
          </w:tcPr>
          <w:p w14:paraId="1E791990">
            <w:pPr>
              <w:pStyle w:val="19"/>
              <w:bidi w:val="0"/>
            </w:pPr>
            <w:r>
              <w:rPr>
                <w:rFonts w:hint="eastAsia"/>
                <w:lang w:val="en-US" w:eastAsia="zh-CN"/>
              </w:rPr>
              <w:t xml:space="preserve">3.1568 </w:t>
            </w:r>
          </w:p>
        </w:tc>
        <w:tc>
          <w:tcPr>
            <w:tcW w:w="773" w:type="pct"/>
            <w:gridSpan w:val="2"/>
            <w:tcBorders>
              <w:tl2br w:val="nil"/>
              <w:tr2bl w:val="nil"/>
            </w:tcBorders>
            <w:noWrap w:val="0"/>
            <w:vAlign w:val="center"/>
          </w:tcPr>
          <w:p w14:paraId="538BD8A3">
            <w:pPr>
              <w:pStyle w:val="19"/>
              <w:bidi w:val="0"/>
            </w:pPr>
            <w:r>
              <w:rPr>
                <w:rFonts w:hint="eastAsia"/>
                <w:lang w:val="en-US" w:eastAsia="zh-CN"/>
              </w:rPr>
              <w:t xml:space="preserve">0.6629 </w:t>
            </w:r>
          </w:p>
        </w:tc>
        <w:tc>
          <w:tcPr>
            <w:tcW w:w="768" w:type="pct"/>
            <w:tcBorders>
              <w:tl2br w:val="nil"/>
              <w:tr2bl w:val="nil"/>
            </w:tcBorders>
            <w:noWrap w:val="0"/>
            <w:vAlign w:val="center"/>
          </w:tcPr>
          <w:p w14:paraId="525960E3">
            <w:pPr>
              <w:pStyle w:val="19"/>
              <w:bidi w:val="0"/>
            </w:pPr>
            <w:r>
              <w:rPr>
                <w:rFonts w:hint="eastAsia"/>
                <w:lang w:val="en-US" w:eastAsia="zh-CN"/>
              </w:rPr>
              <w:t xml:space="preserve">6.7481 </w:t>
            </w:r>
          </w:p>
        </w:tc>
        <w:tc>
          <w:tcPr>
            <w:tcW w:w="776" w:type="pct"/>
            <w:gridSpan w:val="2"/>
            <w:tcBorders>
              <w:tl2br w:val="nil"/>
              <w:tr2bl w:val="nil"/>
            </w:tcBorders>
            <w:noWrap w:val="0"/>
            <w:vAlign w:val="center"/>
          </w:tcPr>
          <w:p w14:paraId="4EB36D78">
            <w:pPr>
              <w:pStyle w:val="19"/>
              <w:bidi w:val="0"/>
            </w:pPr>
            <w:r>
              <w:rPr>
                <w:rFonts w:hint="eastAsia"/>
                <w:lang w:val="en-US" w:eastAsia="zh-CN"/>
              </w:rPr>
              <w:t xml:space="preserve">3.4535 </w:t>
            </w:r>
          </w:p>
        </w:tc>
        <w:tc>
          <w:tcPr>
            <w:tcW w:w="770" w:type="pct"/>
            <w:tcBorders>
              <w:tl2br w:val="nil"/>
              <w:tr2bl w:val="nil"/>
            </w:tcBorders>
            <w:noWrap w:val="0"/>
            <w:vAlign w:val="center"/>
          </w:tcPr>
          <w:p w14:paraId="63E17E91">
            <w:pPr>
              <w:pStyle w:val="19"/>
              <w:bidi w:val="0"/>
            </w:pPr>
            <w:r>
              <w:rPr>
                <w:rFonts w:hint="eastAsia"/>
                <w:lang w:val="en-US" w:eastAsia="zh-CN"/>
              </w:rPr>
              <w:t xml:space="preserve">0.0378 </w:t>
            </w:r>
          </w:p>
        </w:tc>
        <w:tc>
          <w:tcPr>
            <w:tcW w:w="773" w:type="pct"/>
            <w:tcBorders>
              <w:tl2br w:val="nil"/>
              <w:tr2bl w:val="nil"/>
            </w:tcBorders>
            <w:noWrap w:val="0"/>
            <w:vAlign w:val="center"/>
          </w:tcPr>
          <w:p w14:paraId="48FD42A3">
            <w:pPr>
              <w:pStyle w:val="19"/>
              <w:bidi w:val="0"/>
            </w:pPr>
            <w:r>
              <w:rPr>
                <w:rFonts w:hint="eastAsia"/>
                <w:lang w:val="en-US" w:eastAsia="zh-CN"/>
              </w:rPr>
              <w:t xml:space="preserve">0.0076 </w:t>
            </w:r>
          </w:p>
        </w:tc>
      </w:tr>
      <w:tr w14:paraId="3467543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3248F012">
            <w:pPr>
              <w:pStyle w:val="19"/>
              <w:bidi w:val="0"/>
            </w:pPr>
            <w:r>
              <w:t>600</w:t>
            </w:r>
          </w:p>
        </w:tc>
        <w:tc>
          <w:tcPr>
            <w:tcW w:w="770" w:type="pct"/>
            <w:tcBorders>
              <w:tl2br w:val="nil"/>
              <w:tr2bl w:val="nil"/>
            </w:tcBorders>
            <w:noWrap w:val="0"/>
            <w:vAlign w:val="center"/>
          </w:tcPr>
          <w:p w14:paraId="133680AC">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79529AA0">
            <w:pPr>
              <w:pStyle w:val="19"/>
              <w:bidi w:val="0"/>
            </w:pPr>
            <w:r>
              <w:rPr>
                <w:rFonts w:hint="eastAsia"/>
                <w:lang w:val="en-US" w:eastAsia="zh-CN"/>
              </w:rPr>
              <w:t xml:space="preserve">0.5367 </w:t>
            </w:r>
          </w:p>
        </w:tc>
        <w:tc>
          <w:tcPr>
            <w:tcW w:w="768" w:type="pct"/>
            <w:tcBorders>
              <w:tl2br w:val="nil"/>
              <w:tr2bl w:val="nil"/>
            </w:tcBorders>
            <w:noWrap w:val="0"/>
            <w:vAlign w:val="center"/>
          </w:tcPr>
          <w:p w14:paraId="1E16C5B3">
            <w:pPr>
              <w:pStyle w:val="19"/>
              <w:bidi w:val="0"/>
            </w:pPr>
            <w:r>
              <w:rPr>
                <w:rFonts w:hint="eastAsia"/>
                <w:lang w:val="en-US" w:eastAsia="zh-CN"/>
              </w:rPr>
              <w:t xml:space="preserve">5.5573 </w:t>
            </w:r>
          </w:p>
        </w:tc>
        <w:tc>
          <w:tcPr>
            <w:tcW w:w="776" w:type="pct"/>
            <w:gridSpan w:val="2"/>
            <w:tcBorders>
              <w:tl2br w:val="nil"/>
              <w:tr2bl w:val="nil"/>
            </w:tcBorders>
            <w:noWrap w:val="0"/>
            <w:vAlign w:val="center"/>
          </w:tcPr>
          <w:p w14:paraId="7BCD5F7C">
            <w:pPr>
              <w:pStyle w:val="19"/>
              <w:bidi w:val="0"/>
            </w:pPr>
            <w:r>
              <w:rPr>
                <w:rFonts w:hint="eastAsia"/>
                <w:lang w:val="en-US" w:eastAsia="zh-CN"/>
              </w:rPr>
              <w:t xml:space="preserve">2.8580 </w:t>
            </w:r>
          </w:p>
        </w:tc>
        <w:tc>
          <w:tcPr>
            <w:tcW w:w="770" w:type="pct"/>
            <w:tcBorders>
              <w:tl2br w:val="nil"/>
              <w:tr2bl w:val="nil"/>
            </w:tcBorders>
            <w:noWrap w:val="0"/>
            <w:vAlign w:val="center"/>
          </w:tcPr>
          <w:p w14:paraId="192F8C84">
            <w:pPr>
              <w:pStyle w:val="19"/>
              <w:bidi w:val="0"/>
            </w:pPr>
            <w:r>
              <w:rPr>
                <w:rFonts w:hint="eastAsia"/>
                <w:lang w:val="en-US" w:eastAsia="zh-CN"/>
              </w:rPr>
              <w:t xml:space="preserve">0.0378 </w:t>
            </w:r>
          </w:p>
        </w:tc>
        <w:tc>
          <w:tcPr>
            <w:tcW w:w="773" w:type="pct"/>
            <w:tcBorders>
              <w:tl2br w:val="nil"/>
              <w:tr2bl w:val="nil"/>
            </w:tcBorders>
            <w:noWrap w:val="0"/>
            <w:vAlign w:val="center"/>
          </w:tcPr>
          <w:p w14:paraId="7C9BD73F">
            <w:pPr>
              <w:pStyle w:val="19"/>
              <w:bidi w:val="0"/>
            </w:pPr>
            <w:r>
              <w:rPr>
                <w:rFonts w:hint="eastAsia"/>
                <w:lang w:val="en-US" w:eastAsia="zh-CN"/>
              </w:rPr>
              <w:t xml:space="preserve">0.0076 </w:t>
            </w:r>
          </w:p>
        </w:tc>
      </w:tr>
      <w:tr w14:paraId="16364B7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704EB8B5">
            <w:pPr>
              <w:pStyle w:val="19"/>
              <w:bidi w:val="0"/>
            </w:pPr>
            <w:r>
              <w:t>700</w:t>
            </w:r>
          </w:p>
        </w:tc>
        <w:tc>
          <w:tcPr>
            <w:tcW w:w="770" w:type="pct"/>
            <w:tcBorders>
              <w:tl2br w:val="nil"/>
              <w:tr2bl w:val="nil"/>
            </w:tcBorders>
            <w:noWrap w:val="0"/>
            <w:vAlign w:val="center"/>
          </w:tcPr>
          <w:p w14:paraId="2F608CEF">
            <w:pPr>
              <w:pStyle w:val="19"/>
              <w:bidi w:val="0"/>
            </w:pPr>
            <w:r>
              <w:rPr>
                <w:rFonts w:hint="eastAsia"/>
                <w:lang w:val="en-US" w:eastAsia="zh-CN"/>
              </w:rPr>
              <w:t xml:space="preserve">2.5254 </w:t>
            </w:r>
          </w:p>
        </w:tc>
        <w:tc>
          <w:tcPr>
            <w:tcW w:w="773" w:type="pct"/>
            <w:gridSpan w:val="2"/>
            <w:tcBorders>
              <w:tl2br w:val="nil"/>
              <w:tr2bl w:val="nil"/>
            </w:tcBorders>
            <w:noWrap w:val="0"/>
            <w:vAlign w:val="center"/>
          </w:tcPr>
          <w:p w14:paraId="703F6FAE">
            <w:pPr>
              <w:pStyle w:val="19"/>
              <w:bidi w:val="0"/>
            </w:pPr>
            <w:r>
              <w:rPr>
                <w:rFonts w:hint="eastAsia"/>
                <w:lang w:val="en-US" w:eastAsia="zh-CN"/>
              </w:rPr>
              <w:t xml:space="preserve">0.5051 </w:t>
            </w:r>
          </w:p>
        </w:tc>
        <w:tc>
          <w:tcPr>
            <w:tcW w:w="768" w:type="pct"/>
            <w:tcBorders>
              <w:tl2br w:val="nil"/>
              <w:tr2bl w:val="nil"/>
            </w:tcBorders>
            <w:noWrap w:val="0"/>
            <w:vAlign w:val="center"/>
          </w:tcPr>
          <w:p w14:paraId="25FFA294">
            <w:pPr>
              <w:pStyle w:val="19"/>
              <w:bidi w:val="0"/>
            </w:pPr>
            <w:r>
              <w:rPr>
                <w:rFonts w:hint="eastAsia"/>
                <w:lang w:val="en-US" w:eastAsia="zh-CN"/>
              </w:rPr>
              <w:t xml:space="preserve">5.1603 </w:t>
            </w:r>
          </w:p>
        </w:tc>
        <w:tc>
          <w:tcPr>
            <w:tcW w:w="776" w:type="pct"/>
            <w:gridSpan w:val="2"/>
            <w:tcBorders>
              <w:tl2br w:val="nil"/>
              <w:tr2bl w:val="nil"/>
            </w:tcBorders>
            <w:noWrap w:val="0"/>
            <w:vAlign w:val="center"/>
          </w:tcPr>
          <w:p w14:paraId="44DB7808">
            <w:pPr>
              <w:pStyle w:val="19"/>
              <w:bidi w:val="0"/>
            </w:pPr>
            <w:r>
              <w:rPr>
                <w:rFonts w:hint="eastAsia"/>
                <w:lang w:val="en-US" w:eastAsia="zh-CN"/>
              </w:rPr>
              <w:t xml:space="preserve">2.5802 </w:t>
            </w:r>
          </w:p>
        </w:tc>
        <w:tc>
          <w:tcPr>
            <w:tcW w:w="770" w:type="pct"/>
            <w:tcBorders>
              <w:tl2br w:val="nil"/>
              <w:tr2bl w:val="nil"/>
            </w:tcBorders>
            <w:noWrap w:val="0"/>
            <w:vAlign w:val="center"/>
          </w:tcPr>
          <w:p w14:paraId="424B2402">
            <w:pPr>
              <w:pStyle w:val="19"/>
              <w:bidi w:val="0"/>
            </w:pPr>
            <w:r>
              <w:rPr>
                <w:rFonts w:hint="eastAsia"/>
                <w:lang w:val="en-US" w:eastAsia="zh-CN"/>
              </w:rPr>
              <w:t xml:space="preserve">0.0378 </w:t>
            </w:r>
          </w:p>
        </w:tc>
        <w:tc>
          <w:tcPr>
            <w:tcW w:w="773" w:type="pct"/>
            <w:tcBorders>
              <w:tl2br w:val="nil"/>
              <w:tr2bl w:val="nil"/>
            </w:tcBorders>
            <w:noWrap w:val="0"/>
            <w:vAlign w:val="center"/>
          </w:tcPr>
          <w:p w14:paraId="08AD148C">
            <w:pPr>
              <w:pStyle w:val="19"/>
              <w:bidi w:val="0"/>
            </w:pPr>
            <w:r>
              <w:rPr>
                <w:rFonts w:hint="eastAsia"/>
                <w:lang w:val="en-US" w:eastAsia="zh-CN"/>
              </w:rPr>
              <w:t xml:space="preserve">0.0076 </w:t>
            </w:r>
          </w:p>
        </w:tc>
      </w:tr>
      <w:tr w14:paraId="7F5AD62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46CB8F9E">
            <w:pPr>
              <w:pStyle w:val="19"/>
              <w:bidi w:val="0"/>
            </w:pPr>
            <w:r>
              <w:t>800</w:t>
            </w:r>
          </w:p>
        </w:tc>
        <w:tc>
          <w:tcPr>
            <w:tcW w:w="770" w:type="pct"/>
            <w:tcBorders>
              <w:tl2br w:val="nil"/>
              <w:tr2bl w:val="nil"/>
            </w:tcBorders>
            <w:noWrap w:val="0"/>
            <w:vAlign w:val="center"/>
          </w:tcPr>
          <w:p w14:paraId="41AD1526">
            <w:pPr>
              <w:pStyle w:val="19"/>
              <w:bidi w:val="0"/>
            </w:pPr>
            <w:r>
              <w:rPr>
                <w:rFonts w:hint="eastAsia"/>
                <w:lang w:val="en-US" w:eastAsia="zh-CN"/>
              </w:rPr>
              <w:t xml:space="preserve">2.5254 </w:t>
            </w:r>
          </w:p>
        </w:tc>
        <w:tc>
          <w:tcPr>
            <w:tcW w:w="773" w:type="pct"/>
            <w:gridSpan w:val="2"/>
            <w:tcBorders>
              <w:tl2br w:val="nil"/>
              <w:tr2bl w:val="nil"/>
            </w:tcBorders>
            <w:noWrap w:val="0"/>
            <w:vAlign w:val="center"/>
          </w:tcPr>
          <w:p w14:paraId="6E70C180">
            <w:pPr>
              <w:pStyle w:val="19"/>
              <w:bidi w:val="0"/>
            </w:pPr>
            <w:r>
              <w:rPr>
                <w:rFonts w:hint="eastAsia"/>
                <w:lang w:val="en-US" w:eastAsia="zh-CN"/>
              </w:rPr>
              <w:t xml:space="preserve">0.5051 </w:t>
            </w:r>
          </w:p>
        </w:tc>
        <w:tc>
          <w:tcPr>
            <w:tcW w:w="768" w:type="pct"/>
            <w:tcBorders>
              <w:tl2br w:val="nil"/>
              <w:tr2bl w:val="nil"/>
            </w:tcBorders>
            <w:noWrap w:val="0"/>
            <w:vAlign w:val="center"/>
          </w:tcPr>
          <w:p w14:paraId="33B02197">
            <w:pPr>
              <w:pStyle w:val="19"/>
              <w:bidi w:val="0"/>
            </w:pPr>
            <w:r>
              <w:rPr>
                <w:rFonts w:hint="eastAsia"/>
                <w:lang w:val="en-US" w:eastAsia="zh-CN"/>
              </w:rPr>
              <w:t xml:space="preserve">5.1603 </w:t>
            </w:r>
          </w:p>
        </w:tc>
        <w:tc>
          <w:tcPr>
            <w:tcW w:w="776" w:type="pct"/>
            <w:gridSpan w:val="2"/>
            <w:tcBorders>
              <w:tl2br w:val="nil"/>
              <w:tr2bl w:val="nil"/>
            </w:tcBorders>
            <w:noWrap w:val="0"/>
            <w:vAlign w:val="center"/>
          </w:tcPr>
          <w:p w14:paraId="56971896">
            <w:pPr>
              <w:pStyle w:val="19"/>
              <w:bidi w:val="0"/>
            </w:pPr>
            <w:r>
              <w:rPr>
                <w:rFonts w:hint="eastAsia"/>
                <w:lang w:val="en-US" w:eastAsia="zh-CN"/>
              </w:rPr>
              <w:t xml:space="preserve">2.6596 </w:t>
            </w:r>
          </w:p>
        </w:tc>
        <w:tc>
          <w:tcPr>
            <w:tcW w:w="770" w:type="pct"/>
            <w:tcBorders>
              <w:tl2br w:val="nil"/>
              <w:tr2bl w:val="nil"/>
            </w:tcBorders>
            <w:noWrap w:val="0"/>
            <w:vAlign w:val="center"/>
          </w:tcPr>
          <w:p w14:paraId="1130C4F8">
            <w:pPr>
              <w:pStyle w:val="19"/>
              <w:bidi w:val="0"/>
            </w:pPr>
            <w:r>
              <w:rPr>
                <w:rFonts w:hint="eastAsia"/>
                <w:lang w:val="en-US" w:eastAsia="zh-CN"/>
              </w:rPr>
              <w:t xml:space="preserve">0.0378 </w:t>
            </w:r>
          </w:p>
        </w:tc>
        <w:tc>
          <w:tcPr>
            <w:tcW w:w="773" w:type="pct"/>
            <w:tcBorders>
              <w:tl2br w:val="nil"/>
              <w:tr2bl w:val="nil"/>
            </w:tcBorders>
            <w:noWrap w:val="0"/>
            <w:vAlign w:val="center"/>
          </w:tcPr>
          <w:p w14:paraId="6BF0FEF8">
            <w:pPr>
              <w:pStyle w:val="19"/>
              <w:bidi w:val="0"/>
            </w:pPr>
            <w:r>
              <w:rPr>
                <w:rFonts w:hint="eastAsia"/>
                <w:lang w:val="en-US" w:eastAsia="zh-CN"/>
              </w:rPr>
              <w:t xml:space="preserve">0.0076 </w:t>
            </w:r>
          </w:p>
        </w:tc>
      </w:tr>
      <w:tr w14:paraId="5EF853E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3349874A">
            <w:pPr>
              <w:pStyle w:val="19"/>
              <w:bidi w:val="0"/>
            </w:pPr>
            <w:r>
              <w:t>900</w:t>
            </w:r>
          </w:p>
        </w:tc>
        <w:tc>
          <w:tcPr>
            <w:tcW w:w="770" w:type="pct"/>
            <w:tcBorders>
              <w:tl2br w:val="nil"/>
              <w:tr2bl w:val="nil"/>
            </w:tcBorders>
            <w:noWrap w:val="0"/>
            <w:vAlign w:val="center"/>
          </w:tcPr>
          <w:p w14:paraId="4DD44482">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6B9EA1A8">
            <w:pPr>
              <w:pStyle w:val="19"/>
              <w:bidi w:val="0"/>
            </w:pPr>
            <w:r>
              <w:rPr>
                <w:rFonts w:hint="eastAsia"/>
                <w:lang w:val="en-US" w:eastAsia="zh-CN"/>
              </w:rPr>
              <w:t xml:space="preserve">0.5367 </w:t>
            </w:r>
          </w:p>
        </w:tc>
        <w:tc>
          <w:tcPr>
            <w:tcW w:w="768" w:type="pct"/>
            <w:tcBorders>
              <w:tl2br w:val="nil"/>
              <w:tr2bl w:val="nil"/>
            </w:tcBorders>
            <w:noWrap w:val="0"/>
            <w:vAlign w:val="center"/>
          </w:tcPr>
          <w:p w14:paraId="3E8BC430">
            <w:pPr>
              <w:pStyle w:val="19"/>
              <w:bidi w:val="0"/>
            </w:pPr>
            <w:r>
              <w:rPr>
                <w:rFonts w:hint="eastAsia"/>
                <w:lang w:val="en-US" w:eastAsia="zh-CN"/>
              </w:rPr>
              <w:t xml:space="preserve">5.5573 </w:t>
            </w:r>
          </w:p>
        </w:tc>
        <w:tc>
          <w:tcPr>
            <w:tcW w:w="776" w:type="pct"/>
            <w:gridSpan w:val="2"/>
            <w:tcBorders>
              <w:tl2br w:val="nil"/>
              <w:tr2bl w:val="nil"/>
            </w:tcBorders>
            <w:noWrap w:val="0"/>
            <w:vAlign w:val="center"/>
          </w:tcPr>
          <w:p w14:paraId="5AD813F7">
            <w:pPr>
              <w:pStyle w:val="19"/>
              <w:bidi w:val="0"/>
            </w:pPr>
            <w:r>
              <w:rPr>
                <w:rFonts w:hint="eastAsia"/>
                <w:lang w:val="en-US" w:eastAsia="zh-CN"/>
              </w:rPr>
              <w:t xml:space="preserve">2.8183 </w:t>
            </w:r>
          </w:p>
        </w:tc>
        <w:tc>
          <w:tcPr>
            <w:tcW w:w="770" w:type="pct"/>
            <w:tcBorders>
              <w:tl2br w:val="nil"/>
              <w:tr2bl w:val="nil"/>
            </w:tcBorders>
            <w:noWrap w:val="0"/>
            <w:vAlign w:val="center"/>
          </w:tcPr>
          <w:p w14:paraId="3FCAF88D">
            <w:pPr>
              <w:pStyle w:val="19"/>
              <w:bidi w:val="0"/>
            </w:pPr>
            <w:r>
              <w:rPr>
                <w:rFonts w:hint="eastAsia"/>
                <w:lang w:val="en-US" w:eastAsia="zh-CN"/>
              </w:rPr>
              <w:t xml:space="preserve">0.0378 </w:t>
            </w:r>
          </w:p>
        </w:tc>
        <w:tc>
          <w:tcPr>
            <w:tcW w:w="773" w:type="pct"/>
            <w:tcBorders>
              <w:tl2br w:val="nil"/>
              <w:tr2bl w:val="nil"/>
            </w:tcBorders>
            <w:noWrap w:val="0"/>
            <w:vAlign w:val="center"/>
          </w:tcPr>
          <w:p w14:paraId="16B5760E">
            <w:pPr>
              <w:pStyle w:val="19"/>
              <w:bidi w:val="0"/>
            </w:pPr>
            <w:r>
              <w:rPr>
                <w:rFonts w:hint="eastAsia"/>
                <w:lang w:val="en-US" w:eastAsia="zh-CN"/>
              </w:rPr>
              <w:t xml:space="preserve">0.0113 </w:t>
            </w:r>
          </w:p>
        </w:tc>
      </w:tr>
      <w:tr w14:paraId="1EB46A1F">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694C3106">
            <w:pPr>
              <w:pStyle w:val="19"/>
              <w:bidi w:val="0"/>
            </w:pPr>
            <w:r>
              <w:t>1000</w:t>
            </w:r>
          </w:p>
        </w:tc>
        <w:tc>
          <w:tcPr>
            <w:tcW w:w="770" w:type="pct"/>
            <w:tcBorders>
              <w:tl2br w:val="nil"/>
              <w:tr2bl w:val="nil"/>
            </w:tcBorders>
            <w:noWrap w:val="0"/>
            <w:vAlign w:val="center"/>
          </w:tcPr>
          <w:p w14:paraId="548F6063">
            <w:pPr>
              <w:pStyle w:val="19"/>
              <w:bidi w:val="0"/>
            </w:pPr>
            <w:r>
              <w:rPr>
                <w:rFonts w:hint="eastAsia"/>
                <w:lang w:val="en-US" w:eastAsia="zh-CN"/>
              </w:rPr>
              <w:t xml:space="preserve">3.1568 </w:t>
            </w:r>
          </w:p>
        </w:tc>
        <w:tc>
          <w:tcPr>
            <w:tcW w:w="773" w:type="pct"/>
            <w:gridSpan w:val="2"/>
            <w:tcBorders>
              <w:tl2br w:val="nil"/>
              <w:tr2bl w:val="nil"/>
            </w:tcBorders>
            <w:noWrap w:val="0"/>
            <w:vAlign w:val="center"/>
          </w:tcPr>
          <w:p w14:paraId="2B9730A0">
            <w:pPr>
              <w:pStyle w:val="19"/>
              <w:bidi w:val="0"/>
            </w:pPr>
            <w:r>
              <w:rPr>
                <w:rFonts w:hint="eastAsia"/>
                <w:lang w:val="en-US" w:eastAsia="zh-CN"/>
              </w:rPr>
              <w:t xml:space="preserve">0.5998 </w:t>
            </w:r>
          </w:p>
        </w:tc>
        <w:tc>
          <w:tcPr>
            <w:tcW w:w="768" w:type="pct"/>
            <w:tcBorders>
              <w:tl2br w:val="nil"/>
              <w:tr2bl w:val="nil"/>
            </w:tcBorders>
            <w:noWrap w:val="0"/>
            <w:vAlign w:val="center"/>
          </w:tcPr>
          <w:p w14:paraId="09C1609F">
            <w:pPr>
              <w:pStyle w:val="19"/>
              <w:bidi w:val="0"/>
            </w:pPr>
            <w:r>
              <w:rPr>
                <w:rFonts w:hint="eastAsia"/>
                <w:lang w:val="en-US" w:eastAsia="zh-CN"/>
              </w:rPr>
              <w:t xml:space="preserve">6.3512 </w:t>
            </w:r>
          </w:p>
        </w:tc>
        <w:tc>
          <w:tcPr>
            <w:tcW w:w="776" w:type="pct"/>
            <w:gridSpan w:val="2"/>
            <w:tcBorders>
              <w:tl2br w:val="nil"/>
              <w:tr2bl w:val="nil"/>
            </w:tcBorders>
            <w:noWrap w:val="0"/>
            <w:vAlign w:val="center"/>
          </w:tcPr>
          <w:p w14:paraId="34E05BC9">
            <w:pPr>
              <w:pStyle w:val="19"/>
              <w:bidi w:val="0"/>
            </w:pPr>
            <w:r>
              <w:rPr>
                <w:rFonts w:hint="eastAsia"/>
                <w:lang w:val="en-US" w:eastAsia="zh-CN"/>
              </w:rPr>
              <w:t xml:space="preserve">3.1756 </w:t>
            </w:r>
          </w:p>
        </w:tc>
        <w:tc>
          <w:tcPr>
            <w:tcW w:w="770" w:type="pct"/>
            <w:tcBorders>
              <w:tl2br w:val="nil"/>
              <w:tr2bl w:val="nil"/>
            </w:tcBorders>
            <w:noWrap w:val="0"/>
            <w:vAlign w:val="center"/>
          </w:tcPr>
          <w:p w14:paraId="5550DCE4">
            <w:pPr>
              <w:pStyle w:val="19"/>
              <w:bidi w:val="0"/>
            </w:pPr>
            <w:r>
              <w:rPr>
                <w:rFonts w:hint="eastAsia"/>
                <w:lang w:val="en-US" w:eastAsia="zh-CN"/>
              </w:rPr>
              <w:t xml:space="preserve">0.0378 </w:t>
            </w:r>
          </w:p>
        </w:tc>
        <w:tc>
          <w:tcPr>
            <w:tcW w:w="773" w:type="pct"/>
            <w:tcBorders>
              <w:tl2br w:val="nil"/>
              <w:tr2bl w:val="nil"/>
            </w:tcBorders>
            <w:noWrap w:val="0"/>
            <w:vAlign w:val="center"/>
          </w:tcPr>
          <w:p w14:paraId="08607B7A">
            <w:pPr>
              <w:pStyle w:val="19"/>
              <w:bidi w:val="0"/>
            </w:pPr>
            <w:r>
              <w:rPr>
                <w:rFonts w:hint="eastAsia"/>
                <w:lang w:val="en-US" w:eastAsia="zh-CN"/>
              </w:rPr>
              <w:t xml:space="preserve">0.0113 </w:t>
            </w:r>
          </w:p>
        </w:tc>
      </w:tr>
      <w:tr w14:paraId="0C8412EF">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5317EB8A">
            <w:pPr>
              <w:pStyle w:val="19"/>
              <w:bidi w:val="0"/>
            </w:pPr>
            <w:r>
              <w:rPr>
                <w:rFonts w:hint="eastAsia"/>
              </w:rPr>
              <w:t>1</w:t>
            </w:r>
            <w:r>
              <w:t>200</w:t>
            </w:r>
          </w:p>
        </w:tc>
        <w:tc>
          <w:tcPr>
            <w:tcW w:w="770" w:type="pct"/>
            <w:tcBorders>
              <w:tl2br w:val="nil"/>
              <w:tr2bl w:val="nil"/>
            </w:tcBorders>
            <w:noWrap w:val="0"/>
            <w:vAlign w:val="center"/>
          </w:tcPr>
          <w:p w14:paraId="74C53832">
            <w:pPr>
              <w:pStyle w:val="19"/>
              <w:bidi w:val="0"/>
            </w:pPr>
            <w:r>
              <w:rPr>
                <w:rFonts w:hint="eastAsia"/>
                <w:lang w:val="en-US" w:eastAsia="zh-CN"/>
              </w:rPr>
              <w:t xml:space="preserve">3.1568 </w:t>
            </w:r>
          </w:p>
        </w:tc>
        <w:tc>
          <w:tcPr>
            <w:tcW w:w="773" w:type="pct"/>
            <w:gridSpan w:val="2"/>
            <w:tcBorders>
              <w:tl2br w:val="nil"/>
              <w:tr2bl w:val="nil"/>
            </w:tcBorders>
            <w:noWrap w:val="0"/>
            <w:vAlign w:val="center"/>
          </w:tcPr>
          <w:p w14:paraId="7634F064">
            <w:pPr>
              <w:pStyle w:val="19"/>
              <w:bidi w:val="0"/>
            </w:pPr>
            <w:r>
              <w:rPr>
                <w:rFonts w:hint="eastAsia"/>
                <w:lang w:val="en-US" w:eastAsia="zh-CN"/>
              </w:rPr>
              <w:t xml:space="preserve">0.6314 </w:t>
            </w:r>
          </w:p>
        </w:tc>
        <w:tc>
          <w:tcPr>
            <w:tcW w:w="768" w:type="pct"/>
            <w:tcBorders>
              <w:tl2br w:val="nil"/>
              <w:tr2bl w:val="nil"/>
            </w:tcBorders>
            <w:noWrap w:val="0"/>
            <w:vAlign w:val="center"/>
          </w:tcPr>
          <w:p w14:paraId="497623B0">
            <w:pPr>
              <w:pStyle w:val="19"/>
              <w:bidi w:val="0"/>
            </w:pPr>
            <w:r>
              <w:rPr>
                <w:rFonts w:hint="eastAsia"/>
                <w:lang w:val="en-US" w:eastAsia="zh-CN"/>
              </w:rPr>
              <w:t xml:space="preserve">6.7481 </w:t>
            </w:r>
          </w:p>
        </w:tc>
        <w:tc>
          <w:tcPr>
            <w:tcW w:w="776" w:type="pct"/>
            <w:gridSpan w:val="2"/>
            <w:tcBorders>
              <w:tl2br w:val="nil"/>
              <w:tr2bl w:val="nil"/>
            </w:tcBorders>
            <w:noWrap w:val="0"/>
            <w:vAlign w:val="center"/>
          </w:tcPr>
          <w:p w14:paraId="52D00DDD">
            <w:pPr>
              <w:pStyle w:val="19"/>
              <w:bidi w:val="0"/>
            </w:pPr>
            <w:r>
              <w:rPr>
                <w:rFonts w:hint="eastAsia"/>
                <w:lang w:val="en-US" w:eastAsia="zh-CN"/>
              </w:rPr>
              <w:t xml:space="preserve">3.2947 </w:t>
            </w:r>
          </w:p>
        </w:tc>
        <w:tc>
          <w:tcPr>
            <w:tcW w:w="770" w:type="pct"/>
            <w:tcBorders>
              <w:tl2br w:val="nil"/>
              <w:tr2bl w:val="nil"/>
            </w:tcBorders>
            <w:noWrap w:val="0"/>
            <w:vAlign w:val="center"/>
          </w:tcPr>
          <w:p w14:paraId="22EBE5F3">
            <w:pPr>
              <w:pStyle w:val="19"/>
              <w:bidi w:val="0"/>
            </w:pPr>
            <w:r>
              <w:rPr>
                <w:rFonts w:hint="eastAsia"/>
                <w:lang w:val="en-US" w:eastAsia="zh-CN"/>
              </w:rPr>
              <w:t xml:space="preserve">0.0378 </w:t>
            </w:r>
          </w:p>
        </w:tc>
        <w:tc>
          <w:tcPr>
            <w:tcW w:w="773" w:type="pct"/>
            <w:tcBorders>
              <w:tl2br w:val="nil"/>
              <w:tr2bl w:val="nil"/>
            </w:tcBorders>
            <w:noWrap w:val="0"/>
            <w:vAlign w:val="center"/>
          </w:tcPr>
          <w:p w14:paraId="2C8D137F">
            <w:pPr>
              <w:pStyle w:val="19"/>
              <w:bidi w:val="0"/>
            </w:pPr>
            <w:r>
              <w:rPr>
                <w:rFonts w:hint="eastAsia"/>
                <w:lang w:val="en-US" w:eastAsia="zh-CN"/>
              </w:rPr>
              <w:t xml:space="preserve">0.0113 </w:t>
            </w:r>
          </w:p>
        </w:tc>
      </w:tr>
      <w:tr w14:paraId="7ECCB3E2">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79CFAB0B">
            <w:pPr>
              <w:pStyle w:val="19"/>
              <w:bidi w:val="0"/>
            </w:pPr>
            <w:r>
              <w:rPr>
                <w:rFonts w:hint="eastAsia"/>
              </w:rPr>
              <w:t>1</w:t>
            </w:r>
            <w:r>
              <w:t>500</w:t>
            </w:r>
          </w:p>
        </w:tc>
        <w:tc>
          <w:tcPr>
            <w:tcW w:w="770" w:type="pct"/>
            <w:tcBorders>
              <w:tl2br w:val="nil"/>
              <w:tr2bl w:val="nil"/>
            </w:tcBorders>
            <w:noWrap w:val="0"/>
            <w:vAlign w:val="center"/>
          </w:tcPr>
          <w:p w14:paraId="679FAB5A">
            <w:pPr>
              <w:pStyle w:val="19"/>
              <w:bidi w:val="0"/>
            </w:pPr>
            <w:r>
              <w:rPr>
                <w:rFonts w:hint="eastAsia"/>
                <w:lang w:val="en-US" w:eastAsia="zh-CN"/>
              </w:rPr>
              <w:t xml:space="preserve">3.1568 </w:t>
            </w:r>
          </w:p>
        </w:tc>
        <w:tc>
          <w:tcPr>
            <w:tcW w:w="773" w:type="pct"/>
            <w:gridSpan w:val="2"/>
            <w:tcBorders>
              <w:tl2br w:val="nil"/>
              <w:tr2bl w:val="nil"/>
            </w:tcBorders>
            <w:noWrap w:val="0"/>
            <w:vAlign w:val="center"/>
          </w:tcPr>
          <w:p w14:paraId="3035ACA6">
            <w:pPr>
              <w:pStyle w:val="19"/>
              <w:bidi w:val="0"/>
            </w:pPr>
            <w:r>
              <w:rPr>
                <w:rFonts w:hint="eastAsia"/>
                <w:lang w:val="en-US" w:eastAsia="zh-CN"/>
              </w:rPr>
              <w:t xml:space="preserve">0.6314 </w:t>
            </w:r>
          </w:p>
        </w:tc>
        <w:tc>
          <w:tcPr>
            <w:tcW w:w="768" w:type="pct"/>
            <w:tcBorders>
              <w:tl2br w:val="nil"/>
              <w:tr2bl w:val="nil"/>
            </w:tcBorders>
            <w:noWrap w:val="0"/>
            <w:vAlign w:val="center"/>
          </w:tcPr>
          <w:p w14:paraId="49AED795">
            <w:pPr>
              <w:pStyle w:val="19"/>
              <w:bidi w:val="0"/>
            </w:pPr>
            <w:r>
              <w:rPr>
                <w:rFonts w:hint="eastAsia"/>
                <w:lang w:val="en-US" w:eastAsia="zh-CN"/>
              </w:rPr>
              <w:t xml:space="preserve">6.7481 </w:t>
            </w:r>
          </w:p>
        </w:tc>
        <w:tc>
          <w:tcPr>
            <w:tcW w:w="776" w:type="pct"/>
            <w:gridSpan w:val="2"/>
            <w:tcBorders>
              <w:tl2br w:val="nil"/>
              <w:tr2bl w:val="nil"/>
            </w:tcBorders>
            <w:noWrap w:val="0"/>
            <w:vAlign w:val="center"/>
          </w:tcPr>
          <w:p w14:paraId="704B43EA">
            <w:pPr>
              <w:pStyle w:val="19"/>
              <w:bidi w:val="0"/>
            </w:pPr>
            <w:r>
              <w:rPr>
                <w:rFonts w:hint="eastAsia"/>
                <w:lang w:val="en-US" w:eastAsia="zh-CN"/>
              </w:rPr>
              <w:t xml:space="preserve">3.2947 </w:t>
            </w:r>
          </w:p>
        </w:tc>
        <w:tc>
          <w:tcPr>
            <w:tcW w:w="770" w:type="pct"/>
            <w:tcBorders>
              <w:tl2br w:val="nil"/>
              <w:tr2bl w:val="nil"/>
            </w:tcBorders>
            <w:noWrap w:val="0"/>
            <w:vAlign w:val="center"/>
          </w:tcPr>
          <w:p w14:paraId="4DEB496C">
            <w:pPr>
              <w:pStyle w:val="19"/>
              <w:bidi w:val="0"/>
            </w:pPr>
            <w:r>
              <w:rPr>
                <w:rFonts w:hint="eastAsia"/>
                <w:lang w:val="en-US" w:eastAsia="zh-CN"/>
              </w:rPr>
              <w:t xml:space="preserve">0.0378 </w:t>
            </w:r>
          </w:p>
        </w:tc>
        <w:tc>
          <w:tcPr>
            <w:tcW w:w="773" w:type="pct"/>
            <w:tcBorders>
              <w:tl2br w:val="nil"/>
              <w:tr2bl w:val="nil"/>
            </w:tcBorders>
            <w:noWrap w:val="0"/>
            <w:vAlign w:val="center"/>
          </w:tcPr>
          <w:p w14:paraId="1DE6C551">
            <w:pPr>
              <w:pStyle w:val="19"/>
              <w:bidi w:val="0"/>
            </w:pPr>
            <w:r>
              <w:rPr>
                <w:rFonts w:hint="eastAsia"/>
                <w:lang w:val="en-US" w:eastAsia="zh-CN"/>
              </w:rPr>
              <w:t xml:space="preserve">0.0113 </w:t>
            </w:r>
          </w:p>
        </w:tc>
      </w:tr>
      <w:tr w14:paraId="1D3C92C1">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0E599670">
            <w:pPr>
              <w:pStyle w:val="19"/>
              <w:bidi w:val="0"/>
            </w:pPr>
            <w:r>
              <w:rPr>
                <w:rFonts w:hint="eastAsia"/>
              </w:rPr>
              <w:t>2</w:t>
            </w:r>
            <w:r>
              <w:t>000</w:t>
            </w:r>
          </w:p>
        </w:tc>
        <w:tc>
          <w:tcPr>
            <w:tcW w:w="770" w:type="pct"/>
            <w:tcBorders>
              <w:tl2br w:val="nil"/>
              <w:tr2bl w:val="nil"/>
            </w:tcBorders>
            <w:noWrap w:val="0"/>
            <w:vAlign w:val="center"/>
          </w:tcPr>
          <w:p w14:paraId="770BF2C0">
            <w:pPr>
              <w:pStyle w:val="19"/>
              <w:bidi w:val="0"/>
            </w:pPr>
            <w:r>
              <w:rPr>
                <w:rFonts w:hint="eastAsia"/>
                <w:lang w:val="en-US" w:eastAsia="zh-CN"/>
              </w:rPr>
              <w:t xml:space="preserve">3.1568 </w:t>
            </w:r>
          </w:p>
        </w:tc>
        <w:tc>
          <w:tcPr>
            <w:tcW w:w="773" w:type="pct"/>
            <w:gridSpan w:val="2"/>
            <w:tcBorders>
              <w:tl2br w:val="nil"/>
              <w:tr2bl w:val="nil"/>
            </w:tcBorders>
            <w:noWrap w:val="0"/>
            <w:vAlign w:val="center"/>
          </w:tcPr>
          <w:p w14:paraId="0071E875">
            <w:pPr>
              <w:pStyle w:val="19"/>
              <w:bidi w:val="0"/>
            </w:pPr>
            <w:r>
              <w:rPr>
                <w:rFonts w:hint="eastAsia"/>
                <w:lang w:val="en-US" w:eastAsia="zh-CN"/>
              </w:rPr>
              <w:t xml:space="preserve">0.6314 </w:t>
            </w:r>
          </w:p>
        </w:tc>
        <w:tc>
          <w:tcPr>
            <w:tcW w:w="768" w:type="pct"/>
            <w:tcBorders>
              <w:tl2br w:val="nil"/>
              <w:tr2bl w:val="nil"/>
            </w:tcBorders>
            <w:noWrap w:val="0"/>
            <w:vAlign w:val="center"/>
          </w:tcPr>
          <w:p w14:paraId="324486F4">
            <w:pPr>
              <w:pStyle w:val="19"/>
              <w:bidi w:val="0"/>
            </w:pPr>
            <w:r>
              <w:rPr>
                <w:rFonts w:hint="eastAsia"/>
                <w:lang w:val="en-US" w:eastAsia="zh-CN"/>
              </w:rPr>
              <w:t xml:space="preserve">6.3512 </w:t>
            </w:r>
          </w:p>
        </w:tc>
        <w:tc>
          <w:tcPr>
            <w:tcW w:w="776" w:type="pct"/>
            <w:gridSpan w:val="2"/>
            <w:tcBorders>
              <w:tl2br w:val="nil"/>
              <w:tr2bl w:val="nil"/>
            </w:tcBorders>
            <w:noWrap w:val="0"/>
            <w:vAlign w:val="center"/>
          </w:tcPr>
          <w:p w14:paraId="34651B3E">
            <w:pPr>
              <w:pStyle w:val="19"/>
              <w:bidi w:val="0"/>
            </w:pPr>
            <w:r>
              <w:rPr>
                <w:rFonts w:hint="eastAsia"/>
                <w:lang w:val="en-US" w:eastAsia="zh-CN"/>
              </w:rPr>
              <w:t xml:space="preserve">3.2550 </w:t>
            </w:r>
          </w:p>
        </w:tc>
        <w:tc>
          <w:tcPr>
            <w:tcW w:w="770" w:type="pct"/>
            <w:tcBorders>
              <w:tl2br w:val="nil"/>
              <w:tr2bl w:val="nil"/>
            </w:tcBorders>
            <w:noWrap w:val="0"/>
            <w:vAlign w:val="center"/>
          </w:tcPr>
          <w:p w14:paraId="20C00055">
            <w:pPr>
              <w:pStyle w:val="19"/>
              <w:bidi w:val="0"/>
            </w:pPr>
            <w:r>
              <w:rPr>
                <w:rFonts w:hint="eastAsia"/>
                <w:lang w:val="en-US" w:eastAsia="zh-CN"/>
              </w:rPr>
              <w:t xml:space="preserve">0.0378 </w:t>
            </w:r>
          </w:p>
        </w:tc>
        <w:tc>
          <w:tcPr>
            <w:tcW w:w="773" w:type="pct"/>
            <w:tcBorders>
              <w:tl2br w:val="nil"/>
              <w:tr2bl w:val="nil"/>
            </w:tcBorders>
            <w:noWrap w:val="0"/>
            <w:vAlign w:val="center"/>
          </w:tcPr>
          <w:p w14:paraId="0B766164">
            <w:pPr>
              <w:pStyle w:val="19"/>
              <w:bidi w:val="0"/>
            </w:pPr>
            <w:r>
              <w:rPr>
                <w:rFonts w:hint="eastAsia"/>
                <w:lang w:val="en-US" w:eastAsia="zh-CN"/>
              </w:rPr>
              <w:t xml:space="preserve">0.0113 </w:t>
            </w:r>
          </w:p>
        </w:tc>
      </w:tr>
      <w:tr w14:paraId="675CD3C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366B043A">
            <w:pPr>
              <w:pStyle w:val="19"/>
              <w:bidi w:val="0"/>
            </w:pPr>
            <w:r>
              <w:rPr>
                <w:rFonts w:hint="eastAsia"/>
              </w:rPr>
              <w:t>2</w:t>
            </w:r>
            <w:r>
              <w:t>400</w:t>
            </w:r>
          </w:p>
        </w:tc>
        <w:tc>
          <w:tcPr>
            <w:tcW w:w="770" w:type="pct"/>
            <w:tcBorders>
              <w:tl2br w:val="nil"/>
              <w:tr2bl w:val="nil"/>
            </w:tcBorders>
            <w:noWrap w:val="0"/>
            <w:vAlign w:val="center"/>
          </w:tcPr>
          <w:p w14:paraId="330AFF24">
            <w:pPr>
              <w:pStyle w:val="19"/>
              <w:bidi w:val="0"/>
            </w:pPr>
            <w:r>
              <w:rPr>
                <w:rFonts w:hint="eastAsia"/>
                <w:lang w:val="en-US" w:eastAsia="zh-CN"/>
              </w:rPr>
              <w:t xml:space="preserve">3.1568 </w:t>
            </w:r>
          </w:p>
        </w:tc>
        <w:tc>
          <w:tcPr>
            <w:tcW w:w="773" w:type="pct"/>
            <w:gridSpan w:val="2"/>
            <w:tcBorders>
              <w:tl2br w:val="nil"/>
              <w:tr2bl w:val="nil"/>
            </w:tcBorders>
            <w:noWrap w:val="0"/>
            <w:vAlign w:val="center"/>
          </w:tcPr>
          <w:p w14:paraId="3B102E2E">
            <w:pPr>
              <w:pStyle w:val="19"/>
              <w:bidi w:val="0"/>
            </w:pPr>
            <w:r>
              <w:rPr>
                <w:rFonts w:hint="eastAsia"/>
                <w:lang w:val="en-US" w:eastAsia="zh-CN"/>
              </w:rPr>
              <w:t xml:space="preserve">0.5998 </w:t>
            </w:r>
          </w:p>
        </w:tc>
        <w:tc>
          <w:tcPr>
            <w:tcW w:w="768" w:type="pct"/>
            <w:tcBorders>
              <w:tl2br w:val="nil"/>
              <w:tr2bl w:val="nil"/>
            </w:tcBorders>
            <w:noWrap w:val="0"/>
            <w:vAlign w:val="center"/>
          </w:tcPr>
          <w:p w14:paraId="655D43BD">
            <w:pPr>
              <w:pStyle w:val="19"/>
              <w:bidi w:val="0"/>
            </w:pPr>
            <w:r>
              <w:rPr>
                <w:rFonts w:hint="eastAsia"/>
                <w:lang w:val="en-US" w:eastAsia="zh-CN"/>
              </w:rPr>
              <w:t xml:space="preserve">6.3512 </w:t>
            </w:r>
          </w:p>
        </w:tc>
        <w:tc>
          <w:tcPr>
            <w:tcW w:w="776" w:type="pct"/>
            <w:gridSpan w:val="2"/>
            <w:tcBorders>
              <w:tl2br w:val="nil"/>
              <w:tr2bl w:val="nil"/>
            </w:tcBorders>
            <w:noWrap w:val="0"/>
            <w:vAlign w:val="center"/>
          </w:tcPr>
          <w:p w14:paraId="499953AD">
            <w:pPr>
              <w:pStyle w:val="19"/>
              <w:bidi w:val="0"/>
            </w:pPr>
            <w:r>
              <w:rPr>
                <w:rFonts w:hint="eastAsia"/>
                <w:lang w:val="en-US" w:eastAsia="zh-CN"/>
              </w:rPr>
              <w:t xml:space="preserve">3.1756 </w:t>
            </w:r>
          </w:p>
        </w:tc>
        <w:tc>
          <w:tcPr>
            <w:tcW w:w="770" w:type="pct"/>
            <w:tcBorders>
              <w:tl2br w:val="nil"/>
              <w:tr2bl w:val="nil"/>
            </w:tcBorders>
            <w:noWrap w:val="0"/>
            <w:vAlign w:val="center"/>
          </w:tcPr>
          <w:p w14:paraId="7E913DBC">
            <w:pPr>
              <w:pStyle w:val="19"/>
              <w:bidi w:val="0"/>
            </w:pPr>
            <w:r>
              <w:rPr>
                <w:rFonts w:hint="eastAsia"/>
                <w:lang w:val="en-US" w:eastAsia="zh-CN"/>
              </w:rPr>
              <w:t xml:space="preserve">0.0378 </w:t>
            </w:r>
          </w:p>
        </w:tc>
        <w:tc>
          <w:tcPr>
            <w:tcW w:w="773" w:type="pct"/>
            <w:tcBorders>
              <w:tl2br w:val="nil"/>
              <w:tr2bl w:val="nil"/>
            </w:tcBorders>
            <w:noWrap w:val="0"/>
            <w:vAlign w:val="center"/>
          </w:tcPr>
          <w:p w14:paraId="5CDF9E6E">
            <w:pPr>
              <w:pStyle w:val="19"/>
              <w:bidi w:val="0"/>
            </w:pPr>
            <w:r>
              <w:rPr>
                <w:rFonts w:hint="eastAsia"/>
                <w:lang w:val="en-US" w:eastAsia="zh-CN"/>
              </w:rPr>
              <w:t xml:space="preserve">0.0113 </w:t>
            </w:r>
          </w:p>
        </w:tc>
      </w:tr>
      <w:tr w14:paraId="2CD0FA36">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1872F186">
            <w:pPr>
              <w:pStyle w:val="19"/>
              <w:bidi w:val="0"/>
            </w:pPr>
            <w:r>
              <w:rPr>
                <w:rFonts w:hint="eastAsia"/>
              </w:rPr>
              <w:t>2</w:t>
            </w:r>
            <w:r>
              <w:t>800</w:t>
            </w:r>
          </w:p>
        </w:tc>
        <w:tc>
          <w:tcPr>
            <w:tcW w:w="770" w:type="pct"/>
            <w:tcBorders>
              <w:tl2br w:val="nil"/>
              <w:tr2bl w:val="nil"/>
            </w:tcBorders>
            <w:noWrap w:val="0"/>
            <w:vAlign w:val="center"/>
          </w:tcPr>
          <w:p w14:paraId="16ECFBC4">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6183CE03">
            <w:pPr>
              <w:pStyle w:val="19"/>
              <w:bidi w:val="0"/>
            </w:pPr>
            <w:r>
              <w:rPr>
                <w:rFonts w:hint="eastAsia"/>
                <w:lang w:val="en-US" w:eastAsia="zh-CN"/>
              </w:rPr>
              <w:t xml:space="preserve">0.5682 </w:t>
            </w:r>
          </w:p>
        </w:tc>
        <w:tc>
          <w:tcPr>
            <w:tcW w:w="768" w:type="pct"/>
            <w:tcBorders>
              <w:tl2br w:val="nil"/>
              <w:tr2bl w:val="nil"/>
            </w:tcBorders>
            <w:noWrap w:val="0"/>
            <w:vAlign w:val="center"/>
          </w:tcPr>
          <w:p w14:paraId="441CA28D">
            <w:pPr>
              <w:pStyle w:val="19"/>
              <w:bidi w:val="0"/>
            </w:pPr>
            <w:r>
              <w:rPr>
                <w:rFonts w:hint="eastAsia"/>
                <w:lang w:val="en-US" w:eastAsia="zh-CN"/>
              </w:rPr>
              <w:t xml:space="preserve">5.9542 </w:t>
            </w:r>
          </w:p>
        </w:tc>
        <w:tc>
          <w:tcPr>
            <w:tcW w:w="776" w:type="pct"/>
            <w:gridSpan w:val="2"/>
            <w:tcBorders>
              <w:tl2br w:val="nil"/>
              <w:tr2bl w:val="nil"/>
            </w:tcBorders>
            <w:noWrap w:val="0"/>
            <w:vAlign w:val="center"/>
          </w:tcPr>
          <w:p w14:paraId="4940ABA3">
            <w:pPr>
              <w:pStyle w:val="19"/>
              <w:bidi w:val="0"/>
            </w:pPr>
            <w:r>
              <w:rPr>
                <w:rFonts w:hint="eastAsia"/>
                <w:lang w:val="en-US" w:eastAsia="zh-CN"/>
              </w:rPr>
              <w:t xml:space="preserve">3.0565 </w:t>
            </w:r>
          </w:p>
        </w:tc>
        <w:tc>
          <w:tcPr>
            <w:tcW w:w="770" w:type="pct"/>
            <w:tcBorders>
              <w:tl2br w:val="nil"/>
              <w:tr2bl w:val="nil"/>
            </w:tcBorders>
            <w:noWrap w:val="0"/>
            <w:vAlign w:val="center"/>
          </w:tcPr>
          <w:p w14:paraId="7432C171">
            <w:pPr>
              <w:pStyle w:val="19"/>
              <w:bidi w:val="0"/>
            </w:pPr>
            <w:r>
              <w:rPr>
                <w:rFonts w:hint="eastAsia"/>
                <w:lang w:val="en-US" w:eastAsia="zh-CN"/>
              </w:rPr>
              <w:t xml:space="preserve">0.0378 </w:t>
            </w:r>
          </w:p>
        </w:tc>
        <w:tc>
          <w:tcPr>
            <w:tcW w:w="773" w:type="pct"/>
            <w:tcBorders>
              <w:tl2br w:val="nil"/>
              <w:tr2bl w:val="nil"/>
            </w:tcBorders>
            <w:noWrap w:val="0"/>
            <w:vAlign w:val="center"/>
          </w:tcPr>
          <w:p w14:paraId="1DE5B69C">
            <w:pPr>
              <w:pStyle w:val="19"/>
              <w:bidi w:val="0"/>
            </w:pPr>
            <w:r>
              <w:rPr>
                <w:rFonts w:hint="eastAsia"/>
                <w:lang w:val="en-US" w:eastAsia="zh-CN"/>
              </w:rPr>
              <w:t xml:space="preserve">0.0076 </w:t>
            </w:r>
          </w:p>
        </w:tc>
      </w:tr>
      <w:tr w14:paraId="2ADFAAB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52CF324F">
            <w:pPr>
              <w:pStyle w:val="19"/>
              <w:bidi w:val="0"/>
            </w:pPr>
            <w:r>
              <w:rPr>
                <w:rFonts w:hint="eastAsia"/>
              </w:rPr>
              <w:t>3</w:t>
            </w:r>
            <w:r>
              <w:t>000</w:t>
            </w:r>
          </w:p>
        </w:tc>
        <w:tc>
          <w:tcPr>
            <w:tcW w:w="770" w:type="pct"/>
            <w:tcBorders>
              <w:tl2br w:val="nil"/>
              <w:tr2bl w:val="nil"/>
            </w:tcBorders>
            <w:noWrap w:val="0"/>
            <w:vAlign w:val="center"/>
          </w:tcPr>
          <w:p w14:paraId="26BBD48B">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7F25CEC5">
            <w:pPr>
              <w:pStyle w:val="19"/>
              <w:bidi w:val="0"/>
            </w:pPr>
            <w:r>
              <w:rPr>
                <w:rFonts w:hint="eastAsia"/>
                <w:lang w:val="en-US" w:eastAsia="zh-CN"/>
              </w:rPr>
              <w:t xml:space="preserve">0.5682 </w:t>
            </w:r>
          </w:p>
        </w:tc>
        <w:tc>
          <w:tcPr>
            <w:tcW w:w="768" w:type="pct"/>
            <w:tcBorders>
              <w:tl2br w:val="nil"/>
              <w:tr2bl w:val="nil"/>
            </w:tcBorders>
            <w:noWrap w:val="0"/>
            <w:vAlign w:val="center"/>
          </w:tcPr>
          <w:p w14:paraId="1CFF5385">
            <w:pPr>
              <w:pStyle w:val="19"/>
              <w:bidi w:val="0"/>
            </w:pPr>
            <w:r>
              <w:rPr>
                <w:rFonts w:hint="eastAsia"/>
                <w:lang w:val="en-US" w:eastAsia="zh-CN"/>
              </w:rPr>
              <w:t xml:space="preserve">5.9542 </w:t>
            </w:r>
          </w:p>
        </w:tc>
        <w:tc>
          <w:tcPr>
            <w:tcW w:w="776" w:type="pct"/>
            <w:gridSpan w:val="2"/>
            <w:tcBorders>
              <w:tl2br w:val="nil"/>
              <w:tr2bl w:val="nil"/>
            </w:tcBorders>
            <w:noWrap w:val="0"/>
            <w:vAlign w:val="center"/>
          </w:tcPr>
          <w:p w14:paraId="2D63E0F0">
            <w:pPr>
              <w:pStyle w:val="19"/>
              <w:bidi w:val="0"/>
            </w:pPr>
            <w:r>
              <w:rPr>
                <w:rFonts w:hint="eastAsia"/>
                <w:lang w:val="en-US" w:eastAsia="zh-CN"/>
              </w:rPr>
              <w:t xml:space="preserve">2.9374 </w:t>
            </w:r>
          </w:p>
        </w:tc>
        <w:tc>
          <w:tcPr>
            <w:tcW w:w="770" w:type="pct"/>
            <w:tcBorders>
              <w:tl2br w:val="nil"/>
              <w:tr2bl w:val="nil"/>
            </w:tcBorders>
            <w:noWrap w:val="0"/>
            <w:vAlign w:val="center"/>
          </w:tcPr>
          <w:p w14:paraId="2FB62FE0">
            <w:pPr>
              <w:pStyle w:val="19"/>
              <w:bidi w:val="0"/>
            </w:pPr>
            <w:r>
              <w:rPr>
                <w:rFonts w:hint="eastAsia"/>
                <w:lang w:val="en-US" w:eastAsia="zh-CN"/>
              </w:rPr>
              <w:t xml:space="preserve">0.0378 </w:t>
            </w:r>
          </w:p>
        </w:tc>
        <w:tc>
          <w:tcPr>
            <w:tcW w:w="773" w:type="pct"/>
            <w:tcBorders>
              <w:tl2br w:val="nil"/>
              <w:tr2bl w:val="nil"/>
            </w:tcBorders>
            <w:noWrap w:val="0"/>
            <w:vAlign w:val="center"/>
          </w:tcPr>
          <w:p w14:paraId="15240DD8">
            <w:pPr>
              <w:pStyle w:val="19"/>
              <w:bidi w:val="0"/>
            </w:pPr>
            <w:r>
              <w:rPr>
                <w:rFonts w:hint="eastAsia"/>
                <w:lang w:val="en-US" w:eastAsia="zh-CN"/>
              </w:rPr>
              <w:t xml:space="preserve">0.0076 </w:t>
            </w:r>
          </w:p>
        </w:tc>
      </w:tr>
      <w:tr w14:paraId="58EBAB8D">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56D9CD9D">
            <w:pPr>
              <w:pStyle w:val="19"/>
              <w:bidi w:val="0"/>
            </w:pPr>
            <w:r>
              <w:rPr>
                <w:rFonts w:hint="eastAsia"/>
              </w:rPr>
              <w:t>3</w:t>
            </w:r>
            <w:r>
              <w:t>500</w:t>
            </w:r>
          </w:p>
        </w:tc>
        <w:tc>
          <w:tcPr>
            <w:tcW w:w="770" w:type="pct"/>
            <w:tcBorders>
              <w:tl2br w:val="nil"/>
              <w:tr2bl w:val="nil"/>
            </w:tcBorders>
            <w:noWrap w:val="0"/>
            <w:vAlign w:val="center"/>
          </w:tcPr>
          <w:p w14:paraId="7F66F0DA">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1D8DA83E">
            <w:pPr>
              <w:pStyle w:val="19"/>
              <w:bidi w:val="0"/>
            </w:pPr>
            <w:r>
              <w:rPr>
                <w:rFonts w:hint="eastAsia"/>
                <w:lang w:val="en-US" w:eastAsia="zh-CN"/>
              </w:rPr>
              <w:t xml:space="preserve">0.5367 </w:t>
            </w:r>
          </w:p>
        </w:tc>
        <w:tc>
          <w:tcPr>
            <w:tcW w:w="768" w:type="pct"/>
            <w:tcBorders>
              <w:tl2br w:val="nil"/>
              <w:tr2bl w:val="nil"/>
            </w:tcBorders>
            <w:noWrap w:val="0"/>
            <w:vAlign w:val="center"/>
          </w:tcPr>
          <w:p w14:paraId="4C6012DB">
            <w:pPr>
              <w:pStyle w:val="19"/>
              <w:bidi w:val="0"/>
            </w:pPr>
            <w:r>
              <w:rPr>
                <w:rFonts w:hint="eastAsia"/>
                <w:lang w:val="en-US" w:eastAsia="zh-CN"/>
              </w:rPr>
              <w:t xml:space="preserve">5.5573 </w:t>
            </w:r>
          </w:p>
        </w:tc>
        <w:tc>
          <w:tcPr>
            <w:tcW w:w="776" w:type="pct"/>
            <w:gridSpan w:val="2"/>
            <w:tcBorders>
              <w:tl2br w:val="nil"/>
              <w:tr2bl w:val="nil"/>
            </w:tcBorders>
            <w:noWrap w:val="0"/>
            <w:vAlign w:val="center"/>
          </w:tcPr>
          <w:p w14:paraId="05491EB7">
            <w:pPr>
              <w:pStyle w:val="19"/>
              <w:bidi w:val="0"/>
            </w:pPr>
            <w:r>
              <w:rPr>
                <w:rFonts w:hint="eastAsia"/>
                <w:lang w:val="en-US" w:eastAsia="zh-CN"/>
              </w:rPr>
              <w:t xml:space="preserve">2.8183 </w:t>
            </w:r>
          </w:p>
        </w:tc>
        <w:tc>
          <w:tcPr>
            <w:tcW w:w="770" w:type="pct"/>
            <w:tcBorders>
              <w:tl2br w:val="nil"/>
              <w:tr2bl w:val="nil"/>
            </w:tcBorders>
            <w:noWrap w:val="0"/>
            <w:vAlign w:val="center"/>
          </w:tcPr>
          <w:p w14:paraId="5EE209DE">
            <w:pPr>
              <w:pStyle w:val="19"/>
              <w:bidi w:val="0"/>
            </w:pPr>
            <w:r>
              <w:rPr>
                <w:rFonts w:hint="eastAsia"/>
                <w:lang w:val="en-US" w:eastAsia="zh-CN"/>
              </w:rPr>
              <w:t xml:space="preserve">0.0378 </w:t>
            </w:r>
          </w:p>
        </w:tc>
        <w:tc>
          <w:tcPr>
            <w:tcW w:w="773" w:type="pct"/>
            <w:tcBorders>
              <w:tl2br w:val="nil"/>
              <w:tr2bl w:val="nil"/>
            </w:tcBorders>
            <w:noWrap w:val="0"/>
            <w:vAlign w:val="center"/>
          </w:tcPr>
          <w:p w14:paraId="1C7DA80B">
            <w:pPr>
              <w:pStyle w:val="19"/>
              <w:bidi w:val="0"/>
            </w:pPr>
            <w:r>
              <w:rPr>
                <w:rFonts w:hint="eastAsia"/>
                <w:lang w:val="en-US" w:eastAsia="zh-CN"/>
              </w:rPr>
              <w:t xml:space="preserve">0.0076 </w:t>
            </w:r>
          </w:p>
        </w:tc>
      </w:tr>
      <w:tr w14:paraId="08831088">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104D54B0">
            <w:pPr>
              <w:pStyle w:val="19"/>
              <w:bidi w:val="0"/>
            </w:pPr>
            <w:r>
              <w:rPr>
                <w:rFonts w:hint="eastAsia"/>
              </w:rPr>
              <w:t>4</w:t>
            </w:r>
            <w:r>
              <w:t>000</w:t>
            </w:r>
          </w:p>
        </w:tc>
        <w:tc>
          <w:tcPr>
            <w:tcW w:w="770" w:type="pct"/>
            <w:tcBorders>
              <w:tl2br w:val="nil"/>
              <w:tr2bl w:val="nil"/>
            </w:tcBorders>
            <w:noWrap w:val="0"/>
            <w:vAlign w:val="center"/>
          </w:tcPr>
          <w:p w14:paraId="17828621">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79813589">
            <w:pPr>
              <w:pStyle w:val="19"/>
              <w:bidi w:val="0"/>
            </w:pPr>
            <w:r>
              <w:rPr>
                <w:rFonts w:hint="eastAsia"/>
                <w:lang w:val="en-US" w:eastAsia="zh-CN"/>
              </w:rPr>
              <w:t xml:space="preserve">0.5682 </w:t>
            </w:r>
          </w:p>
        </w:tc>
        <w:tc>
          <w:tcPr>
            <w:tcW w:w="768" w:type="pct"/>
            <w:tcBorders>
              <w:tl2br w:val="nil"/>
              <w:tr2bl w:val="nil"/>
            </w:tcBorders>
            <w:noWrap w:val="0"/>
            <w:vAlign w:val="center"/>
          </w:tcPr>
          <w:p w14:paraId="733D5288">
            <w:pPr>
              <w:pStyle w:val="19"/>
              <w:bidi w:val="0"/>
            </w:pPr>
            <w:r>
              <w:rPr>
                <w:rFonts w:hint="eastAsia"/>
                <w:lang w:val="en-US" w:eastAsia="zh-CN"/>
              </w:rPr>
              <w:t xml:space="preserve">5.9542 </w:t>
            </w:r>
          </w:p>
        </w:tc>
        <w:tc>
          <w:tcPr>
            <w:tcW w:w="776" w:type="pct"/>
            <w:gridSpan w:val="2"/>
            <w:tcBorders>
              <w:tl2br w:val="nil"/>
              <w:tr2bl w:val="nil"/>
            </w:tcBorders>
            <w:noWrap w:val="0"/>
            <w:vAlign w:val="center"/>
          </w:tcPr>
          <w:p w14:paraId="641DFF32">
            <w:pPr>
              <w:pStyle w:val="19"/>
              <w:bidi w:val="0"/>
            </w:pPr>
            <w:r>
              <w:rPr>
                <w:rFonts w:hint="eastAsia"/>
                <w:lang w:val="en-US" w:eastAsia="zh-CN"/>
              </w:rPr>
              <w:t xml:space="preserve">2.9374 </w:t>
            </w:r>
          </w:p>
        </w:tc>
        <w:tc>
          <w:tcPr>
            <w:tcW w:w="770" w:type="pct"/>
            <w:tcBorders>
              <w:tl2br w:val="nil"/>
              <w:tr2bl w:val="nil"/>
            </w:tcBorders>
            <w:noWrap w:val="0"/>
            <w:vAlign w:val="center"/>
          </w:tcPr>
          <w:p w14:paraId="46629EB3">
            <w:pPr>
              <w:pStyle w:val="19"/>
              <w:bidi w:val="0"/>
            </w:pPr>
            <w:r>
              <w:rPr>
                <w:rFonts w:hint="eastAsia"/>
                <w:lang w:val="en-US" w:eastAsia="zh-CN"/>
              </w:rPr>
              <w:t xml:space="preserve">0.0378 </w:t>
            </w:r>
          </w:p>
        </w:tc>
        <w:tc>
          <w:tcPr>
            <w:tcW w:w="773" w:type="pct"/>
            <w:tcBorders>
              <w:tl2br w:val="nil"/>
              <w:tr2bl w:val="nil"/>
            </w:tcBorders>
            <w:noWrap w:val="0"/>
            <w:vAlign w:val="center"/>
          </w:tcPr>
          <w:p w14:paraId="7B47CA87">
            <w:pPr>
              <w:pStyle w:val="19"/>
              <w:bidi w:val="0"/>
            </w:pPr>
            <w:r>
              <w:rPr>
                <w:rFonts w:hint="eastAsia"/>
                <w:lang w:val="en-US" w:eastAsia="zh-CN"/>
              </w:rPr>
              <w:t xml:space="preserve">0.0076 </w:t>
            </w:r>
          </w:p>
        </w:tc>
      </w:tr>
      <w:tr w14:paraId="0253D466">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01E0FED5">
            <w:pPr>
              <w:pStyle w:val="19"/>
              <w:bidi w:val="0"/>
            </w:pPr>
            <w:r>
              <w:rPr>
                <w:rFonts w:hint="eastAsia"/>
              </w:rPr>
              <w:t>4</w:t>
            </w:r>
            <w:r>
              <w:t>500</w:t>
            </w:r>
          </w:p>
        </w:tc>
        <w:tc>
          <w:tcPr>
            <w:tcW w:w="770" w:type="pct"/>
            <w:tcBorders>
              <w:tl2br w:val="nil"/>
              <w:tr2bl w:val="nil"/>
            </w:tcBorders>
            <w:noWrap w:val="0"/>
            <w:vAlign w:val="center"/>
          </w:tcPr>
          <w:p w14:paraId="1764B8C0">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774AC509">
            <w:pPr>
              <w:pStyle w:val="19"/>
              <w:bidi w:val="0"/>
            </w:pPr>
            <w:r>
              <w:rPr>
                <w:rFonts w:hint="eastAsia"/>
                <w:lang w:val="en-US" w:eastAsia="zh-CN"/>
              </w:rPr>
              <w:t xml:space="preserve">0.5682 </w:t>
            </w:r>
          </w:p>
        </w:tc>
        <w:tc>
          <w:tcPr>
            <w:tcW w:w="768" w:type="pct"/>
            <w:tcBorders>
              <w:tl2br w:val="nil"/>
              <w:tr2bl w:val="nil"/>
            </w:tcBorders>
            <w:noWrap w:val="0"/>
            <w:vAlign w:val="center"/>
          </w:tcPr>
          <w:p w14:paraId="1D214E54">
            <w:pPr>
              <w:pStyle w:val="19"/>
              <w:bidi w:val="0"/>
            </w:pPr>
            <w:r>
              <w:rPr>
                <w:rFonts w:hint="eastAsia"/>
                <w:lang w:val="en-US" w:eastAsia="zh-CN"/>
              </w:rPr>
              <w:t xml:space="preserve">5.9542 </w:t>
            </w:r>
          </w:p>
        </w:tc>
        <w:tc>
          <w:tcPr>
            <w:tcW w:w="776" w:type="pct"/>
            <w:gridSpan w:val="2"/>
            <w:tcBorders>
              <w:tl2br w:val="nil"/>
              <w:tr2bl w:val="nil"/>
            </w:tcBorders>
            <w:noWrap w:val="0"/>
            <w:vAlign w:val="center"/>
          </w:tcPr>
          <w:p w14:paraId="5E25DB77">
            <w:pPr>
              <w:pStyle w:val="19"/>
              <w:bidi w:val="0"/>
            </w:pPr>
            <w:r>
              <w:rPr>
                <w:rFonts w:hint="eastAsia"/>
                <w:lang w:val="en-US" w:eastAsia="zh-CN"/>
              </w:rPr>
              <w:t xml:space="preserve">2.9771 </w:t>
            </w:r>
          </w:p>
        </w:tc>
        <w:tc>
          <w:tcPr>
            <w:tcW w:w="770" w:type="pct"/>
            <w:tcBorders>
              <w:tl2br w:val="nil"/>
              <w:tr2bl w:val="nil"/>
            </w:tcBorders>
            <w:noWrap w:val="0"/>
            <w:vAlign w:val="center"/>
          </w:tcPr>
          <w:p w14:paraId="2AD0AEDF">
            <w:pPr>
              <w:pStyle w:val="19"/>
              <w:bidi w:val="0"/>
            </w:pPr>
            <w:r>
              <w:rPr>
                <w:rFonts w:hint="eastAsia"/>
                <w:lang w:val="en-US" w:eastAsia="zh-CN"/>
              </w:rPr>
              <w:t xml:space="preserve">0.0378 </w:t>
            </w:r>
          </w:p>
        </w:tc>
        <w:tc>
          <w:tcPr>
            <w:tcW w:w="773" w:type="pct"/>
            <w:tcBorders>
              <w:tl2br w:val="nil"/>
              <w:tr2bl w:val="nil"/>
            </w:tcBorders>
            <w:noWrap w:val="0"/>
            <w:vAlign w:val="center"/>
          </w:tcPr>
          <w:p w14:paraId="1E5628A3">
            <w:pPr>
              <w:pStyle w:val="19"/>
              <w:bidi w:val="0"/>
            </w:pPr>
            <w:r>
              <w:rPr>
                <w:rFonts w:hint="eastAsia"/>
                <w:lang w:val="en-US" w:eastAsia="zh-CN"/>
              </w:rPr>
              <w:t xml:space="preserve">0.0076 </w:t>
            </w:r>
          </w:p>
        </w:tc>
      </w:tr>
      <w:tr w14:paraId="4DFB2B46">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center"/>
          </w:tcPr>
          <w:p w14:paraId="0EBB646A">
            <w:pPr>
              <w:pStyle w:val="19"/>
              <w:bidi w:val="0"/>
            </w:pPr>
            <w:r>
              <w:rPr>
                <w:rFonts w:hint="eastAsia"/>
              </w:rPr>
              <w:t>5</w:t>
            </w:r>
            <w:r>
              <w:t>000</w:t>
            </w:r>
          </w:p>
        </w:tc>
        <w:tc>
          <w:tcPr>
            <w:tcW w:w="770" w:type="pct"/>
            <w:tcBorders>
              <w:tl2br w:val="nil"/>
              <w:tr2bl w:val="nil"/>
            </w:tcBorders>
            <w:noWrap w:val="0"/>
            <w:vAlign w:val="center"/>
          </w:tcPr>
          <w:p w14:paraId="6D8A079D">
            <w:pPr>
              <w:pStyle w:val="19"/>
              <w:bidi w:val="0"/>
            </w:pPr>
            <w:r>
              <w:rPr>
                <w:rFonts w:hint="eastAsia"/>
                <w:lang w:val="en-US" w:eastAsia="zh-CN"/>
              </w:rPr>
              <w:t xml:space="preserve">2.8411 </w:t>
            </w:r>
          </w:p>
        </w:tc>
        <w:tc>
          <w:tcPr>
            <w:tcW w:w="773" w:type="pct"/>
            <w:gridSpan w:val="2"/>
            <w:tcBorders>
              <w:tl2br w:val="nil"/>
              <w:tr2bl w:val="nil"/>
            </w:tcBorders>
            <w:noWrap w:val="0"/>
            <w:vAlign w:val="center"/>
          </w:tcPr>
          <w:p w14:paraId="630CD3F3">
            <w:pPr>
              <w:pStyle w:val="19"/>
              <w:bidi w:val="0"/>
            </w:pPr>
            <w:r>
              <w:rPr>
                <w:rFonts w:hint="eastAsia"/>
                <w:lang w:val="en-US" w:eastAsia="zh-CN"/>
              </w:rPr>
              <w:t xml:space="preserve">0.5682 </w:t>
            </w:r>
          </w:p>
        </w:tc>
        <w:tc>
          <w:tcPr>
            <w:tcW w:w="768" w:type="pct"/>
            <w:tcBorders>
              <w:tl2br w:val="nil"/>
              <w:tr2bl w:val="nil"/>
            </w:tcBorders>
            <w:noWrap w:val="0"/>
            <w:vAlign w:val="center"/>
          </w:tcPr>
          <w:p w14:paraId="14002C54">
            <w:pPr>
              <w:pStyle w:val="19"/>
              <w:bidi w:val="0"/>
            </w:pPr>
            <w:r>
              <w:rPr>
                <w:rFonts w:hint="eastAsia"/>
                <w:lang w:val="en-US" w:eastAsia="zh-CN"/>
              </w:rPr>
              <w:t xml:space="preserve">5.9542 </w:t>
            </w:r>
          </w:p>
        </w:tc>
        <w:tc>
          <w:tcPr>
            <w:tcW w:w="776" w:type="pct"/>
            <w:gridSpan w:val="2"/>
            <w:tcBorders>
              <w:tl2br w:val="nil"/>
              <w:tr2bl w:val="nil"/>
            </w:tcBorders>
            <w:noWrap w:val="0"/>
            <w:vAlign w:val="center"/>
          </w:tcPr>
          <w:p w14:paraId="4C88A212">
            <w:pPr>
              <w:pStyle w:val="19"/>
              <w:bidi w:val="0"/>
            </w:pPr>
            <w:r>
              <w:rPr>
                <w:rFonts w:hint="eastAsia"/>
                <w:lang w:val="en-US" w:eastAsia="zh-CN"/>
              </w:rPr>
              <w:t xml:space="preserve">3.0168 </w:t>
            </w:r>
          </w:p>
        </w:tc>
        <w:tc>
          <w:tcPr>
            <w:tcW w:w="770" w:type="pct"/>
            <w:tcBorders>
              <w:tl2br w:val="nil"/>
              <w:tr2bl w:val="nil"/>
            </w:tcBorders>
            <w:noWrap w:val="0"/>
            <w:vAlign w:val="center"/>
          </w:tcPr>
          <w:p w14:paraId="17FDC1BD">
            <w:pPr>
              <w:pStyle w:val="19"/>
              <w:bidi w:val="0"/>
            </w:pPr>
            <w:r>
              <w:rPr>
                <w:rFonts w:hint="eastAsia"/>
                <w:lang w:val="en-US" w:eastAsia="zh-CN"/>
              </w:rPr>
              <w:t xml:space="preserve">0.0000 </w:t>
            </w:r>
          </w:p>
        </w:tc>
        <w:tc>
          <w:tcPr>
            <w:tcW w:w="773" w:type="pct"/>
            <w:tcBorders>
              <w:tl2br w:val="nil"/>
              <w:tr2bl w:val="nil"/>
            </w:tcBorders>
            <w:noWrap w:val="0"/>
            <w:vAlign w:val="center"/>
          </w:tcPr>
          <w:p w14:paraId="6013A6DF">
            <w:pPr>
              <w:pStyle w:val="19"/>
              <w:bidi w:val="0"/>
            </w:pPr>
            <w:r>
              <w:rPr>
                <w:rFonts w:hint="eastAsia"/>
                <w:lang w:val="en-US" w:eastAsia="zh-CN"/>
              </w:rPr>
              <w:t xml:space="preserve">0.0000 </w:t>
            </w:r>
          </w:p>
        </w:tc>
      </w:tr>
      <w:tr w14:paraId="77D3BE8A">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top"/>
          </w:tcPr>
          <w:p w14:paraId="1068450D">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C</w:t>
            </w:r>
            <w:r>
              <w:rPr>
                <w:rFonts w:hint="eastAsia"/>
                <w:vertAlign w:val="subscript"/>
                <w:lang w:val="en-US" w:eastAsia="zh-CN"/>
              </w:rPr>
              <w:t>max】</w:t>
            </w:r>
            <w:r>
              <w:t>/</w:t>
            </w:r>
            <w:r>
              <w:rPr>
                <w:rFonts w:hint="eastAsia"/>
                <w:lang w:val="en-US" w:eastAsia="zh-CN"/>
              </w:rPr>
              <w:t>P</w:t>
            </w:r>
            <w:r>
              <w:rPr>
                <w:rFonts w:hint="eastAsia"/>
                <w:vertAlign w:val="subscript"/>
                <w:lang w:val="en-US" w:eastAsia="zh-CN"/>
              </w:rPr>
              <w:t>max</w:t>
            </w:r>
          </w:p>
        </w:tc>
        <w:tc>
          <w:tcPr>
            <w:tcW w:w="770" w:type="pct"/>
            <w:tcBorders>
              <w:tl2br w:val="nil"/>
              <w:tr2bl w:val="nil"/>
            </w:tcBorders>
            <w:noWrap w:val="0"/>
            <w:vAlign w:val="center"/>
          </w:tcPr>
          <w:p w14:paraId="63C03C2E">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5.3665 </w:t>
            </w:r>
          </w:p>
        </w:tc>
        <w:tc>
          <w:tcPr>
            <w:tcW w:w="773" w:type="pct"/>
            <w:gridSpan w:val="2"/>
            <w:tcBorders>
              <w:tl2br w:val="nil"/>
              <w:tr2bl w:val="nil"/>
            </w:tcBorders>
            <w:noWrap w:val="0"/>
            <w:vAlign w:val="center"/>
          </w:tcPr>
          <w:p w14:paraId="034A43F6">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1.0733 </w:t>
            </w:r>
          </w:p>
        </w:tc>
        <w:tc>
          <w:tcPr>
            <w:tcW w:w="768" w:type="pct"/>
            <w:tcBorders>
              <w:tl2br w:val="nil"/>
              <w:tr2bl w:val="nil"/>
            </w:tcBorders>
            <w:noWrap w:val="0"/>
            <w:vAlign w:val="center"/>
          </w:tcPr>
          <w:p w14:paraId="4F17983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11.5115 </w:t>
            </w:r>
          </w:p>
        </w:tc>
        <w:tc>
          <w:tcPr>
            <w:tcW w:w="776" w:type="pct"/>
            <w:gridSpan w:val="2"/>
            <w:tcBorders>
              <w:tl2br w:val="nil"/>
              <w:tr2bl w:val="nil"/>
            </w:tcBorders>
            <w:noWrap w:val="0"/>
            <w:vAlign w:val="center"/>
          </w:tcPr>
          <w:p w14:paraId="7ABE48FF">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5.6764 </w:t>
            </w:r>
          </w:p>
        </w:tc>
        <w:tc>
          <w:tcPr>
            <w:tcW w:w="770" w:type="pct"/>
            <w:tcBorders>
              <w:tl2br w:val="nil"/>
              <w:tr2bl w:val="nil"/>
            </w:tcBorders>
            <w:noWrap w:val="0"/>
            <w:vAlign w:val="center"/>
          </w:tcPr>
          <w:p w14:paraId="56A2149A">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0.0755 </w:t>
            </w:r>
          </w:p>
        </w:tc>
        <w:tc>
          <w:tcPr>
            <w:tcW w:w="773" w:type="pct"/>
            <w:tcBorders>
              <w:tl2br w:val="nil"/>
              <w:tr2bl w:val="nil"/>
            </w:tcBorders>
            <w:noWrap w:val="0"/>
            <w:vAlign w:val="center"/>
          </w:tcPr>
          <w:p w14:paraId="24C17E1F">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0.0189 </w:t>
            </w:r>
          </w:p>
        </w:tc>
      </w:tr>
      <w:tr w14:paraId="4495FF04">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8" w:type="pct"/>
            <w:tcBorders>
              <w:tl2br w:val="nil"/>
              <w:tr2bl w:val="nil"/>
            </w:tcBorders>
            <w:noWrap w:val="0"/>
            <w:vAlign w:val="top"/>
          </w:tcPr>
          <w:p w14:paraId="1168BA7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D</w:t>
            </w:r>
            <w:r>
              <w:t>（m）</w:t>
            </w:r>
          </w:p>
        </w:tc>
        <w:tc>
          <w:tcPr>
            <w:tcW w:w="1542" w:type="pct"/>
            <w:gridSpan w:val="2"/>
            <w:tcBorders>
              <w:tl2br w:val="nil"/>
              <w:tr2bl w:val="nil"/>
            </w:tcBorders>
            <w:noWrap w:val="0"/>
            <w:vAlign w:val="center"/>
          </w:tcPr>
          <w:p w14:paraId="1FEBD975">
            <w:pPr>
              <w:pStyle w:val="19"/>
              <w:bidi w:val="0"/>
              <w:rPr>
                <w:rFonts w:hint="default"/>
                <w:lang w:val="en-US" w:eastAsia="zh-CN"/>
              </w:rPr>
            </w:pPr>
            <w:r>
              <w:rPr>
                <w:rFonts w:hint="eastAsia"/>
                <w:lang w:val="en-US" w:eastAsia="zh-CN"/>
              </w:rPr>
              <w:t>200</w:t>
            </w:r>
          </w:p>
        </w:tc>
        <w:tc>
          <w:tcPr>
            <w:tcW w:w="1541" w:type="pct"/>
            <w:gridSpan w:val="3"/>
            <w:tcBorders>
              <w:tl2br w:val="nil"/>
              <w:tr2bl w:val="nil"/>
            </w:tcBorders>
            <w:noWrap w:val="0"/>
            <w:vAlign w:val="center"/>
          </w:tcPr>
          <w:p w14:paraId="1FC3D045">
            <w:pPr>
              <w:pStyle w:val="19"/>
              <w:bidi w:val="0"/>
              <w:rPr>
                <w:rFonts w:hint="default"/>
                <w:lang w:val="en-US" w:eastAsia="zh-CN"/>
              </w:rPr>
            </w:pPr>
            <w:r>
              <w:rPr>
                <w:rFonts w:hint="eastAsia"/>
                <w:lang w:val="en-US" w:eastAsia="zh-CN"/>
              </w:rPr>
              <w:t>200</w:t>
            </w:r>
          </w:p>
        </w:tc>
        <w:tc>
          <w:tcPr>
            <w:tcW w:w="1547" w:type="pct"/>
            <w:gridSpan w:val="3"/>
            <w:tcBorders>
              <w:tl2br w:val="nil"/>
              <w:tr2bl w:val="nil"/>
            </w:tcBorders>
            <w:noWrap w:val="0"/>
            <w:vAlign w:val="center"/>
          </w:tcPr>
          <w:p w14:paraId="2C922531">
            <w:pPr>
              <w:pStyle w:val="19"/>
              <w:bidi w:val="0"/>
              <w:rPr>
                <w:rFonts w:hint="default"/>
                <w:lang w:val="en-US" w:eastAsia="zh-CN"/>
              </w:rPr>
            </w:pPr>
            <w:r>
              <w:rPr>
                <w:rFonts w:hint="eastAsia"/>
                <w:lang w:val="en-US" w:eastAsia="zh-CN"/>
              </w:rPr>
              <w:t>100</w:t>
            </w:r>
          </w:p>
        </w:tc>
      </w:tr>
    </w:tbl>
    <w:p w14:paraId="0EC32CA8">
      <w:pPr>
        <w:pStyle w:val="30"/>
        <w:bidi w:val="0"/>
        <w:rPr>
          <w:lang w:val="en-US" w:eastAsia="zh-CN"/>
        </w:rPr>
      </w:pPr>
      <w:r>
        <w:rPr>
          <w:rFonts w:hint="eastAsia"/>
          <w:lang w:val="en-US" w:eastAsia="zh-CN"/>
        </w:rPr>
        <w:t>表5.2-4   DA003</w:t>
      </w:r>
      <w:r>
        <w:rPr>
          <w:lang w:val="en-US" w:eastAsia="zh-CN"/>
        </w:rPr>
        <w:t>大气估算结果统计表（点源）</w:t>
      </w:r>
    </w:p>
    <w:tbl>
      <w:tblPr>
        <w:tblStyle w:val="21"/>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Layout w:type="autofit"/>
        <w:tblCellMar>
          <w:top w:w="0" w:type="dxa"/>
          <w:left w:w="0" w:type="dxa"/>
          <w:bottom w:w="0" w:type="dxa"/>
          <w:right w:w="0" w:type="dxa"/>
        </w:tblCellMar>
      </w:tblPr>
      <w:tblGrid>
        <w:gridCol w:w="613"/>
        <w:gridCol w:w="1282"/>
        <w:gridCol w:w="1285"/>
        <w:gridCol w:w="2"/>
        <w:gridCol w:w="1280"/>
        <w:gridCol w:w="1282"/>
        <w:gridCol w:w="7"/>
        <w:gridCol w:w="1282"/>
        <w:gridCol w:w="1287"/>
      </w:tblGrid>
      <w:tr w14:paraId="69DB344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vMerge w:val="restart"/>
            <w:tcBorders>
              <w:tl2br w:val="nil"/>
              <w:tr2bl w:val="nil"/>
            </w:tcBorders>
            <w:noWrap w:val="0"/>
            <w:vAlign w:val="center"/>
          </w:tcPr>
          <w:p w14:paraId="3676E0BE">
            <w:pPr>
              <w:pStyle w:val="19"/>
              <w:bidi w:val="0"/>
              <w:rPr>
                <w:b/>
                <w:bCs/>
              </w:rPr>
            </w:pPr>
            <w:r>
              <w:rPr>
                <w:b/>
                <w:bCs/>
              </w:rPr>
              <w:t>距离（m）</w:t>
            </w:r>
          </w:p>
        </w:tc>
        <w:tc>
          <w:tcPr>
            <w:tcW w:w="1544" w:type="pct"/>
            <w:gridSpan w:val="3"/>
            <w:tcBorders>
              <w:tl2br w:val="nil"/>
              <w:tr2bl w:val="nil"/>
            </w:tcBorders>
            <w:noWrap w:val="0"/>
            <w:vAlign w:val="center"/>
          </w:tcPr>
          <w:p w14:paraId="686F0919">
            <w:pPr>
              <w:pStyle w:val="19"/>
              <w:bidi w:val="0"/>
              <w:rPr>
                <w:b/>
                <w:bCs/>
              </w:rPr>
            </w:pPr>
            <w:r>
              <w:rPr>
                <w:b/>
                <w:bCs/>
              </w:rPr>
              <w:t>SO</w:t>
            </w:r>
            <w:r>
              <w:rPr>
                <w:b/>
                <w:bCs/>
                <w:vertAlign w:val="subscript"/>
              </w:rPr>
              <w:t>2</w:t>
            </w:r>
          </w:p>
        </w:tc>
        <w:tc>
          <w:tcPr>
            <w:tcW w:w="1543" w:type="pct"/>
            <w:gridSpan w:val="3"/>
            <w:tcBorders>
              <w:tl2br w:val="nil"/>
              <w:tr2bl w:val="nil"/>
            </w:tcBorders>
            <w:noWrap w:val="0"/>
            <w:vAlign w:val="center"/>
          </w:tcPr>
          <w:p w14:paraId="29C2663B">
            <w:pPr>
              <w:pStyle w:val="19"/>
              <w:bidi w:val="0"/>
              <w:rPr>
                <w:b/>
                <w:bCs/>
              </w:rPr>
            </w:pPr>
            <w:r>
              <w:rPr>
                <w:b/>
                <w:bCs/>
              </w:rPr>
              <w:t>NO</w:t>
            </w:r>
            <w:r>
              <w:rPr>
                <w:b/>
                <w:bCs/>
                <w:vertAlign w:val="subscript"/>
              </w:rPr>
              <w:t>2</w:t>
            </w:r>
          </w:p>
        </w:tc>
        <w:tc>
          <w:tcPr>
            <w:tcW w:w="1543" w:type="pct"/>
            <w:gridSpan w:val="2"/>
            <w:tcBorders>
              <w:tl2br w:val="nil"/>
              <w:tr2bl w:val="nil"/>
            </w:tcBorders>
            <w:noWrap w:val="0"/>
            <w:vAlign w:val="center"/>
          </w:tcPr>
          <w:p w14:paraId="1B5841D8">
            <w:pPr>
              <w:pStyle w:val="19"/>
              <w:bidi w:val="0"/>
              <w:rPr>
                <w:b/>
                <w:bCs/>
              </w:rPr>
            </w:pPr>
            <w:r>
              <w:rPr>
                <w:b/>
                <w:bCs/>
              </w:rPr>
              <w:t>烟尘（PM</w:t>
            </w:r>
            <w:r>
              <w:rPr>
                <w:b/>
                <w:bCs/>
                <w:vertAlign w:val="subscript"/>
              </w:rPr>
              <w:t>10</w:t>
            </w:r>
            <w:r>
              <w:rPr>
                <w:b/>
                <w:bCs/>
              </w:rPr>
              <w:t>）</w:t>
            </w:r>
          </w:p>
        </w:tc>
      </w:tr>
      <w:tr w14:paraId="41BF1588">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vMerge w:val="continue"/>
            <w:tcBorders>
              <w:tl2br w:val="nil"/>
              <w:tr2bl w:val="nil"/>
            </w:tcBorders>
            <w:noWrap w:val="0"/>
            <w:vAlign w:val="center"/>
          </w:tcPr>
          <w:p w14:paraId="6E51A544">
            <w:pPr>
              <w:pStyle w:val="19"/>
              <w:bidi w:val="0"/>
              <w:rPr>
                <w:b/>
                <w:bCs/>
              </w:rPr>
            </w:pPr>
          </w:p>
        </w:tc>
        <w:tc>
          <w:tcPr>
            <w:tcW w:w="771" w:type="pct"/>
            <w:tcBorders>
              <w:tl2br w:val="nil"/>
              <w:tr2bl w:val="nil"/>
            </w:tcBorders>
            <w:noWrap w:val="0"/>
            <w:vAlign w:val="center"/>
          </w:tcPr>
          <w:p w14:paraId="21672277">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gridSpan w:val="2"/>
            <w:tcBorders>
              <w:tl2br w:val="nil"/>
              <w:tr2bl w:val="nil"/>
            </w:tcBorders>
            <w:noWrap w:val="0"/>
            <w:vAlign w:val="center"/>
          </w:tcPr>
          <w:p w14:paraId="40165544">
            <w:pPr>
              <w:pStyle w:val="19"/>
              <w:bidi w:val="0"/>
              <w:rPr>
                <w:b/>
                <w:bCs/>
              </w:rPr>
            </w:pPr>
            <w:r>
              <w:rPr>
                <w:b/>
                <w:bCs/>
              </w:rPr>
              <w:t>占标率(%)</w:t>
            </w:r>
          </w:p>
        </w:tc>
        <w:tc>
          <w:tcPr>
            <w:tcW w:w="769" w:type="pct"/>
            <w:tcBorders>
              <w:tl2br w:val="nil"/>
              <w:tr2bl w:val="nil"/>
            </w:tcBorders>
            <w:noWrap w:val="0"/>
            <w:vAlign w:val="center"/>
          </w:tcPr>
          <w:p w14:paraId="6DA3CA21">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gridSpan w:val="2"/>
            <w:tcBorders>
              <w:tl2br w:val="nil"/>
              <w:tr2bl w:val="nil"/>
            </w:tcBorders>
            <w:noWrap w:val="0"/>
            <w:vAlign w:val="center"/>
          </w:tcPr>
          <w:p w14:paraId="78AB7483">
            <w:pPr>
              <w:pStyle w:val="19"/>
              <w:bidi w:val="0"/>
              <w:rPr>
                <w:b/>
                <w:bCs/>
              </w:rPr>
            </w:pPr>
            <w:r>
              <w:rPr>
                <w:b/>
                <w:bCs/>
              </w:rPr>
              <w:t>占标率(%)</w:t>
            </w:r>
          </w:p>
        </w:tc>
        <w:tc>
          <w:tcPr>
            <w:tcW w:w="770" w:type="pct"/>
            <w:tcBorders>
              <w:tl2br w:val="nil"/>
              <w:tr2bl w:val="nil"/>
            </w:tcBorders>
            <w:noWrap w:val="0"/>
            <w:vAlign w:val="center"/>
          </w:tcPr>
          <w:p w14:paraId="255C9B5E">
            <w:pPr>
              <w:pStyle w:val="19"/>
              <w:bidi w:val="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773" w:type="pct"/>
            <w:tcBorders>
              <w:tl2br w:val="nil"/>
              <w:tr2bl w:val="nil"/>
            </w:tcBorders>
            <w:noWrap w:val="0"/>
            <w:vAlign w:val="center"/>
          </w:tcPr>
          <w:p w14:paraId="61110117">
            <w:pPr>
              <w:pStyle w:val="19"/>
              <w:bidi w:val="0"/>
              <w:rPr>
                <w:b/>
                <w:bCs/>
              </w:rPr>
            </w:pPr>
            <w:r>
              <w:rPr>
                <w:b/>
                <w:bCs/>
              </w:rPr>
              <w:t>占标率(%)</w:t>
            </w:r>
          </w:p>
        </w:tc>
      </w:tr>
      <w:tr w14:paraId="1332E33D">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1152F6C">
            <w:pPr>
              <w:pStyle w:val="19"/>
              <w:bidi w:val="0"/>
            </w:pPr>
            <w:r>
              <w:t>50</w:t>
            </w:r>
          </w:p>
        </w:tc>
        <w:tc>
          <w:tcPr>
            <w:tcW w:w="1282" w:type="dxa"/>
            <w:tcBorders>
              <w:tl2br w:val="nil"/>
              <w:tr2bl w:val="nil"/>
            </w:tcBorders>
            <w:noWrap w:val="0"/>
            <w:vAlign w:val="center"/>
          </w:tcPr>
          <w:p w14:paraId="10C6F62C">
            <w:pPr>
              <w:pStyle w:val="19"/>
              <w:bidi w:val="0"/>
            </w:pPr>
            <w:r>
              <w:rPr>
                <w:rFonts w:hint="eastAsia"/>
                <w:lang w:val="en-US" w:eastAsia="zh-CN"/>
              </w:rPr>
              <w:t xml:space="preserve">0.3157 </w:t>
            </w:r>
          </w:p>
        </w:tc>
        <w:tc>
          <w:tcPr>
            <w:tcW w:w="1287" w:type="dxa"/>
            <w:gridSpan w:val="2"/>
            <w:tcBorders>
              <w:tl2br w:val="nil"/>
              <w:tr2bl w:val="nil"/>
            </w:tcBorders>
            <w:noWrap w:val="0"/>
            <w:vAlign w:val="center"/>
          </w:tcPr>
          <w:p w14:paraId="16ABA914">
            <w:pPr>
              <w:pStyle w:val="19"/>
              <w:bidi w:val="0"/>
            </w:pPr>
            <w:r>
              <w:rPr>
                <w:rFonts w:hint="eastAsia"/>
                <w:lang w:val="en-US" w:eastAsia="zh-CN"/>
              </w:rPr>
              <w:t xml:space="preserve">0.0631 </w:t>
            </w:r>
          </w:p>
        </w:tc>
        <w:tc>
          <w:tcPr>
            <w:tcW w:w="1280" w:type="dxa"/>
            <w:tcBorders>
              <w:tl2br w:val="nil"/>
              <w:tr2bl w:val="nil"/>
            </w:tcBorders>
            <w:noWrap w:val="0"/>
            <w:vAlign w:val="center"/>
          </w:tcPr>
          <w:p w14:paraId="111DC601">
            <w:pPr>
              <w:pStyle w:val="19"/>
              <w:bidi w:val="0"/>
            </w:pPr>
            <w:r>
              <w:rPr>
                <w:rFonts w:hint="eastAsia"/>
                <w:lang w:val="en-US" w:eastAsia="zh-CN"/>
              </w:rPr>
              <w:t xml:space="preserve">0.3969 </w:t>
            </w:r>
          </w:p>
        </w:tc>
        <w:tc>
          <w:tcPr>
            <w:tcW w:w="1289" w:type="dxa"/>
            <w:gridSpan w:val="2"/>
            <w:tcBorders>
              <w:tl2br w:val="nil"/>
              <w:tr2bl w:val="nil"/>
            </w:tcBorders>
            <w:noWrap w:val="0"/>
            <w:vAlign w:val="center"/>
          </w:tcPr>
          <w:p w14:paraId="1F4EBBC4">
            <w:pPr>
              <w:pStyle w:val="19"/>
              <w:bidi w:val="0"/>
            </w:pPr>
            <w:r>
              <w:rPr>
                <w:rFonts w:hint="eastAsia"/>
                <w:lang w:val="en-US" w:eastAsia="zh-CN"/>
              </w:rPr>
              <w:t xml:space="preserve">0.2779 </w:t>
            </w:r>
          </w:p>
        </w:tc>
        <w:tc>
          <w:tcPr>
            <w:tcW w:w="1282" w:type="dxa"/>
            <w:tcBorders>
              <w:tl2br w:val="nil"/>
              <w:tr2bl w:val="nil"/>
            </w:tcBorders>
            <w:noWrap w:val="0"/>
            <w:vAlign w:val="center"/>
          </w:tcPr>
          <w:p w14:paraId="31CA33F5">
            <w:pPr>
              <w:pStyle w:val="19"/>
              <w:bidi w:val="0"/>
            </w:pPr>
            <w:r>
              <w:rPr>
                <w:rFonts w:hint="eastAsia"/>
                <w:lang w:val="en-US" w:eastAsia="zh-CN"/>
              </w:rPr>
              <w:t xml:space="preserve">0.0755 </w:t>
            </w:r>
          </w:p>
        </w:tc>
        <w:tc>
          <w:tcPr>
            <w:tcW w:w="1287" w:type="dxa"/>
            <w:tcBorders>
              <w:tl2br w:val="nil"/>
              <w:tr2bl w:val="nil"/>
            </w:tcBorders>
            <w:noWrap w:val="0"/>
            <w:vAlign w:val="center"/>
          </w:tcPr>
          <w:p w14:paraId="27250B37">
            <w:pPr>
              <w:pStyle w:val="19"/>
              <w:bidi w:val="0"/>
            </w:pPr>
            <w:r>
              <w:rPr>
                <w:rFonts w:hint="eastAsia"/>
                <w:lang w:val="en-US" w:eastAsia="zh-CN"/>
              </w:rPr>
              <w:t xml:space="preserve">0.0151 </w:t>
            </w:r>
          </w:p>
        </w:tc>
      </w:tr>
      <w:tr w14:paraId="01F305E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0A4B703A">
            <w:pPr>
              <w:pStyle w:val="19"/>
              <w:bidi w:val="0"/>
            </w:pPr>
            <w:r>
              <w:t>100</w:t>
            </w:r>
          </w:p>
        </w:tc>
        <w:tc>
          <w:tcPr>
            <w:tcW w:w="1282" w:type="dxa"/>
            <w:tcBorders>
              <w:tl2br w:val="nil"/>
              <w:tr2bl w:val="nil"/>
            </w:tcBorders>
            <w:noWrap w:val="0"/>
            <w:vAlign w:val="center"/>
          </w:tcPr>
          <w:p w14:paraId="55AFDA7D">
            <w:pPr>
              <w:pStyle w:val="19"/>
              <w:bidi w:val="0"/>
            </w:pPr>
            <w:r>
              <w:rPr>
                <w:rFonts w:hint="eastAsia"/>
                <w:lang w:val="en-US" w:eastAsia="zh-CN"/>
              </w:rPr>
              <w:t xml:space="preserve">5.0508 </w:t>
            </w:r>
          </w:p>
        </w:tc>
        <w:tc>
          <w:tcPr>
            <w:tcW w:w="1287" w:type="dxa"/>
            <w:gridSpan w:val="2"/>
            <w:tcBorders>
              <w:tl2br w:val="nil"/>
              <w:tr2bl w:val="nil"/>
            </w:tcBorders>
            <w:noWrap w:val="0"/>
            <w:vAlign w:val="center"/>
          </w:tcPr>
          <w:p w14:paraId="056703AD">
            <w:pPr>
              <w:pStyle w:val="19"/>
              <w:bidi w:val="0"/>
            </w:pPr>
            <w:r>
              <w:rPr>
                <w:rFonts w:hint="eastAsia"/>
                <w:lang w:val="en-US" w:eastAsia="zh-CN"/>
              </w:rPr>
              <w:t xml:space="preserve">1.0102 </w:t>
            </w:r>
          </w:p>
        </w:tc>
        <w:tc>
          <w:tcPr>
            <w:tcW w:w="1280" w:type="dxa"/>
            <w:tcBorders>
              <w:tl2br w:val="nil"/>
              <w:tr2bl w:val="nil"/>
            </w:tcBorders>
            <w:noWrap w:val="0"/>
            <w:vAlign w:val="center"/>
          </w:tcPr>
          <w:p w14:paraId="0C94847F">
            <w:pPr>
              <w:pStyle w:val="19"/>
              <w:bidi w:val="0"/>
            </w:pPr>
            <w:r>
              <w:rPr>
                <w:rFonts w:hint="eastAsia"/>
                <w:lang w:val="en-US" w:eastAsia="zh-CN"/>
              </w:rPr>
              <w:t xml:space="preserve">10.7176 </w:t>
            </w:r>
          </w:p>
        </w:tc>
        <w:tc>
          <w:tcPr>
            <w:tcW w:w="1289" w:type="dxa"/>
            <w:gridSpan w:val="2"/>
            <w:tcBorders>
              <w:tl2br w:val="nil"/>
              <w:tr2bl w:val="nil"/>
            </w:tcBorders>
            <w:noWrap w:val="0"/>
            <w:vAlign w:val="center"/>
          </w:tcPr>
          <w:p w14:paraId="6A69EB29">
            <w:pPr>
              <w:pStyle w:val="19"/>
              <w:bidi w:val="0"/>
            </w:pPr>
            <w:r>
              <w:rPr>
                <w:rFonts w:hint="eastAsia"/>
                <w:lang w:val="en-US" w:eastAsia="zh-CN"/>
              </w:rPr>
              <w:t xml:space="preserve">5.2794 </w:t>
            </w:r>
          </w:p>
        </w:tc>
        <w:tc>
          <w:tcPr>
            <w:tcW w:w="1282" w:type="dxa"/>
            <w:tcBorders>
              <w:tl2br w:val="nil"/>
              <w:tr2bl w:val="nil"/>
            </w:tcBorders>
            <w:noWrap w:val="0"/>
            <w:vAlign w:val="center"/>
          </w:tcPr>
          <w:p w14:paraId="5C87E559">
            <w:pPr>
              <w:pStyle w:val="19"/>
              <w:bidi w:val="0"/>
            </w:pPr>
            <w:r>
              <w:rPr>
                <w:rFonts w:hint="eastAsia"/>
                <w:lang w:val="en-US" w:eastAsia="zh-CN"/>
              </w:rPr>
              <w:t xml:space="preserve">0.0755 </w:t>
            </w:r>
          </w:p>
        </w:tc>
        <w:tc>
          <w:tcPr>
            <w:tcW w:w="1287" w:type="dxa"/>
            <w:tcBorders>
              <w:tl2br w:val="nil"/>
              <w:tr2bl w:val="nil"/>
            </w:tcBorders>
            <w:noWrap w:val="0"/>
            <w:vAlign w:val="center"/>
          </w:tcPr>
          <w:p w14:paraId="28662EF9">
            <w:pPr>
              <w:pStyle w:val="19"/>
              <w:bidi w:val="0"/>
            </w:pPr>
            <w:r>
              <w:rPr>
                <w:rFonts w:hint="eastAsia"/>
                <w:lang w:val="en-US" w:eastAsia="zh-CN"/>
              </w:rPr>
              <w:t xml:space="preserve">0.0189 </w:t>
            </w:r>
          </w:p>
        </w:tc>
      </w:tr>
      <w:tr w14:paraId="04B1E90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4E0CD49">
            <w:pPr>
              <w:pStyle w:val="19"/>
              <w:bidi w:val="0"/>
            </w:pPr>
            <w:r>
              <w:t>200</w:t>
            </w:r>
          </w:p>
        </w:tc>
        <w:tc>
          <w:tcPr>
            <w:tcW w:w="1282" w:type="dxa"/>
            <w:tcBorders>
              <w:tl2br w:val="nil"/>
              <w:tr2bl w:val="nil"/>
            </w:tcBorders>
            <w:noWrap w:val="0"/>
            <w:vAlign w:val="center"/>
          </w:tcPr>
          <w:p w14:paraId="28C26FB4">
            <w:pPr>
              <w:pStyle w:val="19"/>
              <w:bidi w:val="0"/>
            </w:pPr>
            <w:r>
              <w:rPr>
                <w:rFonts w:hint="eastAsia"/>
                <w:lang w:val="en-US" w:eastAsia="zh-CN"/>
              </w:rPr>
              <w:t xml:space="preserve">5.3665 </w:t>
            </w:r>
          </w:p>
        </w:tc>
        <w:tc>
          <w:tcPr>
            <w:tcW w:w="1287" w:type="dxa"/>
            <w:gridSpan w:val="2"/>
            <w:tcBorders>
              <w:tl2br w:val="nil"/>
              <w:tr2bl w:val="nil"/>
            </w:tcBorders>
            <w:noWrap w:val="0"/>
            <w:vAlign w:val="center"/>
          </w:tcPr>
          <w:p w14:paraId="3CFFA372">
            <w:pPr>
              <w:pStyle w:val="19"/>
              <w:bidi w:val="0"/>
            </w:pPr>
            <w:r>
              <w:rPr>
                <w:rFonts w:hint="eastAsia"/>
                <w:lang w:val="en-US" w:eastAsia="zh-CN"/>
              </w:rPr>
              <w:t xml:space="preserve">1.0733 </w:t>
            </w:r>
          </w:p>
        </w:tc>
        <w:tc>
          <w:tcPr>
            <w:tcW w:w="1280" w:type="dxa"/>
            <w:tcBorders>
              <w:tl2br w:val="nil"/>
              <w:tr2bl w:val="nil"/>
            </w:tcBorders>
            <w:noWrap w:val="0"/>
            <w:vAlign w:val="center"/>
          </w:tcPr>
          <w:p w14:paraId="3F2759AA">
            <w:pPr>
              <w:pStyle w:val="19"/>
              <w:bidi w:val="0"/>
            </w:pPr>
            <w:r>
              <w:rPr>
                <w:rFonts w:hint="eastAsia"/>
                <w:lang w:val="en-US" w:eastAsia="zh-CN"/>
              </w:rPr>
              <w:t xml:space="preserve">11.5115 </w:t>
            </w:r>
          </w:p>
        </w:tc>
        <w:tc>
          <w:tcPr>
            <w:tcW w:w="1289" w:type="dxa"/>
            <w:gridSpan w:val="2"/>
            <w:tcBorders>
              <w:tl2br w:val="nil"/>
              <w:tr2bl w:val="nil"/>
            </w:tcBorders>
            <w:noWrap w:val="0"/>
            <w:vAlign w:val="center"/>
          </w:tcPr>
          <w:p w14:paraId="4EEA49CE">
            <w:pPr>
              <w:pStyle w:val="19"/>
              <w:bidi w:val="0"/>
            </w:pPr>
            <w:r>
              <w:rPr>
                <w:rFonts w:hint="eastAsia"/>
                <w:lang w:val="en-US" w:eastAsia="zh-CN"/>
              </w:rPr>
              <w:t xml:space="preserve">5.6764 </w:t>
            </w:r>
          </w:p>
        </w:tc>
        <w:tc>
          <w:tcPr>
            <w:tcW w:w="1282" w:type="dxa"/>
            <w:tcBorders>
              <w:tl2br w:val="nil"/>
              <w:tr2bl w:val="nil"/>
            </w:tcBorders>
            <w:noWrap w:val="0"/>
            <w:vAlign w:val="center"/>
          </w:tcPr>
          <w:p w14:paraId="1CDF3C2C">
            <w:pPr>
              <w:pStyle w:val="19"/>
              <w:bidi w:val="0"/>
            </w:pPr>
            <w:r>
              <w:rPr>
                <w:rFonts w:hint="eastAsia"/>
                <w:lang w:val="en-US" w:eastAsia="zh-CN"/>
              </w:rPr>
              <w:t xml:space="preserve">0.0378 </w:t>
            </w:r>
          </w:p>
        </w:tc>
        <w:tc>
          <w:tcPr>
            <w:tcW w:w="1287" w:type="dxa"/>
            <w:tcBorders>
              <w:tl2br w:val="nil"/>
              <w:tr2bl w:val="nil"/>
            </w:tcBorders>
            <w:noWrap w:val="0"/>
            <w:vAlign w:val="center"/>
          </w:tcPr>
          <w:p w14:paraId="03C0A8C8">
            <w:pPr>
              <w:pStyle w:val="19"/>
              <w:bidi w:val="0"/>
            </w:pPr>
            <w:r>
              <w:rPr>
                <w:rFonts w:hint="eastAsia"/>
                <w:lang w:val="en-US" w:eastAsia="zh-CN"/>
              </w:rPr>
              <w:t xml:space="preserve">0.0113 </w:t>
            </w:r>
          </w:p>
        </w:tc>
      </w:tr>
      <w:tr w14:paraId="52081F94">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766D8FF6">
            <w:pPr>
              <w:pStyle w:val="19"/>
              <w:bidi w:val="0"/>
            </w:pPr>
            <w:r>
              <w:t>300</w:t>
            </w:r>
          </w:p>
        </w:tc>
        <w:tc>
          <w:tcPr>
            <w:tcW w:w="1282" w:type="dxa"/>
            <w:tcBorders>
              <w:tl2br w:val="nil"/>
              <w:tr2bl w:val="nil"/>
            </w:tcBorders>
            <w:noWrap w:val="0"/>
            <w:vAlign w:val="center"/>
          </w:tcPr>
          <w:p w14:paraId="799EB1F5">
            <w:pPr>
              <w:pStyle w:val="19"/>
              <w:bidi w:val="0"/>
            </w:pPr>
            <w:r>
              <w:rPr>
                <w:rFonts w:hint="eastAsia"/>
                <w:lang w:val="en-US" w:eastAsia="zh-CN"/>
              </w:rPr>
              <w:t xml:space="preserve">3.4725 </w:t>
            </w:r>
          </w:p>
        </w:tc>
        <w:tc>
          <w:tcPr>
            <w:tcW w:w="1287" w:type="dxa"/>
            <w:gridSpan w:val="2"/>
            <w:tcBorders>
              <w:tl2br w:val="nil"/>
              <w:tr2bl w:val="nil"/>
            </w:tcBorders>
            <w:noWrap w:val="0"/>
            <w:vAlign w:val="center"/>
          </w:tcPr>
          <w:p w14:paraId="7E2BA217">
            <w:pPr>
              <w:pStyle w:val="19"/>
              <w:bidi w:val="0"/>
            </w:pPr>
            <w:r>
              <w:rPr>
                <w:rFonts w:hint="eastAsia"/>
                <w:lang w:val="en-US" w:eastAsia="zh-CN"/>
              </w:rPr>
              <w:t xml:space="preserve">0.6629 </w:t>
            </w:r>
          </w:p>
        </w:tc>
        <w:tc>
          <w:tcPr>
            <w:tcW w:w="1280" w:type="dxa"/>
            <w:tcBorders>
              <w:tl2br w:val="nil"/>
              <w:tr2bl w:val="nil"/>
            </w:tcBorders>
            <w:noWrap w:val="0"/>
            <w:vAlign w:val="center"/>
          </w:tcPr>
          <w:p w14:paraId="3DB26F88">
            <w:pPr>
              <w:pStyle w:val="19"/>
              <w:bidi w:val="0"/>
            </w:pPr>
            <w:r>
              <w:rPr>
                <w:rFonts w:hint="eastAsia"/>
                <w:lang w:val="en-US" w:eastAsia="zh-CN"/>
              </w:rPr>
              <w:t xml:space="preserve">7.1451 </w:t>
            </w:r>
          </w:p>
        </w:tc>
        <w:tc>
          <w:tcPr>
            <w:tcW w:w="1289" w:type="dxa"/>
            <w:gridSpan w:val="2"/>
            <w:tcBorders>
              <w:tl2br w:val="nil"/>
              <w:tr2bl w:val="nil"/>
            </w:tcBorders>
            <w:noWrap w:val="0"/>
            <w:vAlign w:val="center"/>
          </w:tcPr>
          <w:p w14:paraId="121CB9E8">
            <w:pPr>
              <w:pStyle w:val="19"/>
              <w:bidi w:val="0"/>
            </w:pPr>
            <w:r>
              <w:rPr>
                <w:rFonts w:hint="eastAsia"/>
                <w:lang w:val="en-US" w:eastAsia="zh-CN"/>
              </w:rPr>
              <w:t xml:space="preserve">3.5328 </w:t>
            </w:r>
          </w:p>
        </w:tc>
        <w:tc>
          <w:tcPr>
            <w:tcW w:w="1282" w:type="dxa"/>
            <w:tcBorders>
              <w:tl2br w:val="nil"/>
              <w:tr2bl w:val="nil"/>
            </w:tcBorders>
            <w:noWrap w:val="0"/>
            <w:vAlign w:val="center"/>
          </w:tcPr>
          <w:p w14:paraId="37A2755F">
            <w:pPr>
              <w:pStyle w:val="19"/>
              <w:bidi w:val="0"/>
            </w:pPr>
            <w:r>
              <w:rPr>
                <w:rFonts w:hint="eastAsia"/>
                <w:lang w:val="en-US" w:eastAsia="zh-CN"/>
              </w:rPr>
              <w:t xml:space="preserve">0.0755 </w:t>
            </w:r>
          </w:p>
        </w:tc>
        <w:tc>
          <w:tcPr>
            <w:tcW w:w="1287" w:type="dxa"/>
            <w:tcBorders>
              <w:tl2br w:val="nil"/>
              <w:tr2bl w:val="nil"/>
            </w:tcBorders>
            <w:noWrap w:val="0"/>
            <w:vAlign w:val="center"/>
          </w:tcPr>
          <w:p w14:paraId="5599510E">
            <w:pPr>
              <w:pStyle w:val="19"/>
              <w:bidi w:val="0"/>
            </w:pPr>
            <w:r>
              <w:rPr>
                <w:rFonts w:hint="eastAsia"/>
                <w:lang w:val="en-US" w:eastAsia="zh-CN"/>
              </w:rPr>
              <w:t xml:space="preserve">0.0113 </w:t>
            </w:r>
          </w:p>
        </w:tc>
      </w:tr>
      <w:tr w14:paraId="6FB55F87">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614B6F6">
            <w:pPr>
              <w:pStyle w:val="19"/>
              <w:bidi w:val="0"/>
            </w:pPr>
            <w:r>
              <w:t>400</w:t>
            </w:r>
          </w:p>
        </w:tc>
        <w:tc>
          <w:tcPr>
            <w:tcW w:w="1282" w:type="dxa"/>
            <w:tcBorders>
              <w:tl2br w:val="nil"/>
              <w:tr2bl w:val="nil"/>
            </w:tcBorders>
            <w:noWrap w:val="0"/>
            <w:vAlign w:val="center"/>
          </w:tcPr>
          <w:p w14:paraId="1DC57D2A">
            <w:pPr>
              <w:pStyle w:val="19"/>
              <w:bidi w:val="0"/>
            </w:pPr>
            <w:r>
              <w:rPr>
                <w:rFonts w:hint="eastAsia"/>
                <w:lang w:val="en-US" w:eastAsia="zh-CN"/>
              </w:rPr>
              <w:t xml:space="preserve">4.1038 </w:t>
            </w:r>
          </w:p>
        </w:tc>
        <w:tc>
          <w:tcPr>
            <w:tcW w:w="1287" w:type="dxa"/>
            <w:gridSpan w:val="2"/>
            <w:tcBorders>
              <w:tl2br w:val="nil"/>
              <w:tr2bl w:val="nil"/>
            </w:tcBorders>
            <w:noWrap w:val="0"/>
            <w:vAlign w:val="center"/>
          </w:tcPr>
          <w:p w14:paraId="47B37DD1">
            <w:pPr>
              <w:pStyle w:val="19"/>
              <w:bidi w:val="0"/>
            </w:pPr>
            <w:r>
              <w:rPr>
                <w:rFonts w:hint="eastAsia"/>
                <w:lang w:val="en-US" w:eastAsia="zh-CN"/>
              </w:rPr>
              <w:t xml:space="preserve">0.7892 </w:t>
            </w:r>
          </w:p>
        </w:tc>
        <w:tc>
          <w:tcPr>
            <w:tcW w:w="1280" w:type="dxa"/>
            <w:tcBorders>
              <w:tl2br w:val="nil"/>
              <w:tr2bl w:val="nil"/>
            </w:tcBorders>
            <w:noWrap w:val="0"/>
            <w:vAlign w:val="center"/>
          </w:tcPr>
          <w:p w14:paraId="3A2C5937">
            <w:pPr>
              <w:pStyle w:val="19"/>
              <w:bidi w:val="0"/>
            </w:pPr>
            <w:r>
              <w:rPr>
                <w:rFonts w:hint="eastAsia"/>
                <w:lang w:val="en-US" w:eastAsia="zh-CN"/>
              </w:rPr>
              <w:t xml:space="preserve">8.3359 </w:t>
            </w:r>
          </w:p>
        </w:tc>
        <w:tc>
          <w:tcPr>
            <w:tcW w:w="1289" w:type="dxa"/>
            <w:gridSpan w:val="2"/>
            <w:tcBorders>
              <w:tl2br w:val="nil"/>
              <w:tr2bl w:val="nil"/>
            </w:tcBorders>
            <w:noWrap w:val="0"/>
            <w:vAlign w:val="center"/>
          </w:tcPr>
          <w:p w14:paraId="1EFCDBB4">
            <w:pPr>
              <w:pStyle w:val="19"/>
              <w:bidi w:val="0"/>
            </w:pPr>
            <w:r>
              <w:rPr>
                <w:rFonts w:hint="eastAsia"/>
                <w:lang w:val="en-US" w:eastAsia="zh-CN"/>
              </w:rPr>
              <w:t xml:space="preserve">4.1680 </w:t>
            </w:r>
          </w:p>
        </w:tc>
        <w:tc>
          <w:tcPr>
            <w:tcW w:w="1282" w:type="dxa"/>
            <w:tcBorders>
              <w:tl2br w:val="nil"/>
              <w:tr2bl w:val="nil"/>
            </w:tcBorders>
            <w:noWrap w:val="0"/>
            <w:vAlign w:val="center"/>
          </w:tcPr>
          <w:p w14:paraId="7B03801C">
            <w:pPr>
              <w:pStyle w:val="19"/>
              <w:bidi w:val="0"/>
            </w:pPr>
            <w:r>
              <w:rPr>
                <w:rFonts w:hint="eastAsia"/>
                <w:lang w:val="en-US" w:eastAsia="zh-CN"/>
              </w:rPr>
              <w:t xml:space="preserve">0.0378 </w:t>
            </w:r>
          </w:p>
        </w:tc>
        <w:tc>
          <w:tcPr>
            <w:tcW w:w="1287" w:type="dxa"/>
            <w:tcBorders>
              <w:tl2br w:val="nil"/>
              <w:tr2bl w:val="nil"/>
            </w:tcBorders>
            <w:noWrap w:val="0"/>
            <w:vAlign w:val="center"/>
          </w:tcPr>
          <w:p w14:paraId="38921E81">
            <w:pPr>
              <w:pStyle w:val="19"/>
              <w:bidi w:val="0"/>
            </w:pPr>
            <w:r>
              <w:rPr>
                <w:rFonts w:hint="eastAsia"/>
                <w:lang w:val="en-US" w:eastAsia="zh-CN"/>
              </w:rPr>
              <w:t xml:space="preserve">0.0113 </w:t>
            </w:r>
          </w:p>
        </w:tc>
      </w:tr>
      <w:tr w14:paraId="05258EC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75C0B73">
            <w:pPr>
              <w:pStyle w:val="19"/>
              <w:bidi w:val="0"/>
            </w:pPr>
            <w:r>
              <w:t>475</w:t>
            </w:r>
          </w:p>
        </w:tc>
        <w:tc>
          <w:tcPr>
            <w:tcW w:w="1282" w:type="dxa"/>
            <w:tcBorders>
              <w:tl2br w:val="nil"/>
              <w:tr2bl w:val="nil"/>
            </w:tcBorders>
            <w:noWrap w:val="0"/>
            <w:vAlign w:val="center"/>
          </w:tcPr>
          <w:p w14:paraId="2A4BD52D">
            <w:pPr>
              <w:pStyle w:val="19"/>
              <w:bidi w:val="0"/>
            </w:pPr>
            <w:r>
              <w:rPr>
                <w:rFonts w:hint="eastAsia"/>
                <w:lang w:val="en-US" w:eastAsia="zh-CN"/>
              </w:rPr>
              <w:t xml:space="preserve">3.7881 </w:t>
            </w:r>
          </w:p>
        </w:tc>
        <w:tc>
          <w:tcPr>
            <w:tcW w:w="1287" w:type="dxa"/>
            <w:gridSpan w:val="2"/>
            <w:tcBorders>
              <w:tl2br w:val="nil"/>
              <w:tr2bl w:val="nil"/>
            </w:tcBorders>
            <w:noWrap w:val="0"/>
            <w:vAlign w:val="center"/>
          </w:tcPr>
          <w:p w14:paraId="02E50436">
            <w:pPr>
              <w:pStyle w:val="19"/>
              <w:bidi w:val="0"/>
            </w:pPr>
            <w:r>
              <w:rPr>
                <w:rFonts w:hint="eastAsia"/>
                <w:lang w:val="en-US" w:eastAsia="zh-CN"/>
              </w:rPr>
              <w:t xml:space="preserve">0.7576 </w:t>
            </w:r>
          </w:p>
        </w:tc>
        <w:tc>
          <w:tcPr>
            <w:tcW w:w="1280" w:type="dxa"/>
            <w:tcBorders>
              <w:tl2br w:val="nil"/>
              <w:tr2bl w:val="nil"/>
            </w:tcBorders>
            <w:noWrap w:val="0"/>
            <w:vAlign w:val="center"/>
          </w:tcPr>
          <w:p w14:paraId="1E7471CB">
            <w:pPr>
              <w:pStyle w:val="19"/>
              <w:bidi w:val="0"/>
            </w:pPr>
            <w:r>
              <w:rPr>
                <w:rFonts w:hint="eastAsia"/>
                <w:lang w:val="en-US" w:eastAsia="zh-CN"/>
              </w:rPr>
              <w:t xml:space="preserve">7.9390 </w:t>
            </w:r>
          </w:p>
        </w:tc>
        <w:tc>
          <w:tcPr>
            <w:tcW w:w="1289" w:type="dxa"/>
            <w:gridSpan w:val="2"/>
            <w:tcBorders>
              <w:tl2br w:val="nil"/>
              <w:tr2bl w:val="nil"/>
            </w:tcBorders>
            <w:noWrap w:val="0"/>
            <w:vAlign w:val="center"/>
          </w:tcPr>
          <w:p w14:paraId="14CF789A">
            <w:pPr>
              <w:pStyle w:val="19"/>
              <w:bidi w:val="0"/>
            </w:pPr>
            <w:r>
              <w:rPr>
                <w:rFonts w:hint="eastAsia"/>
                <w:lang w:val="en-US" w:eastAsia="zh-CN"/>
              </w:rPr>
              <w:t xml:space="preserve">3.9298 </w:t>
            </w:r>
          </w:p>
        </w:tc>
        <w:tc>
          <w:tcPr>
            <w:tcW w:w="1282" w:type="dxa"/>
            <w:tcBorders>
              <w:tl2br w:val="nil"/>
              <w:tr2bl w:val="nil"/>
            </w:tcBorders>
            <w:noWrap w:val="0"/>
            <w:vAlign w:val="center"/>
          </w:tcPr>
          <w:p w14:paraId="10AA6704">
            <w:pPr>
              <w:pStyle w:val="19"/>
              <w:bidi w:val="0"/>
            </w:pPr>
            <w:r>
              <w:rPr>
                <w:rFonts w:hint="eastAsia"/>
                <w:lang w:val="en-US" w:eastAsia="zh-CN"/>
              </w:rPr>
              <w:t xml:space="preserve">0.0378 </w:t>
            </w:r>
          </w:p>
        </w:tc>
        <w:tc>
          <w:tcPr>
            <w:tcW w:w="1287" w:type="dxa"/>
            <w:tcBorders>
              <w:tl2br w:val="nil"/>
              <w:tr2bl w:val="nil"/>
            </w:tcBorders>
            <w:noWrap w:val="0"/>
            <w:vAlign w:val="center"/>
          </w:tcPr>
          <w:p w14:paraId="2245B069">
            <w:pPr>
              <w:pStyle w:val="19"/>
              <w:bidi w:val="0"/>
            </w:pPr>
            <w:r>
              <w:rPr>
                <w:rFonts w:hint="eastAsia"/>
                <w:lang w:val="en-US" w:eastAsia="zh-CN"/>
              </w:rPr>
              <w:t xml:space="preserve">0.0113 </w:t>
            </w:r>
          </w:p>
        </w:tc>
      </w:tr>
      <w:tr w14:paraId="583E026F">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6E055896">
            <w:pPr>
              <w:pStyle w:val="19"/>
              <w:bidi w:val="0"/>
            </w:pPr>
            <w:r>
              <w:t>500</w:t>
            </w:r>
          </w:p>
        </w:tc>
        <w:tc>
          <w:tcPr>
            <w:tcW w:w="1282" w:type="dxa"/>
            <w:tcBorders>
              <w:tl2br w:val="nil"/>
              <w:tr2bl w:val="nil"/>
            </w:tcBorders>
            <w:noWrap w:val="0"/>
            <w:vAlign w:val="center"/>
          </w:tcPr>
          <w:p w14:paraId="41AD8E77">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274362BE">
            <w:pPr>
              <w:pStyle w:val="19"/>
              <w:bidi w:val="0"/>
            </w:pPr>
            <w:r>
              <w:rPr>
                <w:rFonts w:hint="eastAsia"/>
                <w:lang w:val="en-US" w:eastAsia="zh-CN"/>
              </w:rPr>
              <w:t xml:space="preserve">0.6629 </w:t>
            </w:r>
          </w:p>
        </w:tc>
        <w:tc>
          <w:tcPr>
            <w:tcW w:w="1280" w:type="dxa"/>
            <w:tcBorders>
              <w:tl2br w:val="nil"/>
              <w:tr2bl w:val="nil"/>
            </w:tcBorders>
            <w:noWrap w:val="0"/>
            <w:vAlign w:val="center"/>
          </w:tcPr>
          <w:p w14:paraId="4956F8FA">
            <w:pPr>
              <w:pStyle w:val="19"/>
              <w:bidi w:val="0"/>
            </w:pPr>
            <w:r>
              <w:rPr>
                <w:rFonts w:hint="eastAsia"/>
                <w:lang w:val="en-US" w:eastAsia="zh-CN"/>
              </w:rPr>
              <w:t xml:space="preserve">6.7481 </w:t>
            </w:r>
          </w:p>
        </w:tc>
        <w:tc>
          <w:tcPr>
            <w:tcW w:w="1289" w:type="dxa"/>
            <w:gridSpan w:val="2"/>
            <w:tcBorders>
              <w:tl2br w:val="nil"/>
              <w:tr2bl w:val="nil"/>
            </w:tcBorders>
            <w:noWrap w:val="0"/>
            <w:vAlign w:val="center"/>
          </w:tcPr>
          <w:p w14:paraId="3F6C4E10">
            <w:pPr>
              <w:pStyle w:val="19"/>
              <w:bidi w:val="0"/>
            </w:pPr>
            <w:r>
              <w:rPr>
                <w:rFonts w:hint="eastAsia"/>
                <w:lang w:val="en-US" w:eastAsia="zh-CN"/>
              </w:rPr>
              <w:t xml:space="preserve">3.4535 </w:t>
            </w:r>
          </w:p>
        </w:tc>
        <w:tc>
          <w:tcPr>
            <w:tcW w:w="1282" w:type="dxa"/>
            <w:tcBorders>
              <w:tl2br w:val="nil"/>
              <w:tr2bl w:val="nil"/>
            </w:tcBorders>
            <w:noWrap w:val="0"/>
            <w:vAlign w:val="center"/>
          </w:tcPr>
          <w:p w14:paraId="2BB9D488">
            <w:pPr>
              <w:pStyle w:val="19"/>
              <w:bidi w:val="0"/>
            </w:pPr>
            <w:r>
              <w:rPr>
                <w:rFonts w:hint="eastAsia"/>
                <w:lang w:val="en-US" w:eastAsia="zh-CN"/>
              </w:rPr>
              <w:t xml:space="preserve">0.0378 </w:t>
            </w:r>
          </w:p>
        </w:tc>
        <w:tc>
          <w:tcPr>
            <w:tcW w:w="1287" w:type="dxa"/>
            <w:tcBorders>
              <w:tl2br w:val="nil"/>
              <w:tr2bl w:val="nil"/>
            </w:tcBorders>
            <w:noWrap w:val="0"/>
            <w:vAlign w:val="center"/>
          </w:tcPr>
          <w:p w14:paraId="66790B63">
            <w:pPr>
              <w:pStyle w:val="19"/>
              <w:bidi w:val="0"/>
            </w:pPr>
            <w:r>
              <w:rPr>
                <w:rFonts w:hint="eastAsia"/>
                <w:lang w:val="en-US" w:eastAsia="zh-CN"/>
              </w:rPr>
              <w:t xml:space="preserve">0.0076 </w:t>
            </w:r>
          </w:p>
        </w:tc>
      </w:tr>
      <w:tr w14:paraId="4068843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E555D02">
            <w:pPr>
              <w:pStyle w:val="19"/>
              <w:bidi w:val="0"/>
            </w:pPr>
            <w:r>
              <w:t>600</w:t>
            </w:r>
          </w:p>
        </w:tc>
        <w:tc>
          <w:tcPr>
            <w:tcW w:w="1282" w:type="dxa"/>
            <w:tcBorders>
              <w:tl2br w:val="nil"/>
              <w:tr2bl w:val="nil"/>
            </w:tcBorders>
            <w:noWrap w:val="0"/>
            <w:vAlign w:val="center"/>
          </w:tcPr>
          <w:p w14:paraId="1CDA72D6">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3505A961">
            <w:pPr>
              <w:pStyle w:val="19"/>
              <w:bidi w:val="0"/>
            </w:pPr>
            <w:r>
              <w:rPr>
                <w:rFonts w:hint="eastAsia"/>
                <w:lang w:val="en-US" w:eastAsia="zh-CN"/>
              </w:rPr>
              <w:t xml:space="preserve">0.5367 </w:t>
            </w:r>
          </w:p>
        </w:tc>
        <w:tc>
          <w:tcPr>
            <w:tcW w:w="1280" w:type="dxa"/>
            <w:tcBorders>
              <w:tl2br w:val="nil"/>
              <w:tr2bl w:val="nil"/>
            </w:tcBorders>
            <w:noWrap w:val="0"/>
            <w:vAlign w:val="center"/>
          </w:tcPr>
          <w:p w14:paraId="48265107">
            <w:pPr>
              <w:pStyle w:val="19"/>
              <w:bidi w:val="0"/>
            </w:pPr>
            <w:r>
              <w:rPr>
                <w:rFonts w:hint="eastAsia"/>
                <w:lang w:val="en-US" w:eastAsia="zh-CN"/>
              </w:rPr>
              <w:t xml:space="preserve">5.5573 </w:t>
            </w:r>
          </w:p>
        </w:tc>
        <w:tc>
          <w:tcPr>
            <w:tcW w:w="1289" w:type="dxa"/>
            <w:gridSpan w:val="2"/>
            <w:tcBorders>
              <w:tl2br w:val="nil"/>
              <w:tr2bl w:val="nil"/>
            </w:tcBorders>
            <w:noWrap w:val="0"/>
            <w:vAlign w:val="center"/>
          </w:tcPr>
          <w:p w14:paraId="62D01BB3">
            <w:pPr>
              <w:pStyle w:val="19"/>
              <w:bidi w:val="0"/>
            </w:pPr>
            <w:r>
              <w:rPr>
                <w:rFonts w:hint="eastAsia"/>
                <w:lang w:val="en-US" w:eastAsia="zh-CN"/>
              </w:rPr>
              <w:t xml:space="preserve">2.8580 </w:t>
            </w:r>
          </w:p>
        </w:tc>
        <w:tc>
          <w:tcPr>
            <w:tcW w:w="1282" w:type="dxa"/>
            <w:tcBorders>
              <w:tl2br w:val="nil"/>
              <w:tr2bl w:val="nil"/>
            </w:tcBorders>
            <w:noWrap w:val="0"/>
            <w:vAlign w:val="center"/>
          </w:tcPr>
          <w:p w14:paraId="2FD85DB0">
            <w:pPr>
              <w:pStyle w:val="19"/>
              <w:bidi w:val="0"/>
            </w:pPr>
            <w:r>
              <w:rPr>
                <w:rFonts w:hint="eastAsia"/>
                <w:lang w:val="en-US" w:eastAsia="zh-CN"/>
              </w:rPr>
              <w:t xml:space="preserve">0.0378 </w:t>
            </w:r>
          </w:p>
        </w:tc>
        <w:tc>
          <w:tcPr>
            <w:tcW w:w="1287" w:type="dxa"/>
            <w:tcBorders>
              <w:tl2br w:val="nil"/>
              <w:tr2bl w:val="nil"/>
            </w:tcBorders>
            <w:noWrap w:val="0"/>
            <w:vAlign w:val="center"/>
          </w:tcPr>
          <w:p w14:paraId="55D221B3">
            <w:pPr>
              <w:pStyle w:val="19"/>
              <w:bidi w:val="0"/>
            </w:pPr>
            <w:r>
              <w:rPr>
                <w:rFonts w:hint="eastAsia"/>
                <w:lang w:val="en-US" w:eastAsia="zh-CN"/>
              </w:rPr>
              <w:t xml:space="preserve">0.0076 </w:t>
            </w:r>
          </w:p>
        </w:tc>
      </w:tr>
      <w:tr w14:paraId="28B8750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15D0BCDD">
            <w:pPr>
              <w:pStyle w:val="19"/>
              <w:bidi w:val="0"/>
            </w:pPr>
            <w:r>
              <w:t>700</w:t>
            </w:r>
          </w:p>
        </w:tc>
        <w:tc>
          <w:tcPr>
            <w:tcW w:w="1282" w:type="dxa"/>
            <w:tcBorders>
              <w:tl2br w:val="nil"/>
              <w:tr2bl w:val="nil"/>
            </w:tcBorders>
            <w:noWrap w:val="0"/>
            <w:vAlign w:val="center"/>
          </w:tcPr>
          <w:p w14:paraId="618B7EA6">
            <w:pPr>
              <w:pStyle w:val="19"/>
              <w:bidi w:val="0"/>
            </w:pPr>
            <w:r>
              <w:rPr>
                <w:rFonts w:hint="eastAsia"/>
                <w:lang w:val="en-US" w:eastAsia="zh-CN"/>
              </w:rPr>
              <w:t xml:space="preserve">2.5254 </w:t>
            </w:r>
          </w:p>
        </w:tc>
        <w:tc>
          <w:tcPr>
            <w:tcW w:w="1287" w:type="dxa"/>
            <w:gridSpan w:val="2"/>
            <w:tcBorders>
              <w:tl2br w:val="nil"/>
              <w:tr2bl w:val="nil"/>
            </w:tcBorders>
            <w:noWrap w:val="0"/>
            <w:vAlign w:val="center"/>
          </w:tcPr>
          <w:p w14:paraId="0538EF42">
            <w:pPr>
              <w:pStyle w:val="19"/>
              <w:bidi w:val="0"/>
            </w:pPr>
            <w:r>
              <w:rPr>
                <w:rFonts w:hint="eastAsia"/>
                <w:lang w:val="en-US" w:eastAsia="zh-CN"/>
              </w:rPr>
              <w:t xml:space="preserve">0.5051 </w:t>
            </w:r>
          </w:p>
        </w:tc>
        <w:tc>
          <w:tcPr>
            <w:tcW w:w="1280" w:type="dxa"/>
            <w:tcBorders>
              <w:tl2br w:val="nil"/>
              <w:tr2bl w:val="nil"/>
            </w:tcBorders>
            <w:noWrap w:val="0"/>
            <w:vAlign w:val="center"/>
          </w:tcPr>
          <w:p w14:paraId="39F36ABF">
            <w:pPr>
              <w:pStyle w:val="19"/>
              <w:bidi w:val="0"/>
            </w:pPr>
            <w:r>
              <w:rPr>
                <w:rFonts w:hint="eastAsia"/>
                <w:lang w:val="en-US" w:eastAsia="zh-CN"/>
              </w:rPr>
              <w:t xml:space="preserve">5.1603 </w:t>
            </w:r>
          </w:p>
        </w:tc>
        <w:tc>
          <w:tcPr>
            <w:tcW w:w="1289" w:type="dxa"/>
            <w:gridSpan w:val="2"/>
            <w:tcBorders>
              <w:tl2br w:val="nil"/>
              <w:tr2bl w:val="nil"/>
            </w:tcBorders>
            <w:noWrap w:val="0"/>
            <w:vAlign w:val="center"/>
          </w:tcPr>
          <w:p w14:paraId="233DBA12">
            <w:pPr>
              <w:pStyle w:val="19"/>
              <w:bidi w:val="0"/>
            </w:pPr>
            <w:r>
              <w:rPr>
                <w:rFonts w:hint="eastAsia"/>
                <w:lang w:val="en-US" w:eastAsia="zh-CN"/>
              </w:rPr>
              <w:t xml:space="preserve">2.5802 </w:t>
            </w:r>
          </w:p>
        </w:tc>
        <w:tc>
          <w:tcPr>
            <w:tcW w:w="1282" w:type="dxa"/>
            <w:tcBorders>
              <w:tl2br w:val="nil"/>
              <w:tr2bl w:val="nil"/>
            </w:tcBorders>
            <w:noWrap w:val="0"/>
            <w:vAlign w:val="center"/>
          </w:tcPr>
          <w:p w14:paraId="22AF6C61">
            <w:pPr>
              <w:pStyle w:val="19"/>
              <w:bidi w:val="0"/>
            </w:pPr>
            <w:r>
              <w:rPr>
                <w:rFonts w:hint="eastAsia"/>
                <w:lang w:val="en-US" w:eastAsia="zh-CN"/>
              </w:rPr>
              <w:t xml:space="preserve">0.0378 </w:t>
            </w:r>
          </w:p>
        </w:tc>
        <w:tc>
          <w:tcPr>
            <w:tcW w:w="1287" w:type="dxa"/>
            <w:tcBorders>
              <w:tl2br w:val="nil"/>
              <w:tr2bl w:val="nil"/>
            </w:tcBorders>
            <w:noWrap w:val="0"/>
            <w:vAlign w:val="center"/>
          </w:tcPr>
          <w:p w14:paraId="13E48717">
            <w:pPr>
              <w:pStyle w:val="19"/>
              <w:bidi w:val="0"/>
            </w:pPr>
            <w:r>
              <w:rPr>
                <w:rFonts w:hint="eastAsia"/>
                <w:lang w:val="en-US" w:eastAsia="zh-CN"/>
              </w:rPr>
              <w:t xml:space="preserve">0.0076 </w:t>
            </w:r>
          </w:p>
        </w:tc>
      </w:tr>
      <w:tr w14:paraId="42A98EC9">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73BB536">
            <w:pPr>
              <w:pStyle w:val="19"/>
              <w:bidi w:val="0"/>
            </w:pPr>
            <w:r>
              <w:t>800</w:t>
            </w:r>
          </w:p>
        </w:tc>
        <w:tc>
          <w:tcPr>
            <w:tcW w:w="1282" w:type="dxa"/>
            <w:tcBorders>
              <w:tl2br w:val="nil"/>
              <w:tr2bl w:val="nil"/>
            </w:tcBorders>
            <w:noWrap w:val="0"/>
            <w:vAlign w:val="center"/>
          </w:tcPr>
          <w:p w14:paraId="639C1B82">
            <w:pPr>
              <w:pStyle w:val="19"/>
              <w:bidi w:val="0"/>
            </w:pPr>
            <w:r>
              <w:rPr>
                <w:rFonts w:hint="eastAsia"/>
                <w:lang w:val="en-US" w:eastAsia="zh-CN"/>
              </w:rPr>
              <w:t xml:space="preserve">2.5254 </w:t>
            </w:r>
          </w:p>
        </w:tc>
        <w:tc>
          <w:tcPr>
            <w:tcW w:w="1287" w:type="dxa"/>
            <w:gridSpan w:val="2"/>
            <w:tcBorders>
              <w:tl2br w:val="nil"/>
              <w:tr2bl w:val="nil"/>
            </w:tcBorders>
            <w:noWrap w:val="0"/>
            <w:vAlign w:val="center"/>
          </w:tcPr>
          <w:p w14:paraId="0E43E360">
            <w:pPr>
              <w:pStyle w:val="19"/>
              <w:bidi w:val="0"/>
            </w:pPr>
            <w:r>
              <w:rPr>
                <w:rFonts w:hint="eastAsia"/>
                <w:lang w:val="en-US" w:eastAsia="zh-CN"/>
              </w:rPr>
              <w:t xml:space="preserve">0.5051 </w:t>
            </w:r>
          </w:p>
        </w:tc>
        <w:tc>
          <w:tcPr>
            <w:tcW w:w="1280" w:type="dxa"/>
            <w:tcBorders>
              <w:tl2br w:val="nil"/>
              <w:tr2bl w:val="nil"/>
            </w:tcBorders>
            <w:noWrap w:val="0"/>
            <w:vAlign w:val="center"/>
          </w:tcPr>
          <w:p w14:paraId="1BC06ECD">
            <w:pPr>
              <w:pStyle w:val="19"/>
              <w:bidi w:val="0"/>
            </w:pPr>
            <w:r>
              <w:rPr>
                <w:rFonts w:hint="eastAsia"/>
                <w:lang w:val="en-US" w:eastAsia="zh-CN"/>
              </w:rPr>
              <w:t xml:space="preserve">5.1603 </w:t>
            </w:r>
          </w:p>
        </w:tc>
        <w:tc>
          <w:tcPr>
            <w:tcW w:w="1289" w:type="dxa"/>
            <w:gridSpan w:val="2"/>
            <w:tcBorders>
              <w:tl2br w:val="nil"/>
              <w:tr2bl w:val="nil"/>
            </w:tcBorders>
            <w:noWrap w:val="0"/>
            <w:vAlign w:val="center"/>
          </w:tcPr>
          <w:p w14:paraId="766915AB">
            <w:pPr>
              <w:pStyle w:val="19"/>
              <w:bidi w:val="0"/>
            </w:pPr>
            <w:r>
              <w:rPr>
                <w:rFonts w:hint="eastAsia"/>
                <w:lang w:val="en-US" w:eastAsia="zh-CN"/>
              </w:rPr>
              <w:t xml:space="preserve">2.6596 </w:t>
            </w:r>
          </w:p>
        </w:tc>
        <w:tc>
          <w:tcPr>
            <w:tcW w:w="1282" w:type="dxa"/>
            <w:tcBorders>
              <w:tl2br w:val="nil"/>
              <w:tr2bl w:val="nil"/>
            </w:tcBorders>
            <w:noWrap w:val="0"/>
            <w:vAlign w:val="center"/>
          </w:tcPr>
          <w:p w14:paraId="3E7315D5">
            <w:pPr>
              <w:pStyle w:val="19"/>
              <w:bidi w:val="0"/>
            </w:pPr>
            <w:r>
              <w:rPr>
                <w:rFonts w:hint="eastAsia"/>
                <w:lang w:val="en-US" w:eastAsia="zh-CN"/>
              </w:rPr>
              <w:t xml:space="preserve">0.0378 </w:t>
            </w:r>
          </w:p>
        </w:tc>
        <w:tc>
          <w:tcPr>
            <w:tcW w:w="1287" w:type="dxa"/>
            <w:tcBorders>
              <w:tl2br w:val="nil"/>
              <w:tr2bl w:val="nil"/>
            </w:tcBorders>
            <w:noWrap w:val="0"/>
            <w:vAlign w:val="center"/>
          </w:tcPr>
          <w:p w14:paraId="78DEFC4B">
            <w:pPr>
              <w:pStyle w:val="19"/>
              <w:bidi w:val="0"/>
            </w:pPr>
            <w:r>
              <w:rPr>
                <w:rFonts w:hint="eastAsia"/>
                <w:lang w:val="en-US" w:eastAsia="zh-CN"/>
              </w:rPr>
              <w:t xml:space="preserve">0.0076 </w:t>
            </w:r>
          </w:p>
        </w:tc>
      </w:tr>
      <w:tr w14:paraId="2CF68A44">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0BCC9630">
            <w:pPr>
              <w:pStyle w:val="19"/>
              <w:bidi w:val="0"/>
            </w:pPr>
            <w:r>
              <w:t>900</w:t>
            </w:r>
          </w:p>
        </w:tc>
        <w:tc>
          <w:tcPr>
            <w:tcW w:w="1282" w:type="dxa"/>
            <w:tcBorders>
              <w:tl2br w:val="nil"/>
              <w:tr2bl w:val="nil"/>
            </w:tcBorders>
            <w:noWrap w:val="0"/>
            <w:vAlign w:val="center"/>
          </w:tcPr>
          <w:p w14:paraId="5646D8E4">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75E11C3A">
            <w:pPr>
              <w:pStyle w:val="19"/>
              <w:bidi w:val="0"/>
            </w:pPr>
            <w:r>
              <w:rPr>
                <w:rFonts w:hint="eastAsia"/>
                <w:lang w:val="en-US" w:eastAsia="zh-CN"/>
              </w:rPr>
              <w:t xml:space="preserve">0.5367 </w:t>
            </w:r>
          </w:p>
        </w:tc>
        <w:tc>
          <w:tcPr>
            <w:tcW w:w="1280" w:type="dxa"/>
            <w:tcBorders>
              <w:tl2br w:val="nil"/>
              <w:tr2bl w:val="nil"/>
            </w:tcBorders>
            <w:noWrap w:val="0"/>
            <w:vAlign w:val="center"/>
          </w:tcPr>
          <w:p w14:paraId="4ED305DA">
            <w:pPr>
              <w:pStyle w:val="19"/>
              <w:bidi w:val="0"/>
            </w:pPr>
            <w:r>
              <w:rPr>
                <w:rFonts w:hint="eastAsia"/>
                <w:lang w:val="en-US" w:eastAsia="zh-CN"/>
              </w:rPr>
              <w:t xml:space="preserve">5.5573 </w:t>
            </w:r>
          </w:p>
        </w:tc>
        <w:tc>
          <w:tcPr>
            <w:tcW w:w="1289" w:type="dxa"/>
            <w:gridSpan w:val="2"/>
            <w:tcBorders>
              <w:tl2br w:val="nil"/>
              <w:tr2bl w:val="nil"/>
            </w:tcBorders>
            <w:noWrap w:val="0"/>
            <w:vAlign w:val="center"/>
          </w:tcPr>
          <w:p w14:paraId="18F9DC3A">
            <w:pPr>
              <w:pStyle w:val="19"/>
              <w:bidi w:val="0"/>
            </w:pPr>
            <w:r>
              <w:rPr>
                <w:rFonts w:hint="eastAsia"/>
                <w:lang w:val="en-US" w:eastAsia="zh-CN"/>
              </w:rPr>
              <w:t xml:space="preserve">2.8183 </w:t>
            </w:r>
          </w:p>
        </w:tc>
        <w:tc>
          <w:tcPr>
            <w:tcW w:w="1282" w:type="dxa"/>
            <w:tcBorders>
              <w:tl2br w:val="nil"/>
              <w:tr2bl w:val="nil"/>
            </w:tcBorders>
            <w:noWrap w:val="0"/>
            <w:vAlign w:val="center"/>
          </w:tcPr>
          <w:p w14:paraId="069F7BD2">
            <w:pPr>
              <w:pStyle w:val="19"/>
              <w:bidi w:val="0"/>
            </w:pPr>
            <w:r>
              <w:rPr>
                <w:rFonts w:hint="eastAsia"/>
                <w:lang w:val="en-US" w:eastAsia="zh-CN"/>
              </w:rPr>
              <w:t xml:space="preserve">0.0378 </w:t>
            </w:r>
          </w:p>
        </w:tc>
        <w:tc>
          <w:tcPr>
            <w:tcW w:w="1287" w:type="dxa"/>
            <w:tcBorders>
              <w:tl2br w:val="nil"/>
              <w:tr2bl w:val="nil"/>
            </w:tcBorders>
            <w:noWrap w:val="0"/>
            <w:vAlign w:val="center"/>
          </w:tcPr>
          <w:p w14:paraId="39DF2934">
            <w:pPr>
              <w:pStyle w:val="19"/>
              <w:bidi w:val="0"/>
            </w:pPr>
            <w:r>
              <w:rPr>
                <w:rFonts w:hint="eastAsia"/>
                <w:lang w:val="en-US" w:eastAsia="zh-CN"/>
              </w:rPr>
              <w:t xml:space="preserve">0.0113 </w:t>
            </w:r>
          </w:p>
        </w:tc>
      </w:tr>
      <w:tr w14:paraId="5DE3352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C97A31E">
            <w:pPr>
              <w:pStyle w:val="19"/>
              <w:bidi w:val="0"/>
            </w:pPr>
            <w:r>
              <w:t>1000</w:t>
            </w:r>
          </w:p>
        </w:tc>
        <w:tc>
          <w:tcPr>
            <w:tcW w:w="1282" w:type="dxa"/>
            <w:tcBorders>
              <w:tl2br w:val="nil"/>
              <w:tr2bl w:val="nil"/>
            </w:tcBorders>
            <w:noWrap w:val="0"/>
            <w:vAlign w:val="center"/>
          </w:tcPr>
          <w:p w14:paraId="035C3A2E">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2EB005CE">
            <w:pPr>
              <w:pStyle w:val="19"/>
              <w:bidi w:val="0"/>
            </w:pPr>
            <w:r>
              <w:rPr>
                <w:rFonts w:hint="eastAsia"/>
                <w:lang w:val="en-US" w:eastAsia="zh-CN"/>
              </w:rPr>
              <w:t xml:space="preserve">0.5998 </w:t>
            </w:r>
          </w:p>
        </w:tc>
        <w:tc>
          <w:tcPr>
            <w:tcW w:w="1280" w:type="dxa"/>
            <w:tcBorders>
              <w:tl2br w:val="nil"/>
              <w:tr2bl w:val="nil"/>
            </w:tcBorders>
            <w:noWrap w:val="0"/>
            <w:vAlign w:val="center"/>
          </w:tcPr>
          <w:p w14:paraId="5C55C88F">
            <w:pPr>
              <w:pStyle w:val="19"/>
              <w:bidi w:val="0"/>
            </w:pPr>
            <w:r>
              <w:rPr>
                <w:rFonts w:hint="eastAsia"/>
                <w:lang w:val="en-US" w:eastAsia="zh-CN"/>
              </w:rPr>
              <w:t xml:space="preserve">6.3512 </w:t>
            </w:r>
          </w:p>
        </w:tc>
        <w:tc>
          <w:tcPr>
            <w:tcW w:w="1289" w:type="dxa"/>
            <w:gridSpan w:val="2"/>
            <w:tcBorders>
              <w:tl2br w:val="nil"/>
              <w:tr2bl w:val="nil"/>
            </w:tcBorders>
            <w:noWrap w:val="0"/>
            <w:vAlign w:val="center"/>
          </w:tcPr>
          <w:p w14:paraId="1C8B3D7C">
            <w:pPr>
              <w:pStyle w:val="19"/>
              <w:bidi w:val="0"/>
            </w:pPr>
            <w:r>
              <w:rPr>
                <w:rFonts w:hint="eastAsia"/>
                <w:lang w:val="en-US" w:eastAsia="zh-CN"/>
              </w:rPr>
              <w:t xml:space="preserve">3.1756 </w:t>
            </w:r>
          </w:p>
        </w:tc>
        <w:tc>
          <w:tcPr>
            <w:tcW w:w="1282" w:type="dxa"/>
            <w:tcBorders>
              <w:tl2br w:val="nil"/>
              <w:tr2bl w:val="nil"/>
            </w:tcBorders>
            <w:noWrap w:val="0"/>
            <w:vAlign w:val="center"/>
          </w:tcPr>
          <w:p w14:paraId="4D4427CC">
            <w:pPr>
              <w:pStyle w:val="19"/>
              <w:bidi w:val="0"/>
            </w:pPr>
            <w:r>
              <w:rPr>
                <w:rFonts w:hint="eastAsia"/>
                <w:lang w:val="en-US" w:eastAsia="zh-CN"/>
              </w:rPr>
              <w:t xml:space="preserve">0.0378 </w:t>
            </w:r>
          </w:p>
        </w:tc>
        <w:tc>
          <w:tcPr>
            <w:tcW w:w="1287" w:type="dxa"/>
            <w:tcBorders>
              <w:tl2br w:val="nil"/>
              <w:tr2bl w:val="nil"/>
            </w:tcBorders>
            <w:noWrap w:val="0"/>
            <w:vAlign w:val="center"/>
          </w:tcPr>
          <w:p w14:paraId="543FF150">
            <w:pPr>
              <w:pStyle w:val="19"/>
              <w:bidi w:val="0"/>
            </w:pPr>
            <w:r>
              <w:rPr>
                <w:rFonts w:hint="eastAsia"/>
                <w:lang w:val="en-US" w:eastAsia="zh-CN"/>
              </w:rPr>
              <w:t xml:space="preserve">0.0113 </w:t>
            </w:r>
          </w:p>
        </w:tc>
      </w:tr>
      <w:tr w14:paraId="7FC7A55C">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3C7C303">
            <w:pPr>
              <w:pStyle w:val="19"/>
              <w:bidi w:val="0"/>
            </w:pPr>
            <w:r>
              <w:rPr>
                <w:rFonts w:hint="eastAsia"/>
              </w:rPr>
              <w:t>1</w:t>
            </w:r>
            <w:r>
              <w:t>200</w:t>
            </w:r>
          </w:p>
        </w:tc>
        <w:tc>
          <w:tcPr>
            <w:tcW w:w="1282" w:type="dxa"/>
            <w:tcBorders>
              <w:tl2br w:val="nil"/>
              <w:tr2bl w:val="nil"/>
            </w:tcBorders>
            <w:noWrap w:val="0"/>
            <w:vAlign w:val="center"/>
          </w:tcPr>
          <w:p w14:paraId="0C67C2A0">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3B753E77">
            <w:pPr>
              <w:pStyle w:val="19"/>
              <w:bidi w:val="0"/>
            </w:pPr>
            <w:r>
              <w:rPr>
                <w:rFonts w:hint="eastAsia"/>
                <w:lang w:val="en-US" w:eastAsia="zh-CN"/>
              </w:rPr>
              <w:t xml:space="preserve">0.6314 </w:t>
            </w:r>
          </w:p>
        </w:tc>
        <w:tc>
          <w:tcPr>
            <w:tcW w:w="1280" w:type="dxa"/>
            <w:tcBorders>
              <w:tl2br w:val="nil"/>
              <w:tr2bl w:val="nil"/>
            </w:tcBorders>
            <w:noWrap w:val="0"/>
            <w:vAlign w:val="center"/>
          </w:tcPr>
          <w:p w14:paraId="471185D2">
            <w:pPr>
              <w:pStyle w:val="19"/>
              <w:bidi w:val="0"/>
            </w:pPr>
            <w:r>
              <w:rPr>
                <w:rFonts w:hint="eastAsia"/>
                <w:lang w:val="en-US" w:eastAsia="zh-CN"/>
              </w:rPr>
              <w:t xml:space="preserve">6.7481 </w:t>
            </w:r>
          </w:p>
        </w:tc>
        <w:tc>
          <w:tcPr>
            <w:tcW w:w="1289" w:type="dxa"/>
            <w:gridSpan w:val="2"/>
            <w:tcBorders>
              <w:tl2br w:val="nil"/>
              <w:tr2bl w:val="nil"/>
            </w:tcBorders>
            <w:noWrap w:val="0"/>
            <w:vAlign w:val="center"/>
          </w:tcPr>
          <w:p w14:paraId="7E686272">
            <w:pPr>
              <w:pStyle w:val="19"/>
              <w:bidi w:val="0"/>
            </w:pPr>
            <w:r>
              <w:rPr>
                <w:rFonts w:hint="eastAsia"/>
                <w:lang w:val="en-US" w:eastAsia="zh-CN"/>
              </w:rPr>
              <w:t xml:space="preserve">3.2947 </w:t>
            </w:r>
          </w:p>
        </w:tc>
        <w:tc>
          <w:tcPr>
            <w:tcW w:w="1282" w:type="dxa"/>
            <w:tcBorders>
              <w:tl2br w:val="nil"/>
              <w:tr2bl w:val="nil"/>
            </w:tcBorders>
            <w:noWrap w:val="0"/>
            <w:vAlign w:val="center"/>
          </w:tcPr>
          <w:p w14:paraId="3B0E9714">
            <w:pPr>
              <w:pStyle w:val="19"/>
              <w:bidi w:val="0"/>
            </w:pPr>
            <w:r>
              <w:rPr>
                <w:rFonts w:hint="eastAsia"/>
                <w:lang w:val="en-US" w:eastAsia="zh-CN"/>
              </w:rPr>
              <w:t xml:space="preserve">0.0378 </w:t>
            </w:r>
          </w:p>
        </w:tc>
        <w:tc>
          <w:tcPr>
            <w:tcW w:w="1287" w:type="dxa"/>
            <w:tcBorders>
              <w:tl2br w:val="nil"/>
              <w:tr2bl w:val="nil"/>
            </w:tcBorders>
            <w:noWrap w:val="0"/>
            <w:vAlign w:val="center"/>
          </w:tcPr>
          <w:p w14:paraId="00F4AF13">
            <w:pPr>
              <w:pStyle w:val="19"/>
              <w:bidi w:val="0"/>
            </w:pPr>
            <w:r>
              <w:rPr>
                <w:rFonts w:hint="eastAsia"/>
                <w:lang w:val="en-US" w:eastAsia="zh-CN"/>
              </w:rPr>
              <w:t xml:space="preserve">0.0113 </w:t>
            </w:r>
          </w:p>
        </w:tc>
      </w:tr>
      <w:tr w14:paraId="5561AF53">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A0B7238">
            <w:pPr>
              <w:pStyle w:val="19"/>
              <w:bidi w:val="0"/>
            </w:pPr>
            <w:r>
              <w:rPr>
                <w:rFonts w:hint="eastAsia"/>
              </w:rPr>
              <w:t>1</w:t>
            </w:r>
            <w:r>
              <w:t>500</w:t>
            </w:r>
          </w:p>
        </w:tc>
        <w:tc>
          <w:tcPr>
            <w:tcW w:w="1282" w:type="dxa"/>
            <w:tcBorders>
              <w:tl2br w:val="nil"/>
              <w:tr2bl w:val="nil"/>
            </w:tcBorders>
            <w:noWrap w:val="0"/>
            <w:vAlign w:val="center"/>
          </w:tcPr>
          <w:p w14:paraId="49378502">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2C9A4924">
            <w:pPr>
              <w:pStyle w:val="19"/>
              <w:bidi w:val="0"/>
            </w:pPr>
            <w:r>
              <w:rPr>
                <w:rFonts w:hint="eastAsia"/>
                <w:lang w:val="en-US" w:eastAsia="zh-CN"/>
              </w:rPr>
              <w:t xml:space="preserve">0.6314 </w:t>
            </w:r>
          </w:p>
        </w:tc>
        <w:tc>
          <w:tcPr>
            <w:tcW w:w="1280" w:type="dxa"/>
            <w:tcBorders>
              <w:tl2br w:val="nil"/>
              <w:tr2bl w:val="nil"/>
            </w:tcBorders>
            <w:noWrap w:val="0"/>
            <w:vAlign w:val="center"/>
          </w:tcPr>
          <w:p w14:paraId="4C9E33D8">
            <w:pPr>
              <w:pStyle w:val="19"/>
              <w:bidi w:val="0"/>
            </w:pPr>
            <w:r>
              <w:rPr>
                <w:rFonts w:hint="eastAsia"/>
                <w:lang w:val="en-US" w:eastAsia="zh-CN"/>
              </w:rPr>
              <w:t xml:space="preserve">6.7481 </w:t>
            </w:r>
          </w:p>
        </w:tc>
        <w:tc>
          <w:tcPr>
            <w:tcW w:w="1289" w:type="dxa"/>
            <w:gridSpan w:val="2"/>
            <w:tcBorders>
              <w:tl2br w:val="nil"/>
              <w:tr2bl w:val="nil"/>
            </w:tcBorders>
            <w:noWrap w:val="0"/>
            <w:vAlign w:val="center"/>
          </w:tcPr>
          <w:p w14:paraId="44063B8F">
            <w:pPr>
              <w:pStyle w:val="19"/>
              <w:bidi w:val="0"/>
            </w:pPr>
            <w:r>
              <w:rPr>
                <w:rFonts w:hint="eastAsia"/>
                <w:lang w:val="en-US" w:eastAsia="zh-CN"/>
              </w:rPr>
              <w:t xml:space="preserve">3.2947 </w:t>
            </w:r>
          </w:p>
        </w:tc>
        <w:tc>
          <w:tcPr>
            <w:tcW w:w="1282" w:type="dxa"/>
            <w:tcBorders>
              <w:tl2br w:val="nil"/>
              <w:tr2bl w:val="nil"/>
            </w:tcBorders>
            <w:noWrap w:val="0"/>
            <w:vAlign w:val="center"/>
          </w:tcPr>
          <w:p w14:paraId="63DAE7EC">
            <w:pPr>
              <w:pStyle w:val="19"/>
              <w:bidi w:val="0"/>
            </w:pPr>
            <w:r>
              <w:rPr>
                <w:rFonts w:hint="eastAsia"/>
                <w:lang w:val="en-US" w:eastAsia="zh-CN"/>
              </w:rPr>
              <w:t xml:space="preserve">0.0378 </w:t>
            </w:r>
          </w:p>
        </w:tc>
        <w:tc>
          <w:tcPr>
            <w:tcW w:w="1287" w:type="dxa"/>
            <w:tcBorders>
              <w:tl2br w:val="nil"/>
              <w:tr2bl w:val="nil"/>
            </w:tcBorders>
            <w:noWrap w:val="0"/>
            <w:vAlign w:val="center"/>
          </w:tcPr>
          <w:p w14:paraId="31C1FD14">
            <w:pPr>
              <w:pStyle w:val="19"/>
              <w:bidi w:val="0"/>
            </w:pPr>
            <w:r>
              <w:rPr>
                <w:rFonts w:hint="eastAsia"/>
                <w:lang w:val="en-US" w:eastAsia="zh-CN"/>
              </w:rPr>
              <w:t xml:space="preserve">0.0113 </w:t>
            </w:r>
          </w:p>
        </w:tc>
      </w:tr>
      <w:tr w14:paraId="0134161C">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11D9C504">
            <w:pPr>
              <w:pStyle w:val="19"/>
              <w:bidi w:val="0"/>
            </w:pPr>
            <w:r>
              <w:rPr>
                <w:rFonts w:hint="eastAsia"/>
              </w:rPr>
              <w:t>2</w:t>
            </w:r>
            <w:r>
              <w:t>000</w:t>
            </w:r>
          </w:p>
        </w:tc>
        <w:tc>
          <w:tcPr>
            <w:tcW w:w="1282" w:type="dxa"/>
            <w:tcBorders>
              <w:tl2br w:val="nil"/>
              <w:tr2bl w:val="nil"/>
            </w:tcBorders>
            <w:noWrap w:val="0"/>
            <w:vAlign w:val="center"/>
          </w:tcPr>
          <w:p w14:paraId="01E59069">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2175417F">
            <w:pPr>
              <w:pStyle w:val="19"/>
              <w:bidi w:val="0"/>
            </w:pPr>
            <w:r>
              <w:rPr>
                <w:rFonts w:hint="eastAsia"/>
                <w:lang w:val="en-US" w:eastAsia="zh-CN"/>
              </w:rPr>
              <w:t xml:space="preserve">0.6314 </w:t>
            </w:r>
          </w:p>
        </w:tc>
        <w:tc>
          <w:tcPr>
            <w:tcW w:w="1280" w:type="dxa"/>
            <w:tcBorders>
              <w:tl2br w:val="nil"/>
              <w:tr2bl w:val="nil"/>
            </w:tcBorders>
            <w:noWrap w:val="0"/>
            <w:vAlign w:val="center"/>
          </w:tcPr>
          <w:p w14:paraId="01540959">
            <w:pPr>
              <w:pStyle w:val="19"/>
              <w:bidi w:val="0"/>
            </w:pPr>
            <w:r>
              <w:rPr>
                <w:rFonts w:hint="eastAsia"/>
                <w:lang w:val="en-US" w:eastAsia="zh-CN"/>
              </w:rPr>
              <w:t xml:space="preserve">6.3512 </w:t>
            </w:r>
          </w:p>
        </w:tc>
        <w:tc>
          <w:tcPr>
            <w:tcW w:w="1289" w:type="dxa"/>
            <w:gridSpan w:val="2"/>
            <w:tcBorders>
              <w:tl2br w:val="nil"/>
              <w:tr2bl w:val="nil"/>
            </w:tcBorders>
            <w:noWrap w:val="0"/>
            <w:vAlign w:val="center"/>
          </w:tcPr>
          <w:p w14:paraId="2F53E4EE">
            <w:pPr>
              <w:pStyle w:val="19"/>
              <w:bidi w:val="0"/>
            </w:pPr>
            <w:r>
              <w:rPr>
                <w:rFonts w:hint="eastAsia"/>
                <w:lang w:val="en-US" w:eastAsia="zh-CN"/>
              </w:rPr>
              <w:t xml:space="preserve">3.2550 </w:t>
            </w:r>
          </w:p>
        </w:tc>
        <w:tc>
          <w:tcPr>
            <w:tcW w:w="1282" w:type="dxa"/>
            <w:tcBorders>
              <w:tl2br w:val="nil"/>
              <w:tr2bl w:val="nil"/>
            </w:tcBorders>
            <w:noWrap w:val="0"/>
            <w:vAlign w:val="center"/>
          </w:tcPr>
          <w:p w14:paraId="6890C13C">
            <w:pPr>
              <w:pStyle w:val="19"/>
              <w:bidi w:val="0"/>
            </w:pPr>
            <w:r>
              <w:rPr>
                <w:rFonts w:hint="eastAsia"/>
                <w:lang w:val="en-US" w:eastAsia="zh-CN"/>
              </w:rPr>
              <w:t xml:space="preserve">0.0378 </w:t>
            </w:r>
          </w:p>
        </w:tc>
        <w:tc>
          <w:tcPr>
            <w:tcW w:w="1287" w:type="dxa"/>
            <w:tcBorders>
              <w:tl2br w:val="nil"/>
              <w:tr2bl w:val="nil"/>
            </w:tcBorders>
            <w:noWrap w:val="0"/>
            <w:vAlign w:val="center"/>
          </w:tcPr>
          <w:p w14:paraId="7F3365B4">
            <w:pPr>
              <w:pStyle w:val="19"/>
              <w:bidi w:val="0"/>
            </w:pPr>
            <w:r>
              <w:rPr>
                <w:rFonts w:hint="eastAsia"/>
                <w:lang w:val="en-US" w:eastAsia="zh-CN"/>
              </w:rPr>
              <w:t xml:space="preserve">0.0113 </w:t>
            </w:r>
          </w:p>
        </w:tc>
      </w:tr>
      <w:tr w14:paraId="7723E992">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112F36C5">
            <w:pPr>
              <w:pStyle w:val="19"/>
              <w:bidi w:val="0"/>
            </w:pPr>
            <w:r>
              <w:rPr>
                <w:rFonts w:hint="eastAsia"/>
              </w:rPr>
              <w:t>2</w:t>
            </w:r>
            <w:r>
              <w:t>400</w:t>
            </w:r>
          </w:p>
        </w:tc>
        <w:tc>
          <w:tcPr>
            <w:tcW w:w="1282" w:type="dxa"/>
            <w:tcBorders>
              <w:tl2br w:val="nil"/>
              <w:tr2bl w:val="nil"/>
            </w:tcBorders>
            <w:noWrap w:val="0"/>
            <w:vAlign w:val="center"/>
          </w:tcPr>
          <w:p w14:paraId="455CBD30">
            <w:pPr>
              <w:pStyle w:val="19"/>
              <w:bidi w:val="0"/>
            </w:pPr>
            <w:r>
              <w:rPr>
                <w:rFonts w:hint="eastAsia"/>
                <w:lang w:val="en-US" w:eastAsia="zh-CN"/>
              </w:rPr>
              <w:t xml:space="preserve">3.1568 </w:t>
            </w:r>
          </w:p>
        </w:tc>
        <w:tc>
          <w:tcPr>
            <w:tcW w:w="1287" w:type="dxa"/>
            <w:gridSpan w:val="2"/>
            <w:tcBorders>
              <w:tl2br w:val="nil"/>
              <w:tr2bl w:val="nil"/>
            </w:tcBorders>
            <w:noWrap w:val="0"/>
            <w:vAlign w:val="center"/>
          </w:tcPr>
          <w:p w14:paraId="0ECC320A">
            <w:pPr>
              <w:pStyle w:val="19"/>
              <w:bidi w:val="0"/>
            </w:pPr>
            <w:r>
              <w:rPr>
                <w:rFonts w:hint="eastAsia"/>
                <w:lang w:val="en-US" w:eastAsia="zh-CN"/>
              </w:rPr>
              <w:t xml:space="preserve">0.5998 </w:t>
            </w:r>
          </w:p>
        </w:tc>
        <w:tc>
          <w:tcPr>
            <w:tcW w:w="1280" w:type="dxa"/>
            <w:tcBorders>
              <w:tl2br w:val="nil"/>
              <w:tr2bl w:val="nil"/>
            </w:tcBorders>
            <w:noWrap w:val="0"/>
            <w:vAlign w:val="center"/>
          </w:tcPr>
          <w:p w14:paraId="29348146">
            <w:pPr>
              <w:pStyle w:val="19"/>
              <w:bidi w:val="0"/>
            </w:pPr>
            <w:r>
              <w:rPr>
                <w:rFonts w:hint="eastAsia"/>
                <w:lang w:val="en-US" w:eastAsia="zh-CN"/>
              </w:rPr>
              <w:t xml:space="preserve">6.3512 </w:t>
            </w:r>
          </w:p>
        </w:tc>
        <w:tc>
          <w:tcPr>
            <w:tcW w:w="1289" w:type="dxa"/>
            <w:gridSpan w:val="2"/>
            <w:tcBorders>
              <w:tl2br w:val="nil"/>
              <w:tr2bl w:val="nil"/>
            </w:tcBorders>
            <w:noWrap w:val="0"/>
            <w:vAlign w:val="center"/>
          </w:tcPr>
          <w:p w14:paraId="5196A2F9">
            <w:pPr>
              <w:pStyle w:val="19"/>
              <w:bidi w:val="0"/>
            </w:pPr>
            <w:r>
              <w:rPr>
                <w:rFonts w:hint="eastAsia"/>
                <w:lang w:val="en-US" w:eastAsia="zh-CN"/>
              </w:rPr>
              <w:t xml:space="preserve">3.1756 </w:t>
            </w:r>
          </w:p>
        </w:tc>
        <w:tc>
          <w:tcPr>
            <w:tcW w:w="1282" w:type="dxa"/>
            <w:tcBorders>
              <w:tl2br w:val="nil"/>
              <w:tr2bl w:val="nil"/>
            </w:tcBorders>
            <w:noWrap w:val="0"/>
            <w:vAlign w:val="center"/>
          </w:tcPr>
          <w:p w14:paraId="52DEA843">
            <w:pPr>
              <w:pStyle w:val="19"/>
              <w:bidi w:val="0"/>
            </w:pPr>
            <w:r>
              <w:rPr>
                <w:rFonts w:hint="eastAsia"/>
                <w:lang w:val="en-US" w:eastAsia="zh-CN"/>
              </w:rPr>
              <w:t xml:space="preserve">0.0378 </w:t>
            </w:r>
          </w:p>
        </w:tc>
        <w:tc>
          <w:tcPr>
            <w:tcW w:w="1287" w:type="dxa"/>
            <w:tcBorders>
              <w:tl2br w:val="nil"/>
              <w:tr2bl w:val="nil"/>
            </w:tcBorders>
            <w:noWrap w:val="0"/>
            <w:vAlign w:val="center"/>
          </w:tcPr>
          <w:p w14:paraId="7DD02BD0">
            <w:pPr>
              <w:pStyle w:val="19"/>
              <w:bidi w:val="0"/>
            </w:pPr>
            <w:r>
              <w:rPr>
                <w:rFonts w:hint="eastAsia"/>
                <w:lang w:val="en-US" w:eastAsia="zh-CN"/>
              </w:rPr>
              <w:t xml:space="preserve">0.0113 </w:t>
            </w:r>
          </w:p>
        </w:tc>
      </w:tr>
      <w:tr w14:paraId="168B4A33">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46ABE4BE">
            <w:pPr>
              <w:pStyle w:val="19"/>
              <w:bidi w:val="0"/>
            </w:pPr>
            <w:r>
              <w:rPr>
                <w:rFonts w:hint="eastAsia"/>
              </w:rPr>
              <w:t>2</w:t>
            </w:r>
            <w:r>
              <w:t>800</w:t>
            </w:r>
          </w:p>
        </w:tc>
        <w:tc>
          <w:tcPr>
            <w:tcW w:w="1282" w:type="dxa"/>
            <w:tcBorders>
              <w:tl2br w:val="nil"/>
              <w:tr2bl w:val="nil"/>
            </w:tcBorders>
            <w:noWrap w:val="0"/>
            <w:vAlign w:val="center"/>
          </w:tcPr>
          <w:p w14:paraId="2AA1BB25">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4FB192D3">
            <w:pPr>
              <w:pStyle w:val="19"/>
              <w:bidi w:val="0"/>
            </w:pPr>
            <w:r>
              <w:rPr>
                <w:rFonts w:hint="eastAsia"/>
                <w:lang w:val="en-US" w:eastAsia="zh-CN"/>
              </w:rPr>
              <w:t xml:space="preserve">0.5682 </w:t>
            </w:r>
          </w:p>
        </w:tc>
        <w:tc>
          <w:tcPr>
            <w:tcW w:w="1280" w:type="dxa"/>
            <w:tcBorders>
              <w:tl2br w:val="nil"/>
              <w:tr2bl w:val="nil"/>
            </w:tcBorders>
            <w:noWrap w:val="0"/>
            <w:vAlign w:val="center"/>
          </w:tcPr>
          <w:p w14:paraId="135775F0">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21C9B43B">
            <w:pPr>
              <w:pStyle w:val="19"/>
              <w:bidi w:val="0"/>
            </w:pPr>
            <w:r>
              <w:rPr>
                <w:rFonts w:hint="eastAsia"/>
                <w:lang w:val="en-US" w:eastAsia="zh-CN"/>
              </w:rPr>
              <w:t xml:space="preserve">3.0565 </w:t>
            </w:r>
          </w:p>
        </w:tc>
        <w:tc>
          <w:tcPr>
            <w:tcW w:w="1282" w:type="dxa"/>
            <w:tcBorders>
              <w:tl2br w:val="nil"/>
              <w:tr2bl w:val="nil"/>
            </w:tcBorders>
            <w:noWrap w:val="0"/>
            <w:vAlign w:val="center"/>
          </w:tcPr>
          <w:p w14:paraId="3A39E1BA">
            <w:pPr>
              <w:pStyle w:val="19"/>
              <w:bidi w:val="0"/>
            </w:pPr>
            <w:r>
              <w:rPr>
                <w:rFonts w:hint="eastAsia"/>
                <w:lang w:val="en-US" w:eastAsia="zh-CN"/>
              </w:rPr>
              <w:t xml:space="preserve">0.0378 </w:t>
            </w:r>
          </w:p>
        </w:tc>
        <w:tc>
          <w:tcPr>
            <w:tcW w:w="1287" w:type="dxa"/>
            <w:tcBorders>
              <w:tl2br w:val="nil"/>
              <w:tr2bl w:val="nil"/>
            </w:tcBorders>
            <w:noWrap w:val="0"/>
            <w:vAlign w:val="center"/>
          </w:tcPr>
          <w:p w14:paraId="0BB900E9">
            <w:pPr>
              <w:pStyle w:val="19"/>
              <w:bidi w:val="0"/>
            </w:pPr>
            <w:r>
              <w:rPr>
                <w:rFonts w:hint="eastAsia"/>
                <w:lang w:val="en-US" w:eastAsia="zh-CN"/>
              </w:rPr>
              <w:t xml:space="preserve">0.0076 </w:t>
            </w:r>
          </w:p>
        </w:tc>
      </w:tr>
      <w:tr w14:paraId="737E4CB3">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238DA36A">
            <w:pPr>
              <w:pStyle w:val="19"/>
              <w:bidi w:val="0"/>
            </w:pPr>
            <w:r>
              <w:rPr>
                <w:rFonts w:hint="eastAsia"/>
              </w:rPr>
              <w:t>3</w:t>
            </w:r>
            <w:r>
              <w:t>000</w:t>
            </w:r>
          </w:p>
        </w:tc>
        <w:tc>
          <w:tcPr>
            <w:tcW w:w="1282" w:type="dxa"/>
            <w:tcBorders>
              <w:tl2br w:val="nil"/>
              <w:tr2bl w:val="nil"/>
            </w:tcBorders>
            <w:noWrap w:val="0"/>
            <w:vAlign w:val="center"/>
          </w:tcPr>
          <w:p w14:paraId="48F9E5A1">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6CFD81BC">
            <w:pPr>
              <w:pStyle w:val="19"/>
              <w:bidi w:val="0"/>
            </w:pPr>
            <w:r>
              <w:rPr>
                <w:rFonts w:hint="eastAsia"/>
                <w:lang w:val="en-US" w:eastAsia="zh-CN"/>
              </w:rPr>
              <w:t xml:space="preserve">0.5682 </w:t>
            </w:r>
          </w:p>
        </w:tc>
        <w:tc>
          <w:tcPr>
            <w:tcW w:w="1280" w:type="dxa"/>
            <w:tcBorders>
              <w:tl2br w:val="nil"/>
              <w:tr2bl w:val="nil"/>
            </w:tcBorders>
            <w:noWrap w:val="0"/>
            <w:vAlign w:val="center"/>
          </w:tcPr>
          <w:p w14:paraId="46B47A79">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6FB037FF">
            <w:pPr>
              <w:pStyle w:val="19"/>
              <w:bidi w:val="0"/>
            </w:pPr>
            <w:r>
              <w:rPr>
                <w:rFonts w:hint="eastAsia"/>
                <w:lang w:val="en-US" w:eastAsia="zh-CN"/>
              </w:rPr>
              <w:t xml:space="preserve">2.9374 </w:t>
            </w:r>
          </w:p>
        </w:tc>
        <w:tc>
          <w:tcPr>
            <w:tcW w:w="1282" w:type="dxa"/>
            <w:tcBorders>
              <w:tl2br w:val="nil"/>
              <w:tr2bl w:val="nil"/>
            </w:tcBorders>
            <w:noWrap w:val="0"/>
            <w:vAlign w:val="center"/>
          </w:tcPr>
          <w:p w14:paraId="5F36742A">
            <w:pPr>
              <w:pStyle w:val="19"/>
              <w:bidi w:val="0"/>
            </w:pPr>
            <w:r>
              <w:rPr>
                <w:rFonts w:hint="eastAsia"/>
                <w:lang w:val="en-US" w:eastAsia="zh-CN"/>
              </w:rPr>
              <w:t xml:space="preserve">0.0378 </w:t>
            </w:r>
          </w:p>
        </w:tc>
        <w:tc>
          <w:tcPr>
            <w:tcW w:w="1287" w:type="dxa"/>
            <w:tcBorders>
              <w:tl2br w:val="nil"/>
              <w:tr2bl w:val="nil"/>
            </w:tcBorders>
            <w:noWrap w:val="0"/>
            <w:vAlign w:val="center"/>
          </w:tcPr>
          <w:p w14:paraId="418A0ABD">
            <w:pPr>
              <w:pStyle w:val="19"/>
              <w:bidi w:val="0"/>
            </w:pPr>
            <w:r>
              <w:rPr>
                <w:rFonts w:hint="eastAsia"/>
                <w:lang w:val="en-US" w:eastAsia="zh-CN"/>
              </w:rPr>
              <w:t xml:space="preserve">0.0076 </w:t>
            </w:r>
          </w:p>
        </w:tc>
      </w:tr>
      <w:tr w14:paraId="113735F5">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5399312">
            <w:pPr>
              <w:pStyle w:val="19"/>
              <w:bidi w:val="0"/>
            </w:pPr>
            <w:r>
              <w:rPr>
                <w:rFonts w:hint="eastAsia"/>
              </w:rPr>
              <w:t>3</w:t>
            </w:r>
            <w:r>
              <w:t>500</w:t>
            </w:r>
          </w:p>
        </w:tc>
        <w:tc>
          <w:tcPr>
            <w:tcW w:w="1282" w:type="dxa"/>
            <w:tcBorders>
              <w:tl2br w:val="nil"/>
              <w:tr2bl w:val="nil"/>
            </w:tcBorders>
            <w:noWrap w:val="0"/>
            <w:vAlign w:val="center"/>
          </w:tcPr>
          <w:p w14:paraId="4B52598E">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63F0E5A4">
            <w:pPr>
              <w:pStyle w:val="19"/>
              <w:bidi w:val="0"/>
            </w:pPr>
            <w:r>
              <w:rPr>
                <w:rFonts w:hint="eastAsia"/>
                <w:lang w:val="en-US" w:eastAsia="zh-CN"/>
              </w:rPr>
              <w:t xml:space="preserve">0.5367 </w:t>
            </w:r>
          </w:p>
        </w:tc>
        <w:tc>
          <w:tcPr>
            <w:tcW w:w="1280" w:type="dxa"/>
            <w:tcBorders>
              <w:tl2br w:val="nil"/>
              <w:tr2bl w:val="nil"/>
            </w:tcBorders>
            <w:noWrap w:val="0"/>
            <w:vAlign w:val="center"/>
          </w:tcPr>
          <w:p w14:paraId="06159933">
            <w:pPr>
              <w:pStyle w:val="19"/>
              <w:bidi w:val="0"/>
            </w:pPr>
            <w:r>
              <w:rPr>
                <w:rFonts w:hint="eastAsia"/>
                <w:lang w:val="en-US" w:eastAsia="zh-CN"/>
              </w:rPr>
              <w:t xml:space="preserve">5.5573 </w:t>
            </w:r>
          </w:p>
        </w:tc>
        <w:tc>
          <w:tcPr>
            <w:tcW w:w="1289" w:type="dxa"/>
            <w:gridSpan w:val="2"/>
            <w:tcBorders>
              <w:tl2br w:val="nil"/>
              <w:tr2bl w:val="nil"/>
            </w:tcBorders>
            <w:noWrap w:val="0"/>
            <w:vAlign w:val="center"/>
          </w:tcPr>
          <w:p w14:paraId="179F7694">
            <w:pPr>
              <w:pStyle w:val="19"/>
              <w:bidi w:val="0"/>
            </w:pPr>
            <w:r>
              <w:rPr>
                <w:rFonts w:hint="eastAsia"/>
                <w:lang w:val="en-US" w:eastAsia="zh-CN"/>
              </w:rPr>
              <w:t xml:space="preserve">2.8183 </w:t>
            </w:r>
          </w:p>
        </w:tc>
        <w:tc>
          <w:tcPr>
            <w:tcW w:w="1282" w:type="dxa"/>
            <w:tcBorders>
              <w:tl2br w:val="nil"/>
              <w:tr2bl w:val="nil"/>
            </w:tcBorders>
            <w:noWrap w:val="0"/>
            <w:vAlign w:val="center"/>
          </w:tcPr>
          <w:p w14:paraId="401B5D12">
            <w:pPr>
              <w:pStyle w:val="19"/>
              <w:bidi w:val="0"/>
            </w:pPr>
            <w:r>
              <w:rPr>
                <w:rFonts w:hint="eastAsia"/>
                <w:lang w:val="en-US" w:eastAsia="zh-CN"/>
              </w:rPr>
              <w:t xml:space="preserve">0.0378 </w:t>
            </w:r>
          </w:p>
        </w:tc>
        <w:tc>
          <w:tcPr>
            <w:tcW w:w="1287" w:type="dxa"/>
            <w:tcBorders>
              <w:tl2br w:val="nil"/>
              <w:tr2bl w:val="nil"/>
            </w:tcBorders>
            <w:noWrap w:val="0"/>
            <w:vAlign w:val="center"/>
          </w:tcPr>
          <w:p w14:paraId="0CA3BB1D">
            <w:pPr>
              <w:pStyle w:val="19"/>
              <w:bidi w:val="0"/>
            </w:pPr>
            <w:r>
              <w:rPr>
                <w:rFonts w:hint="eastAsia"/>
                <w:lang w:val="en-US" w:eastAsia="zh-CN"/>
              </w:rPr>
              <w:t xml:space="preserve">0.0076 </w:t>
            </w:r>
          </w:p>
        </w:tc>
      </w:tr>
      <w:tr w14:paraId="5D812062">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5AB1E7AD">
            <w:pPr>
              <w:pStyle w:val="19"/>
              <w:bidi w:val="0"/>
            </w:pPr>
            <w:r>
              <w:rPr>
                <w:rFonts w:hint="eastAsia"/>
              </w:rPr>
              <w:t>4</w:t>
            </w:r>
            <w:r>
              <w:t>000</w:t>
            </w:r>
          </w:p>
        </w:tc>
        <w:tc>
          <w:tcPr>
            <w:tcW w:w="1282" w:type="dxa"/>
            <w:tcBorders>
              <w:tl2br w:val="nil"/>
              <w:tr2bl w:val="nil"/>
            </w:tcBorders>
            <w:noWrap w:val="0"/>
            <w:vAlign w:val="center"/>
          </w:tcPr>
          <w:p w14:paraId="1917A8BF">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1F65734F">
            <w:pPr>
              <w:pStyle w:val="19"/>
              <w:bidi w:val="0"/>
            </w:pPr>
            <w:r>
              <w:rPr>
                <w:rFonts w:hint="eastAsia"/>
                <w:lang w:val="en-US" w:eastAsia="zh-CN"/>
              </w:rPr>
              <w:t xml:space="preserve">0.5682 </w:t>
            </w:r>
          </w:p>
        </w:tc>
        <w:tc>
          <w:tcPr>
            <w:tcW w:w="1280" w:type="dxa"/>
            <w:tcBorders>
              <w:tl2br w:val="nil"/>
              <w:tr2bl w:val="nil"/>
            </w:tcBorders>
            <w:noWrap w:val="0"/>
            <w:vAlign w:val="center"/>
          </w:tcPr>
          <w:p w14:paraId="135F01CB">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34B81688">
            <w:pPr>
              <w:pStyle w:val="19"/>
              <w:bidi w:val="0"/>
            </w:pPr>
            <w:r>
              <w:rPr>
                <w:rFonts w:hint="eastAsia"/>
                <w:lang w:val="en-US" w:eastAsia="zh-CN"/>
              </w:rPr>
              <w:t xml:space="preserve">2.9374 </w:t>
            </w:r>
          </w:p>
        </w:tc>
        <w:tc>
          <w:tcPr>
            <w:tcW w:w="1282" w:type="dxa"/>
            <w:tcBorders>
              <w:tl2br w:val="nil"/>
              <w:tr2bl w:val="nil"/>
            </w:tcBorders>
            <w:noWrap w:val="0"/>
            <w:vAlign w:val="center"/>
          </w:tcPr>
          <w:p w14:paraId="1130F354">
            <w:pPr>
              <w:pStyle w:val="19"/>
              <w:bidi w:val="0"/>
            </w:pPr>
            <w:r>
              <w:rPr>
                <w:rFonts w:hint="eastAsia"/>
                <w:lang w:val="en-US" w:eastAsia="zh-CN"/>
              </w:rPr>
              <w:t xml:space="preserve">0.0378 </w:t>
            </w:r>
          </w:p>
        </w:tc>
        <w:tc>
          <w:tcPr>
            <w:tcW w:w="1287" w:type="dxa"/>
            <w:tcBorders>
              <w:tl2br w:val="nil"/>
              <w:tr2bl w:val="nil"/>
            </w:tcBorders>
            <w:noWrap w:val="0"/>
            <w:vAlign w:val="center"/>
          </w:tcPr>
          <w:p w14:paraId="15CA8277">
            <w:pPr>
              <w:pStyle w:val="19"/>
              <w:bidi w:val="0"/>
            </w:pPr>
            <w:r>
              <w:rPr>
                <w:rFonts w:hint="eastAsia"/>
                <w:lang w:val="en-US" w:eastAsia="zh-CN"/>
              </w:rPr>
              <w:t xml:space="preserve">0.0076 </w:t>
            </w:r>
          </w:p>
        </w:tc>
      </w:tr>
      <w:tr w14:paraId="075F9CB9">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2282075">
            <w:pPr>
              <w:pStyle w:val="19"/>
              <w:bidi w:val="0"/>
            </w:pPr>
            <w:r>
              <w:rPr>
                <w:rFonts w:hint="eastAsia"/>
              </w:rPr>
              <w:t>4</w:t>
            </w:r>
            <w:r>
              <w:t>500</w:t>
            </w:r>
          </w:p>
        </w:tc>
        <w:tc>
          <w:tcPr>
            <w:tcW w:w="1282" w:type="dxa"/>
            <w:tcBorders>
              <w:tl2br w:val="nil"/>
              <w:tr2bl w:val="nil"/>
            </w:tcBorders>
            <w:noWrap w:val="0"/>
            <w:vAlign w:val="center"/>
          </w:tcPr>
          <w:p w14:paraId="5DEB4906">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7747A408">
            <w:pPr>
              <w:pStyle w:val="19"/>
              <w:bidi w:val="0"/>
            </w:pPr>
            <w:r>
              <w:rPr>
                <w:rFonts w:hint="eastAsia"/>
                <w:lang w:val="en-US" w:eastAsia="zh-CN"/>
              </w:rPr>
              <w:t xml:space="preserve">0.5682 </w:t>
            </w:r>
          </w:p>
        </w:tc>
        <w:tc>
          <w:tcPr>
            <w:tcW w:w="1280" w:type="dxa"/>
            <w:tcBorders>
              <w:tl2br w:val="nil"/>
              <w:tr2bl w:val="nil"/>
            </w:tcBorders>
            <w:noWrap w:val="0"/>
            <w:vAlign w:val="center"/>
          </w:tcPr>
          <w:p w14:paraId="484EC76A">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7976B077">
            <w:pPr>
              <w:pStyle w:val="19"/>
              <w:bidi w:val="0"/>
            </w:pPr>
            <w:r>
              <w:rPr>
                <w:rFonts w:hint="eastAsia"/>
                <w:lang w:val="en-US" w:eastAsia="zh-CN"/>
              </w:rPr>
              <w:t xml:space="preserve">2.9771 </w:t>
            </w:r>
          </w:p>
        </w:tc>
        <w:tc>
          <w:tcPr>
            <w:tcW w:w="1282" w:type="dxa"/>
            <w:tcBorders>
              <w:tl2br w:val="nil"/>
              <w:tr2bl w:val="nil"/>
            </w:tcBorders>
            <w:noWrap w:val="0"/>
            <w:vAlign w:val="center"/>
          </w:tcPr>
          <w:p w14:paraId="3498E3AD">
            <w:pPr>
              <w:pStyle w:val="19"/>
              <w:bidi w:val="0"/>
            </w:pPr>
            <w:r>
              <w:rPr>
                <w:rFonts w:hint="eastAsia"/>
                <w:lang w:val="en-US" w:eastAsia="zh-CN"/>
              </w:rPr>
              <w:t xml:space="preserve">0.0378 </w:t>
            </w:r>
          </w:p>
        </w:tc>
        <w:tc>
          <w:tcPr>
            <w:tcW w:w="1287" w:type="dxa"/>
            <w:tcBorders>
              <w:tl2br w:val="nil"/>
              <w:tr2bl w:val="nil"/>
            </w:tcBorders>
            <w:noWrap w:val="0"/>
            <w:vAlign w:val="center"/>
          </w:tcPr>
          <w:p w14:paraId="20425F87">
            <w:pPr>
              <w:pStyle w:val="19"/>
              <w:bidi w:val="0"/>
            </w:pPr>
            <w:r>
              <w:rPr>
                <w:rFonts w:hint="eastAsia"/>
                <w:lang w:val="en-US" w:eastAsia="zh-CN"/>
              </w:rPr>
              <w:t xml:space="preserve">0.0076 </w:t>
            </w:r>
          </w:p>
        </w:tc>
      </w:tr>
      <w:tr w14:paraId="76CDC18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center"/>
          </w:tcPr>
          <w:p w14:paraId="3EC24CBA">
            <w:pPr>
              <w:pStyle w:val="19"/>
              <w:bidi w:val="0"/>
            </w:pPr>
            <w:r>
              <w:rPr>
                <w:rFonts w:hint="eastAsia"/>
              </w:rPr>
              <w:t>5</w:t>
            </w:r>
            <w:r>
              <w:t>000</w:t>
            </w:r>
          </w:p>
        </w:tc>
        <w:tc>
          <w:tcPr>
            <w:tcW w:w="1282" w:type="dxa"/>
            <w:tcBorders>
              <w:tl2br w:val="nil"/>
              <w:tr2bl w:val="nil"/>
            </w:tcBorders>
            <w:noWrap w:val="0"/>
            <w:vAlign w:val="center"/>
          </w:tcPr>
          <w:p w14:paraId="038F2C5F">
            <w:pPr>
              <w:pStyle w:val="19"/>
              <w:bidi w:val="0"/>
            </w:pPr>
            <w:r>
              <w:rPr>
                <w:rFonts w:hint="eastAsia"/>
                <w:lang w:val="en-US" w:eastAsia="zh-CN"/>
              </w:rPr>
              <w:t xml:space="preserve">2.8411 </w:t>
            </w:r>
          </w:p>
        </w:tc>
        <w:tc>
          <w:tcPr>
            <w:tcW w:w="1287" w:type="dxa"/>
            <w:gridSpan w:val="2"/>
            <w:tcBorders>
              <w:tl2br w:val="nil"/>
              <w:tr2bl w:val="nil"/>
            </w:tcBorders>
            <w:noWrap w:val="0"/>
            <w:vAlign w:val="center"/>
          </w:tcPr>
          <w:p w14:paraId="240C8718">
            <w:pPr>
              <w:pStyle w:val="19"/>
              <w:bidi w:val="0"/>
            </w:pPr>
            <w:r>
              <w:rPr>
                <w:rFonts w:hint="eastAsia"/>
                <w:lang w:val="en-US" w:eastAsia="zh-CN"/>
              </w:rPr>
              <w:t xml:space="preserve">0.5682 </w:t>
            </w:r>
          </w:p>
        </w:tc>
        <w:tc>
          <w:tcPr>
            <w:tcW w:w="1280" w:type="dxa"/>
            <w:tcBorders>
              <w:tl2br w:val="nil"/>
              <w:tr2bl w:val="nil"/>
            </w:tcBorders>
            <w:noWrap w:val="0"/>
            <w:vAlign w:val="center"/>
          </w:tcPr>
          <w:p w14:paraId="72F27F64">
            <w:pPr>
              <w:pStyle w:val="19"/>
              <w:bidi w:val="0"/>
            </w:pPr>
            <w:r>
              <w:rPr>
                <w:rFonts w:hint="eastAsia"/>
                <w:lang w:val="en-US" w:eastAsia="zh-CN"/>
              </w:rPr>
              <w:t xml:space="preserve">5.9542 </w:t>
            </w:r>
          </w:p>
        </w:tc>
        <w:tc>
          <w:tcPr>
            <w:tcW w:w="1289" w:type="dxa"/>
            <w:gridSpan w:val="2"/>
            <w:tcBorders>
              <w:tl2br w:val="nil"/>
              <w:tr2bl w:val="nil"/>
            </w:tcBorders>
            <w:noWrap w:val="0"/>
            <w:vAlign w:val="center"/>
          </w:tcPr>
          <w:p w14:paraId="53775C7D">
            <w:pPr>
              <w:pStyle w:val="19"/>
              <w:bidi w:val="0"/>
            </w:pPr>
            <w:r>
              <w:rPr>
                <w:rFonts w:hint="eastAsia"/>
                <w:lang w:val="en-US" w:eastAsia="zh-CN"/>
              </w:rPr>
              <w:t xml:space="preserve">3.0168 </w:t>
            </w:r>
          </w:p>
        </w:tc>
        <w:tc>
          <w:tcPr>
            <w:tcW w:w="1282" w:type="dxa"/>
            <w:tcBorders>
              <w:tl2br w:val="nil"/>
              <w:tr2bl w:val="nil"/>
            </w:tcBorders>
            <w:noWrap w:val="0"/>
            <w:vAlign w:val="center"/>
          </w:tcPr>
          <w:p w14:paraId="1E669D26">
            <w:pPr>
              <w:pStyle w:val="19"/>
              <w:bidi w:val="0"/>
            </w:pPr>
            <w:r>
              <w:rPr>
                <w:rFonts w:hint="eastAsia"/>
                <w:lang w:val="en-US" w:eastAsia="zh-CN"/>
              </w:rPr>
              <w:t xml:space="preserve">0.0000 </w:t>
            </w:r>
          </w:p>
        </w:tc>
        <w:tc>
          <w:tcPr>
            <w:tcW w:w="1287" w:type="dxa"/>
            <w:tcBorders>
              <w:tl2br w:val="nil"/>
              <w:tr2bl w:val="nil"/>
            </w:tcBorders>
            <w:noWrap w:val="0"/>
            <w:vAlign w:val="center"/>
          </w:tcPr>
          <w:p w14:paraId="67F62A40">
            <w:pPr>
              <w:pStyle w:val="19"/>
              <w:bidi w:val="0"/>
            </w:pPr>
            <w:r>
              <w:rPr>
                <w:rFonts w:hint="eastAsia"/>
                <w:lang w:val="en-US" w:eastAsia="zh-CN"/>
              </w:rPr>
              <w:t xml:space="preserve">0.0000 </w:t>
            </w:r>
          </w:p>
        </w:tc>
      </w:tr>
      <w:tr w14:paraId="138C4E0E">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top"/>
          </w:tcPr>
          <w:p w14:paraId="149FA191">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C</w:t>
            </w:r>
            <w:r>
              <w:rPr>
                <w:rFonts w:hint="eastAsia"/>
                <w:vertAlign w:val="subscript"/>
                <w:lang w:val="en-US" w:eastAsia="zh-CN"/>
              </w:rPr>
              <w:t>max】</w:t>
            </w:r>
            <w:r>
              <w:t>/</w:t>
            </w:r>
            <w:r>
              <w:rPr>
                <w:rFonts w:hint="eastAsia"/>
                <w:lang w:val="en-US" w:eastAsia="zh-CN"/>
              </w:rPr>
              <w:t>P</w:t>
            </w:r>
            <w:r>
              <w:rPr>
                <w:rFonts w:hint="eastAsia"/>
                <w:vertAlign w:val="subscript"/>
                <w:lang w:val="en-US" w:eastAsia="zh-CN"/>
              </w:rPr>
              <w:t>max</w:t>
            </w:r>
          </w:p>
        </w:tc>
        <w:tc>
          <w:tcPr>
            <w:tcW w:w="1282" w:type="dxa"/>
            <w:tcBorders>
              <w:tl2br w:val="nil"/>
              <w:tr2bl w:val="nil"/>
            </w:tcBorders>
            <w:noWrap w:val="0"/>
            <w:vAlign w:val="center"/>
          </w:tcPr>
          <w:p w14:paraId="78CE9CDE">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5.3665 </w:t>
            </w:r>
          </w:p>
        </w:tc>
        <w:tc>
          <w:tcPr>
            <w:tcW w:w="1287" w:type="dxa"/>
            <w:gridSpan w:val="2"/>
            <w:tcBorders>
              <w:tl2br w:val="nil"/>
              <w:tr2bl w:val="nil"/>
            </w:tcBorders>
            <w:noWrap w:val="0"/>
            <w:vAlign w:val="center"/>
          </w:tcPr>
          <w:p w14:paraId="22DD3A40">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1.0733 </w:t>
            </w:r>
          </w:p>
        </w:tc>
        <w:tc>
          <w:tcPr>
            <w:tcW w:w="1280" w:type="dxa"/>
            <w:tcBorders>
              <w:tl2br w:val="nil"/>
              <w:tr2bl w:val="nil"/>
            </w:tcBorders>
            <w:noWrap w:val="0"/>
            <w:vAlign w:val="center"/>
          </w:tcPr>
          <w:p w14:paraId="36B3A0A6">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11.5115 </w:t>
            </w:r>
          </w:p>
        </w:tc>
        <w:tc>
          <w:tcPr>
            <w:tcW w:w="1289" w:type="dxa"/>
            <w:gridSpan w:val="2"/>
            <w:tcBorders>
              <w:tl2br w:val="nil"/>
              <w:tr2bl w:val="nil"/>
            </w:tcBorders>
            <w:noWrap w:val="0"/>
            <w:vAlign w:val="center"/>
          </w:tcPr>
          <w:p w14:paraId="4F1674FE">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5.6764 </w:t>
            </w:r>
          </w:p>
        </w:tc>
        <w:tc>
          <w:tcPr>
            <w:tcW w:w="1282" w:type="dxa"/>
            <w:tcBorders>
              <w:tl2br w:val="nil"/>
              <w:tr2bl w:val="nil"/>
            </w:tcBorders>
            <w:noWrap w:val="0"/>
            <w:vAlign w:val="center"/>
          </w:tcPr>
          <w:p w14:paraId="0D0CA2CC">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0.0755 </w:t>
            </w:r>
          </w:p>
        </w:tc>
        <w:tc>
          <w:tcPr>
            <w:tcW w:w="1287" w:type="dxa"/>
            <w:tcBorders>
              <w:tl2br w:val="nil"/>
              <w:tr2bl w:val="nil"/>
            </w:tcBorders>
            <w:noWrap w:val="0"/>
            <w:vAlign w:val="center"/>
          </w:tcPr>
          <w:p w14:paraId="3BD27F8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 xml:space="preserve">0.0189 </w:t>
            </w:r>
          </w:p>
        </w:tc>
      </w:tr>
      <w:tr w14:paraId="69D2419B">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0" w:type="dxa"/>
            <w:bottom w:w="0" w:type="dxa"/>
            <w:right w:w="0" w:type="dxa"/>
          </w:tblCellMar>
        </w:tblPrEx>
        <w:trPr>
          <w:trHeight w:val="20" w:hRule="atLeast"/>
        </w:trPr>
        <w:tc>
          <w:tcPr>
            <w:tcW w:w="369" w:type="pct"/>
            <w:tcBorders>
              <w:tl2br w:val="nil"/>
              <w:tr2bl w:val="nil"/>
            </w:tcBorders>
            <w:noWrap w:val="0"/>
            <w:vAlign w:val="top"/>
          </w:tcPr>
          <w:p w14:paraId="2D5F7393">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D</w:t>
            </w:r>
            <w:r>
              <w:t>（m）</w:t>
            </w:r>
          </w:p>
        </w:tc>
        <w:tc>
          <w:tcPr>
            <w:tcW w:w="1543" w:type="pct"/>
            <w:gridSpan w:val="2"/>
            <w:tcBorders>
              <w:tl2br w:val="nil"/>
              <w:tr2bl w:val="nil"/>
            </w:tcBorders>
            <w:noWrap w:val="0"/>
            <w:vAlign w:val="center"/>
          </w:tcPr>
          <w:p w14:paraId="34B29058">
            <w:pPr>
              <w:pStyle w:val="19"/>
              <w:bidi w:val="0"/>
              <w:rPr>
                <w:rFonts w:hint="default"/>
                <w:lang w:val="en-US" w:eastAsia="zh-CN"/>
              </w:rPr>
            </w:pPr>
            <w:r>
              <w:rPr>
                <w:rFonts w:hint="eastAsia"/>
                <w:lang w:val="en-US" w:eastAsia="zh-CN"/>
              </w:rPr>
              <w:t>200</w:t>
            </w:r>
          </w:p>
        </w:tc>
        <w:tc>
          <w:tcPr>
            <w:tcW w:w="1540" w:type="pct"/>
            <w:gridSpan w:val="3"/>
            <w:tcBorders>
              <w:tl2br w:val="nil"/>
              <w:tr2bl w:val="nil"/>
            </w:tcBorders>
            <w:noWrap w:val="0"/>
            <w:vAlign w:val="center"/>
          </w:tcPr>
          <w:p w14:paraId="24D8A9B7">
            <w:pPr>
              <w:pStyle w:val="19"/>
              <w:bidi w:val="0"/>
              <w:rPr>
                <w:rFonts w:hint="default"/>
                <w:lang w:val="en-US" w:eastAsia="zh-CN"/>
              </w:rPr>
            </w:pPr>
            <w:r>
              <w:rPr>
                <w:rFonts w:hint="eastAsia"/>
                <w:lang w:val="en-US" w:eastAsia="zh-CN"/>
              </w:rPr>
              <w:t>200</w:t>
            </w:r>
          </w:p>
        </w:tc>
        <w:tc>
          <w:tcPr>
            <w:tcW w:w="1546" w:type="pct"/>
            <w:gridSpan w:val="3"/>
            <w:tcBorders>
              <w:tl2br w:val="nil"/>
              <w:tr2bl w:val="nil"/>
            </w:tcBorders>
            <w:noWrap w:val="0"/>
            <w:vAlign w:val="center"/>
          </w:tcPr>
          <w:p w14:paraId="7F1C40CE">
            <w:pPr>
              <w:pStyle w:val="19"/>
              <w:bidi w:val="0"/>
              <w:rPr>
                <w:rFonts w:hint="default"/>
                <w:lang w:val="en-US" w:eastAsia="zh-CN"/>
              </w:rPr>
            </w:pPr>
            <w:r>
              <w:rPr>
                <w:rFonts w:hint="eastAsia"/>
                <w:lang w:val="en-US" w:eastAsia="zh-CN"/>
              </w:rPr>
              <w:t>100</w:t>
            </w:r>
          </w:p>
        </w:tc>
      </w:tr>
    </w:tbl>
    <w:p w14:paraId="186E8B84">
      <w:pPr>
        <w:pStyle w:val="30"/>
        <w:bidi w:val="0"/>
        <w:rPr>
          <w:lang w:val="en-US" w:eastAsia="zh-CN"/>
        </w:rPr>
      </w:pPr>
      <w:r>
        <w:rPr>
          <w:rFonts w:hint="eastAsia"/>
          <w:lang w:val="en-US" w:eastAsia="zh-CN"/>
        </w:rPr>
        <w:t>表5.2-5   DA004</w:t>
      </w:r>
      <w:r>
        <w:rPr>
          <w:lang w:val="en-US" w:eastAsia="zh-CN"/>
        </w:rPr>
        <w:t>大气估算结果统计表（点源）</w:t>
      </w:r>
    </w:p>
    <w:tbl>
      <w:tblPr>
        <w:tblStyle w:val="29"/>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Layout w:type="autofit"/>
        <w:tblCellMar>
          <w:top w:w="0" w:type="dxa"/>
          <w:left w:w="0" w:type="dxa"/>
          <w:bottom w:w="0" w:type="dxa"/>
          <w:right w:w="0" w:type="dxa"/>
        </w:tblCellMar>
      </w:tblPr>
      <w:tblGrid>
        <w:gridCol w:w="2075"/>
        <w:gridCol w:w="1558"/>
        <w:gridCol w:w="1563"/>
        <w:gridCol w:w="2"/>
        <w:gridCol w:w="1558"/>
        <w:gridCol w:w="1567"/>
      </w:tblGrid>
      <w:tr w14:paraId="006F1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289" w:hRule="atLeast"/>
        </w:trPr>
        <w:tc>
          <w:tcPr>
            <w:tcW w:w="1246" w:type="pct"/>
            <w:vMerge w:val="restart"/>
            <w:tcBorders>
              <w:tl2br w:val="nil"/>
              <w:tr2bl w:val="nil"/>
            </w:tcBorders>
            <w:vAlign w:val="center"/>
          </w:tcPr>
          <w:p w14:paraId="541BDBAC">
            <w:pPr>
              <w:pStyle w:val="19"/>
              <w:bidi w:val="0"/>
              <w:jc w:val="center"/>
              <w:rPr>
                <w:b/>
                <w:bCs/>
              </w:rPr>
            </w:pPr>
            <w:r>
              <w:rPr>
                <w:b/>
                <w:bCs/>
              </w:rPr>
              <w:t>下风向距离（m）</w:t>
            </w:r>
          </w:p>
        </w:tc>
        <w:tc>
          <w:tcPr>
            <w:tcW w:w="1876" w:type="pct"/>
            <w:gridSpan w:val="3"/>
            <w:tcBorders>
              <w:tl2br w:val="nil"/>
              <w:tr2bl w:val="nil"/>
            </w:tcBorders>
            <w:vAlign w:val="center"/>
          </w:tcPr>
          <w:p w14:paraId="5176B296">
            <w:pPr>
              <w:pStyle w:val="19"/>
              <w:bidi w:val="0"/>
              <w:jc w:val="center"/>
              <w:rPr>
                <w:b/>
                <w:bCs/>
              </w:rPr>
            </w:pPr>
            <w:r>
              <w:rPr>
                <w:b/>
                <w:bCs/>
              </w:rPr>
              <w:t>NH</w:t>
            </w:r>
            <w:r>
              <w:rPr>
                <w:b/>
                <w:bCs/>
                <w:vertAlign w:val="subscript"/>
              </w:rPr>
              <w:t>3</w:t>
            </w:r>
          </w:p>
        </w:tc>
        <w:tc>
          <w:tcPr>
            <w:tcW w:w="1877" w:type="pct"/>
            <w:gridSpan w:val="2"/>
            <w:tcBorders>
              <w:tl2br w:val="nil"/>
              <w:tr2bl w:val="nil"/>
            </w:tcBorders>
            <w:vAlign w:val="center"/>
          </w:tcPr>
          <w:p w14:paraId="66D74EDD">
            <w:pPr>
              <w:pStyle w:val="19"/>
              <w:bidi w:val="0"/>
              <w:jc w:val="center"/>
              <w:rPr>
                <w:b/>
                <w:bCs/>
              </w:rPr>
            </w:pPr>
            <w:r>
              <w:rPr>
                <w:b/>
                <w:bCs/>
              </w:rPr>
              <w:t>H</w:t>
            </w:r>
            <w:r>
              <w:rPr>
                <w:b/>
                <w:bCs/>
                <w:vertAlign w:val="subscript"/>
              </w:rPr>
              <w:t>2</w:t>
            </w:r>
            <w:r>
              <w:rPr>
                <w:b/>
                <w:bCs/>
              </w:rPr>
              <w:t>S</w:t>
            </w:r>
          </w:p>
        </w:tc>
      </w:tr>
      <w:tr w14:paraId="19602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282" w:hRule="atLeast"/>
        </w:trPr>
        <w:tc>
          <w:tcPr>
            <w:tcW w:w="1246" w:type="pct"/>
            <w:vMerge w:val="continue"/>
            <w:tcBorders>
              <w:tl2br w:val="nil"/>
              <w:tr2bl w:val="nil"/>
            </w:tcBorders>
            <w:vAlign w:val="center"/>
          </w:tcPr>
          <w:p w14:paraId="1883A2CA">
            <w:pPr>
              <w:pStyle w:val="19"/>
              <w:bidi w:val="0"/>
              <w:jc w:val="center"/>
              <w:rPr>
                <w:b/>
                <w:bCs/>
              </w:rPr>
            </w:pPr>
          </w:p>
        </w:tc>
        <w:tc>
          <w:tcPr>
            <w:tcW w:w="936" w:type="pct"/>
            <w:tcBorders>
              <w:tl2br w:val="nil"/>
              <w:tr2bl w:val="nil"/>
            </w:tcBorders>
            <w:vAlign w:val="center"/>
          </w:tcPr>
          <w:p w14:paraId="6BB1FF26">
            <w:pPr>
              <w:pStyle w:val="19"/>
              <w:bidi w:val="0"/>
              <w:ind w:firstLine="0" w:firstLineChars="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939" w:type="pct"/>
            <w:gridSpan w:val="2"/>
            <w:tcBorders>
              <w:tl2br w:val="nil"/>
              <w:tr2bl w:val="nil"/>
            </w:tcBorders>
            <w:vAlign w:val="center"/>
          </w:tcPr>
          <w:p w14:paraId="3B078F62">
            <w:pPr>
              <w:pStyle w:val="19"/>
              <w:bidi w:val="0"/>
              <w:ind w:firstLine="0" w:firstLineChars="0"/>
              <w:rPr>
                <w:b/>
                <w:bCs/>
              </w:rPr>
            </w:pPr>
            <w:r>
              <w:rPr>
                <w:b/>
                <w:bCs/>
              </w:rPr>
              <w:t>占标率(%)</w:t>
            </w:r>
          </w:p>
        </w:tc>
        <w:tc>
          <w:tcPr>
            <w:tcW w:w="936" w:type="pct"/>
            <w:tcBorders>
              <w:tl2br w:val="nil"/>
              <w:tr2bl w:val="nil"/>
            </w:tcBorders>
            <w:vAlign w:val="center"/>
          </w:tcPr>
          <w:p w14:paraId="497857B1">
            <w:pPr>
              <w:pStyle w:val="19"/>
              <w:bidi w:val="0"/>
              <w:ind w:firstLine="0" w:firstLineChars="0"/>
              <w:rPr>
                <w:b/>
                <w:bCs/>
              </w:rPr>
            </w:pPr>
            <w:r>
              <w:rPr>
                <w:b/>
                <w:bCs/>
              </w:rPr>
              <w:t>预测质量浓度(</w:t>
            </w:r>
            <w:r>
              <w:rPr>
                <w:rFonts w:hint="default" w:ascii="Times New Roman" w:hAnsi="Times New Roman" w:cs="Times New Roman"/>
                <w:b/>
                <w:bCs/>
                <w:lang w:val="en-US" w:eastAsia="zh-CN"/>
              </w:rPr>
              <w:t>μ</w:t>
            </w:r>
            <w:r>
              <w:rPr>
                <w:b/>
                <w:bCs/>
              </w:rPr>
              <w:t>g/m</w:t>
            </w:r>
            <w:r>
              <w:rPr>
                <w:b/>
                <w:bCs/>
                <w:vertAlign w:val="superscript"/>
              </w:rPr>
              <w:t>3</w:t>
            </w:r>
            <w:r>
              <w:rPr>
                <w:b/>
                <w:bCs/>
              </w:rPr>
              <w:t>)</w:t>
            </w:r>
          </w:p>
        </w:tc>
        <w:tc>
          <w:tcPr>
            <w:tcW w:w="940" w:type="pct"/>
            <w:tcBorders>
              <w:tl2br w:val="nil"/>
              <w:tr2bl w:val="nil"/>
            </w:tcBorders>
            <w:vAlign w:val="center"/>
          </w:tcPr>
          <w:p w14:paraId="11F31327">
            <w:pPr>
              <w:pStyle w:val="19"/>
              <w:bidi w:val="0"/>
              <w:ind w:firstLine="0" w:firstLineChars="0"/>
              <w:rPr>
                <w:b/>
                <w:bCs/>
              </w:rPr>
            </w:pPr>
            <w:r>
              <w:rPr>
                <w:b/>
                <w:bCs/>
              </w:rPr>
              <w:t>占标率(%)</w:t>
            </w:r>
          </w:p>
        </w:tc>
      </w:tr>
      <w:tr w14:paraId="30AA7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1246" w:type="pct"/>
            <w:tcBorders>
              <w:tl2br w:val="nil"/>
              <w:tr2bl w:val="nil"/>
            </w:tcBorders>
            <w:vAlign w:val="center"/>
          </w:tcPr>
          <w:p w14:paraId="1824DCF5">
            <w:pPr>
              <w:pStyle w:val="19"/>
              <w:bidi w:val="0"/>
              <w:jc w:val="center"/>
            </w:pPr>
            <w:r>
              <w:t>10</w:t>
            </w:r>
          </w:p>
        </w:tc>
        <w:tc>
          <w:tcPr>
            <w:tcW w:w="936" w:type="pct"/>
            <w:tcBorders>
              <w:tl2br w:val="nil"/>
              <w:tr2bl w:val="nil"/>
            </w:tcBorders>
            <w:vAlign w:val="center"/>
          </w:tcPr>
          <w:p w14:paraId="3A2114E1">
            <w:pPr>
              <w:pStyle w:val="19"/>
              <w:bidi w:val="0"/>
              <w:jc w:val="center"/>
            </w:pPr>
            <w:r>
              <w:t>0.004669</w:t>
            </w:r>
          </w:p>
        </w:tc>
        <w:tc>
          <w:tcPr>
            <w:tcW w:w="939" w:type="pct"/>
            <w:gridSpan w:val="2"/>
            <w:tcBorders>
              <w:tl2br w:val="nil"/>
              <w:tr2bl w:val="nil"/>
            </w:tcBorders>
            <w:vAlign w:val="center"/>
          </w:tcPr>
          <w:p w14:paraId="3441BDDD">
            <w:pPr>
              <w:pStyle w:val="19"/>
              <w:bidi w:val="0"/>
              <w:jc w:val="center"/>
            </w:pPr>
            <w:r>
              <w:t>2.33450E-003</w:t>
            </w:r>
          </w:p>
        </w:tc>
        <w:tc>
          <w:tcPr>
            <w:tcW w:w="936" w:type="pct"/>
            <w:tcBorders>
              <w:tl2br w:val="nil"/>
              <w:tr2bl w:val="nil"/>
            </w:tcBorders>
            <w:vAlign w:val="center"/>
          </w:tcPr>
          <w:p w14:paraId="5A17E4BF">
            <w:pPr>
              <w:pStyle w:val="19"/>
              <w:bidi w:val="0"/>
              <w:jc w:val="center"/>
            </w:pPr>
            <w:r>
              <w:t>0.0004669</w:t>
            </w:r>
          </w:p>
        </w:tc>
        <w:tc>
          <w:tcPr>
            <w:tcW w:w="940" w:type="pct"/>
            <w:tcBorders>
              <w:tl2br w:val="nil"/>
              <w:tr2bl w:val="nil"/>
            </w:tcBorders>
            <w:vAlign w:val="center"/>
          </w:tcPr>
          <w:p w14:paraId="3334371E">
            <w:pPr>
              <w:pStyle w:val="19"/>
              <w:bidi w:val="0"/>
              <w:jc w:val="center"/>
            </w:pPr>
            <w:r>
              <w:t>4.66900E-003</w:t>
            </w:r>
          </w:p>
        </w:tc>
      </w:tr>
      <w:tr w14:paraId="3C9E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041E64C0">
            <w:pPr>
              <w:pStyle w:val="19"/>
              <w:bidi w:val="0"/>
              <w:jc w:val="center"/>
            </w:pPr>
            <w:r>
              <w:t>100</w:t>
            </w:r>
          </w:p>
        </w:tc>
        <w:tc>
          <w:tcPr>
            <w:tcW w:w="936" w:type="pct"/>
            <w:tcBorders>
              <w:tl2br w:val="nil"/>
              <w:tr2bl w:val="nil"/>
            </w:tcBorders>
            <w:vAlign w:val="center"/>
          </w:tcPr>
          <w:p w14:paraId="1476BEB7">
            <w:pPr>
              <w:pStyle w:val="19"/>
              <w:bidi w:val="0"/>
              <w:jc w:val="center"/>
            </w:pPr>
            <w:r>
              <w:t>0.52502</w:t>
            </w:r>
          </w:p>
        </w:tc>
        <w:tc>
          <w:tcPr>
            <w:tcW w:w="939" w:type="pct"/>
            <w:gridSpan w:val="2"/>
            <w:tcBorders>
              <w:tl2br w:val="nil"/>
              <w:tr2bl w:val="nil"/>
            </w:tcBorders>
            <w:vAlign w:val="center"/>
          </w:tcPr>
          <w:p w14:paraId="41C4CA78">
            <w:pPr>
              <w:pStyle w:val="19"/>
              <w:bidi w:val="0"/>
              <w:jc w:val="center"/>
            </w:pPr>
            <w:r>
              <w:t>2.62510E-001</w:t>
            </w:r>
          </w:p>
        </w:tc>
        <w:tc>
          <w:tcPr>
            <w:tcW w:w="936" w:type="pct"/>
            <w:tcBorders>
              <w:tl2br w:val="nil"/>
              <w:tr2bl w:val="nil"/>
            </w:tcBorders>
            <w:vAlign w:val="center"/>
          </w:tcPr>
          <w:p w14:paraId="48C35EE3">
            <w:pPr>
              <w:pStyle w:val="19"/>
              <w:bidi w:val="0"/>
              <w:jc w:val="center"/>
            </w:pPr>
            <w:r>
              <w:t>0.052502</w:t>
            </w:r>
          </w:p>
        </w:tc>
        <w:tc>
          <w:tcPr>
            <w:tcW w:w="940" w:type="pct"/>
            <w:tcBorders>
              <w:tl2br w:val="nil"/>
              <w:tr2bl w:val="nil"/>
            </w:tcBorders>
            <w:vAlign w:val="center"/>
          </w:tcPr>
          <w:p w14:paraId="6F1EBDEF">
            <w:pPr>
              <w:pStyle w:val="19"/>
              <w:bidi w:val="0"/>
              <w:jc w:val="center"/>
            </w:pPr>
            <w:r>
              <w:t>5.25020E-001</w:t>
            </w:r>
          </w:p>
        </w:tc>
      </w:tr>
      <w:tr w14:paraId="0C1C1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1246" w:type="pct"/>
            <w:tcBorders>
              <w:tl2br w:val="nil"/>
              <w:tr2bl w:val="nil"/>
            </w:tcBorders>
            <w:vAlign w:val="center"/>
          </w:tcPr>
          <w:p w14:paraId="0D6455DC">
            <w:pPr>
              <w:pStyle w:val="19"/>
              <w:bidi w:val="0"/>
              <w:jc w:val="center"/>
            </w:pPr>
            <w:r>
              <w:t>178</w:t>
            </w:r>
          </w:p>
        </w:tc>
        <w:tc>
          <w:tcPr>
            <w:tcW w:w="936" w:type="pct"/>
            <w:tcBorders>
              <w:tl2br w:val="nil"/>
              <w:tr2bl w:val="nil"/>
            </w:tcBorders>
            <w:vAlign w:val="center"/>
          </w:tcPr>
          <w:p w14:paraId="0BC3326E">
            <w:pPr>
              <w:pStyle w:val="19"/>
              <w:bidi w:val="0"/>
              <w:jc w:val="center"/>
            </w:pPr>
            <w:r>
              <w:t>7.829</w:t>
            </w:r>
          </w:p>
        </w:tc>
        <w:tc>
          <w:tcPr>
            <w:tcW w:w="939" w:type="pct"/>
            <w:gridSpan w:val="2"/>
            <w:tcBorders>
              <w:tl2br w:val="nil"/>
              <w:tr2bl w:val="nil"/>
            </w:tcBorders>
            <w:vAlign w:val="center"/>
          </w:tcPr>
          <w:p w14:paraId="72E0DC22">
            <w:pPr>
              <w:pStyle w:val="19"/>
              <w:bidi w:val="0"/>
              <w:jc w:val="center"/>
            </w:pPr>
            <w:r>
              <w:t>3.91450E+000</w:t>
            </w:r>
          </w:p>
        </w:tc>
        <w:tc>
          <w:tcPr>
            <w:tcW w:w="936" w:type="pct"/>
            <w:tcBorders>
              <w:tl2br w:val="nil"/>
              <w:tr2bl w:val="nil"/>
            </w:tcBorders>
            <w:vAlign w:val="center"/>
          </w:tcPr>
          <w:p w14:paraId="6980A848">
            <w:pPr>
              <w:pStyle w:val="19"/>
              <w:bidi w:val="0"/>
              <w:jc w:val="center"/>
            </w:pPr>
            <w:r>
              <w:t>0.7829</w:t>
            </w:r>
          </w:p>
        </w:tc>
        <w:tc>
          <w:tcPr>
            <w:tcW w:w="940" w:type="pct"/>
            <w:tcBorders>
              <w:tl2br w:val="nil"/>
              <w:tr2bl w:val="nil"/>
            </w:tcBorders>
            <w:vAlign w:val="center"/>
          </w:tcPr>
          <w:p w14:paraId="7712039E">
            <w:pPr>
              <w:pStyle w:val="19"/>
              <w:bidi w:val="0"/>
              <w:jc w:val="center"/>
            </w:pPr>
            <w:r>
              <w:t>7.82900E+000</w:t>
            </w:r>
          </w:p>
        </w:tc>
      </w:tr>
      <w:tr w14:paraId="341E1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1246" w:type="pct"/>
            <w:tcBorders>
              <w:tl2br w:val="nil"/>
              <w:tr2bl w:val="nil"/>
            </w:tcBorders>
            <w:vAlign w:val="center"/>
          </w:tcPr>
          <w:p w14:paraId="57D28C5F">
            <w:pPr>
              <w:pStyle w:val="19"/>
              <w:bidi w:val="0"/>
              <w:jc w:val="center"/>
            </w:pPr>
            <w:r>
              <w:t>200</w:t>
            </w:r>
          </w:p>
        </w:tc>
        <w:tc>
          <w:tcPr>
            <w:tcW w:w="936" w:type="pct"/>
            <w:tcBorders>
              <w:tl2br w:val="nil"/>
              <w:tr2bl w:val="nil"/>
            </w:tcBorders>
            <w:vAlign w:val="center"/>
          </w:tcPr>
          <w:p w14:paraId="7F745CED">
            <w:pPr>
              <w:pStyle w:val="19"/>
              <w:bidi w:val="0"/>
              <w:jc w:val="center"/>
            </w:pPr>
            <w:r>
              <w:t>5.9249</w:t>
            </w:r>
          </w:p>
        </w:tc>
        <w:tc>
          <w:tcPr>
            <w:tcW w:w="939" w:type="pct"/>
            <w:gridSpan w:val="2"/>
            <w:tcBorders>
              <w:tl2br w:val="nil"/>
              <w:tr2bl w:val="nil"/>
            </w:tcBorders>
            <w:vAlign w:val="center"/>
          </w:tcPr>
          <w:p w14:paraId="29364EC9">
            <w:pPr>
              <w:pStyle w:val="19"/>
              <w:bidi w:val="0"/>
              <w:jc w:val="center"/>
            </w:pPr>
            <w:r>
              <w:t>2.96245E+000</w:t>
            </w:r>
          </w:p>
        </w:tc>
        <w:tc>
          <w:tcPr>
            <w:tcW w:w="936" w:type="pct"/>
            <w:tcBorders>
              <w:tl2br w:val="nil"/>
              <w:tr2bl w:val="nil"/>
            </w:tcBorders>
            <w:vAlign w:val="center"/>
          </w:tcPr>
          <w:p w14:paraId="486BFFF2">
            <w:pPr>
              <w:pStyle w:val="19"/>
              <w:bidi w:val="0"/>
              <w:jc w:val="center"/>
            </w:pPr>
            <w:r>
              <w:t>0.59249</w:t>
            </w:r>
          </w:p>
        </w:tc>
        <w:tc>
          <w:tcPr>
            <w:tcW w:w="940" w:type="pct"/>
            <w:tcBorders>
              <w:tl2br w:val="nil"/>
              <w:tr2bl w:val="nil"/>
            </w:tcBorders>
            <w:vAlign w:val="center"/>
          </w:tcPr>
          <w:p w14:paraId="6828A78E">
            <w:pPr>
              <w:pStyle w:val="19"/>
              <w:bidi w:val="0"/>
              <w:jc w:val="center"/>
            </w:pPr>
            <w:r>
              <w:t>5.92490E+000</w:t>
            </w:r>
          </w:p>
        </w:tc>
      </w:tr>
      <w:tr w14:paraId="43A67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7FE5F2C4">
            <w:pPr>
              <w:pStyle w:val="19"/>
              <w:bidi w:val="0"/>
              <w:jc w:val="center"/>
            </w:pPr>
            <w:r>
              <w:t>300</w:t>
            </w:r>
          </w:p>
        </w:tc>
        <w:tc>
          <w:tcPr>
            <w:tcW w:w="936" w:type="pct"/>
            <w:tcBorders>
              <w:tl2br w:val="nil"/>
              <w:tr2bl w:val="nil"/>
            </w:tcBorders>
            <w:vAlign w:val="center"/>
          </w:tcPr>
          <w:p w14:paraId="767BBFE7">
            <w:pPr>
              <w:pStyle w:val="19"/>
              <w:bidi w:val="0"/>
              <w:jc w:val="center"/>
            </w:pPr>
            <w:r>
              <w:t>4.0469</w:t>
            </w:r>
          </w:p>
        </w:tc>
        <w:tc>
          <w:tcPr>
            <w:tcW w:w="939" w:type="pct"/>
            <w:gridSpan w:val="2"/>
            <w:tcBorders>
              <w:tl2br w:val="nil"/>
              <w:tr2bl w:val="nil"/>
            </w:tcBorders>
            <w:vAlign w:val="center"/>
          </w:tcPr>
          <w:p w14:paraId="29FF226B">
            <w:pPr>
              <w:pStyle w:val="19"/>
              <w:bidi w:val="0"/>
              <w:jc w:val="center"/>
            </w:pPr>
            <w:r>
              <w:t>2.02345E+000</w:t>
            </w:r>
          </w:p>
        </w:tc>
        <w:tc>
          <w:tcPr>
            <w:tcW w:w="936" w:type="pct"/>
            <w:tcBorders>
              <w:tl2br w:val="nil"/>
              <w:tr2bl w:val="nil"/>
            </w:tcBorders>
            <w:vAlign w:val="center"/>
          </w:tcPr>
          <w:p w14:paraId="7A4DD0DD">
            <w:pPr>
              <w:pStyle w:val="19"/>
              <w:bidi w:val="0"/>
              <w:jc w:val="center"/>
            </w:pPr>
            <w:r>
              <w:t>0.40469</w:t>
            </w:r>
          </w:p>
        </w:tc>
        <w:tc>
          <w:tcPr>
            <w:tcW w:w="940" w:type="pct"/>
            <w:tcBorders>
              <w:tl2br w:val="nil"/>
              <w:tr2bl w:val="nil"/>
            </w:tcBorders>
            <w:vAlign w:val="center"/>
          </w:tcPr>
          <w:p w14:paraId="49633CCF">
            <w:pPr>
              <w:pStyle w:val="19"/>
              <w:bidi w:val="0"/>
              <w:jc w:val="center"/>
            </w:pPr>
            <w:r>
              <w:t>4.04690E+000</w:t>
            </w:r>
          </w:p>
        </w:tc>
      </w:tr>
      <w:tr w14:paraId="08689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1246" w:type="pct"/>
            <w:tcBorders>
              <w:tl2br w:val="nil"/>
              <w:tr2bl w:val="nil"/>
            </w:tcBorders>
            <w:vAlign w:val="center"/>
          </w:tcPr>
          <w:p w14:paraId="26E4D0EA">
            <w:pPr>
              <w:pStyle w:val="19"/>
              <w:bidi w:val="0"/>
              <w:jc w:val="center"/>
            </w:pPr>
            <w:r>
              <w:t>400</w:t>
            </w:r>
          </w:p>
        </w:tc>
        <w:tc>
          <w:tcPr>
            <w:tcW w:w="936" w:type="pct"/>
            <w:tcBorders>
              <w:tl2br w:val="nil"/>
              <w:tr2bl w:val="nil"/>
            </w:tcBorders>
            <w:vAlign w:val="center"/>
          </w:tcPr>
          <w:p w14:paraId="751221DF">
            <w:pPr>
              <w:pStyle w:val="19"/>
              <w:bidi w:val="0"/>
              <w:jc w:val="center"/>
            </w:pPr>
            <w:r>
              <w:t>0.78427</w:t>
            </w:r>
          </w:p>
        </w:tc>
        <w:tc>
          <w:tcPr>
            <w:tcW w:w="939" w:type="pct"/>
            <w:gridSpan w:val="2"/>
            <w:tcBorders>
              <w:tl2br w:val="nil"/>
              <w:tr2bl w:val="nil"/>
            </w:tcBorders>
            <w:vAlign w:val="center"/>
          </w:tcPr>
          <w:p w14:paraId="2BA625D6">
            <w:pPr>
              <w:pStyle w:val="19"/>
              <w:bidi w:val="0"/>
              <w:jc w:val="center"/>
            </w:pPr>
            <w:r>
              <w:t>3.92135E-001</w:t>
            </w:r>
          </w:p>
        </w:tc>
        <w:tc>
          <w:tcPr>
            <w:tcW w:w="936" w:type="pct"/>
            <w:tcBorders>
              <w:tl2br w:val="nil"/>
              <w:tr2bl w:val="nil"/>
            </w:tcBorders>
            <w:vAlign w:val="center"/>
          </w:tcPr>
          <w:p w14:paraId="1A98ED25">
            <w:pPr>
              <w:pStyle w:val="19"/>
              <w:bidi w:val="0"/>
              <w:jc w:val="center"/>
            </w:pPr>
            <w:r>
              <w:t>0.078427</w:t>
            </w:r>
          </w:p>
        </w:tc>
        <w:tc>
          <w:tcPr>
            <w:tcW w:w="940" w:type="pct"/>
            <w:tcBorders>
              <w:tl2br w:val="nil"/>
              <w:tr2bl w:val="nil"/>
            </w:tcBorders>
            <w:vAlign w:val="center"/>
          </w:tcPr>
          <w:p w14:paraId="63EB18F2">
            <w:pPr>
              <w:pStyle w:val="19"/>
              <w:bidi w:val="0"/>
              <w:jc w:val="center"/>
            </w:pPr>
            <w:r>
              <w:t>7.84270E-001</w:t>
            </w:r>
          </w:p>
        </w:tc>
      </w:tr>
      <w:tr w14:paraId="38733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25B02EB4">
            <w:pPr>
              <w:pStyle w:val="19"/>
              <w:bidi w:val="0"/>
              <w:jc w:val="center"/>
            </w:pPr>
            <w:r>
              <w:t>500</w:t>
            </w:r>
          </w:p>
        </w:tc>
        <w:tc>
          <w:tcPr>
            <w:tcW w:w="936" w:type="pct"/>
            <w:tcBorders>
              <w:tl2br w:val="nil"/>
              <w:tr2bl w:val="nil"/>
            </w:tcBorders>
            <w:vAlign w:val="center"/>
          </w:tcPr>
          <w:p w14:paraId="06D3D402">
            <w:pPr>
              <w:pStyle w:val="19"/>
              <w:bidi w:val="0"/>
              <w:jc w:val="center"/>
            </w:pPr>
            <w:r>
              <w:t>3.4835</w:t>
            </w:r>
          </w:p>
        </w:tc>
        <w:tc>
          <w:tcPr>
            <w:tcW w:w="939" w:type="pct"/>
            <w:gridSpan w:val="2"/>
            <w:tcBorders>
              <w:tl2br w:val="nil"/>
              <w:tr2bl w:val="nil"/>
            </w:tcBorders>
            <w:vAlign w:val="center"/>
          </w:tcPr>
          <w:p w14:paraId="5E7CE52A">
            <w:pPr>
              <w:pStyle w:val="19"/>
              <w:bidi w:val="0"/>
              <w:jc w:val="center"/>
            </w:pPr>
            <w:r>
              <w:t>1.74175E+000</w:t>
            </w:r>
          </w:p>
        </w:tc>
        <w:tc>
          <w:tcPr>
            <w:tcW w:w="936" w:type="pct"/>
            <w:tcBorders>
              <w:tl2br w:val="nil"/>
              <w:tr2bl w:val="nil"/>
            </w:tcBorders>
            <w:vAlign w:val="center"/>
          </w:tcPr>
          <w:p w14:paraId="62A192CF">
            <w:pPr>
              <w:pStyle w:val="19"/>
              <w:bidi w:val="0"/>
              <w:jc w:val="center"/>
            </w:pPr>
            <w:r>
              <w:t>0.34835</w:t>
            </w:r>
          </w:p>
        </w:tc>
        <w:tc>
          <w:tcPr>
            <w:tcW w:w="940" w:type="pct"/>
            <w:tcBorders>
              <w:tl2br w:val="nil"/>
              <w:tr2bl w:val="nil"/>
            </w:tcBorders>
            <w:vAlign w:val="center"/>
          </w:tcPr>
          <w:p w14:paraId="4A04385E">
            <w:pPr>
              <w:pStyle w:val="19"/>
              <w:bidi w:val="0"/>
              <w:jc w:val="center"/>
            </w:pPr>
            <w:r>
              <w:t>3.48350E+000</w:t>
            </w:r>
          </w:p>
        </w:tc>
      </w:tr>
      <w:tr w14:paraId="5AF00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1246" w:type="pct"/>
            <w:tcBorders>
              <w:tl2br w:val="nil"/>
              <w:tr2bl w:val="nil"/>
            </w:tcBorders>
            <w:vAlign w:val="center"/>
          </w:tcPr>
          <w:p w14:paraId="397FFFB9">
            <w:pPr>
              <w:pStyle w:val="19"/>
              <w:bidi w:val="0"/>
              <w:jc w:val="center"/>
            </w:pPr>
            <w:r>
              <w:t>600</w:t>
            </w:r>
          </w:p>
        </w:tc>
        <w:tc>
          <w:tcPr>
            <w:tcW w:w="936" w:type="pct"/>
            <w:tcBorders>
              <w:tl2br w:val="nil"/>
              <w:tr2bl w:val="nil"/>
            </w:tcBorders>
            <w:vAlign w:val="center"/>
          </w:tcPr>
          <w:p w14:paraId="2DAD9933">
            <w:pPr>
              <w:pStyle w:val="19"/>
              <w:bidi w:val="0"/>
              <w:jc w:val="center"/>
            </w:pPr>
            <w:r>
              <w:t>2.5019</w:t>
            </w:r>
          </w:p>
        </w:tc>
        <w:tc>
          <w:tcPr>
            <w:tcW w:w="939" w:type="pct"/>
            <w:gridSpan w:val="2"/>
            <w:tcBorders>
              <w:tl2br w:val="nil"/>
              <w:tr2bl w:val="nil"/>
            </w:tcBorders>
            <w:vAlign w:val="center"/>
          </w:tcPr>
          <w:p w14:paraId="54263B8C">
            <w:pPr>
              <w:pStyle w:val="19"/>
              <w:bidi w:val="0"/>
              <w:jc w:val="center"/>
            </w:pPr>
            <w:r>
              <w:t>1.25095E+000</w:t>
            </w:r>
          </w:p>
        </w:tc>
        <w:tc>
          <w:tcPr>
            <w:tcW w:w="936" w:type="pct"/>
            <w:tcBorders>
              <w:tl2br w:val="nil"/>
              <w:tr2bl w:val="nil"/>
            </w:tcBorders>
            <w:vAlign w:val="center"/>
          </w:tcPr>
          <w:p w14:paraId="0B837475">
            <w:pPr>
              <w:pStyle w:val="19"/>
              <w:bidi w:val="0"/>
              <w:jc w:val="center"/>
            </w:pPr>
            <w:r>
              <w:t>0.25019</w:t>
            </w:r>
          </w:p>
        </w:tc>
        <w:tc>
          <w:tcPr>
            <w:tcW w:w="940" w:type="pct"/>
            <w:tcBorders>
              <w:tl2br w:val="nil"/>
              <w:tr2bl w:val="nil"/>
            </w:tcBorders>
            <w:vAlign w:val="center"/>
          </w:tcPr>
          <w:p w14:paraId="4BA958F1">
            <w:pPr>
              <w:pStyle w:val="19"/>
              <w:bidi w:val="0"/>
              <w:jc w:val="center"/>
            </w:pPr>
            <w:r>
              <w:t>2.50190E+000</w:t>
            </w:r>
          </w:p>
        </w:tc>
      </w:tr>
      <w:tr w14:paraId="77FEE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0C2F3722">
            <w:pPr>
              <w:pStyle w:val="19"/>
              <w:bidi w:val="0"/>
              <w:jc w:val="center"/>
            </w:pPr>
            <w:r>
              <w:t>700</w:t>
            </w:r>
          </w:p>
        </w:tc>
        <w:tc>
          <w:tcPr>
            <w:tcW w:w="936" w:type="pct"/>
            <w:tcBorders>
              <w:tl2br w:val="nil"/>
              <w:tr2bl w:val="nil"/>
            </w:tcBorders>
            <w:vAlign w:val="center"/>
          </w:tcPr>
          <w:p w14:paraId="22DA3049">
            <w:pPr>
              <w:pStyle w:val="19"/>
              <w:bidi w:val="0"/>
              <w:jc w:val="center"/>
            </w:pPr>
            <w:r>
              <w:t>1.7333</w:t>
            </w:r>
          </w:p>
        </w:tc>
        <w:tc>
          <w:tcPr>
            <w:tcW w:w="939" w:type="pct"/>
            <w:gridSpan w:val="2"/>
            <w:tcBorders>
              <w:tl2br w:val="nil"/>
              <w:tr2bl w:val="nil"/>
            </w:tcBorders>
            <w:vAlign w:val="center"/>
          </w:tcPr>
          <w:p w14:paraId="54377542">
            <w:pPr>
              <w:pStyle w:val="19"/>
              <w:bidi w:val="0"/>
              <w:jc w:val="center"/>
            </w:pPr>
            <w:r>
              <w:t>8.66650E-001</w:t>
            </w:r>
          </w:p>
        </w:tc>
        <w:tc>
          <w:tcPr>
            <w:tcW w:w="936" w:type="pct"/>
            <w:tcBorders>
              <w:tl2br w:val="nil"/>
              <w:tr2bl w:val="nil"/>
            </w:tcBorders>
            <w:vAlign w:val="center"/>
          </w:tcPr>
          <w:p w14:paraId="389ECA30">
            <w:pPr>
              <w:pStyle w:val="19"/>
              <w:bidi w:val="0"/>
              <w:jc w:val="center"/>
            </w:pPr>
            <w:r>
              <w:t>0.17333</w:t>
            </w:r>
          </w:p>
        </w:tc>
        <w:tc>
          <w:tcPr>
            <w:tcW w:w="940" w:type="pct"/>
            <w:tcBorders>
              <w:tl2br w:val="nil"/>
              <w:tr2bl w:val="nil"/>
            </w:tcBorders>
            <w:vAlign w:val="center"/>
          </w:tcPr>
          <w:p w14:paraId="7A6B76C6">
            <w:pPr>
              <w:pStyle w:val="19"/>
              <w:bidi w:val="0"/>
              <w:jc w:val="center"/>
            </w:pPr>
            <w:r>
              <w:t>1.73330E+000</w:t>
            </w:r>
          </w:p>
        </w:tc>
      </w:tr>
      <w:tr w14:paraId="61A90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1246" w:type="pct"/>
            <w:tcBorders>
              <w:tl2br w:val="nil"/>
              <w:tr2bl w:val="nil"/>
            </w:tcBorders>
            <w:vAlign w:val="center"/>
          </w:tcPr>
          <w:p w14:paraId="3C5C5026">
            <w:pPr>
              <w:pStyle w:val="19"/>
              <w:bidi w:val="0"/>
              <w:jc w:val="center"/>
            </w:pPr>
            <w:r>
              <w:t>800</w:t>
            </w:r>
          </w:p>
        </w:tc>
        <w:tc>
          <w:tcPr>
            <w:tcW w:w="936" w:type="pct"/>
            <w:tcBorders>
              <w:tl2br w:val="nil"/>
              <w:tr2bl w:val="nil"/>
            </w:tcBorders>
            <w:vAlign w:val="center"/>
          </w:tcPr>
          <w:p w14:paraId="522FCE6C">
            <w:pPr>
              <w:pStyle w:val="19"/>
              <w:bidi w:val="0"/>
              <w:jc w:val="center"/>
            </w:pPr>
            <w:r>
              <w:t>0.38971</w:t>
            </w:r>
          </w:p>
        </w:tc>
        <w:tc>
          <w:tcPr>
            <w:tcW w:w="939" w:type="pct"/>
            <w:gridSpan w:val="2"/>
            <w:tcBorders>
              <w:tl2br w:val="nil"/>
              <w:tr2bl w:val="nil"/>
            </w:tcBorders>
            <w:vAlign w:val="center"/>
          </w:tcPr>
          <w:p w14:paraId="170D1057">
            <w:pPr>
              <w:pStyle w:val="19"/>
              <w:bidi w:val="0"/>
              <w:jc w:val="center"/>
            </w:pPr>
            <w:r>
              <w:t>1.94855E-001</w:t>
            </w:r>
          </w:p>
        </w:tc>
        <w:tc>
          <w:tcPr>
            <w:tcW w:w="936" w:type="pct"/>
            <w:tcBorders>
              <w:tl2br w:val="nil"/>
              <w:tr2bl w:val="nil"/>
            </w:tcBorders>
            <w:vAlign w:val="center"/>
          </w:tcPr>
          <w:p w14:paraId="6BEFEA83">
            <w:pPr>
              <w:pStyle w:val="19"/>
              <w:bidi w:val="0"/>
              <w:jc w:val="center"/>
            </w:pPr>
            <w:r>
              <w:t>0.038971</w:t>
            </w:r>
          </w:p>
        </w:tc>
        <w:tc>
          <w:tcPr>
            <w:tcW w:w="940" w:type="pct"/>
            <w:tcBorders>
              <w:tl2br w:val="nil"/>
              <w:tr2bl w:val="nil"/>
            </w:tcBorders>
            <w:vAlign w:val="center"/>
          </w:tcPr>
          <w:p w14:paraId="63FCAF1F">
            <w:pPr>
              <w:pStyle w:val="19"/>
              <w:bidi w:val="0"/>
              <w:jc w:val="center"/>
            </w:pPr>
            <w:r>
              <w:t>3.89710E-001</w:t>
            </w:r>
          </w:p>
        </w:tc>
      </w:tr>
      <w:tr w14:paraId="44C74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61A7479E">
            <w:pPr>
              <w:pStyle w:val="19"/>
              <w:bidi w:val="0"/>
              <w:jc w:val="center"/>
            </w:pPr>
            <w:r>
              <w:t>900</w:t>
            </w:r>
          </w:p>
        </w:tc>
        <w:tc>
          <w:tcPr>
            <w:tcW w:w="936" w:type="pct"/>
            <w:tcBorders>
              <w:tl2br w:val="nil"/>
              <w:tr2bl w:val="nil"/>
            </w:tcBorders>
            <w:vAlign w:val="center"/>
          </w:tcPr>
          <w:p w14:paraId="783384BC">
            <w:pPr>
              <w:pStyle w:val="19"/>
              <w:bidi w:val="0"/>
              <w:jc w:val="center"/>
            </w:pPr>
            <w:r>
              <w:t>1.2803</w:t>
            </w:r>
          </w:p>
        </w:tc>
        <w:tc>
          <w:tcPr>
            <w:tcW w:w="939" w:type="pct"/>
            <w:gridSpan w:val="2"/>
            <w:tcBorders>
              <w:tl2br w:val="nil"/>
              <w:tr2bl w:val="nil"/>
            </w:tcBorders>
            <w:vAlign w:val="center"/>
          </w:tcPr>
          <w:p w14:paraId="619C1690">
            <w:pPr>
              <w:pStyle w:val="19"/>
              <w:bidi w:val="0"/>
              <w:jc w:val="center"/>
            </w:pPr>
            <w:r>
              <w:t>6.40150E-001</w:t>
            </w:r>
          </w:p>
        </w:tc>
        <w:tc>
          <w:tcPr>
            <w:tcW w:w="936" w:type="pct"/>
            <w:tcBorders>
              <w:tl2br w:val="nil"/>
              <w:tr2bl w:val="nil"/>
            </w:tcBorders>
            <w:vAlign w:val="center"/>
          </w:tcPr>
          <w:p w14:paraId="3C696785">
            <w:pPr>
              <w:pStyle w:val="19"/>
              <w:bidi w:val="0"/>
              <w:jc w:val="center"/>
            </w:pPr>
            <w:r>
              <w:t>0.12803</w:t>
            </w:r>
          </w:p>
        </w:tc>
        <w:tc>
          <w:tcPr>
            <w:tcW w:w="940" w:type="pct"/>
            <w:tcBorders>
              <w:tl2br w:val="nil"/>
              <w:tr2bl w:val="nil"/>
            </w:tcBorders>
            <w:vAlign w:val="center"/>
          </w:tcPr>
          <w:p w14:paraId="36F61FC1">
            <w:pPr>
              <w:pStyle w:val="19"/>
              <w:bidi w:val="0"/>
              <w:jc w:val="center"/>
            </w:pPr>
            <w:r>
              <w:t>1.28030E+000</w:t>
            </w:r>
          </w:p>
        </w:tc>
      </w:tr>
      <w:tr w14:paraId="54C21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24655FE1">
            <w:pPr>
              <w:pStyle w:val="19"/>
              <w:bidi w:val="0"/>
              <w:jc w:val="center"/>
            </w:pPr>
            <w:r>
              <w:t>1000</w:t>
            </w:r>
          </w:p>
        </w:tc>
        <w:tc>
          <w:tcPr>
            <w:tcW w:w="936" w:type="pct"/>
            <w:tcBorders>
              <w:tl2br w:val="nil"/>
              <w:tr2bl w:val="nil"/>
            </w:tcBorders>
            <w:vAlign w:val="center"/>
          </w:tcPr>
          <w:p w14:paraId="6CECA000">
            <w:pPr>
              <w:pStyle w:val="19"/>
              <w:bidi w:val="0"/>
              <w:jc w:val="center"/>
            </w:pPr>
            <w:r>
              <w:t>1.0121</w:t>
            </w:r>
          </w:p>
        </w:tc>
        <w:tc>
          <w:tcPr>
            <w:tcW w:w="939" w:type="pct"/>
            <w:gridSpan w:val="2"/>
            <w:tcBorders>
              <w:tl2br w:val="nil"/>
              <w:tr2bl w:val="nil"/>
            </w:tcBorders>
            <w:vAlign w:val="center"/>
          </w:tcPr>
          <w:p w14:paraId="188AC475">
            <w:pPr>
              <w:pStyle w:val="19"/>
              <w:bidi w:val="0"/>
              <w:jc w:val="center"/>
            </w:pPr>
            <w:r>
              <w:t>5.06050E-001</w:t>
            </w:r>
          </w:p>
        </w:tc>
        <w:tc>
          <w:tcPr>
            <w:tcW w:w="936" w:type="pct"/>
            <w:tcBorders>
              <w:tl2br w:val="nil"/>
              <w:tr2bl w:val="nil"/>
            </w:tcBorders>
            <w:vAlign w:val="center"/>
          </w:tcPr>
          <w:p w14:paraId="5878C1FB">
            <w:pPr>
              <w:pStyle w:val="19"/>
              <w:bidi w:val="0"/>
              <w:jc w:val="center"/>
            </w:pPr>
            <w:r>
              <w:t>0.10121</w:t>
            </w:r>
          </w:p>
        </w:tc>
        <w:tc>
          <w:tcPr>
            <w:tcW w:w="940" w:type="pct"/>
            <w:tcBorders>
              <w:tl2br w:val="nil"/>
              <w:tr2bl w:val="nil"/>
            </w:tcBorders>
            <w:vAlign w:val="center"/>
          </w:tcPr>
          <w:p w14:paraId="31ED3D00">
            <w:pPr>
              <w:pStyle w:val="19"/>
              <w:bidi w:val="0"/>
              <w:jc w:val="center"/>
            </w:pPr>
            <w:r>
              <w:t>1.01210E+000</w:t>
            </w:r>
          </w:p>
        </w:tc>
      </w:tr>
      <w:tr w14:paraId="70150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0706ED2B">
            <w:pPr>
              <w:pStyle w:val="19"/>
              <w:bidi w:val="0"/>
              <w:jc w:val="center"/>
            </w:pPr>
            <w:r>
              <w:t>1200</w:t>
            </w:r>
          </w:p>
        </w:tc>
        <w:tc>
          <w:tcPr>
            <w:tcW w:w="936" w:type="pct"/>
            <w:tcBorders>
              <w:tl2br w:val="nil"/>
              <w:tr2bl w:val="nil"/>
            </w:tcBorders>
            <w:vAlign w:val="center"/>
          </w:tcPr>
          <w:p w14:paraId="3783F59E">
            <w:pPr>
              <w:pStyle w:val="19"/>
              <w:bidi w:val="0"/>
              <w:jc w:val="center"/>
            </w:pPr>
            <w:r>
              <w:t>0.79343</w:t>
            </w:r>
          </w:p>
        </w:tc>
        <w:tc>
          <w:tcPr>
            <w:tcW w:w="939" w:type="pct"/>
            <w:gridSpan w:val="2"/>
            <w:tcBorders>
              <w:tl2br w:val="nil"/>
              <w:tr2bl w:val="nil"/>
            </w:tcBorders>
            <w:vAlign w:val="center"/>
          </w:tcPr>
          <w:p w14:paraId="12046480">
            <w:pPr>
              <w:pStyle w:val="19"/>
              <w:bidi w:val="0"/>
              <w:jc w:val="center"/>
            </w:pPr>
            <w:r>
              <w:t>3.96715E-001</w:t>
            </w:r>
          </w:p>
        </w:tc>
        <w:tc>
          <w:tcPr>
            <w:tcW w:w="936" w:type="pct"/>
            <w:tcBorders>
              <w:tl2br w:val="nil"/>
              <w:tr2bl w:val="nil"/>
            </w:tcBorders>
            <w:vAlign w:val="center"/>
          </w:tcPr>
          <w:p w14:paraId="056AB5DD">
            <w:pPr>
              <w:pStyle w:val="19"/>
              <w:bidi w:val="0"/>
              <w:jc w:val="center"/>
            </w:pPr>
            <w:r>
              <w:t>0.079343</w:t>
            </w:r>
          </w:p>
        </w:tc>
        <w:tc>
          <w:tcPr>
            <w:tcW w:w="940" w:type="pct"/>
            <w:tcBorders>
              <w:tl2br w:val="nil"/>
              <w:tr2bl w:val="nil"/>
            </w:tcBorders>
            <w:vAlign w:val="center"/>
          </w:tcPr>
          <w:p w14:paraId="5ADB659D">
            <w:pPr>
              <w:pStyle w:val="19"/>
              <w:bidi w:val="0"/>
              <w:jc w:val="center"/>
            </w:pPr>
            <w:r>
              <w:t>7.93430E-001</w:t>
            </w:r>
          </w:p>
        </w:tc>
      </w:tr>
      <w:tr w14:paraId="20225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37ACBAEA">
            <w:pPr>
              <w:pStyle w:val="19"/>
              <w:bidi w:val="0"/>
              <w:jc w:val="center"/>
            </w:pPr>
            <w:r>
              <w:t>1400</w:t>
            </w:r>
          </w:p>
        </w:tc>
        <w:tc>
          <w:tcPr>
            <w:tcW w:w="936" w:type="pct"/>
            <w:tcBorders>
              <w:tl2br w:val="nil"/>
              <w:tr2bl w:val="nil"/>
            </w:tcBorders>
            <w:vAlign w:val="center"/>
          </w:tcPr>
          <w:p w14:paraId="15E4A936">
            <w:pPr>
              <w:pStyle w:val="19"/>
              <w:bidi w:val="0"/>
              <w:jc w:val="center"/>
            </w:pPr>
            <w:r>
              <w:t>0.63352</w:t>
            </w:r>
          </w:p>
        </w:tc>
        <w:tc>
          <w:tcPr>
            <w:tcW w:w="939" w:type="pct"/>
            <w:gridSpan w:val="2"/>
            <w:tcBorders>
              <w:tl2br w:val="nil"/>
              <w:tr2bl w:val="nil"/>
            </w:tcBorders>
            <w:vAlign w:val="center"/>
          </w:tcPr>
          <w:p w14:paraId="3B024F95">
            <w:pPr>
              <w:pStyle w:val="19"/>
              <w:bidi w:val="0"/>
              <w:jc w:val="center"/>
            </w:pPr>
            <w:r>
              <w:t>3. 16760E-001</w:t>
            </w:r>
          </w:p>
        </w:tc>
        <w:tc>
          <w:tcPr>
            <w:tcW w:w="936" w:type="pct"/>
            <w:tcBorders>
              <w:tl2br w:val="nil"/>
              <w:tr2bl w:val="nil"/>
            </w:tcBorders>
            <w:vAlign w:val="center"/>
          </w:tcPr>
          <w:p w14:paraId="0B22D2AE">
            <w:pPr>
              <w:pStyle w:val="19"/>
              <w:bidi w:val="0"/>
              <w:jc w:val="center"/>
            </w:pPr>
            <w:r>
              <w:t>0.063352</w:t>
            </w:r>
          </w:p>
        </w:tc>
        <w:tc>
          <w:tcPr>
            <w:tcW w:w="940" w:type="pct"/>
            <w:tcBorders>
              <w:tl2br w:val="nil"/>
              <w:tr2bl w:val="nil"/>
            </w:tcBorders>
            <w:vAlign w:val="center"/>
          </w:tcPr>
          <w:p w14:paraId="4ADE1F92">
            <w:pPr>
              <w:pStyle w:val="19"/>
              <w:bidi w:val="0"/>
              <w:jc w:val="center"/>
            </w:pPr>
            <w:r>
              <w:t>6.33520E-001</w:t>
            </w:r>
          </w:p>
        </w:tc>
      </w:tr>
      <w:tr w14:paraId="5C345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17089DAC">
            <w:pPr>
              <w:pStyle w:val="19"/>
              <w:bidi w:val="0"/>
              <w:jc w:val="center"/>
            </w:pPr>
            <w:r>
              <w:t>1600</w:t>
            </w:r>
          </w:p>
        </w:tc>
        <w:tc>
          <w:tcPr>
            <w:tcW w:w="936" w:type="pct"/>
            <w:tcBorders>
              <w:tl2br w:val="nil"/>
              <w:tr2bl w:val="nil"/>
            </w:tcBorders>
            <w:vAlign w:val="center"/>
          </w:tcPr>
          <w:p w14:paraId="2172BE74">
            <w:pPr>
              <w:pStyle w:val="19"/>
              <w:bidi w:val="0"/>
              <w:jc w:val="center"/>
            </w:pPr>
            <w:r>
              <w:t>0.35665</w:t>
            </w:r>
          </w:p>
        </w:tc>
        <w:tc>
          <w:tcPr>
            <w:tcW w:w="939" w:type="pct"/>
            <w:gridSpan w:val="2"/>
            <w:tcBorders>
              <w:tl2br w:val="nil"/>
              <w:tr2bl w:val="nil"/>
            </w:tcBorders>
            <w:vAlign w:val="center"/>
          </w:tcPr>
          <w:p w14:paraId="4103113A">
            <w:pPr>
              <w:pStyle w:val="19"/>
              <w:bidi w:val="0"/>
              <w:jc w:val="center"/>
            </w:pPr>
            <w:r>
              <w:t>1.78325E-001</w:t>
            </w:r>
          </w:p>
        </w:tc>
        <w:tc>
          <w:tcPr>
            <w:tcW w:w="936" w:type="pct"/>
            <w:tcBorders>
              <w:tl2br w:val="nil"/>
              <w:tr2bl w:val="nil"/>
            </w:tcBorders>
            <w:vAlign w:val="center"/>
          </w:tcPr>
          <w:p w14:paraId="53468939">
            <w:pPr>
              <w:pStyle w:val="19"/>
              <w:bidi w:val="0"/>
              <w:jc w:val="center"/>
            </w:pPr>
            <w:r>
              <w:t>0.035665</w:t>
            </w:r>
          </w:p>
        </w:tc>
        <w:tc>
          <w:tcPr>
            <w:tcW w:w="940" w:type="pct"/>
            <w:tcBorders>
              <w:tl2br w:val="nil"/>
              <w:tr2bl w:val="nil"/>
            </w:tcBorders>
            <w:vAlign w:val="center"/>
          </w:tcPr>
          <w:p w14:paraId="48214569">
            <w:pPr>
              <w:pStyle w:val="19"/>
              <w:bidi w:val="0"/>
              <w:jc w:val="center"/>
            </w:pPr>
            <w:r>
              <w:t>3.56650E-001</w:t>
            </w:r>
          </w:p>
        </w:tc>
      </w:tr>
      <w:tr w14:paraId="1F59E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11" w:hRule="atLeast"/>
        </w:trPr>
        <w:tc>
          <w:tcPr>
            <w:tcW w:w="1246" w:type="pct"/>
            <w:tcBorders>
              <w:tl2br w:val="nil"/>
              <w:tr2bl w:val="nil"/>
            </w:tcBorders>
            <w:vAlign w:val="center"/>
          </w:tcPr>
          <w:p w14:paraId="2A2F35C5">
            <w:pPr>
              <w:pStyle w:val="19"/>
              <w:bidi w:val="0"/>
              <w:jc w:val="center"/>
            </w:pPr>
            <w:r>
              <w:t>1800</w:t>
            </w:r>
          </w:p>
        </w:tc>
        <w:tc>
          <w:tcPr>
            <w:tcW w:w="936" w:type="pct"/>
            <w:tcBorders>
              <w:tl2br w:val="nil"/>
              <w:tr2bl w:val="nil"/>
            </w:tcBorders>
            <w:vAlign w:val="center"/>
          </w:tcPr>
          <w:p w14:paraId="16118E97">
            <w:pPr>
              <w:pStyle w:val="19"/>
              <w:bidi w:val="0"/>
              <w:jc w:val="center"/>
            </w:pPr>
            <w:r>
              <w:t>0.23833</w:t>
            </w:r>
          </w:p>
        </w:tc>
        <w:tc>
          <w:tcPr>
            <w:tcW w:w="939" w:type="pct"/>
            <w:gridSpan w:val="2"/>
            <w:tcBorders>
              <w:tl2br w:val="nil"/>
              <w:tr2bl w:val="nil"/>
            </w:tcBorders>
            <w:vAlign w:val="center"/>
          </w:tcPr>
          <w:p w14:paraId="2B4FC2AF">
            <w:pPr>
              <w:pStyle w:val="19"/>
              <w:bidi w:val="0"/>
              <w:jc w:val="center"/>
            </w:pPr>
            <w:r>
              <w:t>1. 19165E-001</w:t>
            </w:r>
          </w:p>
        </w:tc>
        <w:tc>
          <w:tcPr>
            <w:tcW w:w="936" w:type="pct"/>
            <w:tcBorders>
              <w:tl2br w:val="nil"/>
              <w:tr2bl w:val="nil"/>
            </w:tcBorders>
            <w:vAlign w:val="center"/>
          </w:tcPr>
          <w:p w14:paraId="638AD626">
            <w:pPr>
              <w:pStyle w:val="19"/>
              <w:bidi w:val="0"/>
              <w:jc w:val="center"/>
            </w:pPr>
            <w:r>
              <w:t>0.023833</w:t>
            </w:r>
          </w:p>
        </w:tc>
        <w:tc>
          <w:tcPr>
            <w:tcW w:w="940" w:type="pct"/>
            <w:tcBorders>
              <w:tl2br w:val="nil"/>
              <w:tr2bl w:val="nil"/>
            </w:tcBorders>
            <w:vAlign w:val="center"/>
          </w:tcPr>
          <w:p w14:paraId="42B5E1FD">
            <w:pPr>
              <w:pStyle w:val="19"/>
              <w:bidi w:val="0"/>
              <w:jc w:val="center"/>
            </w:pPr>
            <w:r>
              <w:t>2.38330E-001</w:t>
            </w:r>
          </w:p>
        </w:tc>
      </w:tr>
      <w:tr w14:paraId="6E01A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2" w:space="0"/>
          </w:tblBorders>
          <w:tblCellMar>
            <w:top w:w="0" w:type="dxa"/>
            <w:left w:w="0" w:type="dxa"/>
            <w:bottom w:w="0" w:type="dxa"/>
            <w:right w:w="0" w:type="dxa"/>
          </w:tblCellMar>
        </w:tblPrEx>
        <w:trPr>
          <w:trHeight w:val="335" w:hRule="atLeast"/>
        </w:trPr>
        <w:tc>
          <w:tcPr>
            <w:tcW w:w="1246" w:type="pct"/>
            <w:tcBorders>
              <w:tl2br w:val="nil"/>
              <w:tr2bl w:val="nil"/>
            </w:tcBorders>
            <w:vAlign w:val="center"/>
          </w:tcPr>
          <w:p w14:paraId="238743FF">
            <w:pPr>
              <w:pStyle w:val="19"/>
              <w:bidi w:val="0"/>
              <w:jc w:val="center"/>
            </w:pPr>
            <w:r>
              <w:t>2000</w:t>
            </w:r>
          </w:p>
        </w:tc>
        <w:tc>
          <w:tcPr>
            <w:tcW w:w="936" w:type="pct"/>
            <w:tcBorders>
              <w:tl2br w:val="nil"/>
              <w:tr2bl w:val="nil"/>
            </w:tcBorders>
            <w:vAlign w:val="center"/>
          </w:tcPr>
          <w:p w14:paraId="48F8B19C">
            <w:pPr>
              <w:pStyle w:val="19"/>
              <w:bidi w:val="0"/>
              <w:jc w:val="center"/>
            </w:pPr>
            <w:r>
              <w:t>0.5478</w:t>
            </w:r>
          </w:p>
        </w:tc>
        <w:tc>
          <w:tcPr>
            <w:tcW w:w="939" w:type="pct"/>
            <w:gridSpan w:val="2"/>
            <w:tcBorders>
              <w:tl2br w:val="nil"/>
              <w:tr2bl w:val="nil"/>
            </w:tcBorders>
            <w:vAlign w:val="center"/>
          </w:tcPr>
          <w:p w14:paraId="7F078DEF">
            <w:pPr>
              <w:pStyle w:val="19"/>
              <w:bidi w:val="0"/>
              <w:jc w:val="center"/>
            </w:pPr>
            <w:r>
              <w:t>2.73900E-001</w:t>
            </w:r>
          </w:p>
        </w:tc>
        <w:tc>
          <w:tcPr>
            <w:tcW w:w="936" w:type="pct"/>
            <w:tcBorders>
              <w:tl2br w:val="nil"/>
              <w:tr2bl w:val="nil"/>
            </w:tcBorders>
            <w:vAlign w:val="center"/>
          </w:tcPr>
          <w:p w14:paraId="1C865BE3">
            <w:pPr>
              <w:pStyle w:val="19"/>
              <w:bidi w:val="0"/>
              <w:jc w:val="center"/>
            </w:pPr>
            <w:r>
              <w:t>0.05478</w:t>
            </w:r>
          </w:p>
        </w:tc>
        <w:tc>
          <w:tcPr>
            <w:tcW w:w="940" w:type="pct"/>
            <w:tcBorders>
              <w:tl2br w:val="nil"/>
              <w:tr2bl w:val="nil"/>
            </w:tcBorders>
            <w:vAlign w:val="center"/>
          </w:tcPr>
          <w:p w14:paraId="56C73389">
            <w:pPr>
              <w:pStyle w:val="19"/>
              <w:bidi w:val="0"/>
              <w:jc w:val="center"/>
            </w:pPr>
            <w:r>
              <w:t>5.47800E-001</w:t>
            </w:r>
          </w:p>
        </w:tc>
      </w:tr>
      <w:tr w14:paraId="77434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45" w:type="pct"/>
            <w:tcBorders>
              <w:tl2br w:val="nil"/>
              <w:tr2bl w:val="nil"/>
            </w:tcBorders>
            <w:vAlign w:val="top"/>
          </w:tcPr>
          <w:p w14:paraId="3703EF1A">
            <w:pPr>
              <w:pStyle w:val="19"/>
              <w:bidi w:val="0"/>
            </w:pPr>
            <w:r>
              <w:t>2400</w:t>
            </w:r>
          </w:p>
        </w:tc>
        <w:tc>
          <w:tcPr>
            <w:tcW w:w="936" w:type="pct"/>
            <w:tcBorders>
              <w:tl2br w:val="nil"/>
              <w:tr2bl w:val="nil"/>
            </w:tcBorders>
            <w:vAlign w:val="top"/>
          </w:tcPr>
          <w:p w14:paraId="48106DEB">
            <w:pPr>
              <w:pStyle w:val="19"/>
              <w:bidi w:val="0"/>
            </w:pPr>
            <w:r>
              <w:t>0.2616</w:t>
            </w:r>
          </w:p>
        </w:tc>
        <w:tc>
          <w:tcPr>
            <w:tcW w:w="939" w:type="pct"/>
            <w:tcBorders>
              <w:tl2br w:val="nil"/>
              <w:tr2bl w:val="nil"/>
            </w:tcBorders>
            <w:vAlign w:val="top"/>
          </w:tcPr>
          <w:p w14:paraId="2504A6F2">
            <w:pPr>
              <w:pStyle w:val="19"/>
              <w:bidi w:val="0"/>
            </w:pPr>
            <w:r>
              <w:t>1.30800E-001</w:t>
            </w:r>
          </w:p>
        </w:tc>
        <w:tc>
          <w:tcPr>
            <w:tcW w:w="936" w:type="pct"/>
            <w:gridSpan w:val="2"/>
            <w:tcBorders>
              <w:tl2br w:val="nil"/>
              <w:tr2bl w:val="nil"/>
            </w:tcBorders>
            <w:vAlign w:val="top"/>
          </w:tcPr>
          <w:p w14:paraId="55A2E4D4">
            <w:pPr>
              <w:pStyle w:val="19"/>
              <w:bidi w:val="0"/>
            </w:pPr>
            <w:r>
              <w:t>0.02616</w:t>
            </w:r>
          </w:p>
        </w:tc>
        <w:tc>
          <w:tcPr>
            <w:tcW w:w="941" w:type="pct"/>
            <w:tcBorders>
              <w:tl2br w:val="nil"/>
              <w:tr2bl w:val="nil"/>
            </w:tcBorders>
            <w:vAlign w:val="top"/>
          </w:tcPr>
          <w:p w14:paraId="466807C1">
            <w:pPr>
              <w:pStyle w:val="19"/>
              <w:bidi w:val="0"/>
            </w:pPr>
            <w:r>
              <w:t>2.61600E-001</w:t>
            </w:r>
          </w:p>
        </w:tc>
      </w:tr>
      <w:tr w14:paraId="10956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245" w:type="pct"/>
            <w:tcBorders>
              <w:tl2br w:val="nil"/>
              <w:tr2bl w:val="nil"/>
            </w:tcBorders>
            <w:vAlign w:val="top"/>
          </w:tcPr>
          <w:p w14:paraId="281E8DBF">
            <w:pPr>
              <w:pStyle w:val="19"/>
              <w:bidi w:val="0"/>
            </w:pPr>
            <w:r>
              <w:t>2500</w:t>
            </w:r>
          </w:p>
        </w:tc>
        <w:tc>
          <w:tcPr>
            <w:tcW w:w="936" w:type="pct"/>
            <w:tcBorders>
              <w:tl2br w:val="nil"/>
              <w:tr2bl w:val="nil"/>
            </w:tcBorders>
            <w:vAlign w:val="top"/>
          </w:tcPr>
          <w:p w14:paraId="3B7188A4">
            <w:pPr>
              <w:pStyle w:val="19"/>
              <w:bidi w:val="0"/>
            </w:pPr>
            <w:r>
              <w:t>0.16079</w:t>
            </w:r>
          </w:p>
        </w:tc>
        <w:tc>
          <w:tcPr>
            <w:tcW w:w="939" w:type="pct"/>
            <w:tcBorders>
              <w:tl2br w:val="nil"/>
              <w:tr2bl w:val="nil"/>
            </w:tcBorders>
            <w:vAlign w:val="top"/>
          </w:tcPr>
          <w:p w14:paraId="72CD530A">
            <w:pPr>
              <w:pStyle w:val="19"/>
              <w:bidi w:val="0"/>
            </w:pPr>
            <w:r>
              <w:t>8.03950E-002</w:t>
            </w:r>
          </w:p>
        </w:tc>
        <w:tc>
          <w:tcPr>
            <w:tcW w:w="936" w:type="pct"/>
            <w:gridSpan w:val="2"/>
            <w:tcBorders>
              <w:tl2br w:val="nil"/>
              <w:tr2bl w:val="nil"/>
            </w:tcBorders>
            <w:vAlign w:val="top"/>
          </w:tcPr>
          <w:p w14:paraId="7F15DE7B">
            <w:pPr>
              <w:pStyle w:val="19"/>
              <w:bidi w:val="0"/>
            </w:pPr>
            <w:r>
              <w:t>0.016079</w:t>
            </w:r>
          </w:p>
        </w:tc>
        <w:tc>
          <w:tcPr>
            <w:tcW w:w="941" w:type="pct"/>
            <w:tcBorders>
              <w:tl2br w:val="nil"/>
              <w:tr2bl w:val="nil"/>
            </w:tcBorders>
            <w:vAlign w:val="top"/>
          </w:tcPr>
          <w:p w14:paraId="0E9FD621">
            <w:pPr>
              <w:pStyle w:val="19"/>
              <w:bidi w:val="0"/>
            </w:pPr>
            <w:r>
              <w:t>1.60790E-001</w:t>
            </w:r>
          </w:p>
        </w:tc>
      </w:tr>
      <w:tr w14:paraId="6B812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075" w:type="dxa"/>
            <w:tcBorders>
              <w:tl2br w:val="nil"/>
              <w:tr2bl w:val="nil"/>
            </w:tcBorders>
            <w:vAlign w:val="top"/>
          </w:tcPr>
          <w:p w14:paraId="329C4B86">
            <w:pPr>
              <w:pStyle w:val="19"/>
              <w:bidi w:val="0"/>
              <w:ind w:firstLine="0" w:firstLineChars="0"/>
            </w:pPr>
            <w:r>
              <w:rPr>
                <w:rFonts w:hint="eastAsia"/>
                <w:lang w:val="en-US" w:eastAsia="zh-CN"/>
              </w:rPr>
              <w:t>C</w:t>
            </w:r>
            <w:r>
              <w:rPr>
                <w:rFonts w:hint="eastAsia"/>
                <w:vertAlign w:val="subscript"/>
                <w:lang w:val="en-US" w:eastAsia="zh-CN"/>
              </w:rPr>
              <w:t>max】</w:t>
            </w:r>
            <w:r>
              <w:t>/</w:t>
            </w:r>
            <w:r>
              <w:rPr>
                <w:rFonts w:hint="eastAsia"/>
                <w:lang w:val="en-US" w:eastAsia="zh-CN"/>
              </w:rPr>
              <w:t>P</w:t>
            </w:r>
            <w:r>
              <w:rPr>
                <w:rFonts w:hint="eastAsia"/>
                <w:vertAlign w:val="subscript"/>
                <w:lang w:val="en-US" w:eastAsia="zh-CN"/>
              </w:rPr>
              <w:t>max</w:t>
            </w:r>
          </w:p>
        </w:tc>
        <w:tc>
          <w:tcPr>
            <w:tcW w:w="936" w:type="pct"/>
            <w:tcBorders>
              <w:tl2br w:val="nil"/>
              <w:tr2bl w:val="nil"/>
            </w:tcBorders>
            <w:vAlign w:val="top"/>
          </w:tcPr>
          <w:p w14:paraId="34420ED5">
            <w:pPr>
              <w:pStyle w:val="19"/>
              <w:bidi w:val="0"/>
            </w:pPr>
            <w:r>
              <w:t>7.829</w:t>
            </w:r>
          </w:p>
        </w:tc>
        <w:tc>
          <w:tcPr>
            <w:tcW w:w="939" w:type="pct"/>
            <w:tcBorders>
              <w:tl2br w:val="nil"/>
              <w:tr2bl w:val="nil"/>
            </w:tcBorders>
            <w:vAlign w:val="top"/>
          </w:tcPr>
          <w:p w14:paraId="4B3E7C00">
            <w:pPr>
              <w:pStyle w:val="19"/>
              <w:bidi w:val="0"/>
            </w:pPr>
            <w:r>
              <w:t>3.92</w:t>
            </w:r>
          </w:p>
        </w:tc>
        <w:tc>
          <w:tcPr>
            <w:tcW w:w="936" w:type="pct"/>
            <w:gridSpan w:val="2"/>
            <w:tcBorders>
              <w:tl2br w:val="nil"/>
              <w:tr2bl w:val="nil"/>
            </w:tcBorders>
            <w:vAlign w:val="top"/>
          </w:tcPr>
          <w:p w14:paraId="50BCDB3F">
            <w:pPr>
              <w:pStyle w:val="19"/>
              <w:bidi w:val="0"/>
            </w:pPr>
            <w:r>
              <w:t>0.7829</w:t>
            </w:r>
          </w:p>
        </w:tc>
        <w:tc>
          <w:tcPr>
            <w:tcW w:w="941" w:type="pct"/>
            <w:tcBorders>
              <w:tl2br w:val="nil"/>
              <w:tr2bl w:val="nil"/>
            </w:tcBorders>
            <w:vAlign w:val="top"/>
          </w:tcPr>
          <w:p w14:paraId="74CC9CDF">
            <w:pPr>
              <w:pStyle w:val="19"/>
              <w:bidi w:val="0"/>
            </w:pPr>
            <w:r>
              <w:t>7.83</w:t>
            </w:r>
          </w:p>
        </w:tc>
      </w:tr>
      <w:tr w14:paraId="41EB2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2075" w:type="dxa"/>
            <w:tcBorders>
              <w:tl2br w:val="nil"/>
              <w:tr2bl w:val="nil"/>
            </w:tcBorders>
            <w:vAlign w:val="top"/>
          </w:tcPr>
          <w:p w14:paraId="380D2971">
            <w:pPr>
              <w:pStyle w:val="19"/>
              <w:bidi w:val="0"/>
              <w:ind w:firstLine="0" w:firstLineChars="0"/>
            </w:pPr>
            <w:r>
              <w:rPr>
                <w:rFonts w:hint="eastAsia"/>
                <w:lang w:val="en-US" w:eastAsia="zh-CN"/>
              </w:rPr>
              <w:t>D</w:t>
            </w:r>
            <w:r>
              <w:t>（m）</w:t>
            </w:r>
          </w:p>
        </w:tc>
        <w:tc>
          <w:tcPr>
            <w:tcW w:w="3753" w:type="pct"/>
            <w:gridSpan w:val="5"/>
            <w:tcBorders>
              <w:tl2br w:val="nil"/>
              <w:tr2bl w:val="nil"/>
            </w:tcBorders>
            <w:vAlign w:val="top"/>
          </w:tcPr>
          <w:p w14:paraId="5E9774C2">
            <w:pPr>
              <w:pStyle w:val="19"/>
              <w:bidi w:val="0"/>
            </w:pPr>
            <w:r>
              <w:t>178</w:t>
            </w:r>
          </w:p>
        </w:tc>
      </w:tr>
    </w:tbl>
    <w:p w14:paraId="14CED4FC">
      <w:pPr>
        <w:pStyle w:val="30"/>
        <w:bidi w:val="0"/>
        <w:rPr>
          <w:lang w:val="en-US" w:eastAsia="zh-CN"/>
        </w:rPr>
      </w:pPr>
      <w:r>
        <w:rPr>
          <w:rFonts w:hint="eastAsia"/>
          <w:lang w:val="en-US" w:eastAsia="zh-CN"/>
        </w:rPr>
        <w:t xml:space="preserve">表5.2-6   </w:t>
      </w:r>
      <w:r>
        <w:rPr>
          <w:lang w:val="en-US" w:eastAsia="zh-CN"/>
        </w:rPr>
        <w:t>大气估算结果统计表（</w:t>
      </w:r>
      <w:r>
        <w:rPr>
          <w:rFonts w:hint="eastAsia"/>
          <w:lang w:val="en-US" w:eastAsia="zh-CN"/>
        </w:rPr>
        <w:t>面</w:t>
      </w:r>
      <w:r>
        <w:rPr>
          <w:lang w:val="en-US" w:eastAsia="zh-CN"/>
        </w:rPr>
        <w:t>源）</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87"/>
        <w:gridCol w:w="2132"/>
        <w:gridCol w:w="1229"/>
        <w:gridCol w:w="2132"/>
        <w:gridCol w:w="1229"/>
      </w:tblGrid>
      <w:tr w14:paraId="67A48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restart"/>
            <w:tcBorders>
              <w:bottom w:val="nil"/>
            </w:tcBorders>
            <w:vAlign w:val="center"/>
          </w:tcPr>
          <w:p w14:paraId="229AC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下风向距离（m）</w:t>
            </w:r>
          </w:p>
        </w:tc>
        <w:tc>
          <w:tcPr>
            <w:tcW w:w="0" w:type="auto"/>
            <w:gridSpan w:val="4"/>
            <w:vAlign w:val="center"/>
          </w:tcPr>
          <w:p w14:paraId="30ABB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w:t>
            </w:r>
            <w:r>
              <w:rPr>
                <w:rFonts w:hint="eastAsia"/>
                <w:b/>
                <w:bCs/>
                <w:color w:val="000000" w:themeColor="text1"/>
                <w:sz w:val="21"/>
                <w:szCs w:val="21"/>
                <w:highlight w:val="none"/>
                <w:lang w:val="en-US" w:eastAsia="zh-CN"/>
                <w14:textFill>
                  <w14:solidFill>
                    <w14:schemeClr w14:val="tx1"/>
                  </w14:solidFill>
                </w14:textFill>
              </w:rPr>
              <w:t>厂界</w:t>
            </w:r>
            <w:r>
              <w:rPr>
                <w:b/>
                <w:bCs/>
                <w:color w:val="000000" w:themeColor="text1"/>
                <w:sz w:val="21"/>
                <w:szCs w:val="21"/>
                <w:highlight w:val="none"/>
                <w14:textFill>
                  <w14:solidFill>
                    <w14:schemeClr w14:val="tx1"/>
                  </w14:solidFill>
                </w14:textFill>
              </w:rPr>
              <w:t>）</w:t>
            </w:r>
          </w:p>
        </w:tc>
      </w:tr>
      <w:tr w14:paraId="191E0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149BC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p>
        </w:tc>
        <w:tc>
          <w:tcPr>
            <w:tcW w:w="0" w:type="auto"/>
            <w:gridSpan w:val="2"/>
            <w:vAlign w:val="center"/>
          </w:tcPr>
          <w:p w14:paraId="249AC4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0" w:type="auto"/>
            <w:gridSpan w:val="2"/>
            <w:vAlign w:val="center"/>
          </w:tcPr>
          <w:p w14:paraId="37CBE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r>
      <w:tr w14:paraId="3C664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tcBorders>
            <w:vAlign w:val="center"/>
          </w:tcPr>
          <w:p w14:paraId="5B62B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p>
        </w:tc>
        <w:tc>
          <w:tcPr>
            <w:tcW w:w="0" w:type="auto"/>
            <w:vAlign w:val="center"/>
          </w:tcPr>
          <w:p w14:paraId="1C4CD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预测质量浓度（ug/m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0" w:type="auto"/>
            <w:vAlign w:val="center"/>
          </w:tcPr>
          <w:p w14:paraId="459F0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0" w:type="auto"/>
            <w:vAlign w:val="center"/>
          </w:tcPr>
          <w:p w14:paraId="469B12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预测质量浓度（ug/m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0" w:type="auto"/>
            <w:vAlign w:val="center"/>
          </w:tcPr>
          <w:p w14:paraId="55388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r>
      <w:tr w14:paraId="5C545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42FD0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0" w:type="auto"/>
            <w:vAlign w:val="center"/>
          </w:tcPr>
          <w:p w14:paraId="2C446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3.96</w:t>
            </w:r>
          </w:p>
        </w:tc>
        <w:tc>
          <w:tcPr>
            <w:tcW w:w="0" w:type="auto"/>
            <w:vAlign w:val="center"/>
          </w:tcPr>
          <w:p w14:paraId="51C6F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1.98</w:t>
            </w:r>
          </w:p>
        </w:tc>
        <w:tc>
          <w:tcPr>
            <w:tcW w:w="0" w:type="auto"/>
            <w:vAlign w:val="center"/>
          </w:tcPr>
          <w:p w14:paraId="225E4C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0.419</w:t>
            </w:r>
          </w:p>
        </w:tc>
        <w:tc>
          <w:tcPr>
            <w:tcW w:w="0" w:type="auto"/>
            <w:vAlign w:val="center"/>
          </w:tcPr>
          <w:p w14:paraId="33A1BC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4.19</w:t>
            </w:r>
          </w:p>
        </w:tc>
      </w:tr>
      <w:tr w14:paraId="0F6CA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3FDF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w:t>
            </w:r>
          </w:p>
        </w:tc>
        <w:tc>
          <w:tcPr>
            <w:tcW w:w="0" w:type="auto"/>
            <w:vAlign w:val="center"/>
          </w:tcPr>
          <w:p w14:paraId="5592D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4.29</w:t>
            </w:r>
          </w:p>
        </w:tc>
        <w:tc>
          <w:tcPr>
            <w:tcW w:w="0" w:type="auto"/>
            <w:vAlign w:val="center"/>
          </w:tcPr>
          <w:p w14:paraId="57DFA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2.14</w:t>
            </w:r>
          </w:p>
        </w:tc>
        <w:tc>
          <w:tcPr>
            <w:tcW w:w="0" w:type="auto"/>
            <w:vAlign w:val="center"/>
          </w:tcPr>
          <w:p w14:paraId="493B2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0.454</w:t>
            </w:r>
          </w:p>
        </w:tc>
        <w:tc>
          <w:tcPr>
            <w:tcW w:w="0" w:type="auto"/>
            <w:vAlign w:val="center"/>
          </w:tcPr>
          <w:p w14:paraId="6C024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4.54</w:t>
            </w:r>
          </w:p>
        </w:tc>
      </w:tr>
      <w:tr w14:paraId="118C4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A3577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w:t>
            </w:r>
          </w:p>
        </w:tc>
        <w:tc>
          <w:tcPr>
            <w:tcW w:w="0" w:type="auto"/>
            <w:vAlign w:val="center"/>
          </w:tcPr>
          <w:p w14:paraId="484497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4.82</w:t>
            </w:r>
          </w:p>
        </w:tc>
        <w:tc>
          <w:tcPr>
            <w:tcW w:w="0" w:type="auto"/>
            <w:vAlign w:val="center"/>
          </w:tcPr>
          <w:p w14:paraId="281D5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2.41</w:t>
            </w:r>
          </w:p>
        </w:tc>
        <w:tc>
          <w:tcPr>
            <w:tcW w:w="0" w:type="auto"/>
            <w:vAlign w:val="center"/>
          </w:tcPr>
          <w:p w14:paraId="4CB9A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0.51</w:t>
            </w:r>
          </w:p>
        </w:tc>
        <w:tc>
          <w:tcPr>
            <w:tcW w:w="0" w:type="auto"/>
            <w:vAlign w:val="center"/>
          </w:tcPr>
          <w:p w14:paraId="7C1EE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5.1</w:t>
            </w:r>
          </w:p>
        </w:tc>
      </w:tr>
      <w:tr w14:paraId="4134E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6C2848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w:t>
            </w:r>
          </w:p>
        </w:tc>
        <w:tc>
          <w:tcPr>
            <w:tcW w:w="0" w:type="auto"/>
            <w:vAlign w:val="center"/>
          </w:tcPr>
          <w:p w14:paraId="2DDCE1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6.22</w:t>
            </w:r>
          </w:p>
        </w:tc>
        <w:tc>
          <w:tcPr>
            <w:tcW w:w="0" w:type="auto"/>
            <w:vAlign w:val="center"/>
          </w:tcPr>
          <w:p w14:paraId="33DCA7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3.11</w:t>
            </w:r>
          </w:p>
        </w:tc>
        <w:tc>
          <w:tcPr>
            <w:tcW w:w="0" w:type="auto"/>
            <w:vAlign w:val="center"/>
          </w:tcPr>
          <w:p w14:paraId="6F7130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0.658</w:t>
            </w:r>
          </w:p>
        </w:tc>
        <w:tc>
          <w:tcPr>
            <w:tcW w:w="0" w:type="auto"/>
            <w:vAlign w:val="center"/>
          </w:tcPr>
          <w:p w14:paraId="439587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6.58</w:t>
            </w:r>
          </w:p>
        </w:tc>
      </w:tr>
      <w:tr w14:paraId="0D9F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3686A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w:t>
            </w:r>
          </w:p>
        </w:tc>
        <w:tc>
          <w:tcPr>
            <w:tcW w:w="0" w:type="auto"/>
            <w:vAlign w:val="center"/>
          </w:tcPr>
          <w:p w14:paraId="1C9D1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7.52</w:t>
            </w:r>
          </w:p>
        </w:tc>
        <w:tc>
          <w:tcPr>
            <w:tcW w:w="0" w:type="auto"/>
            <w:vAlign w:val="center"/>
          </w:tcPr>
          <w:p w14:paraId="777FA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3.76</w:t>
            </w:r>
          </w:p>
        </w:tc>
        <w:tc>
          <w:tcPr>
            <w:tcW w:w="0" w:type="auto"/>
            <w:vAlign w:val="center"/>
          </w:tcPr>
          <w:p w14:paraId="4361D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0.796</w:t>
            </w:r>
          </w:p>
        </w:tc>
        <w:tc>
          <w:tcPr>
            <w:tcW w:w="0" w:type="auto"/>
            <w:vAlign w:val="center"/>
          </w:tcPr>
          <w:p w14:paraId="75C5B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7.96</w:t>
            </w:r>
          </w:p>
        </w:tc>
      </w:tr>
      <w:tr w14:paraId="167D0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0E9C6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w:t>
            </w:r>
          </w:p>
        </w:tc>
        <w:tc>
          <w:tcPr>
            <w:tcW w:w="0" w:type="auto"/>
            <w:vAlign w:val="center"/>
          </w:tcPr>
          <w:p w14:paraId="470F8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8.13</w:t>
            </w:r>
          </w:p>
        </w:tc>
        <w:tc>
          <w:tcPr>
            <w:tcW w:w="0" w:type="auto"/>
            <w:vAlign w:val="center"/>
          </w:tcPr>
          <w:p w14:paraId="65A86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4.07</w:t>
            </w:r>
          </w:p>
        </w:tc>
        <w:tc>
          <w:tcPr>
            <w:tcW w:w="0" w:type="auto"/>
            <w:vAlign w:val="center"/>
          </w:tcPr>
          <w:p w14:paraId="5B6BD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0.861</w:t>
            </w:r>
          </w:p>
        </w:tc>
        <w:tc>
          <w:tcPr>
            <w:tcW w:w="0" w:type="auto"/>
            <w:vAlign w:val="center"/>
          </w:tcPr>
          <w:p w14:paraId="69D656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8.61</w:t>
            </w:r>
          </w:p>
        </w:tc>
      </w:tr>
      <w:tr w14:paraId="79B29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6609B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206</w:t>
            </w:r>
          </w:p>
        </w:tc>
        <w:tc>
          <w:tcPr>
            <w:tcW w:w="0" w:type="auto"/>
            <w:vAlign w:val="center"/>
          </w:tcPr>
          <w:p w14:paraId="1A621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8.14</w:t>
            </w:r>
          </w:p>
        </w:tc>
        <w:tc>
          <w:tcPr>
            <w:tcW w:w="0" w:type="auto"/>
            <w:vAlign w:val="center"/>
          </w:tcPr>
          <w:p w14:paraId="5B30D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4.07</w:t>
            </w:r>
          </w:p>
        </w:tc>
        <w:tc>
          <w:tcPr>
            <w:tcW w:w="0" w:type="auto"/>
            <w:vAlign w:val="center"/>
          </w:tcPr>
          <w:p w14:paraId="10659A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0.862</w:t>
            </w:r>
          </w:p>
        </w:tc>
        <w:tc>
          <w:tcPr>
            <w:tcW w:w="0" w:type="auto"/>
            <w:vAlign w:val="center"/>
          </w:tcPr>
          <w:p w14:paraId="40E15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8.62</w:t>
            </w:r>
          </w:p>
        </w:tc>
      </w:tr>
      <w:tr w14:paraId="7BC5D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449D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w:t>
            </w:r>
          </w:p>
        </w:tc>
        <w:tc>
          <w:tcPr>
            <w:tcW w:w="0" w:type="auto"/>
            <w:vAlign w:val="center"/>
          </w:tcPr>
          <w:p w14:paraId="5DCBE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8.07</w:t>
            </w:r>
          </w:p>
        </w:tc>
        <w:tc>
          <w:tcPr>
            <w:tcW w:w="0" w:type="auto"/>
            <w:vAlign w:val="center"/>
          </w:tcPr>
          <w:p w14:paraId="60F7B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4.03</w:t>
            </w:r>
          </w:p>
        </w:tc>
        <w:tc>
          <w:tcPr>
            <w:tcW w:w="0" w:type="auto"/>
            <w:vAlign w:val="center"/>
          </w:tcPr>
          <w:p w14:paraId="5D716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0.854</w:t>
            </w:r>
          </w:p>
        </w:tc>
        <w:tc>
          <w:tcPr>
            <w:tcW w:w="0" w:type="auto"/>
            <w:vAlign w:val="center"/>
          </w:tcPr>
          <w:p w14:paraId="277A3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8.54</w:t>
            </w:r>
          </w:p>
        </w:tc>
      </w:tr>
      <w:tr w14:paraId="74FFF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6CAF4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300</w:t>
            </w:r>
          </w:p>
        </w:tc>
        <w:tc>
          <w:tcPr>
            <w:tcW w:w="0" w:type="auto"/>
            <w:vAlign w:val="center"/>
          </w:tcPr>
          <w:p w14:paraId="59083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7.83</w:t>
            </w:r>
          </w:p>
        </w:tc>
        <w:tc>
          <w:tcPr>
            <w:tcW w:w="0" w:type="auto"/>
            <w:vAlign w:val="center"/>
          </w:tcPr>
          <w:p w14:paraId="57D53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3.92</w:t>
            </w:r>
          </w:p>
        </w:tc>
        <w:tc>
          <w:tcPr>
            <w:tcW w:w="0" w:type="auto"/>
            <w:vAlign w:val="center"/>
          </w:tcPr>
          <w:p w14:paraId="023E69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0.829</w:t>
            </w:r>
          </w:p>
        </w:tc>
        <w:tc>
          <w:tcPr>
            <w:tcW w:w="0" w:type="auto"/>
            <w:vAlign w:val="center"/>
          </w:tcPr>
          <w:p w14:paraId="20514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8.29</w:t>
            </w:r>
          </w:p>
        </w:tc>
      </w:tr>
      <w:tr w14:paraId="29F2B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71025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400</w:t>
            </w:r>
          </w:p>
        </w:tc>
        <w:tc>
          <w:tcPr>
            <w:tcW w:w="0" w:type="auto"/>
            <w:vAlign w:val="center"/>
          </w:tcPr>
          <w:p w14:paraId="27554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7.25</w:t>
            </w:r>
          </w:p>
        </w:tc>
        <w:tc>
          <w:tcPr>
            <w:tcW w:w="0" w:type="auto"/>
            <w:vAlign w:val="center"/>
          </w:tcPr>
          <w:p w14:paraId="0C641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3.62</w:t>
            </w:r>
          </w:p>
        </w:tc>
        <w:tc>
          <w:tcPr>
            <w:tcW w:w="0" w:type="auto"/>
            <w:vAlign w:val="center"/>
          </w:tcPr>
          <w:p w14:paraId="5AC598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0.767</w:t>
            </w:r>
          </w:p>
        </w:tc>
        <w:tc>
          <w:tcPr>
            <w:tcW w:w="0" w:type="auto"/>
            <w:vAlign w:val="center"/>
          </w:tcPr>
          <w:p w14:paraId="28B924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7.67</w:t>
            </w:r>
          </w:p>
        </w:tc>
      </w:tr>
      <w:tr w14:paraId="0D2B8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731E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500</w:t>
            </w:r>
          </w:p>
        </w:tc>
        <w:tc>
          <w:tcPr>
            <w:tcW w:w="0" w:type="auto"/>
            <w:vAlign w:val="center"/>
          </w:tcPr>
          <w:p w14:paraId="46ACD4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6.87</w:t>
            </w:r>
          </w:p>
        </w:tc>
        <w:tc>
          <w:tcPr>
            <w:tcW w:w="0" w:type="auto"/>
            <w:vAlign w:val="center"/>
          </w:tcPr>
          <w:p w14:paraId="3B755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3.43</w:t>
            </w:r>
          </w:p>
        </w:tc>
        <w:tc>
          <w:tcPr>
            <w:tcW w:w="0" w:type="auto"/>
            <w:vAlign w:val="center"/>
          </w:tcPr>
          <w:p w14:paraId="6C249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0.727</w:t>
            </w:r>
          </w:p>
        </w:tc>
        <w:tc>
          <w:tcPr>
            <w:tcW w:w="0" w:type="auto"/>
            <w:vAlign w:val="center"/>
          </w:tcPr>
          <w:p w14:paraId="44C79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7.27</w:t>
            </w:r>
          </w:p>
        </w:tc>
      </w:tr>
      <w:tr w14:paraId="6FB11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5BCBC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600</w:t>
            </w:r>
          </w:p>
        </w:tc>
        <w:tc>
          <w:tcPr>
            <w:tcW w:w="0" w:type="auto"/>
            <w:vAlign w:val="center"/>
          </w:tcPr>
          <w:p w14:paraId="3C7A1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6.59</w:t>
            </w:r>
          </w:p>
        </w:tc>
        <w:tc>
          <w:tcPr>
            <w:tcW w:w="0" w:type="auto"/>
            <w:vAlign w:val="center"/>
          </w:tcPr>
          <w:p w14:paraId="6B1657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3.3</w:t>
            </w:r>
          </w:p>
        </w:tc>
        <w:tc>
          <w:tcPr>
            <w:tcW w:w="0" w:type="auto"/>
            <w:vAlign w:val="center"/>
          </w:tcPr>
          <w:p w14:paraId="6DB58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0.698</w:t>
            </w:r>
          </w:p>
        </w:tc>
        <w:tc>
          <w:tcPr>
            <w:tcW w:w="0" w:type="auto"/>
            <w:vAlign w:val="center"/>
          </w:tcPr>
          <w:p w14:paraId="1F4A6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6.98</w:t>
            </w:r>
          </w:p>
        </w:tc>
      </w:tr>
      <w:tr w14:paraId="79E23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71557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700</w:t>
            </w:r>
          </w:p>
        </w:tc>
        <w:tc>
          <w:tcPr>
            <w:tcW w:w="0" w:type="auto"/>
            <w:vAlign w:val="center"/>
          </w:tcPr>
          <w:p w14:paraId="51440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6.34</w:t>
            </w:r>
          </w:p>
        </w:tc>
        <w:tc>
          <w:tcPr>
            <w:tcW w:w="0" w:type="auto"/>
            <w:vAlign w:val="center"/>
          </w:tcPr>
          <w:p w14:paraId="2A036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3.17</w:t>
            </w:r>
          </w:p>
        </w:tc>
        <w:tc>
          <w:tcPr>
            <w:tcW w:w="0" w:type="auto"/>
            <w:vAlign w:val="center"/>
          </w:tcPr>
          <w:p w14:paraId="67270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0.671</w:t>
            </w:r>
          </w:p>
        </w:tc>
        <w:tc>
          <w:tcPr>
            <w:tcW w:w="0" w:type="auto"/>
            <w:vAlign w:val="center"/>
          </w:tcPr>
          <w:p w14:paraId="33ACDA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6.71</w:t>
            </w:r>
          </w:p>
        </w:tc>
      </w:tr>
      <w:tr w14:paraId="1AF98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1F123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800</w:t>
            </w:r>
          </w:p>
        </w:tc>
        <w:tc>
          <w:tcPr>
            <w:tcW w:w="0" w:type="auto"/>
            <w:vAlign w:val="center"/>
          </w:tcPr>
          <w:p w14:paraId="14673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6.03</w:t>
            </w:r>
          </w:p>
        </w:tc>
        <w:tc>
          <w:tcPr>
            <w:tcW w:w="0" w:type="auto"/>
            <w:vAlign w:val="center"/>
          </w:tcPr>
          <w:p w14:paraId="61CA65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3.02</w:t>
            </w:r>
          </w:p>
        </w:tc>
        <w:tc>
          <w:tcPr>
            <w:tcW w:w="0" w:type="auto"/>
            <w:vAlign w:val="center"/>
          </w:tcPr>
          <w:p w14:paraId="1E917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0.639</w:t>
            </w:r>
          </w:p>
        </w:tc>
        <w:tc>
          <w:tcPr>
            <w:tcW w:w="0" w:type="auto"/>
            <w:vAlign w:val="center"/>
          </w:tcPr>
          <w:p w14:paraId="18827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6.39</w:t>
            </w:r>
          </w:p>
        </w:tc>
      </w:tr>
      <w:tr w14:paraId="16958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50482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900</w:t>
            </w:r>
          </w:p>
        </w:tc>
        <w:tc>
          <w:tcPr>
            <w:tcW w:w="0" w:type="auto"/>
            <w:vAlign w:val="center"/>
          </w:tcPr>
          <w:p w14:paraId="32104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5.79</w:t>
            </w:r>
          </w:p>
        </w:tc>
        <w:tc>
          <w:tcPr>
            <w:tcW w:w="0" w:type="auto"/>
            <w:vAlign w:val="center"/>
          </w:tcPr>
          <w:p w14:paraId="22E72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2.89</w:t>
            </w:r>
          </w:p>
        </w:tc>
        <w:tc>
          <w:tcPr>
            <w:tcW w:w="0" w:type="auto"/>
            <w:vAlign w:val="center"/>
          </w:tcPr>
          <w:p w14:paraId="2A4B0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0.613</w:t>
            </w:r>
          </w:p>
        </w:tc>
        <w:tc>
          <w:tcPr>
            <w:tcW w:w="0" w:type="auto"/>
            <w:vAlign w:val="center"/>
          </w:tcPr>
          <w:p w14:paraId="1D621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6.13</w:t>
            </w:r>
          </w:p>
        </w:tc>
      </w:tr>
      <w:tr w14:paraId="3B31B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6B950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1000</w:t>
            </w:r>
          </w:p>
        </w:tc>
        <w:tc>
          <w:tcPr>
            <w:tcW w:w="0" w:type="auto"/>
            <w:vAlign w:val="center"/>
          </w:tcPr>
          <w:p w14:paraId="57923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5.75</w:t>
            </w:r>
          </w:p>
        </w:tc>
        <w:tc>
          <w:tcPr>
            <w:tcW w:w="0" w:type="auto"/>
            <w:vAlign w:val="center"/>
          </w:tcPr>
          <w:p w14:paraId="648F34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2.88</w:t>
            </w:r>
          </w:p>
        </w:tc>
        <w:tc>
          <w:tcPr>
            <w:tcW w:w="0" w:type="auto"/>
            <w:vAlign w:val="center"/>
          </w:tcPr>
          <w:p w14:paraId="5D299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0.609</w:t>
            </w:r>
          </w:p>
        </w:tc>
        <w:tc>
          <w:tcPr>
            <w:tcW w:w="0" w:type="auto"/>
            <w:vAlign w:val="center"/>
          </w:tcPr>
          <w:p w14:paraId="5F204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6.09</w:t>
            </w:r>
          </w:p>
        </w:tc>
      </w:tr>
      <w:tr w14:paraId="0889C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E736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1100</w:t>
            </w:r>
          </w:p>
        </w:tc>
        <w:tc>
          <w:tcPr>
            <w:tcW w:w="0" w:type="auto"/>
            <w:vAlign w:val="center"/>
          </w:tcPr>
          <w:p w14:paraId="2B932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5.68</w:t>
            </w:r>
          </w:p>
        </w:tc>
        <w:tc>
          <w:tcPr>
            <w:tcW w:w="0" w:type="auto"/>
            <w:vAlign w:val="center"/>
          </w:tcPr>
          <w:p w14:paraId="330EA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2.84</w:t>
            </w:r>
          </w:p>
        </w:tc>
        <w:tc>
          <w:tcPr>
            <w:tcW w:w="0" w:type="auto"/>
            <w:vAlign w:val="center"/>
          </w:tcPr>
          <w:p w14:paraId="4DCD5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0.602</w:t>
            </w:r>
          </w:p>
        </w:tc>
        <w:tc>
          <w:tcPr>
            <w:tcW w:w="0" w:type="auto"/>
            <w:vAlign w:val="center"/>
          </w:tcPr>
          <w:p w14:paraId="7E0A5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6.02</w:t>
            </w:r>
          </w:p>
        </w:tc>
      </w:tr>
      <w:tr w14:paraId="7372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02A9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1200</w:t>
            </w:r>
          </w:p>
        </w:tc>
        <w:tc>
          <w:tcPr>
            <w:tcW w:w="0" w:type="auto"/>
            <w:vAlign w:val="center"/>
          </w:tcPr>
          <w:p w14:paraId="0AB793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5.59</w:t>
            </w:r>
          </w:p>
        </w:tc>
        <w:tc>
          <w:tcPr>
            <w:tcW w:w="0" w:type="auto"/>
            <w:vAlign w:val="center"/>
          </w:tcPr>
          <w:p w14:paraId="7B2CA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2.79</w:t>
            </w:r>
          </w:p>
        </w:tc>
        <w:tc>
          <w:tcPr>
            <w:tcW w:w="0" w:type="auto"/>
            <w:vAlign w:val="center"/>
          </w:tcPr>
          <w:p w14:paraId="730C9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0.591</w:t>
            </w:r>
          </w:p>
        </w:tc>
        <w:tc>
          <w:tcPr>
            <w:tcW w:w="0" w:type="auto"/>
            <w:vAlign w:val="center"/>
          </w:tcPr>
          <w:p w14:paraId="022A5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5.91</w:t>
            </w:r>
          </w:p>
        </w:tc>
      </w:tr>
      <w:tr w14:paraId="1CB1A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5D8B2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1300</w:t>
            </w:r>
          </w:p>
        </w:tc>
        <w:tc>
          <w:tcPr>
            <w:tcW w:w="0" w:type="auto"/>
            <w:vAlign w:val="center"/>
          </w:tcPr>
          <w:p w14:paraId="44BE7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5.47</w:t>
            </w:r>
          </w:p>
        </w:tc>
        <w:tc>
          <w:tcPr>
            <w:tcW w:w="0" w:type="auto"/>
            <w:vAlign w:val="center"/>
          </w:tcPr>
          <w:p w14:paraId="7099C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2.73</w:t>
            </w:r>
          </w:p>
        </w:tc>
        <w:tc>
          <w:tcPr>
            <w:tcW w:w="0" w:type="auto"/>
            <w:vAlign w:val="center"/>
          </w:tcPr>
          <w:p w14:paraId="5AC0F5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0.579</w:t>
            </w:r>
          </w:p>
        </w:tc>
        <w:tc>
          <w:tcPr>
            <w:tcW w:w="0" w:type="auto"/>
            <w:vAlign w:val="center"/>
          </w:tcPr>
          <w:p w14:paraId="459FB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5.79</w:t>
            </w:r>
          </w:p>
        </w:tc>
      </w:tr>
      <w:tr w14:paraId="54B12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08985E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1400</w:t>
            </w:r>
          </w:p>
        </w:tc>
        <w:tc>
          <w:tcPr>
            <w:tcW w:w="0" w:type="auto"/>
            <w:vAlign w:val="center"/>
          </w:tcPr>
          <w:p w14:paraId="558D24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5.34</w:t>
            </w:r>
          </w:p>
        </w:tc>
        <w:tc>
          <w:tcPr>
            <w:tcW w:w="0" w:type="auto"/>
            <w:vAlign w:val="center"/>
          </w:tcPr>
          <w:p w14:paraId="2BE71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2.67</w:t>
            </w:r>
          </w:p>
        </w:tc>
        <w:tc>
          <w:tcPr>
            <w:tcW w:w="0" w:type="auto"/>
            <w:vAlign w:val="center"/>
          </w:tcPr>
          <w:p w14:paraId="043FB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0.565</w:t>
            </w:r>
          </w:p>
        </w:tc>
        <w:tc>
          <w:tcPr>
            <w:tcW w:w="0" w:type="auto"/>
            <w:vAlign w:val="center"/>
          </w:tcPr>
          <w:p w14:paraId="228F6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5.65</w:t>
            </w:r>
          </w:p>
        </w:tc>
      </w:tr>
      <w:tr w14:paraId="5BF3C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4C3AD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1500</w:t>
            </w:r>
          </w:p>
        </w:tc>
        <w:tc>
          <w:tcPr>
            <w:tcW w:w="0" w:type="auto"/>
            <w:vAlign w:val="center"/>
          </w:tcPr>
          <w:p w14:paraId="2AAF0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5.2</w:t>
            </w:r>
          </w:p>
        </w:tc>
        <w:tc>
          <w:tcPr>
            <w:tcW w:w="0" w:type="auto"/>
            <w:vAlign w:val="center"/>
          </w:tcPr>
          <w:p w14:paraId="1F499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2.6</w:t>
            </w:r>
          </w:p>
        </w:tc>
        <w:tc>
          <w:tcPr>
            <w:tcW w:w="0" w:type="auto"/>
            <w:vAlign w:val="center"/>
          </w:tcPr>
          <w:p w14:paraId="43058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0.55</w:t>
            </w:r>
          </w:p>
        </w:tc>
        <w:tc>
          <w:tcPr>
            <w:tcW w:w="0" w:type="auto"/>
            <w:vAlign w:val="center"/>
          </w:tcPr>
          <w:p w14:paraId="627F1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5.5</w:t>
            </w:r>
          </w:p>
        </w:tc>
      </w:tr>
      <w:tr w14:paraId="27E14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01274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1600</w:t>
            </w:r>
          </w:p>
        </w:tc>
        <w:tc>
          <w:tcPr>
            <w:tcW w:w="0" w:type="auto"/>
            <w:vAlign w:val="center"/>
          </w:tcPr>
          <w:p w14:paraId="13564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5.06</w:t>
            </w:r>
          </w:p>
        </w:tc>
        <w:tc>
          <w:tcPr>
            <w:tcW w:w="0" w:type="auto"/>
            <w:vAlign w:val="center"/>
          </w:tcPr>
          <w:p w14:paraId="79BEA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2.53</w:t>
            </w:r>
          </w:p>
        </w:tc>
        <w:tc>
          <w:tcPr>
            <w:tcW w:w="0" w:type="auto"/>
            <w:vAlign w:val="center"/>
          </w:tcPr>
          <w:p w14:paraId="58769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0.535</w:t>
            </w:r>
          </w:p>
        </w:tc>
        <w:tc>
          <w:tcPr>
            <w:tcW w:w="0" w:type="auto"/>
            <w:vAlign w:val="center"/>
          </w:tcPr>
          <w:p w14:paraId="58416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5.35</w:t>
            </w:r>
          </w:p>
        </w:tc>
      </w:tr>
      <w:tr w14:paraId="74B4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1937C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1700</w:t>
            </w:r>
          </w:p>
        </w:tc>
        <w:tc>
          <w:tcPr>
            <w:tcW w:w="0" w:type="auto"/>
            <w:vAlign w:val="center"/>
          </w:tcPr>
          <w:p w14:paraId="61A16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4.91</w:t>
            </w:r>
          </w:p>
        </w:tc>
        <w:tc>
          <w:tcPr>
            <w:tcW w:w="0" w:type="auto"/>
            <w:vAlign w:val="center"/>
          </w:tcPr>
          <w:p w14:paraId="766197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2.45</w:t>
            </w:r>
          </w:p>
        </w:tc>
        <w:tc>
          <w:tcPr>
            <w:tcW w:w="0" w:type="auto"/>
            <w:vAlign w:val="center"/>
          </w:tcPr>
          <w:p w14:paraId="64125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0.52</w:t>
            </w:r>
          </w:p>
        </w:tc>
        <w:tc>
          <w:tcPr>
            <w:tcW w:w="0" w:type="auto"/>
            <w:vAlign w:val="center"/>
          </w:tcPr>
          <w:p w14:paraId="5EC6D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5.2</w:t>
            </w:r>
          </w:p>
        </w:tc>
      </w:tr>
      <w:tr w14:paraId="3175E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6DFA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1800</w:t>
            </w:r>
          </w:p>
        </w:tc>
        <w:tc>
          <w:tcPr>
            <w:tcW w:w="0" w:type="auto"/>
            <w:vAlign w:val="center"/>
          </w:tcPr>
          <w:p w14:paraId="1AE11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4.76</w:t>
            </w:r>
          </w:p>
        </w:tc>
        <w:tc>
          <w:tcPr>
            <w:tcW w:w="0" w:type="auto"/>
            <w:vAlign w:val="center"/>
          </w:tcPr>
          <w:p w14:paraId="111551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2.38</w:t>
            </w:r>
          </w:p>
        </w:tc>
        <w:tc>
          <w:tcPr>
            <w:tcW w:w="0" w:type="auto"/>
            <w:vAlign w:val="center"/>
          </w:tcPr>
          <w:p w14:paraId="48C75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0.504</w:t>
            </w:r>
          </w:p>
        </w:tc>
        <w:tc>
          <w:tcPr>
            <w:tcW w:w="0" w:type="auto"/>
            <w:vAlign w:val="center"/>
          </w:tcPr>
          <w:p w14:paraId="27EBE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5.04</w:t>
            </w:r>
          </w:p>
        </w:tc>
      </w:tr>
      <w:tr w14:paraId="5DBE7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787A6D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1900</w:t>
            </w:r>
          </w:p>
        </w:tc>
        <w:tc>
          <w:tcPr>
            <w:tcW w:w="0" w:type="auto"/>
            <w:vAlign w:val="center"/>
          </w:tcPr>
          <w:p w14:paraId="7F48F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4.62</w:t>
            </w:r>
          </w:p>
        </w:tc>
        <w:tc>
          <w:tcPr>
            <w:tcW w:w="0" w:type="auto"/>
            <w:vAlign w:val="center"/>
          </w:tcPr>
          <w:p w14:paraId="0A3C2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2.31</w:t>
            </w:r>
          </w:p>
        </w:tc>
        <w:tc>
          <w:tcPr>
            <w:tcW w:w="0" w:type="auto"/>
            <w:vAlign w:val="center"/>
          </w:tcPr>
          <w:p w14:paraId="10FD15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0.489</w:t>
            </w:r>
          </w:p>
        </w:tc>
        <w:tc>
          <w:tcPr>
            <w:tcW w:w="0" w:type="auto"/>
            <w:vAlign w:val="center"/>
          </w:tcPr>
          <w:p w14:paraId="2CD3A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4.89</w:t>
            </w:r>
          </w:p>
        </w:tc>
      </w:tr>
      <w:tr w14:paraId="46587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27407D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2000</w:t>
            </w:r>
          </w:p>
        </w:tc>
        <w:tc>
          <w:tcPr>
            <w:tcW w:w="0" w:type="auto"/>
            <w:vAlign w:val="center"/>
          </w:tcPr>
          <w:p w14:paraId="5426E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4.49</w:t>
            </w:r>
          </w:p>
        </w:tc>
        <w:tc>
          <w:tcPr>
            <w:tcW w:w="0" w:type="auto"/>
            <w:vAlign w:val="center"/>
          </w:tcPr>
          <w:p w14:paraId="42F44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2.24</w:t>
            </w:r>
          </w:p>
        </w:tc>
        <w:tc>
          <w:tcPr>
            <w:tcW w:w="0" w:type="auto"/>
            <w:vAlign w:val="center"/>
          </w:tcPr>
          <w:p w14:paraId="564B9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0.475</w:t>
            </w:r>
          </w:p>
        </w:tc>
        <w:tc>
          <w:tcPr>
            <w:tcW w:w="0" w:type="auto"/>
            <w:vAlign w:val="center"/>
          </w:tcPr>
          <w:p w14:paraId="26C39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4.75</w:t>
            </w:r>
          </w:p>
        </w:tc>
      </w:tr>
      <w:tr w14:paraId="40AB3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7AC3D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2100</w:t>
            </w:r>
          </w:p>
        </w:tc>
        <w:tc>
          <w:tcPr>
            <w:tcW w:w="0" w:type="auto"/>
            <w:vAlign w:val="center"/>
          </w:tcPr>
          <w:p w14:paraId="18D1EA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4.36</w:t>
            </w:r>
          </w:p>
        </w:tc>
        <w:tc>
          <w:tcPr>
            <w:tcW w:w="0" w:type="auto"/>
            <w:vAlign w:val="center"/>
          </w:tcPr>
          <w:p w14:paraId="2756A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2.18</w:t>
            </w:r>
          </w:p>
        </w:tc>
        <w:tc>
          <w:tcPr>
            <w:tcW w:w="0" w:type="auto"/>
            <w:vAlign w:val="center"/>
          </w:tcPr>
          <w:p w14:paraId="10B179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0.461</w:t>
            </w:r>
          </w:p>
        </w:tc>
        <w:tc>
          <w:tcPr>
            <w:tcW w:w="0" w:type="auto"/>
            <w:vAlign w:val="center"/>
          </w:tcPr>
          <w:p w14:paraId="44E7B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4.61</w:t>
            </w:r>
          </w:p>
        </w:tc>
      </w:tr>
      <w:tr w14:paraId="6C39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17DC8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2200</w:t>
            </w:r>
          </w:p>
        </w:tc>
        <w:tc>
          <w:tcPr>
            <w:tcW w:w="0" w:type="auto"/>
            <w:vAlign w:val="center"/>
          </w:tcPr>
          <w:p w14:paraId="27043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4.23</w:t>
            </w:r>
          </w:p>
        </w:tc>
        <w:tc>
          <w:tcPr>
            <w:tcW w:w="0" w:type="auto"/>
            <w:vAlign w:val="center"/>
          </w:tcPr>
          <w:p w14:paraId="737018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2.11</w:t>
            </w:r>
          </w:p>
        </w:tc>
        <w:tc>
          <w:tcPr>
            <w:tcW w:w="0" w:type="auto"/>
            <w:vAlign w:val="center"/>
          </w:tcPr>
          <w:p w14:paraId="097F9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0.447</w:t>
            </w:r>
          </w:p>
        </w:tc>
        <w:tc>
          <w:tcPr>
            <w:tcW w:w="0" w:type="auto"/>
            <w:vAlign w:val="center"/>
          </w:tcPr>
          <w:p w14:paraId="23BC9F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4.47</w:t>
            </w:r>
          </w:p>
        </w:tc>
      </w:tr>
      <w:tr w14:paraId="6B21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46D63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2300</w:t>
            </w:r>
          </w:p>
        </w:tc>
        <w:tc>
          <w:tcPr>
            <w:tcW w:w="0" w:type="auto"/>
            <w:vAlign w:val="center"/>
          </w:tcPr>
          <w:p w14:paraId="05FB4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4.1</w:t>
            </w:r>
          </w:p>
        </w:tc>
        <w:tc>
          <w:tcPr>
            <w:tcW w:w="0" w:type="auto"/>
            <w:vAlign w:val="center"/>
          </w:tcPr>
          <w:p w14:paraId="2B978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2.05</w:t>
            </w:r>
          </w:p>
        </w:tc>
        <w:tc>
          <w:tcPr>
            <w:tcW w:w="0" w:type="auto"/>
            <w:vAlign w:val="center"/>
          </w:tcPr>
          <w:p w14:paraId="16240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0.434</w:t>
            </w:r>
          </w:p>
        </w:tc>
        <w:tc>
          <w:tcPr>
            <w:tcW w:w="0" w:type="auto"/>
            <w:vAlign w:val="center"/>
          </w:tcPr>
          <w:p w14:paraId="2F714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4.34</w:t>
            </w:r>
          </w:p>
        </w:tc>
      </w:tr>
      <w:tr w14:paraId="7F86E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4DB3C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2400</w:t>
            </w:r>
          </w:p>
        </w:tc>
        <w:tc>
          <w:tcPr>
            <w:tcW w:w="0" w:type="auto"/>
            <w:vAlign w:val="center"/>
          </w:tcPr>
          <w:p w14:paraId="2E991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3.98</w:t>
            </w:r>
          </w:p>
        </w:tc>
        <w:tc>
          <w:tcPr>
            <w:tcW w:w="0" w:type="auto"/>
            <w:vAlign w:val="center"/>
          </w:tcPr>
          <w:p w14:paraId="1AD72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1.99</w:t>
            </w:r>
          </w:p>
        </w:tc>
        <w:tc>
          <w:tcPr>
            <w:tcW w:w="0" w:type="auto"/>
            <w:vAlign w:val="center"/>
          </w:tcPr>
          <w:p w14:paraId="273B1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0.421</w:t>
            </w:r>
          </w:p>
        </w:tc>
        <w:tc>
          <w:tcPr>
            <w:tcW w:w="0" w:type="auto"/>
            <w:vAlign w:val="center"/>
          </w:tcPr>
          <w:p w14:paraId="29262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4.21</w:t>
            </w:r>
          </w:p>
        </w:tc>
      </w:tr>
      <w:tr w14:paraId="0D790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4A223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2500</w:t>
            </w:r>
          </w:p>
        </w:tc>
        <w:tc>
          <w:tcPr>
            <w:tcW w:w="0" w:type="auto"/>
            <w:vAlign w:val="center"/>
          </w:tcPr>
          <w:p w14:paraId="14520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3.86</w:t>
            </w:r>
          </w:p>
        </w:tc>
        <w:tc>
          <w:tcPr>
            <w:tcW w:w="0" w:type="auto"/>
            <w:vAlign w:val="center"/>
          </w:tcPr>
          <w:p w14:paraId="350DE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1.93</w:t>
            </w:r>
          </w:p>
        </w:tc>
        <w:tc>
          <w:tcPr>
            <w:tcW w:w="0" w:type="auto"/>
            <w:vAlign w:val="center"/>
          </w:tcPr>
          <w:p w14:paraId="5AC85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0.409</w:t>
            </w:r>
          </w:p>
        </w:tc>
        <w:tc>
          <w:tcPr>
            <w:tcW w:w="0" w:type="auto"/>
            <w:vAlign w:val="center"/>
          </w:tcPr>
          <w:p w14:paraId="2B567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4.09</w:t>
            </w:r>
          </w:p>
        </w:tc>
      </w:tr>
      <w:tr w14:paraId="0393A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7DD4CB53">
            <w:pPr>
              <w:pStyle w:val="19"/>
              <w:bidi w:val="0"/>
              <w:ind w:firstLine="0" w:firstLineChars="0"/>
              <w:jc w:val="center"/>
              <w:rPr>
                <w:color w:val="000000" w:themeColor="text1"/>
                <w:sz w:val="21"/>
                <w:szCs w:val="21"/>
                <w:highlight w:val="none"/>
                <w14:textFill>
                  <w14:solidFill>
                    <w14:schemeClr w14:val="tx1"/>
                  </w14:solidFill>
                </w14:textFill>
              </w:rPr>
            </w:pPr>
            <w:r>
              <w:rPr>
                <w:rFonts w:hint="eastAsia"/>
                <w:lang w:val="en-US" w:eastAsia="zh-CN"/>
              </w:rPr>
              <w:t>C</w:t>
            </w:r>
            <w:r>
              <w:rPr>
                <w:rFonts w:hint="eastAsia"/>
                <w:vertAlign w:val="subscript"/>
                <w:lang w:val="en-US" w:eastAsia="zh-CN"/>
              </w:rPr>
              <w:t>max】</w:t>
            </w:r>
            <w:r>
              <w:t>/</w:t>
            </w:r>
            <w:r>
              <w:rPr>
                <w:rFonts w:hint="eastAsia"/>
                <w:lang w:val="en-US" w:eastAsia="zh-CN"/>
              </w:rPr>
              <w:t>P</w:t>
            </w:r>
            <w:r>
              <w:rPr>
                <w:rFonts w:hint="eastAsia"/>
                <w:vertAlign w:val="subscript"/>
                <w:lang w:val="en-US" w:eastAsia="zh-CN"/>
              </w:rPr>
              <w:t>max</w:t>
            </w:r>
          </w:p>
        </w:tc>
        <w:tc>
          <w:tcPr>
            <w:tcW w:w="0" w:type="auto"/>
            <w:vAlign w:val="center"/>
          </w:tcPr>
          <w:p w14:paraId="1920E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8.14</w:t>
            </w:r>
          </w:p>
        </w:tc>
        <w:tc>
          <w:tcPr>
            <w:tcW w:w="0" w:type="auto"/>
            <w:vAlign w:val="center"/>
          </w:tcPr>
          <w:p w14:paraId="7B2875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4.07</w:t>
            </w:r>
          </w:p>
        </w:tc>
        <w:tc>
          <w:tcPr>
            <w:tcW w:w="0" w:type="auto"/>
            <w:vAlign w:val="center"/>
          </w:tcPr>
          <w:p w14:paraId="01B88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0.862</w:t>
            </w:r>
          </w:p>
        </w:tc>
        <w:tc>
          <w:tcPr>
            <w:tcW w:w="0" w:type="auto"/>
            <w:vAlign w:val="center"/>
          </w:tcPr>
          <w:p w14:paraId="2A1CE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8.62</w:t>
            </w:r>
          </w:p>
        </w:tc>
      </w:tr>
      <w:tr w14:paraId="1003B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Align w:val="center"/>
          </w:tcPr>
          <w:p w14:paraId="43BCD0C5">
            <w:pPr>
              <w:pStyle w:val="19"/>
              <w:bidi w:val="0"/>
              <w:ind w:firstLine="0" w:firstLineChars="0"/>
              <w:jc w:val="center"/>
              <w:rPr>
                <w:color w:val="000000" w:themeColor="text1"/>
                <w:sz w:val="21"/>
                <w:szCs w:val="21"/>
                <w:highlight w:val="none"/>
                <w14:textFill>
                  <w14:solidFill>
                    <w14:schemeClr w14:val="tx1"/>
                  </w14:solidFill>
                </w14:textFill>
              </w:rPr>
            </w:pPr>
            <w:r>
              <w:rPr>
                <w:rFonts w:hint="eastAsia"/>
                <w:lang w:val="en-US" w:eastAsia="zh-CN"/>
              </w:rPr>
              <w:t>D</w:t>
            </w:r>
            <w:r>
              <w:t>（m）</w:t>
            </w:r>
          </w:p>
        </w:tc>
        <w:tc>
          <w:tcPr>
            <w:tcW w:w="0" w:type="auto"/>
            <w:gridSpan w:val="2"/>
            <w:vAlign w:val="center"/>
          </w:tcPr>
          <w:p w14:paraId="3BBF1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206</w:t>
            </w:r>
          </w:p>
        </w:tc>
        <w:tc>
          <w:tcPr>
            <w:tcW w:w="0" w:type="auto"/>
            <w:gridSpan w:val="2"/>
            <w:vAlign w:val="center"/>
          </w:tcPr>
          <w:p w14:paraId="0E0EA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206</w:t>
            </w:r>
          </w:p>
        </w:tc>
      </w:tr>
    </w:tbl>
    <w:p w14:paraId="63BD36F5">
      <w:pPr>
        <w:pStyle w:val="30"/>
        <w:bidi w:val="0"/>
      </w:pPr>
      <w:r>
        <w:t>表</w:t>
      </w:r>
      <w:r>
        <w:rPr>
          <w:rFonts w:hint="eastAsia"/>
          <w:lang w:val="en-US" w:eastAsia="zh-CN"/>
        </w:rPr>
        <w:t xml:space="preserve">5.2-7 </w:t>
      </w:r>
      <w:r>
        <w:t xml:space="preserve">  估算模型计算结果</w:t>
      </w:r>
      <w:r>
        <w:rPr>
          <w:rFonts w:hint="eastAsia"/>
          <w:lang w:val="en-US" w:eastAsia="zh-CN"/>
        </w:rPr>
        <w:t>统计</w:t>
      </w:r>
      <w:r>
        <w:t>表</w:t>
      </w:r>
    </w:p>
    <w:tbl>
      <w:tblPr>
        <w:tblStyle w:val="29"/>
        <w:tblW w:w="503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59"/>
        <w:gridCol w:w="523"/>
        <w:gridCol w:w="856"/>
        <w:gridCol w:w="1082"/>
        <w:gridCol w:w="1633"/>
        <w:gridCol w:w="1199"/>
        <w:gridCol w:w="1245"/>
        <w:gridCol w:w="1074"/>
      </w:tblGrid>
      <w:tr w14:paraId="2AA6D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jc w:val="center"/>
        </w:trPr>
        <w:tc>
          <w:tcPr>
            <w:tcW w:w="453" w:type="pct"/>
            <w:tcBorders>
              <w:top w:val="single" w:color="auto" w:sz="4" w:space="0"/>
              <w:left w:val="single" w:color="auto" w:sz="4" w:space="0"/>
              <w:bottom w:val="single" w:color="auto" w:sz="4" w:space="0"/>
              <w:right w:val="single" w:color="auto" w:sz="4" w:space="0"/>
            </w:tcBorders>
            <w:noWrap w:val="0"/>
            <w:vAlign w:val="center"/>
          </w:tcPr>
          <w:p w14:paraId="6011320D">
            <w:pPr>
              <w:pStyle w:val="19"/>
              <w:bidi w:val="0"/>
            </w:pPr>
            <w:r>
              <w:t>工况</w:t>
            </w:r>
          </w:p>
        </w:tc>
        <w:tc>
          <w:tcPr>
            <w:tcW w:w="823" w:type="pct"/>
            <w:gridSpan w:val="2"/>
            <w:tcBorders>
              <w:top w:val="single" w:color="auto" w:sz="4" w:space="0"/>
              <w:left w:val="single" w:color="auto" w:sz="4" w:space="0"/>
              <w:bottom w:val="single" w:color="auto" w:sz="4" w:space="0"/>
              <w:right w:val="single" w:color="auto" w:sz="4" w:space="0"/>
            </w:tcBorders>
            <w:noWrap w:val="0"/>
            <w:vAlign w:val="center"/>
          </w:tcPr>
          <w:p w14:paraId="27B02C5C">
            <w:pPr>
              <w:pStyle w:val="19"/>
              <w:bidi w:val="0"/>
            </w:pPr>
            <w:r>
              <w:t>排放源</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10897B9D">
            <w:pPr>
              <w:pStyle w:val="19"/>
              <w:bidi w:val="0"/>
            </w:pPr>
            <w:r>
              <w:t>评价因子</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001F2F6D">
            <w:pPr>
              <w:pStyle w:val="19"/>
              <w:bidi w:val="0"/>
            </w:pPr>
            <w:r>
              <w:t>C</w:t>
            </w:r>
            <w:r>
              <w:rPr>
                <w:vertAlign w:val="subscript"/>
              </w:rPr>
              <w:t>max</w:t>
            </w:r>
            <w:r>
              <w:t>（</w:t>
            </w:r>
            <w:r>
              <w:rPr>
                <w:rFonts w:hint="default" w:ascii="Times New Roman" w:hAnsi="Times New Roman" w:cs="Times New Roman"/>
                <w:lang w:val="en-US" w:eastAsia="zh-CN"/>
              </w:rPr>
              <w:t>μ</w:t>
            </w:r>
            <w:r>
              <w:t>g/m</w:t>
            </w:r>
            <w:r>
              <w:rPr>
                <w:vertAlign w:val="superscript"/>
              </w:rPr>
              <w:t>3</w:t>
            </w:r>
            <w:r>
              <w:t>）</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8721AEB">
            <w:pPr>
              <w:pStyle w:val="19"/>
              <w:bidi w:val="0"/>
            </w:pPr>
            <w:r>
              <w:t>P</w:t>
            </w:r>
            <w:r>
              <w:rPr>
                <w:vertAlign w:val="subscript"/>
              </w:rPr>
              <w:t>max</w:t>
            </w:r>
            <w:r>
              <w:t>（%）</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0153A17A">
            <w:pPr>
              <w:pStyle w:val="19"/>
              <w:bidi w:val="0"/>
            </w:pPr>
            <w:r>
              <w:t>D</w:t>
            </w:r>
            <w:r>
              <w:rPr>
                <w:vertAlign w:val="subscript"/>
              </w:rPr>
              <w:t>10%</w:t>
            </w:r>
            <w:r>
              <w:t>（m）</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2E4C018">
            <w:pPr>
              <w:pStyle w:val="19"/>
              <w:bidi w:val="0"/>
            </w:pPr>
            <w:r>
              <w:t>评价等级</w:t>
            </w:r>
          </w:p>
        </w:tc>
      </w:tr>
      <w:tr w14:paraId="1C0A9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restart"/>
            <w:tcBorders>
              <w:top w:val="single" w:color="auto" w:sz="4" w:space="0"/>
              <w:left w:val="single" w:color="auto" w:sz="4" w:space="0"/>
              <w:right w:val="single" w:color="auto" w:sz="4" w:space="0"/>
            </w:tcBorders>
            <w:noWrap w:val="0"/>
            <w:vAlign w:val="center"/>
          </w:tcPr>
          <w:p w14:paraId="0DB111C5">
            <w:pPr>
              <w:pStyle w:val="19"/>
              <w:bidi w:val="0"/>
            </w:pPr>
            <w:r>
              <w:t>正常</w:t>
            </w:r>
          </w:p>
          <w:p w14:paraId="0A7C5A01">
            <w:pPr>
              <w:pStyle w:val="19"/>
              <w:bidi w:val="0"/>
            </w:pPr>
            <w:r>
              <w:t>工况</w:t>
            </w:r>
          </w:p>
        </w:tc>
        <w:tc>
          <w:tcPr>
            <w:tcW w:w="312" w:type="pct"/>
            <w:vMerge w:val="restart"/>
            <w:tcBorders>
              <w:top w:val="single" w:color="auto" w:sz="4" w:space="0"/>
              <w:left w:val="single" w:color="auto" w:sz="4" w:space="0"/>
              <w:right w:val="single" w:color="auto" w:sz="4" w:space="0"/>
            </w:tcBorders>
            <w:noWrap w:val="0"/>
            <w:vAlign w:val="center"/>
          </w:tcPr>
          <w:p w14:paraId="3F1F40CF">
            <w:pPr>
              <w:pStyle w:val="19"/>
              <w:bidi w:val="0"/>
              <w:rPr>
                <w:rFonts w:hint="eastAsia" w:eastAsia="宋体"/>
                <w:lang w:val="en-US" w:eastAsia="zh-CN"/>
              </w:rPr>
            </w:pPr>
            <w:r>
              <w:rPr>
                <w:rFonts w:hint="eastAsia"/>
                <w:lang w:val="en-US" w:eastAsia="zh-CN"/>
              </w:rPr>
              <w:t>有组织</w:t>
            </w:r>
          </w:p>
        </w:tc>
        <w:tc>
          <w:tcPr>
            <w:tcW w:w="511" w:type="pct"/>
            <w:vMerge w:val="restart"/>
            <w:tcBorders>
              <w:top w:val="single" w:color="auto" w:sz="4" w:space="0"/>
              <w:left w:val="single" w:color="auto" w:sz="4" w:space="0"/>
              <w:right w:val="single" w:color="auto" w:sz="4" w:space="0"/>
            </w:tcBorders>
            <w:noWrap w:val="0"/>
            <w:vAlign w:val="center"/>
          </w:tcPr>
          <w:p w14:paraId="35EBE9CB">
            <w:pPr>
              <w:pStyle w:val="19"/>
              <w:bidi w:val="0"/>
              <w:rPr>
                <w:rFonts w:hint="default" w:eastAsia="宋体"/>
                <w:lang w:val="en-US" w:eastAsia="zh-CN"/>
              </w:rPr>
            </w:pPr>
            <w:r>
              <w:rPr>
                <w:rFonts w:hint="eastAsia"/>
                <w:lang w:val="en-US" w:eastAsia="zh-CN"/>
              </w:rPr>
              <w:t>DA001</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240A77D0">
            <w:pPr>
              <w:pStyle w:val="19"/>
              <w:bidi w:val="0"/>
              <w:rPr>
                <w:rFonts w:hint="default" w:eastAsia="宋体"/>
                <w:vertAlign w:val="subscript"/>
                <w:lang w:val="en-US" w:eastAsia="zh-CN"/>
              </w:rPr>
            </w:pPr>
            <w:r>
              <w:rPr>
                <w:rFonts w:hint="eastAsia"/>
                <w:lang w:val="en-US" w:eastAsia="zh-CN"/>
              </w:rPr>
              <w:t>PM</w:t>
            </w:r>
            <w:r>
              <w:rPr>
                <w:rFonts w:hint="eastAsia"/>
                <w:vertAlign w:val="subscript"/>
                <w:lang w:val="en-US" w:eastAsia="zh-CN"/>
              </w:rPr>
              <w:t>10</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2721B6F0">
            <w:pPr>
              <w:pStyle w:val="19"/>
              <w:bidi w:val="0"/>
              <w:rPr>
                <w:rFonts w:hint="default"/>
                <w:lang w:val="en-US" w:eastAsia="zh-CN"/>
              </w:rPr>
            </w:pPr>
            <w:r>
              <w:rPr>
                <w:rFonts w:hint="eastAsia"/>
                <w:lang w:val="en-US" w:eastAsia="zh-CN"/>
              </w:rPr>
              <w:t>0.0755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ACACB81">
            <w:pPr>
              <w:pStyle w:val="19"/>
              <w:bidi w:val="0"/>
              <w:rPr>
                <w:rFonts w:hint="default"/>
                <w:lang w:val="en-US" w:eastAsia="zh-CN"/>
              </w:rPr>
            </w:pPr>
            <w:r>
              <w:rPr>
                <w:rFonts w:hint="eastAsia"/>
                <w:lang w:val="en-US" w:eastAsia="zh-CN"/>
              </w:rPr>
              <w:t>0.0189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2CC008B">
            <w:pPr>
              <w:pStyle w:val="19"/>
              <w:bidi w:val="0"/>
              <w:rPr>
                <w:rFonts w:hint="default"/>
                <w:lang w:val="en-US" w:eastAsia="zh-CN"/>
              </w:rPr>
            </w:pPr>
            <w:r>
              <w:rPr>
                <w:rFonts w:hint="eastAsia"/>
                <w:lang w:val="en-US" w:eastAsia="zh-CN"/>
              </w:rPr>
              <w:t>100</w:t>
            </w:r>
          </w:p>
        </w:tc>
        <w:tc>
          <w:tcPr>
            <w:tcW w:w="641" w:type="pct"/>
            <w:vMerge w:val="restart"/>
            <w:tcBorders>
              <w:top w:val="single" w:color="auto" w:sz="4" w:space="0"/>
              <w:left w:val="single" w:color="auto" w:sz="4" w:space="0"/>
              <w:right w:val="single" w:color="auto" w:sz="4" w:space="0"/>
            </w:tcBorders>
            <w:noWrap w:val="0"/>
            <w:vAlign w:val="center"/>
          </w:tcPr>
          <w:p w14:paraId="6E7A62CF">
            <w:pPr>
              <w:pStyle w:val="19"/>
              <w:bidi w:val="0"/>
              <w:rPr>
                <w:rFonts w:hint="eastAsia" w:eastAsia="宋体"/>
                <w:lang w:val="en-US" w:eastAsia="zh-CN"/>
              </w:rPr>
            </w:pPr>
            <w:r>
              <w:rPr>
                <w:rFonts w:hint="eastAsia"/>
                <w:lang w:val="en-US" w:eastAsia="zh-CN"/>
              </w:rPr>
              <w:t>二级</w:t>
            </w:r>
          </w:p>
        </w:tc>
      </w:tr>
      <w:tr w14:paraId="0819D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65379A50">
            <w:pPr>
              <w:pStyle w:val="19"/>
              <w:bidi w:val="0"/>
            </w:pPr>
          </w:p>
        </w:tc>
        <w:tc>
          <w:tcPr>
            <w:tcW w:w="312" w:type="pct"/>
            <w:vMerge w:val="continue"/>
            <w:tcBorders>
              <w:left w:val="single" w:color="auto" w:sz="4" w:space="0"/>
              <w:right w:val="single" w:color="auto" w:sz="4" w:space="0"/>
            </w:tcBorders>
            <w:noWrap w:val="0"/>
            <w:vAlign w:val="center"/>
          </w:tcPr>
          <w:p w14:paraId="1D006F7F">
            <w:pPr>
              <w:pStyle w:val="19"/>
              <w:bidi w:val="0"/>
            </w:pPr>
          </w:p>
        </w:tc>
        <w:tc>
          <w:tcPr>
            <w:tcW w:w="511" w:type="pct"/>
            <w:vMerge w:val="continue"/>
            <w:tcBorders>
              <w:left w:val="single" w:color="auto" w:sz="4" w:space="0"/>
              <w:right w:val="single" w:color="auto" w:sz="4" w:space="0"/>
            </w:tcBorders>
            <w:noWrap w:val="0"/>
            <w:vAlign w:val="center"/>
          </w:tcPr>
          <w:p w14:paraId="571984E3">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02470F08">
            <w:pPr>
              <w:pStyle w:val="19"/>
              <w:bidi w:val="0"/>
              <w:rPr>
                <w:rFonts w:hint="default" w:eastAsia="宋体"/>
                <w:vertAlign w:val="subscript"/>
                <w:lang w:val="en-US" w:eastAsia="zh-CN"/>
              </w:rPr>
            </w:pPr>
            <w:r>
              <w:rPr>
                <w:rFonts w:hint="eastAsia"/>
                <w:lang w:val="en-US" w:eastAsia="zh-CN"/>
              </w:rPr>
              <w:t>SO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5FE3D462">
            <w:pPr>
              <w:pStyle w:val="19"/>
              <w:bidi w:val="0"/>
              <w:rPr>
                <w:rFonts w:hint="default"/>
                <w:lang w:val="en-US" w:eastAsia="zh-CN"/>
              </w:rPr>
            </w:pPr>
            <w:r>
              <w:rPr>
                <w:rFonts w:hint="eastAsia"/>
                <w:lang w:val="en-US" w:eastAsia="zh-CN"/>
              </w:rPr>
              <w:t>5.3665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36593C7">
            <w:pPr>
              <w:pStyle w:val="19"/>
              <w:bidi w:val="0"/>
              <w:rPr>
                <w:rFonts w:hint="eastAsia"/>
                <w:lang w:val="en-US" w:eastAsia="zh-CN"/>
              </w:rPr>
            </w:pPr>
            <w:r>
              <w:rPr>
                <w:rFonts w:hint="eastAsia"/>
                <w:lang w:val="en-US" w:eastAsia="zh-CN"/>
              </w:rPr>
              <w:t>1.0733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BD91DE1">
            <w:pPr>
              <w:pStyle w:val="19"/>
              <w:bidi w:val="0"/>
              <w:rPr>
                <w:rFonts w:hint="default"/>
                <w:lang w:val="en-US" w:eastAsia="zh-CN"/>
              </w:rPr>
            </w:pPr>
            <w:r>
              <w:rPr>
                <w:rFonts w:hint="eastAsia"/>
                <w:lang w:val="en-US" w:eastAsia="zh-CN"/>
              </w:rPr>
              <w:t>200</w:t>
            </w:r>
          </w:p>
        </w:tc>
        <w:tc>
          <w:tcPr>
            <w:tcW w:w="641" w:type="pct"/>
            <w:vMerge w:val="continue"/>
            <w:tcBorders>
              <w:left w:val="single" w:color="auto" w:sz="4" w:space="0"/>
              <w:right w:val="single" w:color="auto" w:sz="4" w:space="0"/>
            </w:tcBorders>
            <w:noWrap w:val="0"/>
            <w:vAlign w:val="center"/>
          </w:tcPr>
          <w:p w14:paraId="6870C5BB">
            <w:pPr>
              <w:pStyle w:val="19"/>
              <w:bidi w:val="0"/>
            </w:pPr>
          </w:p>
        </w:tc>
      </w:tr>
      <w:tr w14:paraId="3E4D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4B9F44EF">
            <w:pPr>
              <w:pStyle w:val="19"/>
              <w:bidi w:val="0"/>
            </w:pPr>
          </w:p>
        </w:tc>
        <w:tc>
          <w:tcPr>
            <w:tcW w:w="312" w:type="pct"/>
            <w:vMerge w:val="continue"/>
            <w:tcBorders>
              <w:left w:val="single" w:color="auto" w:sz="4" w:space="0"/>
              <w:right w:val="single" w:color="auto" w:sz="4" w:space="0"/>
            </w:tcBorders>
            <w:noWrap w:val="0"/>
            <w:vAlign w:val="center"/>
          </w:tcPr>
          <w:p w14:paraId="1CECA6B6">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6F30A83A">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23363DAF">
            <w:pPr>
              <w:pStyle w:val="19"/>
              <w:bidi w:val="0"/>
              <w:rPr>
                <w:rFonts w:hint="eastAsia" w:eastAsia="宋体"/>
                <w:lang w:val="en-US" w:eastAsia="zh-CN"/>
              </w:rPr>
            </w:pPr>
            <w:r>
              <w:t>NO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26DA8592">
            <w:pPr>
              <w:pStyle w:val="19"/>
              <w:bidi w:val="0"/>
              <w:rPr>
                <w:rFonts w:hint="eastAsia"/>
                <w:lang w:val="en-US" w:eastAsia="zh-CN"/>
              </w:rPr>
            </w:pPr>
            <w:r>
              <w:rPr>
                <w:rFonts w:hint="eastAsia"/>
                <w:lang w:val="en-US" w:eastAsia="zh-CN"/>
              </w:rPr>
              <w:t>11.5115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11A1C54">
            <w:pPr>
              <w:pStyle w:val="19"/>
              <w:bidi w:val="0"/>
              <w:rPr>
                <w:rFonts w:hint="default"/>
                <w:lang w:val="en-US" w:eastAsia="zh-CN"/>
              </w:rPr>
            </w:pPr>
            <w:r>
              <w:rPr>
                <w:rFonts w:hint="eastAsia"/>
                <w:lang w:val="en-US" w:eastAsia="zh-CN"/>
              </w:rPr>
              <w:t>5.6764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04FAB48">
            <w:pPr>
              <w:pStyle w:val="19"/>
              <w:bidi w:val="0"/>
              <w:rPr>
                <w:rFonts w:hint="default"/>
                <w:lang w:val="en-US" w:eastAsia="zh-CN"/>
              </w:rPr>
            </w:pPr>
            <w:r>
              <w:rPr>
                <w:rFonts w:hint="eastAsia"/>
                <w:lang w:val="en-US" w:eastAsia="zh-CN"/>
              </w:rPr>
              <w:t>200</w:t>
            </w:r>
          </w:p>
        </w:tc>
        <w:tc>
          <w:tcPr>
            <w:tcW w:w="641" w:type="pct"/>
            <w:vMerge w:val="continue"/>
            <w:tcBorders>
              <w:left w:val="single" w:color="auto" w:sz="4" w:space="0"/>
              <w:bottom w:val="single" w:color="auto" w:sz="4" w:space="0"/>
              <w:right w:val="single" w:color="auto" w:sz="4" w:space="0"/>
            </w:tcBorders>
            <w:noWrap w:val="0"/>
            <w:vAlign w:val="center"/>
          </w:tcPr>
          <w:p w14:paraId="61C504DD">
            <w:pPr>
              <w:pStyle w:val="19"/>
              <w:bidi w:val="0"/>
            </w:pPr>
          </w:p>
        </w:tc>
      </w:tr>
      <w:tr w14:paraId="0279E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126022A2">
            <w:pPr>
              <w:pStyle w:val="19"/>
              <w:bidi w:val="0"/>
            </w:pPr>
          </w:p>
        </w:tc>
        <w:tc>
          <w:tcPr>
            <w:tcW w:w="312" w:type="pct"/>
            <w:vMerge w:val="continue"/>
            <w:tcBorders>
              <w:left w:val="single" w:color="auto" w:sz="4" w:space="0"/>
              <w:right w:val="single" w:color="auto" w:sz="4" w:space="0"/>
            </w:tcBorders>
            <w:noWrap w:val="0"/>
            <w:vAlign w:val="center"/>
          </w:tcPr>
          <w:p w14:paraId="70EE9850">
            <w:pPr>
              <w:pStyle w:val="19"/>
              <w:bidi w:val="0"/>
            </w:pPr>
          </w:p>
        </w:tc>
        <w:tc>
          <w:tcPr>
            <w:tcW w:w="511" w:type="pct"/>
            <w:vMerge w:val="restart"/>
            <w:tcBorders>
              <w:top w:val="single" w:color="auto" w:sz="4" w:space="0"/>
              <w:left w:val="single" w:color="auto" w:sz="4" w:space="0"/>
              <w:right w:val="single" w:color="auto" w:sz="4" w:space="0"/>
            </w:tcBorders>
            <w:noWrap w:val="0"/>
            <w:vAlign w:val="center"/>
          </w:tcPr>
          <w:p w14:paraId="6083D69E">
            <w:pPr>
              <w:pStyle w:val="19"/>
              <w:bidi w:val="0"/>
              <w:rPr>
                <w:rFonts w:hint="default"/>
                <w:lang w:val="en-US"/>
              </w:rPr>
            </w:pPr>
            <w:r>
              <w:rPr>
                <w:rFonts w:hint="eastAsia"/>
                <w:lang w:val="en-US" w:eastAsia="zh-CN"/>
              </w:rPr>
              <w:t>DA002</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27C6C1B2">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PM</w:t>
            </w:r>
            <w:r>
              <w:rPr>
                <w:rFonts w:hint="eastAsia"/>
                <w:vertAlign w:val="subscript"/>
                <w:lang w:val="en-US" w:eastAsia="zh-CN"/>
              </w:rPr>
              <w:t>10</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01CFF69F">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0.0755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3E85D7EF">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0.0189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522BBACA">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100</w:t>
            </w:r>
          </w:p>
        </w:tc>
        <w:tc>
          <w:tcPr>
            <w:tcW w:w="641" w:type="pct"/>
            <w:vMerge w:val="restart"/>
            <w:tcBorders>
              <w:top w:val="single" w:color="auto" w:sz="4" w:space="0"/>
              <w:left w:val="single" w:color="auto" w:sz="4" w:space="0"/>
              <w:right w:val="single" w:color="auto" w:sz="4" w:space="0"/>
            </w:tcBorders>
            <w:noWrap w:val="0"/>
            <w:vAlign w:val="center"/>
          </w:tcPr>
          <w:p w14:paraId="35453651">
            <w:pPr>
              <w:pStyle w:val="19"/>
              <w:bidi w:val="0"/>
            </w:pPr>
            <w:r>
              <w:rPr>
                <w:rFonts w:hint="eastAsia"/>
                <w:lang w:val="en-US" w:eastAsia="zh-CN"/>
              </w:rPr>
              <w:t>二级</w:t>
            </w:r>
          </w:p>
        </w:tc>
      </w:tr>
      <w:tr w14:paraId="21D2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4CDE8192">
            <w:pPr>
              <w:pStyle w:val="19"/>
              <w:bidi w:val="0"/>
            </w:pPr>
          </w:p>
        </w:tc>
        <w:tc>
          <w:tcPr>
            <w:tcW w:w="312" w:type="pct"/>
            <w:vMerge w:val="continue"/>
            <w:tcBorders>
              <w:left w:val="single" w:color="auto" w:sz="4" w:space="0"/>
              <w:right w:val="single" w:color="auto" w:sz="4" w:space="0"/>
            </w:tcBorders>
            <w:noWrap w:val="0"/>
            <w:vAlign w:val="center"/>
          </w:tcPr>
          <w:p w14:paraId="5665297A">
            <w:pPr>
              <w:pStyle w:val="19"/>
              <w:bidi w:val="0"/>
            </w:pPr>
          </w:p>
        </w:tc>
        <w:tc>
          <w:tcPr>
            <w:tcW w:w="511" w:type="pct"/>
            <w:vMerge w:val="continue"/>
            <w:tcBorders>
              <w:left w:val="single" w:color="auto" w:sz="4" w:space="0"/>
              <w:right w:val="single" w:color="auto" w:sz="4" w:space="0"/>
            </w:tcBorders>
            <w:noWrap w:val="0"/>
            <w:vAlign w:val="center"/>
          </w:tcPr>
          <w:p w14:paraId="3FFD87C7">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383DC0BB">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SO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7FA90229">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5.3665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5C2E94D0">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1.0733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4A09C77">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right w:val="single" w:color="auto" w:sz="4" w:space="0"/>
            </w:tcBorders>
            <w:noWrap w:val="0"/>
            <w:vAlign w:val="center"/>
          </w:tcPr>
          <w:p w14:paraId="2D850F8B">
            <w:pPr>
              <w:pStyle w:val="19"/>
              <w:bidi w:val="0"/>
            </w:pPr>
          </w:p>
        </w:tc>
      </w:tr>
      <w:tr w14:paraId="031DF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3AC30CD8">
            <w:pPr>
              <w:pStyle w:val="19"/>
              <w:bidi w:val="0"/>
            </w:pPr>
          </w:p>
        </w:tc>
        <w:tc>
          <w:tcPr>
            <w:tcW w:w="312" w:type="pct"/>
            <w:vMerge w:val="continue"/>
            <w:tcBorders>
              <w:left w:val="single" w:color="auto" w:sz="4" w:space="0"/>
              <w:right w:val="single" w:color="auto" w:sz="4" w:space="0"/>
            </w:tcBorders>
            <w:noWrap w:val="0"/>
            <w:vAlign w:val="center"/>
          </w:tcPr>
          <w:p w14:paraId="346D52F3">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24F9752E">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484C051D">
            <w:pPr>
              <w:pStyle w:val="19"/>
              <w:bidi w:val="0"/>
              <w:ind w:firstLine="0" w:firstLineChars="0"/>
              <w:rPr>
                <w:rFonts w:hint="eastAsia" w:ascii="Times New Roman" w:hAnsi="Times New Roman" w:eastAsia="宋体" w:cs="Times New Roman"/>
                <w:kern w:val="2"/>
                <w:sz w:val="21"/>
                <w:szCs w:val="22"/>
                <w:lang w:val="en-US" w:eastAsia="zh-CN" w:bidi="ar-SA"/>
              </w:rPr>
            </w:pPr>
            <w:r>
              <w:t>NO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64D357CB">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11.5115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6E168FE0">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5.6764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2723DB85">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bottom w:val="single" w:color="auto" w:sz="4" w:space="0"/>
              <w:right w:val="single" w:color="auto" w:sz="4" w:space="0"/>
            </w:tcBorders>
            <w:noWrap w:val="0"/>
            <w:vAlign w:val="center"/>
          </w:tcPr>
          <w:p w14:paraId="4046476D">
            <w:pPr>
              <w:pStyle w:val="19"/>
              <w:bidi w:val="0"/>
            </w:pPr>
          </w:p>
        </w:tc>
      </w:tr>
      <w:tr w14:paraId="2076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53" w:type="pct"/>
            <w:vMerge w:val="continue"/>
            <w:tcBorders>
              <w:left w:val="single" w:color="auto" w:sz="4" w:space="0"/>
              <w:right w:val="single" w:color="auto" w:sz="4" w:space="0"/>
            </w:tcBorders>
            <w:noWrap w:val="0"/>
            <w:vAlign w:val="center"/>
          </w:tcPr>
          <w:p w14:paraId="1DF4A8B8">
            <w:pPr>
              <w:pStyle w:val="19"/>
              <w:bidi w:val="0"/>
            </w:pPr>
          </w:p>
        </w:tc>
        <w:tc>
          <w:tcPr>
            <w:tcW w:w="312" w:type="pct"/>
            <w:vMerge w:val="continue"/>
            <w:tcBorders>
              <w:left w:val="single" w:color="auto" w:sz="4" w:space="0"/>
              <w:right w:val="single" w:color="auto" w:sz="4" w:space="0"/>
            </w:tcBorders>
            <w:noWrap w:val="0"/>
            <w:vAlign w:val="center"/>
          </w:tcPr>
          <w:p w14:paraId="0414B291">
            <w:pPr>
              <w:pStyle w:val="19"/>
              <w:bidi w:val="0"/>
            </w:pPr>
          </w:p>
        </w:tc>
        <w:tc>
          <w:tcPr>
            <w:tcW w:w="511" w:type="pct"/>
            <w:vMerge w:val="restart"/>
            <w:tcBorders>
              <w:top w:val="single" w:color="auto" w:sz="4" w:space="0"/>
              <w:left w:val="single" w:color="auto" w:sz="4" w:space="0"/>
              <w:right w:val="single" w:color="auto" w:sz="4" w:space="0"/>
            </w:tcBorders>
            <w:noWrap w:val="0"/>
            <w:vAlign w:val="center"/>
          </w:tcPr>
          <w:p w14:paraId="5E031E04">
            <w:pPr>
              <w:pStyle w:val="19"/>
              <w:bidi w:val="0"/>
              <w:rPr>
                <w:rFonts w:hint="default"/>
                <w:lang w:val="en-US"/>
              </w:rPr>
            </w:pPr>
            <w:r>
              <w:rPr>
                <w:rFonts w:hint="eastAsia"/>
                <w:lang w:val="en-US" w:eastAsia="zh-CN"/>
              </w:rPr>
              <w:t>DA003</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68A40C8F">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PM</w:t>
            </w:r>
            <w:r>
              <w:rPr>
                <w:rFonts w:hint="eastAsia"/>
                <w:vertAlign w:val="subscript"/>
                <w:lang w:val="en-US" w:eastAsia="zh-CN"/>
              </w:rPr>
              <w:t>10</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69C0FA5D">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0.0755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4DD13E9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0.0189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55B8F27">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100</w:t>
            </w:r>
          </w:p>
        </w:tc>
        <w:tc>
          <w:tcPr>
            <w:tcW w:w="641" w:type="pct"/>
            <w:vMerge w:val="restart"/>
            <w:tcBorders>
              <w:top w:val="single" w:color="auto" w:sz="4" w:space="0"/>
              <w:left w:val="single" w:color="auto" w:sz="4" w:space="0"/>
              <w:right w:val="single" w:color="auto" w:sz="4" w:space="0"/>
            </w:tcBorders>
            <w:noWrap w:val="0"/>
            <w:vAlign w:val="center"/>
          </w:tcPr>
          <w:p w14:paraId="53A04A81">
            <w:pPr>
              <w:pStyle w:val="19"/>
              <w:bidi w:val="0"/>
            </w:pPr>
            <w:r>
              <w:rPr>
                <w:rFonts w:hint="eastAsia"/>
                <w:lang w:val="en-US" w:eastAsia="zh-CN"/>
              </w:rPr>
              <w:t>二级</w:t>
            </w:r>
          </w:p>
        </w:tc>
      </w:tr>
      <w:tr w14:paraId="79AF7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53" w:type="pct"/>
            <w:vMerge w:val="continue"/>
            <w:tcBorders>
              <w:left w:val="single" w:color="auto" w:sz="4" w:space="0"/>
              <w:right w:val="single" w:color="auto" w:sz="4" w:space="0"/>
            </w:tcBorders>
            <w:noWrap w:val="0"/>
            <w:vAlign w:val="center"/>
          </w:tcPr>
          <w:p w14:paraId="55F638D5">
            <w:pPr>
              <w:pStyle w:val="19"/>
              <w:bidi w:val="0"/>
            </w:pPr>
          </w:p>
        </w:tc>
        <w:tc>
          <w:tcPr>
            <w:tcW w:w="312" w:type="pct"/>
            <w:vMerge w:val="continue"/>
            <w:tcBorders>
              <w:left w:val="single" w:color="auto" w:sz="4" w:space="0"/>
              <w:right w:val="single" w:color="auto" w:sz="4" w:space="0"/>
            </w:tcBorders>
            <w:noWrap w:val="0"/>
            <w:vAlign w:val="center"/>
          </w:tcPr>
          <w:p w14:paraId="7749A9AA">
            <w:pPr>
              <w:pStyle w:val="19"/>
              <w:bidi w:val="0"/>
            </w:pPr>
          </w:p>
        </w:tc>
        <w:tc>
          <w:tcPr>
            <w:tcW w:w="511" w:type="pct"/>
            <w:vMerge w:val="continue"/>
            <w:tcBorders>
              <w:left w:val="single" w:color="auto" w:sz="4" w:space="0"/>
              <w:right w:val="single" w:color="auto" w:sz="4" w:space="0"/>
            </w:tcBorders>
            <w:noWrap w:val="0"/>
            <w:vAlign w:val="center"/>
          </w:tcPr>
          <w:p w14:paraId="6C74FC01">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5A6E8AE9">
            <w:pPr>
              <w:pStyle w:val="19"/>
              <w:bidi w:val="0"/>
              <w:ind w:firstLine="0" w:firstLineChars="0"/>
              <w:rPr>
                <w:rFonts w:hint="default" w:ascii="Times New Roman" w:hAnsi="Times New Roman" w:eastAsia="宋体" w:cs="Times New Roman"/>
                <w:kern w:val="2"/>
                <w:sz w:val="21"/>
                <w:szCs w:val="22"/>
                <w:vertAlign w:val="subscript"/>
                <w:lang w:val="en-US" w:eastAsia="zh-CN" w:bidi="ar-SA"/>
              </w:rPr>
            </w:pPr>
            <w:r>
              <w:rPr>
                <w:rFonts w:hint="eastAsia"/>
                <w:lang w:val="en-US" w:eastAsia="zh-CN"/>
              </w:rPr>
              <w:t>SO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21DD7507">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5.3665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5BFEA12B">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1.0733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79AF9AC">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right w:val="single" w:color="auto" w:sz="4" w:space="0"/>
            </w:tcBorders>
            <w:noWrap w:val="0"/>
            <w:vAlign w:val="center"/>
          </w:tcPr>
          <w:p w14:paraId="14E4F666">
            <w:pPr>
              <w:pStyle w:val="19"/>
              <w:bidi w:val="0"/>
            </w:pPr>
          </w:p>
        </w:tc>
      </w:tr>
      <w:tr w14:paraId="0022F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272B689D">
            <w:pPr>
              <w:pStyle w:val="19"/>
              <w:bidi w:val="0"/>
            </w:pPr>
          </w:p>
        </w:tc>
        <w:tc>
          <w:tcPr>
            <w:tcW w:w="312" w:type="pct"/>
            <w:vMerge w:val="continue"/>
            <w:tcBorders>
              <w:left w:val="single" w:color="auto" w:sz="4" w:space="0"/>
              <w:right w:val="single" w:color="auto" w:sz="4" w:space="0"/>
            </w:tcBorders>
            <w:noWrap w:val="0"/>
            <w:vAlign w:val="center"/>
          </w:tcPr>
          <w:p w14:paraId="3F7F021F">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36FA36C6">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196C72A6">
            <w:pPr>
              <w:pStyle w:val="19"/>
              <w:bidi w:val="0"/>
              <w:ind w:firstLine="0" w:firstLineChars="0"/>
              <w:rPr>
                <w:rFonts w:hint="eastAsia" w:ascii="Times New Roman" w:hAnsi="Times New Roman" w:eastAsia="宋体" w:cs="Times New Roman"/>
                <w:kern w:val="2"/>
                <w:sz w:val="21"/>
                <w:szCs w:val="22"/>
                <w:lang w:val="en-US" w:eastAsia="zh-CN" w:bidi="ar-SA"/>
              </w:rPr>
            </w:pPr>
            <w:r>
              <w:t>NO</w:t>
            </w:r>
            <w:r>
              <w:rPr>
                <w:rFonts w:hint="eastAsia"/>
                <w:vertAlign w:val="subscript"/>
                <w:lang w:val="en-US" w:eastAsia="zh-CN"/>
              </w:rPr>
              <w:t>2</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151A6BD8">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11.5115</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0F7A010C">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5.6764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033E025">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200</w:t>
            </w:r>
          </w:p>
        </w:tc>
        <w:tc>
          <w:tcPr>
            <w:tcW w:w="641" w:type="pct"/>
            <w:vMerge w:val="continue"/>
            <w:tcBorders>
              <w:left w:val="single" w:color="auto" w:sz="4" w:space="0"/>
              <w:bottom w:val="single" w:color="auto" w:sz="4" w:space="0"/>
              <w:right w:val="single" w:color="auto" w:sz="4" w:space="0"/>
            </w:tcBorders>
            <w:noWrap w:val="0"/>
            <w:vAlign w:val="center"/>
          </w:tcPr>
          <w:p w14:paraId="1CDA865A">
            <w:pPr>
              <w:pStyle w:val="19"/>
              <w:bidi w:val="0"/>
            </w:pPr>
          </w:p>
        </w:tc>
      </w:tr>
      <w:tr w14:paraId="46A32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75594F99">
            <w:pPr>
              <w:pStyle w:val="19"/>
              <w:bidi w:val="0"/>
            </w:pPr>
          </w:p>
        </w:tc>
        <w:tc>
          <w:tcPr>
            <w:tcW w:w="312" w:type="pct"/>
            <w:vMerge w:val="continue"/>
            <w:tcBorders>
              <w:left w:val="single" w:color="auto" w:sz="4" w:space="0"/>
              <w:right w:val="single" w:color="auto" w:sz="4" w:space="0"/>
            </w:tcBorders>
            <w:noWrap w:val="0"/>
            <w:vAlign w:val="center"/>
          </w:tcPr>
          <w:p w14:paraId="55C5E1E2">
            <w:pPr>
              <w:pStyle w:val="19"/>
              <w:bidi w:val="0"/>
            </w:pPr>
          </w:p>
        </w:tc>
        <w:tc>
          <w:tcPr>
            <w:tcW w:w="511" w:type="pct"/>
            <w:vMerge w:val="restart"/>
            <w:tcBorders>
              <w:top w:val="single" w:color="auto" w:sz="4" w:space="0"/>
              <w:left w:val="single" w:color="auto" w:sz="4" w:space="0"/>
              <w:right w:val="single" w:color="auto" w:sz="4" w:space="0"/>
            </w:tcBorders>
            <w:noWrap w:val="0"/>
            <w:vAlign w:val="center"/>
          </w:tcPr>
          <w:p w14:paraId="7CAD78DB">
            <w:pPr>
              <w:pStyle w:val="19"/>
              <w:bidi w:val="0"/>
              <w:rPr>
                <w:rFonts w:hint="default"/>
                <w:lang w:val="en-US"/>
              </w:rPr>
            </w:pPr>
            <w:r>
              <w:rPr>
                <w:rFonts w:hint="eastAsia"/>
                <w:lang w:val="en-US" w:eastAsia="zh-CN"/>
              </w:rPr>
              <w:t>DA004</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2CFFF71A">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NH</w:t>
            </w:r>
            <w:r>
              <w:rPr>
                <w:rFonts w:hint="eastAsia"/>
                <w:vertAlign w:val="subscript"/>
              </w:rPr>
              <w:t>3</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61089AC4">
            <w:pPr>
              <w:pStyle w:val="19"/>
              <w:bidi w:val="0"/>
            </w:pPr>
            <w:r>
              <w:t>7.829</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54BF5AD4">
            <w:pPr>
              <w:pStyle w:val="19"/>
              <w:bidi w:val="0"/>
              <w:rPr>
                <w:rFonts w:hint="default" w:eastAsia="宋体"/>
                <w:lang w:val="en-US" w:eastAsia="zh-CN"/>
              </w:rPr>
            </w:pPr>
            <w:r>
              <w:rPr>
                <w:rFonts w:hint="eastAsia"/>
                <w:lang w:val="en-US" w:eastAsia="zh-CN"/>
              </w:rPr>
              <w:t>3.92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56170054">
            <w:pPr>
              <w:pStyle w:val="19"/>
              <w:bidi w:val="0"/>
              <w:rPr>
                <w:rFonts w:hint="default" w:eastAsia="宋体"/>
                <w:lang w:val="en-US" w:eastAsia="zh-CN"/>
              </w:rPr>
            </w:pPr>
            <w:r>
              <w:rPr>
                <w:rFonts w:hint="eastAsia"/>
                <w:lang w:val="en-US" w:eastAsia="zh-CN"/>
              </w:rPr>
              <w:t>178</w:t>
            </w:r>
          </w:p>
        </w:tc>
        <w:tc>
          <w:tcPr>
            <w:tcW w:w="641" w:type="pct"/>
            <w:vMerge w:val="restart"/>
            <w:tcBorders>
              <w:top w:val="single" w:color="auto" w:sz="4" w:space="0"/>
              <w:left w:val="single" w:color="auto" w:sz="4" w:space="0"/>
              <w:right w:val="single" w:color="auto" w:sz="4" w:space="0"/>
            </w:tcBorders>
            <w:noWrap w:val="0"/>
            <w:vAlign w:val="center"/>
          </w:tcPr>
          <w:p w14:paraId="1DC198A2">
            <w:pPr>
              <w:pStyle w:val="19"/>
              <w:bidi w:val="0"/>
            </w:pPr>
            <w:r>
              <w:rPr>
                <w:rFonts w:hint="eastAsia"/>
                <w:lang w:val="en-US" w:eastAsia="zh-CN"/>
              </w:rPr>
              <w:t>二级</w:t>
            </w:r>
          </w:p>
        </w:tc>
      </w:tr>
      <w:tr w14:paraId="50701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2C3AA45D">
            <w:pPr>
              <w:pStyle w:val="19"/>
              <w:bidi w:val="0"/>
            </w:pPr>
          </w:p>
        </w:tc>
        <w:tc>
          <w:tcPr>
            <w:tcW w:w="312" w:type="pct"/>
            <w:vMerge w:val="continue"/>
            <w:tcBorders>
              <w:left w:val="single" w:color="auto" w:sz="4" w:space="0"/>
              <w:bottom w:val="single" w:color="auto" w:sz="4" w:space="0"/>
              <w:right w:val="single" w:color="auto" w:sz="4" w:space="0"/>
            </w:tcBorders>
            <w:noWrap w:val="0"/>
            <w:vAlign w:val="center"/>
          </w:tcPr>
          <w:p w14:paraId="6763EB88">
            <w:pPr>
              <w:pStyle w:val="19"/>
              <w:bidi w:val="0"/>
            </w:pPr>
          </w:p>
        </w:tc>
        <w:tc>
          <w:tcPr>
            <w:tcW w:w="511" w:type="pct"/>
            <w:vMerge w:val="continue"/>
            <w:tcBorders>
              <w:left w:val="single" w:color="auto" w:sz="4" w:space="0"/>
              <w:bottom w:val="single" w:color="auto" w:sz="4" w:space="0"/>
              <w:right w:val="single" w:color="auto" w:sz="4" w:space="0"/>
            </w:tcBorders>
            <w:noWrap w:val="0"/>
            <w:vAlign w:val="center"/>
          </w:tcPr>
          <w:p w14:paraId="4A7C341F">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396684AD">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H</w:t>
            </w:r>
            <w:r>
              <w:rPr>
                <w:rFonts w:hint="eastAsia"/>
                <w:vertAlign w:val="subscript"/>
              </w:rPr>
              <w:t>2</w:t>
            </w:r>
            <w:r>
              <w:rPr>
                <w:rFonts w:hint="eastAsia"/>
              </w:rPr>
              <w:t>S</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1388027E">
            <w:pPr>
              <w:pStyle w:val="19"/>
              <w:bidi w:val="0"/>
            </w:pPr>
            <w:r>
              <w:t>0.7829</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A1FC89B">
            <w:pPr>
              <w:pStyle w:val="19"/>
              <w:bidi w:val="0"/>
              <w:rPr>
                <w:rFonts w:hint="default" w:eastAsia="宋体"/>
                <w:lang w:val="en-US" w:eastAsia="zh-CN"/>
              </w:rPr>
            </w:pPr>
            <w:r>
              <w:rPr>
                <w:rFonts w:hint="eastAsia"/>
                <w:lang w:val="en-US" w:eastAsia="zh-CN"/>
              </w:rPr>
              <w:t>7.83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5E98D324">
            <w:pPr>
              <w:pStyle w:val="19"/>
              <w:bidi w:val="0"/>
              <w:rPr>
                <w:rFonts w:hint="default" w:eastAsia="宋体"/>
                <w:lang w:val="en-US" w:eastAsia="zh-CN"/>
              </w:rPr>
            </w:pPr>
            <w:r>
              <w:rPr>
                <w:rFonts w:hint="eastAsia"/>
                <w:lang w:val="en-US" w:eastAsia="zh-CN"/>
              </w:rPr>
              <w:t>178</w:t>
            </w:r>
          </w:p>
        </w:tc>
        <w:tc>
          <w:tcPr>
            <w:tcW w:w="641" w:type="pct"/>
            <w:vMerge w:val="continue"/>
            <w:tcBorders>
              <w:left w:val="single" w:color="auto" w:sz="4" w:space="0"/>
              <w:bottom w:val="single" w:color="auto" w:sz="4" w:space="0"/>
              <w:right w:val="single" w:color="auto" w:sz="4" w:space="0"/>
            </w:tcBorders>
            <w:noWrap w:val="0"/>
            <w:vAlign w:val="center"/>
          </w:tcPr>
          <w:p w14:paraId="6881F336">
            <w:pPr>
              <w:pStyle w:val="19"/>
              <w:bidi w:val="0"/>
            </w:pPr>
          </w:p>
        </w:tc>
      </w:tr>
      <w:tr w14:paraId="3E86A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right w:val="single" w:color="auto" w:sz="4" w:space="0"/>
            </w:tcBorders>
            <w:noWrap w:val="0"/>
            <w:vAlign w:val="center"/>
          </w:tcPr>
          <w:p w14:paraId="288D97C3">
            <w:pPr>
              <w:pStyle w:val="19"/>
              <w:bidi w:val="0"/>
            </w:pPr>
          </w:p>
        </w:tc>
        <w:tc>
          <w:tcPr>
            <w:tcW w:w="312" w:type="pct"/>
            <w:vMerge w:val="restart"/>
            <w:tcBorders>
              <w:top w:val="single" w:color="auto" w:sz="4" w:space="0"/>
              <w:left w:val="single" w:color="auto" w:sz="4" w:space="0"/>
              <w:bottom w:val="single" w:color="auto" w:sz="4" w:space="0"/>
              <w:right w:val="single" w:color="auto" w:sz="4" w:space="0"/>
            </w:tcBorders>
            <w:noWrap w:val="0"/>
            <w:vAlign w:val="center"/>
          </w:tcPr>
          <w:p w14:paraId="718C0AD9">
            <w:pPr>
              <w:pStyle w:val="19"/>
              <w:bidi w:val="0"/>
              <w:rPr>
                <w:rFonts w:hint="default" w:eastAsia="宋体"/>
                <w:lang w:val="en-US" w:eastAsia="zh-CN"/>
              </w:rPr>
            </w:pPr>
            <w:r>
              <w:rPr>
                <w:rFonts w:hint="eastAsia"/>
                <w:lang w:val="en-US" w:eastAsia="zh-CN"/>
              </w:rPr>
              <w:t>无组织</w:t>
            </w:r>
          </w:p>
        </w:tc>
        <w:tc>
          <w:tcPr>
            <w:tcW w:w="511" w:type="pct"/>
            <w:vMerge w:val="restart"/>
            <w:tcBorders>
              <w:top w:val="single" w:color="auto" w:sz="4" w:space="0"/>
              <w:left w:val="single" w:color="auto" w:sz="4" w:space="0"/>
              <w:bottom w:val="single" w:color="auto" w:sz="4" w:space="0"/>
              <w:right w:val="single" w:color="auto" w:sz="4" w:space="0"/>
            </w:tcBorders>
            <w:noWrap w:val="0"/>
            <w:vAlign w:val="center"/>
          </w:tcPr>
          <w:p w14:paraId="1496B90B">
            <w:pPr>
              <w:pStyle w:val="19"/>
              <w:bidi w:val="0"/>
              <w:rPr>
                <w:rFonts w:hint="eastAsia"/>
                <w:lang w:val="en-US" w:eastAsia="zh-CN"/>
              </w:rPr>
            </w:pPr>
            <w:r>
              <w:rPr>
                <w:rFonts w:hint="eastAsia"/>
                <w:lang w:val="en-US" w:eastAsia="zh-CN"/>
              </w:rPr>
              <w:t>厂界</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740C9FFF">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NH</w:t>
            </w:r>
            <w:r>
              <w:rPr>
                <w:rFonts w:hint="eastAsia"/>
                <w:vertAlign w:val="subscript"/>
              </w:rPr>
              <w:t>3</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60FF2EBF">
            <w:pPr>
              <w:pStyle w:val="19"/>
              <w:bidi w:val="0"/>
              <w:ind w:firstLine="0" w:firstLineChars="0"/>
              <w:rPr>
                <w:rFonts w:ascii="Times New Roman" w:hAnsi="Times New Roman" w:eastAsia="宋体" w:cs="Times New Roman"/>
                <w:kern w:val="2"/>
                <w:sz w:val="21"/>
                <w:szCs w:val="22"/>
                <w:lang w:val="en-US" w:eastAsia="zh-CN" w:bidi="ar-SA"/>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8.14</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117B5D15">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4.07</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CDC69E2">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206</w:t>
            </w:r>
          </w:p>
        </w:tc>
        <w:tc>
          <w:tcPr>
            <w:tcW w:w="641" w:type="pct"/>
            <w:vMerge w:val="restart"/>
            <w:tcBorders>
              <w:top w:val="single" w:color="auto" w:sz="4" w:space="0"/>
              <w:left w:val="single" w:color="auto" w:sz="4" w:space="0"/>
              <w:right w:val="single" w:color="auto" w:sz="4" w:space="0"/>
            </w:tcBorders>
            <w:noWrap w:val="0"/>
            <w:vAlign w:val="center"/>
          </w:tcPr>
          <w:p w14:paraId="711D5D90">
            <w:pPr>
              <w:pStyle w:val="19"/>
              <w:bidi w:val="0"/>
              <w:ind w:firstLine="0" w:firstLineChars="0"/>
              <w:rPr>
                <w:rFonts w:ascii="Times New Roman" w:hAnsi="Times New Roman" w:eastAsia="宋体" w:cs="Times New Roman"/>
                <w:kern w:val="2"/>
                <w:sz w:val="21"/>
                <w:szCs w:val="22"/>
                <w:lang w:val="en-US" w:eastAsia="zh-CN" w:bidi="ar-SA"/>
              </w:rPr>
            </w:pPr>
            <w:r>
              <w:rPr>
                <w:rFonts w:hint="eastAsia"/>
                <w:lang w:val="en-US" w:eastAsia="zh-CN"/>
              </w:rPr>
              <w:t>二级</w:t>
            </w:r>
          </w:p>
        </w:tc>
      </w:tr>
      <w:tr w14:paraId="7754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53" w:type="pct"/>
            <w:vMerge w:val="continue"/>
            <w:tcBorders>
              <w:left w:val="single" w:color="auto" w:sz="4" w:space="0"/>
              <w:bottom w:val="single" w:color="auto" w:sz="4" w:space="0"/>
              <w:right w:val="single" w:color="auto" w:sz="4" w:space="0"/>
            </w:tcBorders>
            <w:noWrap w:val="0"/>
            <w:vAlign w:val="center"/>
          </w:tcPr>
          <w:p w14:paraId="2C717A75">
            <w:pPr>
              <w:pStyle w:val="19"/>
              <w:bidi w:val="0"/>
            </w:pPr>
          </w:p>
        </w:tc>
        <w:tc>
          <w:tcPr>
            <w:tcW w:w="312" w:type="pct"/>
            <w:vMerge w:val="continue"/>
            <w:tcBorders>
              <w:top w:val="single" w:color="auto" w:sz="4" w:space="0"/>
              <w:left w:val="single" w:color="auto" w:sz="4" w:space="0"/>
              <w:bottom w:val="single" w:color="auto" w:sz="4" w:space="0"/>
              <w:right w:val="single" w:color="auto" w:sz="4" w:space="0"/>
            </w:tcBorders>
            <w:noWrap w:val="0"/>
            <w:vAlign w:val="center"/>
          </w:tcPr>
          <w:p w14:paraId="57B723F6">
            <w:pPr>
              <w:pStyle w:val="19"/>
              <w:bidi w:val="0"/>
            </w:pPr>
          </w:p>
        </w:tc>
        <w:tc>
          <w:tcPr>
            <w:tcW w:w="511" w:type="pct"/>
            <w:vMerge w:val="continue"/>
            <w:tcBorders>
              <w:top w:val="single" w:color="auto" w:sz="4" w:space="0"/>
              <w:left w:val="single" w:color="auto" w:sz="4" w:space="0"/>
              <w:bottom w:val="single" w:color="auto" w:sz="4" w:space="0"/>
              <w:right w:val="single" w:color="auto" w:sz="4" w:space="0"/>
            </w:tcBorders>
            <w:noWrap w:val="0"/>
            <w:vAlign w:val="center"/>
          </w:tcPr>
          <w:p w14:paraId="26B27E07">
            <w:pPr>
              <w:pStyle w:val="19"/>
              <w:bidi w:val="0"/>
            </w:pPr>
          </w:p>
        </w:tc>
        <w:tc>
          <w:tcPr>
            <w:tcW w:w="646" w:type="pct"/>
            <w:tcBorders>
              <w:top w:val="single" w:color="auto" w:sz="4" w:space="0"/>
              <w:left w:val="single" w:color="auto" w:sz="4" w:space="0"/>
              <w:bottom w:val="single" w:color="auto" w:sz="4" w:space="0"/>
              <w:right w:val="single" w:color="auto" w:sz="4" w:space="0"/>
            </w:tcBorders>
            <w:noWrap w:val="0"/>
            <w:vAlign w:val="center"/>
          </w:tcPr>
          <w:p w14:paraId="2C6F894C">
            <w:pPr>
              <w:pStyle w:val="19"/>
              <w:bidi w:val="0"/>
              <w:ind w:firstLine="0" w:firstLineChars="0"/>
              <w:rPr>
                <w:rFonts w:ascii="Times New Roman" w:hAnsi="Times New Roman" w:eastAsia="宋体" w:cs="Times New Roman"/>
                <w:kern w:val="2"/>
                <w:sz w:val="21"/>
                <w:szCs w:val="22"/>
                <w:lang w:val="en-US" w:eastAsia="zh-CN" w:bidi="ar-SA"/>
              </w:rPr>
            </w:pPr>
            <w:r>
              <w:rPr>
                <w:rFonts w:hint="eastAsia"/>
              </w:rPr>
              <w:t>H</w:t>
            </w:r>
            <w:r>
              <w:rPr>
                <w:rFonts w:hint="eastAsia"/>
                <w:vertAlign w:val="subscript"/>
              </w:rPr>
              <w:t>2</w:t>
            </w:r>
            <w:r>
              <w:rPr>
                <w:rFonts w:hint="eastAsia"/>
              </w:rPr>
              <w:t>S</w:t>
            </w:r>
          </w:p>
        </w:tc>
        <w:tc>
          <w:tcPr>
            <w:tcW w:w="975" w:type="pct"/>
            <w:tcBorders>
              <w:top w:val="single" w:color="auto" w:sz="4" w:space="0"/>
              <w:left w:val="single" w:color="auto" w:sz="4" w:space="0"/>
              <w:bottom w:val="single" w:color="auto" w:sz="4" w:space="0"/>
              <w:right w:val="single" w:color="auto" w:sz="4" w:space="0"/>
            </w:tcBorders>
            <w:noWrap w:val="0"/>
            <w:vAlign w:val="center"/>
          </w:tcPr>
          <w:p w14:paraId="797B0F0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0.862</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184761E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8.62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6A2E2978">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206</w:t>
            </w:r>
          </w:p>
        </w:tc>
        <w:tc>
          <w:tcPr>
            <w:tcW w:w="641" w:type="pct"/>
            <w:vMerge w:val="continue"/>
            <w:tcBorders>
              <w:left w:val="single" w:color="auto" w:sz="4" w:space="0"/>
              <w:bottom w:val="single" w:color="auto" w:sz="4" w:space="0"/>
              <w:right w:val="single" w:color="auto" w:sz="4" w:space="0"/>
            </w:tcBorders>
            <w:noWrap w:val="0"/>
            <w:vAlign w:val="center"/>
          </w:tcPr>
          <w:p w14:paraId="3EF0B5DB">
            <w:pPr>
              <w:pStyle w:val="19"/>
              <w:bidi w:val="0"/>
              <w:ind w:firstLine="0" w:firstLineChars="0"/>
              <w:rPr>
                <w:rFonts w:ascii="Times New Roman" w:hAnsi="Times New Roman" w:eastAsia="宋体" w:cs="Times New Roman"/>
                <w:kern w:val="2"/>
                <w:sz w:val="21"/>
                <w:szCs w:val="22"/>
                <w:lang w:val="en-US" w:eastAsia="zh-CN" w:bidi="ar-SA"/>
              </w:rPr>
            </w:pPr>
          </w:p>
        </w:tc>
      </w:tr>
    </w:tbl>
    <w:p w14:paraId="441920CF">
      <w:pPr>
        <w:rPr>
          <w:rFonts w:hint="default" w:cs="Times New Roman"/>
          <w:color w:val="000000"/>
          <w:kern w:val="0"/>
          <w:sz w:val="24"/>
          <w:szCs w:val="24"/>
          <w:vertAlign w:val="baseline"/>
          <w:lang w:val="en-US" w:eastAsia="zh-CN" w:bidi="ar"/>
        </w:rPr>
      </w:pPr>
      <w:r>
        <w:rPr>
          <w:color w:val="000000"/>
          <w:highlight w:val="none"/>
        </w:rPr>
        <w:t>综合以上分析，本项目P</w:t>
      </w:r>
      <w:r>
        <w:rPr>
          <w:color w:val="000000"/>
          <w:highlight w:val="none"/>
          <w:vertAlign w:val="subscript"/>
        </w:rPr>
        <w:t>max</w:t>
      </w:r>
      <w:r>
        <w:rPr>
          <w:color w:val="000000"/>
          <w:highlight w:val="none"/>
        </w:rPr>
        <w:t>=</w:t>
      </w:r>
      <w:r>
        <w:rPr>
          <w:rFonts w:hint="eastAsia"/>
          <w:color w:val="000000"/>
          <w:highlight w:val="none"/>
          <w:lang w:val="en-US" w:eastAsia="zh-CN"/>
        </w:rPr>
        <w:t>8.62</w:t>
      </w:r>
      <w:r>
        <w:rPr>
          <w:color w:val="000000"/>
          <w:highlight w:val="none"/>
        </w:rPr>
        <w:t>%&lt;10%，根据《环境影响评价技术导则 大气环境》</w:t>
      </w:r>
      <w:r>
        <w:rPr>
          <w:rFonts w:hint="eastAsia"/>
          <w:color w:val="000000"/>
          <w:highlight w:val="none"/>
          <w:lang w:eastAsia="zh-CN"/>
        </w:rPr>
        <w:t>（</w:t>
      </w:r>
      <w:r>
        <w:rPr>
          <w:color w:val="000000"/>
          <w:highlight w:val="none"/>
        </w:rPr>
        <w:t>HJ2.2-2018</w:t>
      </w:r>
      <w:r>
        <w:rPr>
          <w:rFonts w:hint="eastAsia"/>
          <w:color w:val="000000"/>
          <w:highlight w:val="none"/>
          <w:lang w:eastAsia="zh-CN"/>
        </w:rPr>
        <w:t>）</w:t>
      </w:r>
      <w:r>
        <w:rPr>
          <w:color w:val="000000"/>
          <w:highlight w:val="none"/>
        </w:rPr>
        <w:t>分级判据，确定本项目大气环境影响评价工作等级为二级</w:t>
      </w:r>
      <w:r>
        <w:rPr>
          <w:rFonts w:hint="eastAsia"/>
          <w:color w:val="000000"/>
          <w:highlight w:val="none"/>
          <w:lang w:eastAsia="zh-CN"/>
        </w:rPr>
        <w:t>，</w:t>
      </w:r>
      <w:r>
        <w:rPr>
          <w:rFonts w:hint="eastAsia"/>
          <w:color w:val="000000"/>
          <w:highlight w:val="none"/>
          <w:lang w:val="en-US" w:eastAsia="zh-CN"/>
        </w:rPr>
        <w:t>不需要进一步预测，仅核算污染物排放量</w:t>
      </w:r>
      <w:r>
        <w:rPr>
          <w:color w:val="000000"/>
          <w:highlight w:val="none"/>
        </w:rPr>
        <w:t>。</w:t>
      </w:r>
    </w:p>
    <w:p w14:paraId="49ACF462">
      <w:pPr>
        <w:pStyle w:val="28"/>
        <w:bidi w:val="0"/>
      </w:pPr>
      <w:r>
        <w:rPr>
          <w:rFonts w:hint="eastAsia"/>
          <w:lang w:val="en-US" w:eastAsia="zh-CN"/>
        </w:rPr>
        <w:t>大气主要污染物排放量核算</w:t>
      </w:r>
    </w:p>
    <w:p w14:paraId="7FED5F0E">
      <w:pPr>
        <w:rPr>
          <w:rFonts w:hint="eastAsia"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根据工程分析可知，本项目营运期产生的废气主要包括养殖废气（恶臭）、生物质锅炉烟气、沼气燃烧废气、粪污处理过程恶臭及食堂油烟。沼气为清洁能源，本项目产生的沼气用于项目供热，燃烧后的产物为CO</w:t>
      </w:r>
      <w:r>
        <w:rPr>
          <w:rFonts w:hint="eastAsia" w:cs="Times New Roman"/>
          <w:color w:val="000000"/>
          <w:kern w:val="0"/>
          <w:sz w:val="24"/>
          <w:szCs w:val="24"/>
          <w:vertAlign w:val="subscript"/>
          <w:lang w:val="en-US" w:eastAsia="zh-CN" w:bidi="ar"/>
        </w:rPr>
        <w:t>2</w:t>
      </w:r>
      <w:r>
        <w:rPr>
          <w:rFonts w:hint="eastAsia" w:cs="Times New Roman"/>
          <w:color w:val="000000"/>
          <w:kern w:val="0"/>
          <w:sz w:val="24"/>
          <w:szCs w:val="24"/>
          <w:vertAlign w:val="baseline"/>
          <w:lang w:val="en-US" w:eastAsia="zh-CN" w:bidi="ar"/>
        </w:rPr>
        <w:t>、H</w:t>
      </w:r>
      <w:r>
        <w:rPr>
          <w:rFonts w:hint="eastAsia" w:cs="Times New Roman"/>
          <w:color w:val="000000"/>
          <w:kern w:val="0"/>
          <w:sz w:val="24"/>
          <w:szCs w:val="24"/>
          <w:vertAlign w:val="subscript"/>
          <w:lang w:val="en-US" w:eastAsia="zh-CN" w:bidi="ar"/>
        </w:rPr>
        <w:t>2</w:t>
      </w:r>
      <w:r>
        <w:rPr>
          <w:rFonts w:hint="eastAsia" w:cs="Times New Roman"/>
          <w:color w:val="000000"/>
          <w:kern w:val="0"/>
          <w:sz w:val="24"/>
          <w:szCs w:val="24"/>
          <w:vertAlign w:val="baseline"/>
          <w:lang w:val="en-US" w:eastAsia="zh-CN" w:bidi="ar"/>
        </w:rPr>
        <w:t>O，且为分散、间歇性无组织排放，对大气环境影响较小。而食堂油烟配备油烟净化装置，油烟经处理后能够实现达标排放。根据</w:t>
      </w:r>
      <w:r>
        <w:rPr>
          <w:color w:val="000000" w:themeColor="text1"/>
          <w:highlight w:val="none"/>
          <w14:textFill>
            <w14:solidFill>
              <w14:schemeClr w14:val="tx1"/>
            </w14:solidFill>
          </w14:textFill>
        </w:rPr>
        <w:t>《环境影响评价技术导则 大气环境》（HJ2.2-2018）中</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8.1二级项目不进行进一步预测与评价，只对污染物排放量进行核算。</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的相关要求，</w:t>
      </w:r>
      <w:r>
        <w:rPr>
          <w:rFonts w:hint="eastAsia" w:cs="Times New Roman"/>
          <w:color w:val="000000"/>
          <w:kern w:val="0"/>
          <w:sz w:val="24"/>
          <w:szCs w:val="24"/>
          <w:vertAlign w:val="baseline"/>
          <w:lang w:val="en-US" w:eastAsia="zh-CN" w:bidi="ar"/>
        </w:rPr>
        <w:t>因此，本次影响分析仅对养殖废气排放量进行核算。</w:t>
      </w:r>
    </w:p>
    <w:p w14:paraId="21F30086">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（1）有组织</w:t>
      </w:r>
    </w:p>
    <w:p w14:paraId="3E2FA2D7">
      <w:pPr>
        <w:adjustRightInd w:val="0"/>
        <w:snapToGrid w:val="0"/>
        <w:spacing w:before="65" w:beforeLines="20" w:after="60" w:line="240" w:lineRule="auto"/>
        <w:ind w:firstLine="0" w:firstLineChars="0"/>
        <w:jc w:val="center"/>
        <w:rPr>
          <w:rFonts w:eastAsia="黑体"/>
        </w:rPr>
      </w:pPr>
      <w:r>
        <w:rPr>
          <w:rFonts w:hint="eastAsia" w:eastAsia="黑体"/>
        </w:rPr>
        <w:t>表</w:t>
      </w:r>
      <w:r>
        <w:rPr>
          <w:rFonts w:hint="eastAsia" w:eastAsia="黑体"/>
          <w:lang w:val="en-US" w:eastAsia="zh-CN"/>
        </w:rPr>
        <w:t>5.2-8</w:t>
      </w:r>
      <w:r>
        <w:rPr>
          <w:rFonts w:eastAsia="黑体"/>
        </w:rPr>
        <w:t xml:space="preserve">   </w:t>
      </w:r>
      <w:r>
        <w:rPr>
          <w:rFonts w:hint="eastAsia" w:eastAsia="黑体"/>
        </w:rPr>
        <w:t>大气污染物有组织排放量核算表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4"/>
        <w:gridCol w:w="1384"/>
        <w:gridCol w:w="1384"/>
        <w:gridCol w:w="1384"/>
        <w:gridCol w:w="1386"/>
        <w:gridCol w:w="1384"/>
      </w:tblGrid>
      <w:tr w14:paraId="578D1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shd w:val="clear" w:color="auto" w:fill="auto"/>
            <w:vAlign w:val="center"/>
          </w:tcPr>
          <w:p w14:paraId="66297FC8">
            <w:pPr>
              <w:adjustRightInd w:val="0"/>
              <w:snapToGrid w:val="0"/>
              <w:spacing w:line="240" w:lineRule="auto"/>
              <w:ind w:firstLine="0" w:firstLineChars="0"/>
              <w:jc w:val="center"/>
              <w:rPr>
                <w:sz w:val="21"/>
                <w:szCs w:val="20"/>
              </w:rPr>
            </w:pPr>
            <w:r>
              <w:rPr>
                <w:rFonts w:hint="eastAsia"/>
                <w:sz w:val="21"/>
                <w:szCs w:val="20"/>
              </w:rPr>
              <w:t>序号</w:t>
            </w:r>
          </w:p>
        </w:tc>
        <w:tc>
          <w:tcPr>
            <w:tcW w:w="833" w:type="pct"/>
            <w:shd w:val="clear" w:color="auto" w:fill="auto"/>
            <w:vAlign w:val="center"/>
          </w:tcPr>
          <w:p w14:paraId="797B22BE">
            <w:pPr>
              <w:adjustRightInd w:val="0"/>
              <w:snapToGrid w:val="0"/>
              <w:spacing w:line="240" w:lineRule="auto"/>
              <w:ind w:firstLine="0" w:firstLineChars="0"/>
              <w:jc w:val="center"/>
              <w:rPr>
                <w:sz w:val="21"/>
                <w:szCs w:val="20"/>
              </w:rPr>
            </w:pPr>
            <w:r>
              <w:rPr>
                <w:rFonts w:hint="eastAsia"/>
                <w:sz w:val="21"/>
                <w:szCs w:val="20"/>
              </w:rPr>
              <w:t>排放口编号</w:t>
            </w:r>
          </w:p>
        </w:tc>
        <w:tc>
          <w:tcPr>
            <w:tcW w:w="833" w:type="pct"/>
            <w:shd w:val="clear" w:color="auto" w:fill="auto"/>
            <w:vAlign w:val="center"/>
          </w:tcPr>
          <w:p w14:paraId="3BFDF19B">
            <w:pPr>
              <w:adjustRightInd w:val="0"/>
              <w:snapToGrid w:val="0"/>
              <w:spacing w:line="240" w:lineRule="auto"/>
              <w:ind w:firstLine="0" w:firstLineChars="0"/>
              <w:jc w:val="center"/>
              <w:rPr>
                <w:sz w:val="21"/>
                <w:szCs w:val="20"/>
              </w:rPr>
            </w:pPr>
            <w:r>
              <w:rPr>
                <w:rFonts w:hint="eastAsia"/>
                <w:sz w:val="21"/>
                <w:szCs w:val="20"/>
              </w:rPr>
              <w:t>污染物</w:t>
            </w:r>
          </w:p>
        </w:tc>
        <w:tc>
          <w:tcPr>
            <w:tcW w:w="833" w:type="pct"/>
            <w:shd w:val="clear" w:color="auto" w:fill="auto"/>
            <w:vAlign w:val="center"/>
          </w:tcPr>
          <w:p w14:paraId="612E030E">
            <w:pPr>
              <w:adjustRightInd w:val="0"/>
              <w:snapToGrid w:val="0"/>
              <w:spacing w:line="240" w:lineRule="auto"/>
              <w:ind w:firstLine="0" w:firstLineChars="0"/>
              <w:jc w:val="center"/>
              <w:rPr>
                <w:sz w:val="21"/>
                <w:szCs w:val="20"/>
              </w:rPr>
            </w:pPr>
            <w:r>
              <w:rPr>
                <w:rFonts w:hint="eastAsia"/>
                <w:sz w:val="21"/>
                <w:szCs w:val="20"/>
              </w:rPr>
              <w:t>核算排放浓度/（mg</w:t>
            </w:r>
            <w:r>
              <w:rPr>
                <w:sz w:val="21"/>
                <w:szCs w:val="20"/>
              </w:rPr>
              <w:t>/</w:t>
            </w:r>
            <w:r>
              <w:rPr>
                <w:rFonts w:hint="eastAsia"/>
                <w:sz w:val="21"/>
                <w:szCs w:val="20"/>
              </w:rPr>
              <w:t>m</w:t>
            </w:r>
            <w:r>
              <w:rPr>
                <w:sz w:val="21"/>
                <w:szCs w:val="20"/>
                <w:vertAlign w:val="superscript"/>
              </w:rPr>
              <w:t>3</w:t>
            </w:r>
            <w:r>
              <w:rPr>
                <w:rFonts w:hint="eastAsia"/>
                <w:sz w:val="21"/>
                <w:szCs w:val="20"/>
              </w:rPr>
              <w:t>）</w:t>
            </w:r>
          </w:p>
        </w:tc>
        <w:tc>
          <w:tcPr>
            <w:tcW w:w="834" w:type="pct"/>
            <w:shd w:val="clear" w:color="auto" w:fill="auto"/>
            <w:vAlign w:val="center"/>
          </w:tcPr>
          <w:p w14:paraId="15BE9F13">
            <w:pPr>
              <w:adjustRightInd w:val="0"/>
              <w:snapToGrid w:val="0"/>
              <w:spacing w:line="240" w:lineRule="auto"/>
              <w:ind w:firstLine="0" w:firstLineChars="0"/>
              <w:jc w:val="center"/>
              <w:rPr>
                <w:sz w:val="21"/>
                <w:szCs w:val="20"/>
              </w:rPr>
            </w:pPr>
            <w:r>
              <w:rPr>
                <w:rFonts w:hint="eastAsia"/>
                <w:sz w:val="21"/>
                <w:szCs w:val="20"/>
              </w:rPr>
              <w:t>核算排放速率/（kg</w:t>
            </w:r>
            <w:r>
              <w:rPr>
                <w:sz w:val="21"/>
                <w:szCs w:val="20"/>
              </w:rPr>
              <w:t>/h</w:t>
            </w:r>
            <w:r>
              <w:rPr>
                <w:rFonts w:hint="eastAsia"/>
                <w:sz w:val="21"/>
                <w:szCs w:val="20"/>
              </w:rPr>
              <w:t>）</w:t>
            </w:r>
          </w:p>
        </w:tc>
        <w:tc>
          <w:tcPr>
            <w:tcW w:w="833" w:type="pct"/>
            <w:shd w:val="clear" w:color="auto" w:fill="auto"/>
            <w:vAlign w:val="center"/>
          </w:tcPr>
          <w:p w14:paraId="596200F8">
            <w:pPr>
              <w:adjustRightInd w:val="0"/>
              <w:snapToGrid w:val="0"/>
              <w:spacing w:line="240" w:lineRule="auto"/>
              <w:ind w:firstLine="0" w:firstLineChars="0"/>
              <w:jc w:val="center"/>
              <w:rPr>
                <w:sz w:val="21"/>
                <w:szCs w:val="20"/>
              </w:rPr>
            </w:pPr>
            <w:r>
              <w:rPr>
                <w:rFonts w:hint="eastAsia"/>
                <w:sz w:val="21"/>
                <w:szCs w:val="20"/>
              </w:rPr>
              <w:t>核算年排放量/（t</w:t>
            </w:r>
            <w:r>
              <w:rPr>
                <w:sz w:val="21"/>
                <w:szCs w:val="20"/>
              </w:rPr>
              <w:t>/a</w:t>
            </w:r>
            <w:r>
              <w:rPr>
                <w:rFonts w:hint="eastAsia"/>
                <w:sz w:val="21"/>
                <w:szCs w:val="20"/>
              </w:rPr>
              <w:t>）</w:t>
            </w:r>
          </w:p>
        </w:tc>
      </w:tr>
      <w:tr w14:paraId="5B39C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restart"/>
            <w:shd w:val="clear" w:color="auto" w:fill="auto"/>
            <w:vAlign w:val="center"/>
          </w:tcPr>
          <w:p w14:paraId="6ED0368B">
            <w:pPr>
              <w:adjustRightInd w:val="0"/>
              <w:snapToGrid w:val="0"/>
              <w:spacing w:line="240" w:lineRule="auto"/>
              <w:ind w:firstLine="0" w:firstLineChars="0"/>
              <w:jc w:val="center"/>
              <w:rPr>
                <w:sz w:val="21"/>
                <w:szCs w:val="20"/>
              </w:rPr>
            </w:pPr>
            <w:r>
              <w:rPr>
                <w:rFonts w:hint="eastAsia"/>
                <w:sz w:val="21"/>
                <w:szCs w:val="20"/>
              </w:rPr>
              <w:t>1</w:t>
            </w:r>
          </w:p>
        </w:tc>
        <w:tc>
          <w:tcPr>
            <w:tcW w:w="833" w:type="pct"/>
            <w:vMerge w:val="restart"/>
            <w:shd w:val="clear" w:color="auto" w:fill="auto"/>
            <w:vAlign w:val="center"/>
          </w:tcPr>
          <w:p w14:paraId="478130D2">
            <w:pPr>
              <w:adjustRightInd w:val="0"/>
              <w:snapToGrid w:val="0"/>
              <w:spacing w:line="240" w:lineRule="auto"/>
              <w:ind w:firstLine="0" w:firstLineChars="0"/>
              <w:jc w:val="center"/>
              <w:rPr>
                <w:sz w:val="21"/>
                <w:szCs w:val="20"/>
              </w:rPr>
            </w:pPr>
            <w:r>
              <w:rPr>
                <w:rFonts w:hint="eastAsia"/>
                <w:sz w:val="21"/>
                <w:szCs w:val="20"/>
              </w:rPr>
              <w:t>DA</w:t>
            </w:r>
            <w:r>
              <w:rPr>
                <w:sz w:val="21"/>
                <w:szCs w:val="20"/>
              </w:rPr>
              <w:t>001</w:t>
            </w:r>
          </w:p>
        </w:tc>
        <w:tc>
          <w:tcPr>
            <w:tcW w:w="833" w:type="pct"/>
            <w:shd w:val="clear" w:color="auto" w:fill="auto"/>
            <w:vAlign w:val="center"/>
          </w:tcPr>
          <w:p w14:paraId="68226CDA">
            <w:pPr>
              <w:adjustRightInd w:val="0"/>
              <w:snapToGrid w:val="0"/>
              <w:spacing w:line="240" w:lineRule="auto"/>
              <w:ind w:firstLine="0" w:firstLineChars="0"/>
              <w:jc w:val="center"/>
              <w:rPr>
                <w:sz w:val="21"/>
                <w:szCs w:val="20"/>
                <w:vertAlign w:val="subscript"/>
              </w:rPr>
            </w:pPr>
            <w:r>
              <w:rPr>
                <w:rFonts w:hint="eastAsia"/>
                <w:bCs/>
                <w:sz w:val="21"/>
                <w:lang w:val="zh-CN"/>
              </w:rPr>
              <w:t>颗粒物</w:t>
            </w:r>
          </w:p>
        </w:tc>
        <w:tc>
          <w:tcPr>
            <w:tcW w:w="833" w:type="pct"/>
            <w:shd w:val="clear" w:color="auto" w:fill="auto"/>
            <w:vAlign w:val="center"/>
          </w:tcPr>
          <w:p w14:paraId="00906EBB">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0.81</w:t>
            </w:r>
          </w:p>
        </w:tc>
        <w:tc>
          <w:tcPr>
            <w:tcW w:w="834" w:type="pct"/>
            <w:shd w:val="clear" w:color="auto" w:fill="auto"/>
            <w:vAlign w:val="center"/>
          </w:tcPr>
          <w:p w14:paraId="3AC5C954">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c>
          <w:tcPr>
            <w:tcW w:w="833" w:type="pct"/>
            <w:shd w:val="clear" w:color="auto" w:fill="auto"/>
            <w:vAlign w:val="center"/>
          </w:tcPr>
          <w:p w14:paraId="1C0D8EB2">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0.0095</w:t>
            </w:r>
          </w:p>
        </w:tc>
      </w:tr>
      <w:tr w14:paraId="5702B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2FC25095">
            <w:pPr>
              <w:adjustRightInd w:val="0"/>
              <w:snapToGrid w:val="0"/>
              <w:spacing w:line="240" w:lineRule="auto"/>
              <w:ind w:firstLine="0" w:firstLineChars="0"/>
              <w:jc w:val="center"/>
              <w:rPr>
                <w:rFonts w:hint="eastAsia"/>
                <w:sz w:val="21"/>
                <w:szCs w:val="20"/>
              </w:rPr>
            </w:pPr>
          </w:p>
        </w:tc>
        <w:tc>
          <w:tcPr>
            <w:tcW w:w="833" w:type="pct"/>
            <w:vMerge w:val="continue"/>
            <w:shd w:val="clear" w:color="auto" w:fill="auto"/>
            <w:vAlign w:val="center"/>
          </w:tcPr>
          <w:p w14:paraId="09C2AC36">
            <w:pPr>
              <w:adjustRightInd w:val="0"/>
              <w:snapToGrid w:val="0"/>
              <w:spacing w:line="240" w:lineRule="auto"/>
              <w:ind w:firstLine="0" w:firstLineChars="0"/>
              <w:jc w:val="center"/>
              <w:rPr>
                <w:rFonts w:hint="eastAsia"/>
                <w:sz w:val="21"/>
                <w:szCs w:val="20"/>
              </w:rPr>
            </w:pPr>
          </w:p>
        </w:tc>
        <w:tc>
          <w:tcPr>
            <w:tcW w:w="833" w:type="pct"/>
            <w:shd w:val="clear" w:color="auto" w:fill="auto"/>
            <w:vAlign w:val="center"/>
          </w:tcPr>
          <w:p w14:paraId="2116D53E">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bCs/>
                <w:sz w:val="21"/>
                <w:lang w:val="zh-CN"/>
              </w:rPr>
              <w:t>SO</w:t>
            </w:r>
            <w:r>
              <w:rPr>
                <w:bCs/>
                <w:sz w:val="21"/>
                <w:vertAlign w:val="subscript"/>
                <w:lang w:val="zh-CN"/>
              </w:rPr>
              <w:t>2</w:t>
            </w:r>
          </w:p>
        </w:tc>
        <w:tc>
          <w:tcPr>
            <w:tcW w:w="833" w:type="pct"/>
            <w:shd w:val="clear" w:color="auto" w:fill="auto"/>
            <w:vAlign w:val="center"/>
          </w:tcPr>
          <w:p w14:paraId="5E71C8A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273</w:t>
            </w:r>
          </w:p>
        </w:tc>
        <w:tc>
          <w:tcPr>
            <w:tcW w:w="834" w:type="pct"/>
            <w:shd w:val="clear" w:color="auto" w:fill="auto"/>
            <w:vAlign w:val="center"/>
          </w:tcPr>
          <w:p w14:paraId="7F60785B">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833" w:type="pct"/>
            <w:shd w:val="clear" w:color="auto" w:fill="auto"/>
            <w:vAlign w:val="center"/>
          </w:tcPr>
          <w:p w14:paraId="7E29072C">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3.23</w:t>
            </w:r>
          </w:p>
        </w:tc>
      </w:tr>
      <w:tr w14:paraId="50A85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59BA403D">
            <w:pPr>
              <w:adjustRightInd w:val="0"/>
              <w:snapToGrid w:val="0"/>
              <w:spacing w:line="240" w:lineRule="auto"/>
              <w:ind w:firstLine="0" w:firstLineChars="0"/>
              <w:jc w:val="center"/>
              <w:rPr>
                <w:rFonts w:hint="eastAsia"/>
                <w:sz w:val="21"/>
                <w:szCs w:val="20"/>
              </w:rPr>
            </w:pPr>
          </w:p>
        </w:tc>
        <w:tc>
          <w:tcPr>
            <w:tcW w:w="833" w:type="pct"/>
            <w:vMerge w:val="continue"/>
            <w:shd w:val="clear" w:color="auto" w:fill="auto"/>
            <w:vAlign w:val="center"/>
          </w:tcPr>
          <w:p w14:paraId="4509C469">
            <w:pPr>
              <w:adjustRightInd w:val="0"/>
              <w:snapToGrid w:val="0"/>
              <w:spacing w:line="240" w:lineRule="auto"/>
              <w:ind w:firstLine="0" w:firstLineChars="0"/>
              <w:jc w:val="center"/>
              <w:rPr>
                <w:rFonts w:hint="eastAsia"/>
                <w:sz w:val="21"/>
                <w:szCs w:val="20"/>
              </w:rPr>
            </w:pPr>
          </w:p>
        </w:tc>
        <w:tc>
          <w:tcPr>
            <w:tcW w:w="833" w:type="pct"/>
            <w:shd w:val="clear" w:color="auto" w:fill="auto"/>
            <w:vAlign w:val="center"/>
          </w:tcPr>
          <w:p w14:paraId="646274D6">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bCs/>
                <w:sz w:val="21"/>
                <w:lang w:val="zh-CN"/>
              </w:rPr>
              <w:t>NO</w:t>
            </w:r>
            <w:r>
              <w:rPr>
                <w:bCs/>
                <w:sz w:val="21"/>
                <w:vertAlign w:val="subscript"/>
                <w:lang w:val="zh-CN"/>
              </w:rPr>
              <w:t>x</w:t>
            </w:r>
          </w:p>
        </w:tc>
        <w:tc>
          <w:tcPr>
            <w:tcW w:w="833" w:type="pct"/>
            <w:shd w:val="clear" w:color="auto" w:fill="auto"/>
            <w:vAlign w:val="center"/>
          </w:tcPr>
          <w:p w14:paraId="5A8548A4">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114.4</w:t>
            </w:r>
          </w:p>
        </w:tc>
        <w:tc>
          <w:tcPr>
            <w:tcW w:w="834" w:type="pct"/>
            <w:shd w:val="clear" w:color="auto" w:fill="auto"/>
            <w:vAlign w:val="center"/>
          </w:tcPr>
          <w:p w14:paraId="30AE60A5">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0.3122</w:t>
            </w:r>
          </w:p>
        </w:tc>
        <w:tc>
          <w:tcPr>
            <w:tcW w:w="833" w:type="pct"/>
            <w:shd w:val="clear" w:color="auto" w:fill="auto"/>
            <w:vAlign w:val="center"/>
          </w:tcPr>
          <w:p w14:paraId="6C5D8E9D">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1.3566</w:t>
            </w:r>
          </w:p>
        </w:tc>
      </w:tr>
      <w:tr w14:paraId="57DC8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restart"/>
            <w:shd w:val="clear" w:color="auto" w:fill="auto"/>
            <w:vAlign w:val="center"/>
          </w:tcPr>
          <w:p w14:paraId="3FC4F2C0">
            <w:pPr>
              <w:adjustRightInd w:val="0"/>
              <w:snapToGrid w:val="0"/>
              <w:spacing w:line="240" w:lineRule="auto"/>
              <w:ind w:firstLine="0" w:firstLineChars="0"/>
              <w:jc w:val="center"/>
              <w:rPr>
                <w:sz w:val="21"/>
                <w:szCs w:val="20"/>
              </w:rPr>
            </w:pPr>
            <w:r>
              <w:rPr>
                <w:rFonts w:hint="eastAsia"/>
                <w:sz w:val="21"/>
                <w:szCs w:val="20"/>
              </w:rPr>
              <w:t>2</w:t>
            </w:r>
          </w:p>
        </w:tc>
        <w:tc>
          <w:tcPr>
            <w:tcW w:w="833" w:type="pct"/>
            <w:vMerge w:val="restart"/>
            <w:shd w:val="clear" w:color="auto" w:fill="auto"/>
            <w:vAlign w:val="center"/>
          </w:tcPr>
          <w:p w14:paraId="12489D3B">
            <w:pPr>
              <w:adjustRightInd w:val="0"/>
              <w:snapToGrid w:val="0"/>
              <w:spacing w:line="240" w:lineRule="auto"/>
              <w:ind w:firstLine="0" w:firstLineChars="0"/>
              <w:jc w:val="center"/>
              <w:rPr>
                <w:sz w:val="21"/>
                <w:szCs w:val="20"/>
              </w:rPr>
            </w:pPr>
            <w:r>
              <w:rPr>
                <w:rFonts w:hint="eastAsia"/>
                <w:sz w:val="21"/>
                <w:szCs w:val="20"/>
              </w:rPr>
              <w:t>DA</w:t>
            </w:r>
            <w:r>
              <w:rPr>
                <w:sz w:val="21"/>
                <w:szCs w:val="20"/>
              </w:rPr>
              <w:t>002</w:t>
            </w:r>
          </w:p>
        </w:tc>
        <w:tc>
          <w:tcPr>
            <w:tcW w:w="833" w:type="pct"/>
            <w:shd w:val="clear" w:color="auto" w:fill="auto"/>
            <w:vAlign w:val="center"/>
          </w:tcPr>
          <w:p w14:paraId="301A9DA9">
            <w:pPr>
              <w:adjustRightInd w:val="0"/>
              <w:snapToGrid w:val="0"/>
              <w:spacing w:line="240" w:lineRule="auto"/>
              <w:ind w:firstLine="0" w:firstLineChars="0"/>
              <w:jc w:val="center"/>
              <w:rPr>
                <w:rFonts w:ascii="Times New Roman" w:hAnsi="Times New Roman" w:eastAsia="宋体" w:cs="Times New Roman"/>
                <w:kern w:val="2"/>
                <w:sz w:val="21"/>
                <w:szCs w:val="20"/>
                <w:vertAlign w:val="subscript"/>
                <w:lang w:val="zh-CN" w:eastAsia="zh-CN" w:bidi="ar-SA"/>
              </w:rPr>
            </w:pPr>
            <w:r>
              <w:rPr>
                <w:rFonts w:hint="eastAsia"/>
                <w:bCs/>
                <w:sz w:val="21"/>
                <w:lang w:val="zh-CN"/>
              </w:rPr>
              <w:t>颗粒物</w:t>
            </w:r>
          </w:p>
        </w:tc>
        <w:tc>
          <w:tcPr>
            <w:tcW w:w="833" w:type="pct"/>
            <w:shd w:val="clear" w:color="auto" w:fill="auto"/>
            <w:vAlign w:val="center"/>
          </w:tcPr>
          <w:p w14:paraId="72BBED9C">
            <w:pPr>
              <w:pStyle w:val="19"/>
              <w:bidi w:val="0"/>
              <w:ind w:firstLine="0" w:firstLineChars="0"/>
              <w:jc w:val="center"/>
              <w:rPr>
                <w:rFonts w:hint="default" w:ascii="Times New Roman" w:hAnsi="Times New Roman" w:eastAsia="宋体" w:cs="Times New Roman"/>
                <w:kern w:val="2"/>
                <w:sz w:val="21"/>
                <w:szCs w:val="22"/>
                <w:lang w:val="zh-CN" w:eastAsia="zh-CN" w:bidi="ar-SA"/>
              </w:rPr>
            </w:pPr>
            <w:r>
              <w:rPr>
                <w:rFonts w:hint="eastAsia"/>
                <w:lang w:val="en-US" w:eastAsia="zh-CN"/>
              </w:rPr>
              <w:t>0.81</w:t>
            </w:r>
          </w:p>
        </w:tc>
        <w:tc>
          <w:tcPr>
            <w:tcW w:w="834" w:type="pct"/>
            <w:shd w:val="clear" w:color="auto" w:fill="auto"/>
            <w:vAlign w:val="center"/>
          </w:tcPr>
          <w:p w14:paraId="3CE7441B">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0.00219</w:t>
            </w:r>
          </w:p>
        </w:tc>
        <w:tc>
          <w:tcPr>
            <w:tcW w:w="833" w:type="pct"/>
            <w:shd w:val="clear" w:color="auto" w:fill="auto"/>
            <w:vAlign w:val="center"/>
          </w:tcPr>
          <w:p w14:paraId="65012BA3">
            <w:pPr>
              <w:pStyle w:val="19"/>
              <w:bidi w:val="0"/>
              <w:ind w:firstLine="0" w:firstLineChars="0"/>
              <w:jc w:val="center"/>
              <w:rPr>
                <w:rFonts w:hint="default" w:ascii="Times New Roman" w:hAnsi="Times New Roman" w:eastAsia="宋体" w:cs="Times New Roman"/>
                <w:kern w:val="2"/>
                <w:sz w:val="21"/>
                <w:szCs w:val="22"/>
                <w:lang w:val="zh-CN" w:eastAsia="zh-CN" w:bidi="ar-SA"/>
              </w:rPr>
            </w:pPr>
            <w:r>
              <w:rPr>
                <w:rFonts w:hint="eastAsia"/>
                <w:lang w:val="en-US" w:eastAsia="zh-CN"/>
              </w:rPr>
              <w:t>0.0095</w:t>
            </w:r>
          </w:p>
        </w:tc>
      </w:tr>
      <w:tr w14:paraId="3A90B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47E55BB8">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795E2D79">
            <w:pPr>
              <w:adjustRightInd w:val="0"/>
              <w:snapToGrid w:val="0"/>
              <w:spacing w:line="240" w:lineRule="auto"/>
              <w:ind w:firstLine="0" w:firstLineChars="0"/>
              <w:jc w:val="center"/>
              <w:rPr>
                <w:sz w:val="21"/>
                <w:szCs w:val="20"/>
              </w:rPr>
            </w:pPr>
          </w:p>
        </w:tc>
        <w:tc>
          <w:tcPr>
            <w:tcW w:w="833" w:type="pct"/>
            <w:shd w:val="clear" w:color="auto" w:fill="auto"/>
            <w:vAlign w:val="center"/>
          </w:tcPr>
          <w:p w14:paraId="707D6159">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bCs/>
                <w:sz w:val="21"/>
                <w:lang w:val="zh-CN"/>
              </w:rPr>
              <w:t>SO</w:t>
            </w:r>
            <w:r>
              <w:rPr>
                <w:bCs/>
                <w:sz w:val="21"/>
                <w:vertAlign w:val="subscript"/>
                <w:lang w:val="zh-CN"/>
              </w:rPr>
              <w:t>2</w:t>
            </w:r>
          </w:p>
        </w:tc>
        <w:tc>
          <w:tcPr>
            <w:tcW w:w="833" w:type="pct"/>
            <w:shd w:val="clear" w:color="auto" w:fill="auto"/>
            <w:vAlign w:val="center"/>
          </w:tcPr>
          <w:p w14:paraId="086A1923">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273</w:t>
            </w:r>
          </w:p>
        </w:tc>
        <w:tc>
          <w:tcPr>
            <w:tcW w:w="834" w:type="pct"/>
            <w:shd w:val="clear" w:color="auto" w:fill="auto"/>
            <w:vAlign w:val="center"/>
          </w:tcPr>
          <w:p w14:paraId="0DC9AB5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833" w:type="pct"/>
            <w:shd w:val="clear" w:color="auto" w:fill="auto"/>
            <w:vAlign w:val="center"/>
          </w:tcPr>
          <w:p w14:paraId="5EEC1E49">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3.23</w:t>
            </w:r>
          </w:p>
        </w:tc>
      </w:tr>
      <w:tr w14:paraId="4BF53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437A0F0E">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3D7B4CD6">
            <w:pPr>
              <w:adjustRightInd w:val="0"/>
              <w:snapToGrid w:val="0"/>
              <w:spacing w:line="240" w:lineRule="auto"/>
              <w:ind w:firstLine="0" w:firstLineChars="0"/>
              <w:jc w:val="center"/>
              <w:rPr>
                <w:sz w:val="21"/>
                <w:szCs w:val="20"/>
              </w:rPr>
            </w:pPr>
          </w:p>
        </w:tc>
        <w:tc>
          <w:tcPr>
            <w:tcW w:w="833" w:type="pct"/>
            <w:shd w:val="clear" w:color="auto" w:fill="auto"/>
            <w:vAlign w:val="center"/>
          </w:tcPr>
          <w:p w14:paraId="6E78AD45">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bCs/>
                <w:sz w:val="21"/>
                <w:lang w:val="zh-CN"/>
              </w:rPr>
              <w:t>NO</w:t>
            </w:r>
            <w:r>
              <w:rPr>
                <w:bCs/>
                <w:sz w:val="21"/>
                <w:vertAlign w:val="subscript"/>
                <w:lang w:val="zh-CN"/>
              </w:rPr>
              <w:t>x</w:t>
            </w:r>
          </w:p>
        </w:tc>
        <w:tc>
          <w:tcPr>
            <w:tcW w:w="833" w:type="pct"/>
            <w:shd w:val="clear" w:color="auto" w:fill="auto"/>
            <w:vAlign w:val="center"/>
          </w:tcPr>
          <w:p w14:paraId="5E28BAC3">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114.4</w:t>
            </w:r>
          </w:p>
        </w:tc>
        <w:tc>
          <w:tcPr>
            <w:tcW w:w="834" w:type="pct"/>
            <w:shd w:val="clear" w:color="auto" w:fill="auto"/>
            <w:vAlign w:val="center"/>
          </w:tcPr>
          <w:p w14:paraId="434D205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0.3122</w:t>
            </w:r>
          </w:p>
        </w:tc>
        <w:tc>
          <w:tcPr>
            <w:tcW w:w="833" w:type="pct"/>
            <w:shd w:val="clear" w:color="auto" w:fill="auto"/>
            <w:vAlign w:val="center"/>
          </w:tcPr>
          <w:p w14:paraId="40BB99D9">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1.3566</w:t>
            </w:r>
          </w:p>
        </w:tc>
      </w:tr>
      <w:tr w14:paraId="713F7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restart"/>
            <w:shd w:val="clear" w:color="auto" w:fill="auto"/>
            <w:vAlign w:val="center"/>
          </w:tcPr>
          <w:p w14:paraId="10AD8626">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3</w:t>
            </w:r>
          </w:p>
        </w:tc>
        <w:tc>
          <w:tcPr>
            <w:tcW w:w="833" w:type="pct"/>
            <w:vMerge w:val="restart"/>
            <w:shd w:val="clear" w:color="auto" w:fill="auto"/>
            <w:vAlign w:val="center"/>
          </w:tcPr>
          <w:p w14:paraId="67B1C1A6">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DA003</w:t>
            </w:r>
          </w:p>
        </w:tc>
        <w:tc>
          <w:tcPr>
            <w:tcW w:w="833" w:type="pct"/>
            <w:shd w:val="clear" w:color="auto" w:fill="auto"/>
            <w:vAlign w:val="center"/>
          </w:tcPr>
          <w:p w14:paraId="70333649">
            <w:pPr>
              <w:adjustRightInd w:val="0"/>
              <w:snapToGrid w:val="0"/>
              <w:spacing w:line="240" w:lineRule="auto"/>
              <w:ind w:firstLine="0" w:firstLineChars="0"/>
              <w:jc w:val="center"/>
              <w:rPr>
                <w:rFonts w:hint="eastAsia" w:ascii="Times New Roman" w:hAnsi="Times New Roman" w:eastAsia="宋体" w:cs="Times New Roman"/>
                <w:kern w:val="2"/>
                <w:sz w:val="21"/>
                <w:szCs w:val="20"/>
                <w:vertAlign w:val="subscript"/>
                <w:lang w:val="zh-CN" w:eastAsia="zh-CN" w:bidi="ar-SA"/>
              </w:rPr>
            </w:pPr>
            <w:r>
              <w:rPr>
                <w:rFonts w:hint="eastAsia"/>
                <w:bCs/>
                <w:sz w:val="21"/>
                <w:lang w:val="zh-CN"/>
              </w:rPr>
              <w:t>颗粒物</w:t>
            </w:r>
          </w:p>
        </w:tc>
        <w:tc>
          <w:tcPr>
            <w:tcW w:w="833" w:type="pct"/>
            <w:shd w:val="clear" w:color="auto" w:fill="auto"/>
            <w:vAlign w:val="center"/>
          </w:tcPr>
          <w:p w14:paraId="0A095328">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0.81</w:t>
            </w:r>
          </w:p>
        </w:tc>
        <w:tc>
          <w:tcPr>
            <w:tcW w:w="834" w:type="pct"/>
            <w:shd w:val="clear" w:color="auto" w:fill="auto"/>
            <w:vAlign w:val="center"/>
          </w:tcPr>
          <w:p w14:paraId="5FD506C5">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0.00219</w:t>
            </w:r>
          </w:p>
        </w:tc>
        <w:tc>
          <w:tcPr>
            <w:tcW w:w="833" w:type="pct"/>
            <w:shd w:val="clear" w:color="auto" w:fill="auto"/>
            <w:vAlign w:val="center"/>
          </w:tcPr>
          <w:p w14:paraId="6E3D240C">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0.0095</w:t>
            </w:r>
          </w:p>
        </w:tc>
      </w:tr>
      <w:tr w14:paraId="0543E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3E8038DC">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4EFCF509">
            <w:pPr>
              <w:adjustRightInd w:val="0"/>
              <w:snapToGrid w:val="0"/>
              <w:spacing w:line="240" w:lineRule="auto"/>
              <w:ind w:firstLine="0" w:firstLineChars="0"/>
              <w:jc w:val="center"/>
              <w:rPr>
                <w:sz w:val="21"/>
                <w:szCs w:val="20"/>
              </w:rPr>
            </w:pPr>
          </w:p>
        </w:tc>
        <w:tc>
          <w:tcPr>
            <w:tcW w:w="833" w:type="pct"/>
            <w:shd w:val="clear" w:color="auto" w:fill="auto"/>
            <w:vAlign w:val="center"/>
          </w:tcPr>
          <w:p w14:paraId="1E27D3EA">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bCs/>
                <w:sz w:val="21"/>
                <w:lang w:val="zh-CN"/>
              </w:rPr>
              <w:t>SO</w:t>
            </w:r>
            <w:r>
              <w:rPr>
                <w:bCs/>
                <w:sz w:val="21"/>
                <w:vertAlign w:val="subscript"/>
                <w:lang w:val="zh-CN"/>
              </w:rPr>
              <w:t>2</w:t>
            </w:r>
          </w:p>
        </w:tc>
        <w:tc>
          <w:tcPr>
            <w:tcW w:w="833" w:type="pct"/>
            <w:shd w:val="clear" w:color="auto" w:fill="auto"/>
            <w:vAlign w:val="center"/>
          </w:tcPr>
          <w:p w14:paraId="4A65299A">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273</w:t>
            </w:r>
          </w:p>
        </w:tc>
        <w:tc>
          <w:tcPr>
            <w:tcW w:w="834" w:type="pct"/>
            <w:shd w:val="clear" w:color="auto" w:fill="auto"/>
            <w:vAlign w:val="center"/>
          </w:tcPr>
          <w:p w14:paraId="364900C8">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0.745</w:t>
            </w:r>
          </w:p>
        </w:tc>
        <w:tc>
          <w:tcPr>
            <w:tcW w:w="833" w:type="pct"/>
            <w:shd w:val="clear" w:color="auto" w:fill="auto"/>
            <w:vAlign w:val="center"/>
          </w:tcPr>
          <w:p w14:paraId="508473D7">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3.23</w:t>
            </w:r>
          </w:p>
        </w:tc>
      </w:tr>
      <w:tr w14:paraId="75297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490C6138">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31F42645">
            <w:pPr>
              <w:adjustRightInd w:val="0"/>
              <w:snapToGrid w:val="0"/>
              <w:spacing w:line="240" w:lineRule="auto"/>
              <w:ind w:firstLine="0" w:firstLineChars="0"/>
              <w:jc w:val="center"/>
              <w:rPr>
                <w:sz w:val="21"/>
                <w:szCs w:val="20"/>
              </w:rPr>
            </w:pPr>
          </w:p>
        </w:tc>
        <w:tc>
          <w:tcPr>
            <w:tcW w:w="833" w:type="pct"/>
            <w:shd w:val="clear" w:color="auto" w:fill="auto"/>
            <w:vAlign w:val="center"/>
          </w:tcPr>
          <w:p w14:paraId="231842BE">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bCs/>
                <w:sz w:val="21"/>
                <w:lang w:val="zh-CN"/>
              </w:rPr>
              <w:t>NO</w:t>
            </w:r>
            <w:r>
              <w:rPr>
                <w:bCs/>
                <w:sz w:val="21"/>
                <w:vertAlign w:val="subscript"/>
                <w:lang w:val="zh-CN"/>
              </w:rPr>
              <w:t>x</w:t>
            </w:r>
          </w:p>
        </w:tc>
        <w:tc>
          <w:tcPr>
            <w:tcW w:w="833" w:type="pct"/>
            <w:shd w:val="clear" w:color="auto" w:fill="auto"/>
            <w:vAlign w:val="center"/>
          </w:tcPr>
          <w:p w14:paraId="3DE5335B">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114.4</w:t>
            </w:r>
          </w:p>
        </w:tc>
        <w:tc>
          <w:tcPr>
            <w:tcW w:w="834" w:type="pct"/>
            <w:shd w:val="clear" w:color="auto" w:fill="auto"/>
            <w:vAlign w:val="center"/>
          </w:tcPr>
          <w:p w14:paraId="08A301C0">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0.3122</w:t>
            </w:r>
          </w:p>
        </w:tc>
        <w:tc>
          <w:tcPr>
            <w:tcW w:w="833" w:type="pct"/>
            <w:shd w:val="clear" w:color="auto" w:fill="auto"/>
            <w:vAlign w:val="center"/>
          </w:tcPr>
          <w:p w14:paraId="18B8A511">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1.3566</w:t>
            </w:r>
          </w:p>
        </w:tc>
      </w:tr>
      <w:tr w14:paraId="111AC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restart"/>
            <w:shd w:val="clear" w:color="auto" w:fill="auto"/>
            <w:vAlign w:val="center"/>
          </w:tcPr>
          <w:p w14:paraId="215D94B4">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4</w:t>
            </w:r>
          </w:p>
        </w:tc>
        <w:tc>
          <w:tcPr>
            <w:tcW w:w="833" w:type="pct"/>
            <w:vMerge w:val="restart"/>
            <w:shd w:val="clear" w:color="auto" w:fill="auto"/>
            <w:vAlign w:val="center"/>
          </w:tcPr>
          <w:p w14:paraId="3AFAFD0B">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DA004</w:t>
            </w:r>
          </w:p>
        </w:tc>
        <w:tc>
          <w:tcPr>
            <w:tcW w:w="833" w:type="pct"/>
            <w:shd w:val="clear" w:color="auto" w:fill="auto"/>
            <w:vAlign w:val="center"/>
          </w:tcPr>
          <w:p w14:paraId="0C730D51">
            <w:pPr>
              <w:adjustRightInd w:val="0"/>
              <w:snapToGrid w:val="0"/>
              <w:spacing w:line="240" w:lineRule="auto"/>
              <w:ind w:firstLine="0" w:firstLineChars="0"/>
              <w:jc w:val="center"/>
              <w:rPr>
                <w:rFonts w:hint="default" w:eastAsia="宋体"/>
                <w:bCs/>
                <w:sz w:val="21"/>
                <w:vertAlign w:val="subscript"/>
                <w:lang w:val="en-US" w:eastAsia="zh-CN"/>
              </w:rPr>
            </w:pPr>
            <w:r>
              <w:rPr>
                <w:rFonts w:hint="eastAsia"/>
                <w:bCs/>
                <w:sz w:val="21"/>
                <w:lang w:val="en-US" w:eastAsia="zh-CN"/>
              </w:rPr>
              <w:t>NH</w:t>
            </w:r>
            <w:r>
              <w:rPr>
                <w:rFonts w:hint="eastAsia"/>
                <w:bCs/>
                <w:sz w:val="21"/>
                <w:vertAlign w:val="subscript"/>
                <w:lang w:val="en-US" w:eastAsia="zh-CN"/>
              </w:rPr>
              <w:t>3</w:t>
            </w:r>
          </w:p>
        </w:tc>
        <w:tc>
          <w:tcPr>
            <w:tcW w:w="833" w:type="pct"/>
            <w:shd w:val="clear" w:color="auto" w:fill="auto"/>
            <w:vAlign w:val="center"/>
          </w:tcPr>
          <w:p w14:paraId="099C9786">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0.714</w:t>
            </w:r>
          </w:p>
        </w:tc>
        <w:tc>
          <w:tcPr>
            <w:tcW w:w="834" w:type="pct"/>
            <w:shd w:val="clear" w:color="auto" w:fill="auto"/>
            <w:vAlign w:val="center"/>
          </w:tcPr>
          <w:p w14:paraId="53485CAB">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eastAsia="宋体"/>
                <w:lang w:val="en-US" w:eastAsia="zh-CN"/>
              </w:rPr>
              <w:t>0.03</w:t>
            </w:r>
          </w:p>
        </w:tc>
        <w:tc>
          <w:tcPr>
            <w:tcW w:w="833" w:type="pct"/>
            <w:shd w:val="clear" w:color="auto" w:fill="auto"/>
            <w:vAlign w:val="center"/>
          </w:tcPr>
          <w:p w14:paraId="1B5405F6">
            <w:pPr>
              <w:pStyle w:val="19"/>
              <w:bidi w:val="0"/>
              <w:ind w:firstLine="0" w:firstLineChars="0"/>
              <w:rPr>
                <w:rFonts w:hint="eastAsia" w:ascii="Times New Roman" w:hAnsi="Times New Roman" w:eastAsia="宋体" w:cs="Times New Roman"/>
                <w:kern w:val="2"/>
                <w:sz w:val="21"/>
                <w:szCs w:val="22"/>
                <w:lang w:val="zh-CN" w:eastAsia="zh-CN" w:bidi="ar-SA"/>
              </w:rPr>
            </w:pPr>
            <w:r>
              <w:rPr>
                <w:rFonts w:hint="eastAsia" w:eastAsia="宋体"/>
                <w:lang w:val="en-US" w:eastAsia="zh-CN"/>
              </w:rPr>
              <w:t>0.26</w:t>
            </w:r>
          </w:p>
        </w:tc>
      </w:tr>
      <w:tr w14:paraId="2E2FF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3" w:type="pct"/>
            <w:vMerge w:val="continue"/>
            <w:shd w:val="clear" w:color="auto" w:fill="auto"/>
            <w:vAlign w:val="center"/>
          </w:tcPr>
          <w:p w14:paraId="7FC20DD6">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62948FA1">
            <w:pPr>
              <w:adjustRightInd w:val="0"/>
              <w:snapToGrid w:val="0"/>
              <w:spacing w:line="240" w:lineRule="auto"/>
              <w:ind w:firstLine="0" w:firstLineChars="0"/>
              <w:jc w:val="center"/>
              <w:rPr>
                <w:sz w:val="21"/>
                <w:szCs w:val="20"/>
              </w:rPr>
            </w:pPr>
          </w:p>
        </w:tc>
        <w:tc>
          <w:tcPr>
            <w:tcW w:w="833" w:type="pct"/>
            <w:shd w:val="clear" w:color="auto" w:fill="auto"/>
            <w:vAlign w:val="center"/>
          </w:tcPr>
          <w:p w14:paraId="56868063">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H</w:t>
            </w:r>
            <w:r>
              <w:rPr>
                <w:rFonts w:hint="eastAsia"/>
                <w:bCs/>
                <w:sz w:val="21"/>
                <w:vertAlign w:val="subscript"/>
                <w:lang w:val="en-US" w:eastAsia="zh-CN"/>
              </w:rPr>
              <w:t>2</w:t>
            </w:r>
            <w:r>
              <w:rPr>
                <w:rFonts w:hint="eastAsia"/>
                <w:bCs/>
                <w:sz w:val="21"/>
                <w:lang w:val="en-US" w:eastAsia="zh-CN"/>
              </w:rPr>
              <w:t>S</w:t>
            </w:r>
          </w:p>
        </w:tc>
        <w:tc>
          <w:tcPr>
            <w:tcW w:w="833" w:type="pct"/>
            <w:shd w:val="clear" w:color="auto" w:fill="auto"/>
            <w:vAlign w:val="center"/>
          </w:tcPr>
          <w:p w14:paraId="3C432654">
            <w:pPr>
              <w:pStyle w:val="19"/>
              <w:bidi w:val="0"/>
              <w:ind w:firstLine="0" w:firstLineChars="0"/>
              <w:jc w:val="center"/>
              <w:rPr>
                <w:rFonts w:hint="eastAsia" w:ascii="Times New Roman" w:hAnsi="Times New Roman" w:eastAsia="宋体" w:cs="Times New Roman"/>
                <w:kern w:val="2"/>
                <w:sz w:val="21"/>
                <w:szCs w:val="22"/>
                <w:lang w:val="zh-CN" w:eastAsia="zh-CN" w:bidi="ar-SA"/>
              </w:rPr>
            </w:pPr>
            <w:r>
              <w:rPr>
                <w:rFonts w:hint="eastAsia"/>
                <w:lang w:val="en-US" w:eastAsia="zh-CN"/>
              </w:rPr>
              <w:t>0.071</w:t>
            </w:r>
          </w:p>
        </w:tc>
        <w:tc>
          <w:tcPr>
            <w:tcW w:w="834" w:type="pct"/>
            <w:shd w:val="clear" w:color="auto" w:fill="auto"/>
            <w:vAlign w:val="center"/>
          </w:tcPr>
          <w:p w14:paraId="6BEB484E">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eastAsia="宋体"/>
                <w:lang w:val="en-US" w:eastAsia="zh-CN"/>
              </w:rPr>
              <w:t>0.003</w:t>
            </w:r>
          </w:p>
        </w:tc>
        <w:tc>
          <w:tcPr>
            <w:tcW w:w="833" w:type="pct"/>
            <w:shd w:val="clear" w:color="auto" w:fill="auto"/>
            <w:vAlign w:val="center"/>
          </w:tcPr>
          <w:p w14:paraId="51F9D723">
            <w:pPr>
              <w:pStyle w:val="19"/>
              <w:bidi w:val="0"/>
              <w:ind w:firstLine="0" w:firstLineChars="0"/>
              <w:rPr>
                <w:rFonts w:hint="eastAsia" w:ascii="Times New Roman" w:hAnsi="Times New Roman" w:eastAsia="宋体" w:cs="Times New Roman"/>
                <w:kern w:val="2"/>
                <w:sz w:val="21"/>
                <w:szCs w:val="22"/>
                <w:lang w:val="zh-CN" w:eastAsia="zh-CN" w:bidi="ar-SA"/>
              </w:rPr>
            </w:pPr>
            <w:r>
              <w:rPr>
                <w:rFonts w:hint="eastAsia" w:eastAsia="宋体"/>
                <w:lang w:val="en-US" w:eastAsia="zh-CN"/>
              </w:rPr>
              <w:t>0.026</w:t>
            </w:r>
          </w:p>
        </w:tc>
      </w:tr>
      <w:tr w14:paraId="383E6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restart"/>
            <w:shd w:val="clear" w:color="auto" w:fill="auto"/>
            <w:vAlign w:val="center"/>
          </w:tcPr>
          <w:p w14:paraId="6C19546D">
            <w:pPr>
              <w:adjustRightInd w:val="0"/>
              <w:snapToGrid w:val="0"/>
              <w:spacing w:line="240" w:lineRule="auto"/>
              <w:ind w:firstLine="0" w:firstLineChars="0"/>
              <w:jc w:val="center"/>
              <w:rPr>
                <w:sz w:val="21"/>
                <w:szCs w:val="20"/>
              </w:rPr>
            </w:pPr>
            <w:r>
              <w:rPr>
                <w:rFonts w:hint="eastAsia"/>
                <w:sz w:val="21"/>
                <w:szCs w:val="20"/>
              </w:rPr>
              <w:t>一般排放口合计</w:t>
            </w:r>
          </w:p>
        </w:tc>
        <w:tc>
          <w:tcPr>
            <w:tcW w:w="2500" w:type="pct"/>
            <w:gridSpan w:val="3"/>
            <w:shd w:val="clear" w:color="auto" w:fill="auto"/>
            <w:vAlign w:val="center"/>
          </w:tcPr>
          <w:p w14:paraId="08C7E98B">
            <w:pPr>
              <w:adjustRightInd w:val="0"/>
              <w:snapToGrid w:val="0"/>
              <w:spacing w:line="240" w:lineRule="auto"/>
              <w:ind w:firstLine="0" w:firstLineChars="0"/>
              <w:jc w:val="center"/>
              <w:rPr>
                <w:sz w:val="21"/>
                <w:szCs w:val="20"/>
                <w:vertAlign w:val="subscript"/>
              </w:rPr>
            </w:pPr>
            <w:r>
              <w:rPr>
                <w:rFonts w:hint="eastAsia"/>
                <w:bCs/>
                <w:sz w:val="21"/>
                <w:lang w:val="zh-CN"/>
              </w:rPr>
              <w:t>颗粒物</w:t>
            </w:r>
          </w:p>
        </w:tc>
        <w:tc>
          <w:tcPr>
            <w:tcW w:w="833" w:type="pct"/>
            <w:shd w:val="clear" w:color="auto" w:fill="auto"/>
            <w:vAlign w:val="center"/>
          </w:tcPr>
          <w:p w14:paraId="61565FCC">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0.0285</w:t>
            </w:r>
          </w:p>
        </w:tc>
      </w:tr>
      <w:tr w14:paraId="260C6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04D734A0">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49C2921D">
            <w:pPr>
              <w:adjustRightInd w:val="0"/>
              <w:snapToGrid w:val="0"/>
              <w:spacing w:line="240" w:lineRule="auto"/>
              <w:ind w:firstLine="0" w:firstLineChars="0"/>
              <w:jc w:val="center"/>
              <w:rPr>
                <w:bCs/>
                <w:sz w:val="21"/>
                <w:lang w:val="zh-CN"/>
              </w:rPr>
            </w:pPr>
            <w:r>
              <w:rPr>
                <w:bCs/>
                <w:sz w:val="21"/>
                <w:lang w:val="zh-CN"/>
              </w:rPr>
              <w:t>SO</w:t>
            </w:r>
            <w:r>
              <w:rPr>
                <w:bCs/>
                <w:sz w:val="21"/>
                <w:vertAlign w:val="subscript"/>
                <w:lang w:val="zh-CN"/>
              </w:rPr>
              <w:t>2</w:t>
            </w:r>
          </w:p>
        </w:tc>
        <w:tc>
          <w:tcPr>
            <w:tcW w:w="833" w:type="pct"/>
            <w:shd w:val="clear" w:color="auto" w:fill="auto"/>
            <w:vAlign w:val="center"/>
          </w:tcPr>
          <w:p w14:paraId="70E2D759">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9.69</w:t>
            </w:r>
          </w:p>
        </w:tc>
      </w:tr>
      <w:tr w14:paraId="7352B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209A0ED6">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4E7A8F27">
            <w:pPr>
              <w:adjustRightInd w:val="0"/>
              <w:snapToGrid w:val="0"/>
              <w:spacing w:line="240" w:lineRule="auto"/>
              <w:ind w:firstLine="0" w:firstLineChars="0"/>
              <w:jc w:val="center"/>
              <w:rPr>
                <w:bCs/>
                <w:sz w:val="21"/>
                <w:lang w:val="zh-CN"/>
              </w:rPr>
            </w:pPr>
            <w:r>
              <w:rPr>
                <w:bCs/>
                <w:sz w:val="21"/>
                <w:lang w:val="zh-CN"/>
              </w:rPr>
              <w:t>NO</w:t>
            </w:r>
            <w:r>
              <w:rPr>
                <w:bCs/>
                <w:sz w:val="21"/>
                <w:vertAlign w:val="subscript"/>
                <w:lang w:val="zh-CN"/>
              </w:rPr>
              <w:t>x</w:t>
            </w:r>
          </w:p>
        </w:tc>
        <w:tc>
          <w:tcPr>
            <w:tcW w:w="833" w:type="pct"/>
            <w:shd w:val="clear" w:color="auto" w:fill="auto"/>
            <w:vAlign w:val="center"/>
          </w:tcPr>
          <w:p w14:paraId="26F650DD">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4.0698</w:t>
            </w:r>
          </w:p>
        </w:tc>
      </w:tr>
      <w:tr w14:paraId="10846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4B3DA40A">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581ABAB8">
            <w:pPr>
              <w:adjustRightInd w:val="0"/>
              <w:snapToGrid w:val="0"/>
              <w:spacing w:line="240" w:lineRule="auto"/>
              <w:ind w:firstLine="0" w:firstLineChars="0"/>
              <w:jc w:val="center"/>
              <w:rPr>
                <w:rFonts w:hint="default" w:ascii="Times New Roman" w:hAnsi="Times New Roman" w:eastAsia="宋体" w:cs="Times New Roman"/>
                <w:bCs/>
                <w:kern w:val="2"/>
                <w:sz w:val="21"/>
                <w:szCs w:val="22"/>
                <w:vertAlign w:val="subscript"/>
                <w:lang w:val="zh-CN" w:eastAsia="zh-CN" w:bidi="ar-SA"/>
              </w:rPr>
            </w:pPr>
            <w:r>
              <w:rPr>
                <w:rFonts w:hint="eastAsia"/>
                <w:bCs/>
                <w:sz w:val="21"/>
                <w:lang w:val="en-US" w:eastAsia="zh-CN"/>
              </w:rPr>
              <w:t>NH</w:t>
            </w:r>
            <w:r>
              <w:rPr>
                <w:rFonts w:hint="eastAsia"/>
                <w:bCs/>
                <w:sz w:val="21"/>
                <w:vertAlign w:val="subscript"/>
                <w:lang w:val="en-US" w:eastAsia="zh-CN"/>
              </w:rPr>
              <w:t>3</w:t>
            </w:r>
          </w:p>
        </w:tc>
        <w:tc>
          <w:tcPr>
            <w:tcW w:w="833" w:type="pct"/>
            <w:shd w:val="clear" w:color="auto" w:fill="auto"/>
            <w:vAlign w:val="center"/>
          </w:tcPr>
          <w:p w14:paraId="1BF90559">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0.26</w:t>
            </w:r>
          </w:p>
        </w:tc>
      </w:tr>
      <w:tr w14:paraId="54214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73C0AD6B">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0093841C">
            <w:pPr>
              <w:adjustRightInd w:val="0"/>
              <w:snapToGrid w:val="0"/>
              <w:spacing w:line="240" w:lineRule="auto"/>
              <w:ind w:firstLine="0" w:firstLineChars="0"/>
              <w:jc w:val="center"/>
              <w:rPr>
                <w:rFonts w:hint="default" w:ascii="Times New Roman" w:hAnsi="Times New Roman" w:eastAsia="宋体" w:cs="Times New Roman"/>
                <w:bCs/>
                <w:kern w:val="2"/>
                <w:sz w:val="21"/>
                <w:szCs w:val="22"/>
                <w:lang w:val="zh-CN" w:eastAsia="zh-CN" w:bidi="ar-SA"/>
              </w:rPr>
            </w:pPr>
            <w:r>
              <w:rPr>
                <w:rFonts w:hint="eastAsia"/>
                <w:bCs/>
                <w:sz w:val="21"/>
                <w:lang w:val="en-US" w:eastAsia="zh-CN"/>
              </w:rPr>
              <w:t>H</w:t>
            </w:r>
            <w:r>
              <w:rPr>
                <w:rFonts w:hint="eastAsia"/>
                <w:bCs/>
                <w:sz w:val="21"/>
                <w:vertAlign w:val="subscript"/>
                <w:lang w:val="en-US" w:eastAsia="zh-CN"/>
              </w:rPr>
              <w:t>2</w:t>
            </w:r>
            <w:r>
              <w:rPr>
                <w:rFonts w:hint="eastAsia"/>
                <w:bCs/>
                <w:sz w:val="21"/>
                <w:lang w:val="en-US" w:eastAsia="zh-CN"/>
              </w:rPr>
              <w:t>S</w:t>
            </w:r>
          </w:p>
        </w:tc>
        <w:tc>
          <w:tcPr>
            <w:tcW w:w="833" w:type="pct"/>
            <w:shd w:val="clear" w:color="auto" w:fill="auto"/>
            <w:vAlign w:val="center"/>
          </w:tcPr>
          <w:p w14:paraId="3A8D1C77">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0.026</w:t>
            </w:r>
          </w:p>
        </w:tc>
      </w:tr>
    </w:tbl>
    <w:p w14:paraId="23140862">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（2）无组织</w:t>
      </w:r>
    </w:p>
    <w:p w14:paraId="33C81641">
      <w:pPr>
        <w:adjustRightInd w:val="0"/>
        <w:snapToGrid w:val="0"/>
        <w:spacing w:before="65" w:beforeLines="20" w:after="60" w:line="240" w:lineRule="auto"/>
        <w:ind w:firstLine="0" w:firstLineChars="0"/>
        <w:jc w:val="center"/>
        <w:rPr>
          <w:rFonts w:eastAsia="黑体"/>
        </w:rPr>
      </w:pPr>
      <w:r>
        <w:rPr>
          <w:rFonts w:hint="eastAsia" w:eastAsia="黑体"/>
        </w:rPr>
        <w:t>表</w:t>
      </w:r>
      <w:r>
        <w:rPr>
          <w:rFonts w:eastAsia="黑体"/>
        </w:rPr>
        <w:t>5.</w:t>
      </w:r>
      <w:r>
        <w:rPr>
          <w:rFonts w:hint="eastAsia" w:eastAsia="黑体"/>
          <w:lang w:val="en-US" w:eastAsia="zh-CN"/>
        </w:rPr>
        <w:t>2-9</w:t>
      </w:r>
      <w:r>
        <w:rPr>
          <w:rFonts w:eastAsia="黑体"/>
        </w:rPr>
        <w:t xml:space="preserve">   </w:t>
      </w:r>
      <w:r>
        <w:rPr>
          <w:rFonts w:hint="eastAsia" w:eastAsia="黑体"/>
        </w:rPr>
        <w:t>大气污染物无组织排放量核算表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1"/>
        <w:gridCol w:w="966"/>
        <w:gridCol w:w="966"/>
        <w:gridCol w:w="745"/>
        <w:gridCol w:w="1755"/>
        <w:gridCol w:w="1575"/>
        <w:gridCol w:w="1017"/>
        <w:gridCol w:w="771"/>
      </w:tblGrid>
      <w:tr w14:paraId="20947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307" w:type="pct"/>
            <w:vMerge w:val="restart"/>
            <w:shd w:val="clear" w:color="auto" w:fill="auto"/>
            <w:vAlign w:val="center"/>
          </w:tcPr>
          <w:p w14:paraId="6256F6E6">
            <w:pPr>
              <w:adjustRightInd w:val="0"/>
              <w:snapToGrid w:val="0"/>
              <w:spacing w:line="240" w:lineRule="auto"/>
              <w:ind w:firstLine="0" w:firstLineChars="0"/>
              <w:jc w:val="center"/>
              <w:rPr>
                <w:sz w:val="21"/>
                <w:szCs w:val="20"/>
              </w:rPr>
            </w:pPr>
            <w:r>
              <w:rPr>
                <w:rFonts w:hint="eastAsia"/>
                <w:sz w:val="21"/>
                <w:szCs w:val="20"/>
              </w:rPr>
              <w:t>序号</w:t>
            </w:r>
          </w:p>
        </w:tc>
        <w:tc>
          <w:tcPr>
            <w:tcW w:w="581" w:type="pct"/>
            <w:vMerge w:val="restart"/>
            <w:shd w:val="clear" w:color="auto" w:fill="auto"/>
            <w:vAlign w:val="center"/>
          </w:tcPr>
          <w:p w14:paraId="72D25D1E">
            <w:pPr>
              <w:adjustRightInd w:val="0"/>
              <w:snapToGrid w:val="0"/>
              <w:spacing w:line="240" w:lineRule="auto"/>
              <w:ind w:firstLine="0" w:firstLineChars="0"/>
              <w:jc w:val="center"/>
              <w:rPr>
                <w:sz w:val="21"/>
                <w:szCs w:val="20"/>
              </w:rPr>
            </w:pPr>
            <w:r>
              <w:rPr>
                <w:rFonts w:hint="eastAsia"/>
                <w:sz w:val="21"/>
                <w:szCs w:val="20"/>
              </w:rPr>
              <w:t>排放口编号</w:t>
            </w:r>
          </w:p>
        </w:tc>
        <w:tc>
          <w:tcPr>
            <w:tcW w:w="581" w:type="pct"/>
            <w:vMerge w:val="restart"/>
            <w:shd w:val="clear" w:color="auto" w:fill="auto"/>
            <w:vAlign w:val="center"/>
          </w:tcPr>
          <w:p w14:paraId="67709F17">
            <w:pPr>
              <w:adjustRightInd w:val="0"/>
              <w:snapToGrid w:val="0"/>
              <w:spacing w:line="240" w:lineRule="auto"/>
              <w:ind w:firstLine="0" w:firstLineChars="0"/>
              <w:jc w:val="center"/>
              <w:rPr>
                <w:sz w:val="21"/>
                <w:szCs w:val="20"/>
              </w:rPr>
            </w:pPr>
            <w:r>
              <w:rPr>
                <w:rFonts w:hint="eastAsia"/>
                <w:sz w:val="21"/>
                <w:szCs w:val="20"/>
              </w:rPr>
              <w:t>产污环节</w:t>
            </w:r>
          </w:p>
        </w:tc>
        <w:tc>
          <w:tcPr>
            <w:tcW w:w="448" w:type="pct"/>
            <w:vMerge w:val="restart"/>
            <w:shd w:val="clear" w:color="auto" w:fill="auto"/>
            <w:vAlign w:val="center"/>
          </w:tcPr>
          <w:p w14:paraId="3DE421B9">
            <w:pPr>
              <w:adjustRightInd w:val="0"/>
              <w:snapToGrid w:val="0"/>
              <w:spacing w:line="240" w:lineRule="auto"/>
              <w:ind w:firstLine="0" w:firstLineChars="0"/>
              <w:jc w:val="center"/>
              <w:rPr>
                <w:sz w:val="21"/>
                <w:szCs w:val="20"/>
              </w:rPr>
            </w:pPr>
            <w:r>
              <w:rPr>
                <w:rFonts w:hint="eastAsia"/>
                <w:sz w:val="21"/>
                <w:szCs w:val="20"/>
              </w:rPr>
              <w:t>污染物</w:t>
            </w:r>
          </w:p>
        </w:tc>
        <w:tc>
          <w:tcPr>
            <w:tcW w:w="1056" w:type="pct"/>
            <w:vMerge w:val="restart"/>
            <w:shd w:val="clear" w:color="auto" w:fill="auto"/>
            <w:vAlign w:val="center"/>
          </w:tcPr>
          <w:p w14:paraId="51EE6922">
            <w:pPr>
              <w:adjustRightInd w:val="0"/>
              <w:snapToGrid w:val="0"/>
              <w:spacing w:line="240" w:lineRule="auto"/>
              <w:ind w:firstLine="0" w:firstLineChars="0"/>
              <w:jc w:val="center"/>
              <w:rPr>
                <w:sz w:val="21"/>
                <w:szCs w:val="20"/>
              </w:rPr>
            </w:pPr>
            <w:r>
              <w:rPr>
                <w:rFonts w:hint="eastAsia"/>
                <w:sz w:val="21"/>
                <w:szCs w:val="20"/>
              </w:rPr>
              <w:t>主要污染防治措施</w:t>
            </w:r>
          </w:p>
        </w:tc>
        <w:tc>
          <w:tcPr>
            <w:tcW w:w="1560" w:type="pct"/>
            <w:gridSpan w:val="2"/>
            <w:shd w:val="clear" w:color="auto" w:fill="auto"/>
            <w:vAlign w:val="center"/>
          </w:tcPr>
          <w:p w14:paraId="0CAFC2A9">
            <w:pPr>
              <w:adjustRightInd w:val="0"/>
              <w:snapToGrid w:val="0"/>
              <w:spacing w:line="240" w:lineRule="auto"/>
              <w:ind w:firstLine="0" w:firstLineChars="0"/>
              <w:jc w:val="center"/>
              <w:rPr>
                <w:sz w:val="21"/>
                <w:szCs w:val="20"/>
              </w:rPr>
            </w:pPr>
            <w:r>
              <w:rPr>
                <w:rFonts w:hint="eastAsia"/>
                <w:sz w:val="21"/>
                <w:szCs w:val="20"/>
              </w:rPr>
              <w:t>国家或地方污染物排放标注</w:t>
            </w:r>
          </w:p>
        </w:tc>
        <w:tc>
          <w:tcPr>
            <w:tcW w:w="464" w:type="pct"/>
            <w:vMerge w:val="restart"/>
            <w:shd w:val="clear" w:color="auto" w:fill="auto"/>
            <w:vAlign w:val="center"/>
          </w:tcPr>
          <w:p w14:paraId="150DE61A">
            <w:pPr>
              <w:adjustRightInd w:val="0"/>
              <w:snapToGrid w:val="0"/>
              <w:spacing w:line="240" w:lineRule="auto"/>
              <w:ind w:firstLine="0" w:firstLineChars="0"/>
              <w:jc w:val="center"/>
              <w:rPr>
                <w:sz w:val="21"/>
                <w:szCs w:val="20"/>
              </w:rPr>
            </w:pPr>
            <w:r>
              <w:rPr>
                <w:rFonts w:hint="eastAsia"/>
                <w:sz w:val="21"/>
                <w:szCs w:val="20"/>
              </w:rPr>
              <w:t>年排放量/（t</w:t>
            </w:r>
            <w:r>
              <w:rPr>
                <w:sz w:val="21"/>
                <w:szCs w:val="20"/>
              </w:rPr>
              <w:t>/a</w:t>
            </w:r>
            <w:r>
              <w:rPr>
                <w:rFonts w:hint="eastAsia"/>
                <w:sz w:val="21"/>
                <w:szCs w:val="20"/>
              </w:rPr>
              <w:t>）</w:t>
            </w:r>
          </w:p>
        </w:tc>
      </w:tr>
      <w:tr w14:paraId="49AAA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307" w:type="pct"/>
            <w:vMerge w:val="continue"/>
            <w:shd w:val="clear" w:color="auto" w:fill="auto"/>
            <w:vAlign w:val="center"/>
          </w:tcPr>
          <w:p w14:paraId="4F315FDE">
            <w:pPr>
              <w:adjustRightInd w:val="0"/>
              <w:snapToGrid w:val="0"/>
              <w:spacing w:line="240" w:lineRule="auto"/>
              <w:ind w:firstLine="0" w:firstLineChars="0"/>
              <w:jc w:val="center"/>
              <w:rPr>
                <w:sz w:val="21"/>
                <w:szCs w:val="20"/>
              </w:rPr>
            </w:pPr>
          </w:p>
        </w:tc>
        <w:tc>
          <w:tcPr>
            <w:tcW w:w="581" w:type="pct"/>
            <w:vMerge w:val="continue"/>
            <w:shd w:val="clear" w:color="auto" w:fill="auto"/>
            <w:vAlign w:val="center"/>
          </w:tcPr>
          <w:p w14:paraId="1E327E80">
            <w:pPr>
              <w:adjustRightInd w:val="0"/>
              <w:snapToGrid w:val="0"/>
              <w:spacing w:line="240" w:lineRule="auto"/>
              <w:ind w:firstLine="0" w:firstLineChars="0"/>
              <w:jc w:val="center"/>
              <w:rPr>
                <w:sz w:val="21"/>
                <w:szCs w:val="20"/>
              </w:rPr>
            </w:pPr>
          </w:p>
        </w:tc>
        <w:tc>
          <w:tcPr>
            <w:tcW w:w="581" w:type="pct"/>
            <w:vMerge w:val="continue"/>
            <w:shd w:val="clear" w:color="auto" w:fill="auto"/>
            <w:vAlign w:val="center"/>
          </w:tcPr>
          <w:p w14:paraId="7961797A">
            <w:pPr>
              <w:adjustRightInd w:val="0"/>
              <w:snapToGrid w:val="0"/>
              <w:spacing w:line="240" w:lineRule="auto"/>
              <w:ind w:firstLine="0" w:firstLineChars="0"/>
              <w:jc w:val="center"/>
              <w:rPr>
                <w:sz w:val="21"/>
                <w:szCs w:val="20"/>
              </w:rPr>
            </w:pPr>
          </w:p>
        </w:tc>
        <w:tc>
          <w:tcPr>
            <w:tcW w:w="448" w:type="pct"/>
            <w:vMerge w:val="continue"/>
            <w:shd w:val="clear" w:color="auto" w:fill="auto"/>
            <w:vAlign w:val="center"/>
          </w:tcPr>
          <w:p w14:paraId="354003DC">
            <w:pPr>
              <w:adjustRightInd w:val="0"/>
              <w:snapToGrid w:val="0"/>
              <w:spacing w:line="240" w:lineRule="auto"/>
              <w:ind w:firstLine="0" w:firstLineChars="0"/>
              <w:jc w:val="center"/>
              <w:rPr>
                <w:sz w:val="21"/>
                <w:szCs w:val="20"/>
              </w:rPr>
            </w:pPr>
          </w:p>
        </w:tc>
        <w:tc>
          <w:tcPr>
            <w:tcW w:w="1056" w:type="pct"/>
            <w:vMerge w:val="continue"/>
            <w:shd w:val="clear" w:color="auto" w:fill="auto"/>
            <w:vAlign w:val="center"/>
          </w:tcPr>
          <w:p w14:paraId="2E7F7C86">
            <w:pPr>
              <w:adjustRightInd w:val="0"/>
              <w:snapToGrid w:val="0"/>
              <w:spacing w:line="240" w:lineRule="auto"/>
              <w:ind w:firstLine="0" w:firstLineChars="0"/>
              <w:jc w:val="center"/>
              <w:rPr>
                <w:sz w:val="21"/>
                <w:szCs w:val="20"/>
              </w:rPr>
            </w:pPr>
          </w:p>
        </w:tc>
        <w:tc>
          <w:tcPr>
            <w:tcW w:w="948" w:type="pct"/>
            <w:shd w:val="clear" w:color="auto" w:fill="auto"/>
            <w:vAlign w:val="center"/>
          </w:tcPr>
          <w:p w14:paraId="42034369">
            <w:pPr>
              <w:adjustRightInd w:val="0"/>
              <w:snapToGrid w:val="0"/>
              <w:spacing w:line="240" w:lineRule="auto"/>
              <w:ind w:firstLine="0" w:firstLineChars="0"/>
              <w:jc w:val="center"/>
              <w:rPr>
                <w:sz w:val="21"/>
                <w:szCs w:val="20"/>
              </w:rPr>
            </w:pPr>
            <w:r>
              <w:rPr>
                <w:rFonts w:hint="eastAsia"/>
                <w:sz w:val="21"/>
                <w:szCs w:val="20"/>
              </w:rPr>
              <w:t>标准名称</w:t>
            </w:r>
          </w:p>
        </w:tc>
        <w:tc>
          <w:tcPr>
            <w:tcW w:w="612" w:type="pct"/>
            <w:shd w:val="clear" w:color="auto" w:fill="auto"/>
            <w:vAlign w:val="center"/>
          </w:tcPr>
          <w:p w14:paraId="4809036A">
            <w:pPr>
              <w:adjustRightInd w:val="0"/>
              <w:snapToGrid w:val="0"/>
              <w:spacing w:line="240" w:lineRule="auto"/>
              <w:ind w:firstLine="0" w:firstLineChars="0"/>
              <w:jc w:val="center"/>
              <w:rPr>
                <w:sz w:val="21"/>
                <w:szCs w:val="20"/>
              </w:rPr>
            </w:pPr>
            <w:r>
              <w:rPr>
                <w:rFonts w:hint="eastAsia"/>
                <w:sz w:val="21"/>
                <w:szCs w:val="20"/>
              </w:rPr>
              <w:t>浓度限值/（m</w:t>
            </w:r>
            <w:r>
              <w:rPr>
                <w:sz w:val="21"/>
                <w:szCs w:val="20"/>
              </w:rPr>
              <w:t>g/m</w:t>
            </w:r>
            <w:r>
              <w:rPr>
                <w:sz w:val="21"/>
                <w:szCs w:val="20"/>
                <w:vertAlign w:val="superscript"/>
              </w:rPr>
              <w:t>3</w:t>
            </w:r>
            <w:r>
              <w:rPr>
                <w:rFonts w:hint="eastAsia"/>
                <w:sz w:val="21"/>
                <w:szCs w:val="20"/>
              </w:rPr>
              <w:t>）</w:t>
            </w:r>
          </w:p>
        </w:tc>
        <w:tc>
          <w:tcPr>
            <w:tcW w:w="464" w:type="pct"/>
            <w:vMerge w:val="continue"/>
            <w:shd w:val="clear" w:color="auto" w:fill="auto"/>
            <w:vAlign w:val="center"/>
          </w:tcPr>
          <w:p w14:paraId="075D6E9F">
            <w:pPr>
              <w:adjustRightInd w:val="0"/>
              <w:snapToGrid w:val="0"/>
              <w:spacing w:line="240" w:lineRule="auto"/>
              <w:ind w:firstLine="0" w:firstLineChars="0"/>
              <w:jc w:val="center"/>
              <w:rPr>
                <w:sz w:val="21"/>
                <w:szCs w:val="20"/>
              </w:rPr>
            </w:pPr>
          </w:p>
        </w:tc>
      </w:tr>
      <w:tr w14:paraId="29DB0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restart"/>
            <w:shd w:val="clear" w:color="auto" w:fill="auto"/>
            <w:vAlign w:val="center"/>
          </w:tcPr>
          <w:p w14:paraId="443C2560">
            <w:pPr>
              <w:adjustRightInd w:val="0"/>
              <w:snapToGrid w:val="0"/>
              <w:spacing w:line="240" w:lineRule="auto"/>
              <w:ind w:firstLine="0" w:firstLineChars="0"/>
              <w:jc w:val="center"/>
              <w:rPr>
                <w:sz w:val="21"/>
                <w:szCs w:val="20"/>
              </w:rPr>
            </w:pPr>
            <w:r>
              <w:rPr>
                <w:rFonts w:hint="eastAsia"/>
                <w:sz w:val="21"/>
                <w:szCs w:val="20"/>
              </w:rPr>
              <w:t>1</w:t>
            </w:r>
          </w:p>
        </w:tc>
        <w:tc>
          <w:tcPr>
            <w:tcW w:w="581" w:type="pct"/>
            <w:vMerge w:val="restart"/>
            <w:shd w:val="clear" w:color="auto" w:fill="auto"/>
            <w:vAlign w:val="center"/>
          </w:tcPr>
          <w:p w14:paraId="06181156">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G1</w:t>
            </w:r>
          </w:p>
        </w:tc>
        <w:tc>
          <w:tcPr>
            <w:tcW w:w="581" w:type="pct"/>
            <w:vMerge w:val="restart"/>
            <w:shd w:val="clear" w:color="auto" w:fill="auto"/>
            <w:vAlign w:val="center"/>
          </w:tcPr>
          <w:p w14:paraId="5BF55DE3">
            <w:pPr>
              <w:adjustRightInd w:val="0"/>
              <w:snapToGrid w:val="0"/>
              <w:spacing w:line="240" w:lineRule="auto"/>
              <w:ind w:firstLine="0" w:firstLineChars="0"/>
              <w:jc w:val="center"/>
              <w:rPr>
                <w:sz w:val="21"/>
                <w:szCs w:val="20"/>
              </w:rPr>
            </w:pPr>
            <w:r>
              <w:rPr>
                <w:rFonts w:hint="eastAsia"/>
                <w:sz w:val="21"/>
                <w:szCs w:val="20"/>
                <w:lang w:val="en-US" w:eastAsia="zh-CN"/>
              </w:rPr>
              <w:t>育肥</w:t>
            </w:r>
            <w:r>
              <w:rPr>
                <w:rFonts w:hint="default"/>
                <w:sz w:val="21"/>
                <w:szCs w:val="20"/>
              </w:rPr>
              <w:t>舍</w:t>
            </w:r>
          </w:p>
        </w:tc>
        <w:tc>
          <w:tcPr>
            <w:tcW w:w="448" w:type="pct"/>
            <w:shd w:val="clear" w:color="auto" w:fill="auto"/>
            <w:vAlign w:val="center"/>
          </w:tcPr>
          <w:p w14:paraId="2F58BE7D">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NH</w:t>
            </w:r>
            <w:r>
              <w:rPr>
                <w:rFonts w:hint="default"/>
                <w:vertAlign w:val="subscript"/>
              </w:rPr>
              <w:t>3</w:t>
            </w:r>
          </w:p>
        </w:tc>
        <w:tc>
          <w:tcPr>
            <w:tcW w:w="1056" w:type="pct"/>
            <w:vMerge w:val="restart"/>
            <w:shd w:val="clear" w:color="auto" w:fill="auto"/>
            <w:vAlign w:val="center"/>
          </w:tcPr>
          <w:p w14:paraId="4A1416C0">
            <w:pPr>
              <w:pStyle w:val="19"/>
              <w:bidi w:val="0"/>
              <w:ind w:firstLine="0" w:firstLineChars="0"/>
              <w:rPr>
                <w:sz w:val="21"/>
                <w:szCs w:val="20"/>
              </w:rPr>
            </w:pPr>
            <w:r>
              <w:rPr>
                <w:rFonts w:hint="default"/>
              </w:rPr>
              <w:t>加强通风、合理搭配饲料、投放吸附剂和喷洒除臭剂、全漏缝地板、及时清除粪便，定期冲洗和杀菌消毒</w:t>
            </w:r>
            <w:r>
              <w:rPr>
                <w:rFonts w:hint="eastAsia"/>
                <w:lang w:eastAsia="zh-CN"/>
              </w:rPr>
              <w:t>。</w:t>
            </w:r>
          </w:p>
        </w:tc>
        <w:tc>
          <w:tcPr>
            <w:tcW w:w="948" w:type="pct"/>
            <w:vMerge w:val="restart"/>
            <w:shd w:val="clear" w:color="auto" w:fill="auto"/>
            <w:vAlign w:val="center"/>
          </w:tcPr>
          <w:p w14:paraId="75296691">
            <w:pPr>
              <w:adjustRightInd w:val="0"/>
              <w:snapToGrid w:val="0"/>
              <w:spacing w:line="240" w:lineRule="auto"/>
              <w:ind w:firstLine="0" w:firstLineChars="0"/>
              <w:jc w:val="center"/>
              <w:rPr>
                <w:sz w:val="21"/>
                <w:szCs w:val="20"/>
              </w:rPr>
            </w:pPr>
            <w:r>
              <w:rPr>
                <w:sz w:val="21"/>
                <w:szCs w:val="20"/>
              </w:rPr>
              <w:t>《恶臭污染物排放标准》（GB14554-93）中新污染源二级标准</w:t>
            </w:r>
          </w:p>
        </w:tc>
        <w:tc>
          <w:tcPr>
            <w:tcW w:w="612" w:type="pct"/>
            <w:shd w:val="clear" w:color="auto" w:fill="auto"/>
            <w:vAlign w:val="center"/>
          </w:tcPr>
          <w:p w14:paraId="7010EFDB">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1.5</w:t>
            </w:r>
          </w:p>
        </w:tc>
        <w:tc>
          <w:tcPr>
            <w:tcW w:w="464" w:type="pct"/>
            <w:shd w:val="clear" w:color="auto" w:fill="auto"/>
            <w:vAlign w:val="center"/>
          </w:tcPr>
          <w:p w14:paraId="4A1B3AA1">
            <w:pPr>
              <w:pStyle w:val="19"/>
              <w:bidi w:val="0"/>
              <w:ind w:firstLine="0" w:firstLineChars="0"/>
              <w:rPr>
                <w:rFonts w:hint="default" w:ascii="Times New Roman" w:hAnsi="Times New Roman" w:eastAsia="宋体" w:cs="Times New Roman"/>
                <w:kern w:val="2"/>
                <w:sz w:val="21"/>
                <w:szCs w:val="22"/>
                <w:lang w:val="en-US" w:eastAsia="zh-CN" w:bidi="ar-SA"/>
              </w:rPr>
            </w:pPr>
            <w:r>
              <w:rPr>
                <w:rFonts w:hint="default"/>
                <w:lang w:val="en-US" w:eastAsia="zh-CN"/>
              </w:rPr>
              <w:t>2.745</w:t>
            </w:r>
          </w:p>
        </w:tc>
      </w:tr>
      <w:tr w14:paraId="121C5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continue"/>
            <w:shd w:val="clear" w:color="auto" w:fill="auto"/>
            <w:vAlign w:val="center"/>
          </w:tcPr>
          <w:p w14:paraId="4646DAAE">
            <w:pPr>
              <w:adjustRightInd w:val="0"/>
              <w:snapToGrid w:val="0"/>
              <w:spacing w:line="240" w:lineRule="auto"/>
              <w:ind w:firstLine="0" w:firstLineChars="0"/>
              <w:jc w:val="center"/>
            </w:pPr>
          </w:p>
        </w:tc>
        <w:tc>
          <w:tcPr>
            <w:tcW w:w="581" w:type="pct"/>
            <w:vMerge w:val="continue"/>
            <w:shd w:val="clear" w:color="auto" w:fill="auto"/>
            <w:vAlign w:val="center"/>
          </w:tcPr>
          <w:p w14:paraId="4B951AC6">
            <w:pPr>
              <w:adjustRightInd w:val="0"/>
              <w:snapToGrid w:val="0"/>
              <w:spacing w:line="240" w:lineRule="auto"/>
              <w:ind w:firstLine="0" w:firstLineChars="0"/>
              <w:jc w:val="center"/>
            </w:pPr>
          </w:p>
        </w:tc>
        <w:tc>
          <w:tcPr>
            <w:tcW w:w="581" w:type="pct"/>
            <w:vMerge w:val="continue"/>
            <w:shd w:val="clear" w:color="auto" w:fill="auto"/>
            <w:vAlign w:val="center"/>
          </w:tcPr>
          <w:p w14:paraId="769F7764">
            <w:pPr>
              <w:adjustRightInd w:val="0"/>
              <w:snapToGrid w:val="0"/>
              <w:spacing w:line="240" w:lineRule="auto"/>
              <w:ind w:firstLine="0" w:firstLineChars="0"/>
              <w:jc w:val="center"/>
            </w:pPr>
          </w:p>
        </w:tc>
        <w:tc>
          <w:tcPr>
            <w:tcW w:w="448" w:type="pct"/>
            <w:shd w:val="clear" w:color="auto" w:fill="auto"/>
            <w:vAlign w:val="center"/>
          </w:tcPr>
          <w:p w14:paraId="77E83BEE">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H</w:t>
            </w:r>
            <w:r>
              <w:rPr>
                <w:rFonts w:hint="default"/>
                <w:vertAlign w:val="subscript"/>
              </w:rPr>
              <w:t>2</w:t>
            </w:r>
            <w:r>
              <w:rPr>
                <w:rFonts w:hint="default"/>
              </w:rPr>
              <w:t>S</w:t>
            </w:r>
          </w:p>
        </w:tc>
        <w:tc>
          <w:tcPr>
            <w:tcW w:w="1056" w:type="pct"/>
            <w:vMerge w:val="continue"/>
            <w:shd w:val="clear" w:color="auto" w:fill="auto"/>
            <w:vAlign w:val="center"/>
          </w:tcPr>
          <w:p w14:paraId="253A5963">
            <w:pPr>
              <w:adjustRightInd w:val="0"/>
              <w:snapToGrid w:val="0"/>
              <w:spacing w:line="240" w:lineRule="auto"/>
              <w:ind w:firstLine="0" w:firstLineChars="0"/>
              <w:jc w:val="center"/>
              <w:rPr>
                <w:sz w:val="21"/>
                <w:szCs w:val="20"/>
              </w:rPr>
            </w:pPr>
          </w:p>
        </w:tc>
        <w:tc>
          <w:tcPr>
            <w:tcW w:w="948" w:type="pct"/>
            <w:vMerge w:val="continue"/>
            <w:shd w:val="clear" w:color="auto" w:fill="auto"/>
            <w:vAlign w:val="center"/>
          </w:tcPr>
          <w:p w14:paraId="5E18DA88">
            <w:pPr>
              <w:adjustRightInd w:val="0"/>
              <w:snapToGrid w:val="0"/>
              <w:spacing w:line="240" w:lineRule="auto"/>
              <w:ind w:firstLine="0" w:firstLineChars="0"/>
              <w:jc w:val="center"/>
              <w:rPr>
                <w:sz w:val="21"/>
                <w:szCs w:val="20"/>
              </w:rPr>
            </w:pPr>
          </w:p>
        </w:tc>
        <w:tc>
          <w:tcPr>
            <w:tcW w:w="612" w:type="pct"/>
            <w:shd w:val="clear" w:color="auto" w:fill="auto"/>
            <w:vAlign w:val="center"/>
          </w:tcPr>
          <w:p w14:paraId="3B93F0C4">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0.06</w:t>
            </w:r>
          </w:p>
        </w:tc>
        <w:tc>
          <w:tcPr>
            <w:tcW w:w="464" w:type="pct"/>
            <w:shd w:val="clear" w:color="auto" w:fill="auto"/>
            <w:vAlign w:val="center"/>
          </w:tcPr>
          <w:p w14:paraId="694D9B33">
            <w:pPr>
              <w:pStyle w:val="19"/>
              <w:bidi w:val="0"/>
              <w:ind w:firstLine="0" w:firstLineChars="0"/>
              <w:rPr>
                <w:rFonts w:hint="default" w:ascii="Times New Roman" w:hAnsi="Times New Roman" w:eastAsia="宋体" w:cs="Times New Roman"/>
                <w:kern w:val="2"/>
                <w:sz w:val="21"/>
                <w:szCs w:val="22"/>
                <w:lang w:val="en-US" w:eastAsia="zh-CN" w:bidi="ar-SA"/>
              </w:rPr>
            </w:pPr>
            <w:r>
              <w:rPr>
                <w:rFonts w:hint="default"/>
                <w:lang w:val="en-US" w:eastAsia="zh-CN"/>
              </w:rPr>
              <w:t>0.2905</w:t>
            </w:r>
          </w:p>
        </w:tc>
      </w:tr>
      <w:tr w14:paraId="68ADA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restart"/>
            <w:shd w:val="clear" w:color="auto" w:fill="auto"/>
            <w:vAlign w:val="center"/>
          </w:tcPr>
          <w:p w14:paraId="03E36859">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2</w:t>
            </w:r>
          </w:p>
        </w:tc>
        <w:tc>
          <w:tcPr>
            <w:tcW w:w="581" w:type="pct"/>
            <w:vMerge w:val="restart"/>
            <w:shd w:val="clear" w:color="auto" w:fill="auto"/>
            <w:vAlign w:val="center"/>
          </w:tcPr>
          <w:p w14:paraId="58A5FD85">
            <w:pPr>
              <w:adjustRightInd w:val="0"/>
              <w:snapToGrid w:val="0"/>
              <w:spacing w:line="240" w:lineRule="auto"/>
              <w:ind w:firstLine="0" w:firstLineChars="0"/>
              <w:jc w:val="center"/>
              <w:rPr>
                <w:rFonts w:hint="default"/>
                <w:sz w:val="21"/>
                <w:szCs w:val="20"/>
                <w:lang w:val="en-US" w:eastAsia="zh-CN"/>
              </w:rPr>
            </w:pPr>
            <w:r>
              <w:rPr>
                <w:rFonts w:hint="eastAsia"/>
                <w:sz w:val="21"/>
                <w:szCs w:val="20"/>
                <w:lang w:val="en-US" w:eastAsia="zh-CN"/>
              </w:rPr>
              <w:t>G2</w:t>
            </w:r>
          </w:p>
        </w:tc>
        <w:tc>
          <w:tcPr>
            <w:tcW w:w="581" w:type="pct"/>
            <w:vMerge w:val="restart"/>
            <w:shd w:val="clear" w:color="auto" w:fill="auto"/>
            <w:vAlign w:val="center"/>
          </w:tcPr>
          <w:p w14:paraId="699AB4F5">
            <w:pPr>
              <w:adjustRightInd w:val="0"/>
              <w:snapToGrid w:val="0"/>
              <w:spacing w:line="240" w:lineRule="auto"/>
              <w:ind w:firstLine="0" w:firstLineChars="0"/>
              <w:jc w:val="center"/>
              <w:rPr>
                <w:rFonts w:hint="eastAsia"/>
                <w:sz w:val="21"/>
                <w:szCs w:val="20"/>
                <w:lang w:val="en-US" w:eastAsia="zh-CN"/>
              </w:rPr>
            </w:pPr>
            <w:r>
              <w:rPr>
                <w:rFonts w:hint="eastAsia"/>
                <w:sz w:val="21"/>
                <w:szCs w:val="20"/>
                <w:lang w:val="en-US" w:eastAsia="zh-CN"/>
              </w:rPr>
              <w:t>堆肥场</w:t>
            </w:r>
          </w:p>
        </w:tc>
        <w:tc>
          <w:tcPr>
            <w:tcW w:w="448" w:type="pct"/>
            <w:shd w:val="clear" w:color="auto" w:fill="auto"/>
            <w:vAlign w:val="center"/>
          </w:tcPr>
          <w:p w14:paraId="01E1647B">
            <w:pPr>
              <w:pStyle w:val="19"/>
              <w:bidi w:val="0"/>
              <w:ind w:firstLine="0" w:firstLineChars="0"/>
              <w:rPr>
                <w:rFonts w:hint="eastAsia" w:ascii="Times New Roman" w:hAnsi="Times New Roman" w:eastAsia="宋体" w:cs="Times New Roman"/>
                <w:kern w:val="2"/>
                <w:sz w:val="21"/>
                <w:szCs w:val="22"/>
                <w:lang w:val="en-US" w:eastAsia="zh-CN" w:bidi="ar-SA"/>
              </w:rPr>
            </w:pPr>
            <w:r>
              <w:rPr>
                <w:rFonts w:hint="default"/>
              </w:rPr>
              <w:t>NH</w:t>
            </w:r>
            <w:r>
              <w:rPr>
                <w:rFonts w:hint="default"/>
                <w:vertAlign w:val="subscript"/>
              </w:rPr>
              <w:t>3</w:t>
            </w:r>
          </w:p>
        </w:tc>
        <w:tc>
          <w:tcPr>
            <w:tcW w:w="1056" w:type="pct"/>
            <w:vMerge w:val="restart"/>
            <w:shd w:val="clear" w:color="auto" w:fill="auto"/>
            <w:vAlign w:val="center"/>
          </w:tcPr>
          <w:p w14:paraId="5F79BE4D">
            <w:pPr>
              <w:pStyle w:val="19"/>
              <w:bidi w:val="0"/>
              <w:ind w:firstLine="0" w:firstLineChars="0"/>
              <w:rPr>
                <w:rFonts w:hint="eastAsia"/>
                <w:sz w:val="21"/>
                <w:szCs w:val="20"/>
              </w:rPr>
            </w:pPr>
            <w:r>
              <w:rPr>
                <w:rFonts w:hint="default"/>
                <w:highlight w:val="none"/>
              </w:rPr>
              <w:t>添加物理吸附剂、喷洒除臭剂</w:t>
            </w:r>
          </w:p>
        </w:tc>
        <w:tc>
          <w:tcPr>
            <w:tcW w:w="948" w:type="pct"/>
            <w:vMerge w:val="continue"/>
            <w:shd w:val="clear" w:color="auto" w:fill="auto"/>
            <w:vAlign w:val="center"/>
          </w:tcPr>
          <w:p w14:paraId="29662AD7">
            <w:pPr>
              <w:adjustRightInd w:val="0"/>
              <w:snapToGrid w:val="0"/>
              <w:spacing w:line="240" w:lineRule="auto"/>
              <w:ind w:firstLine="0" w:firstLineChars="0"/>
              <w:jc w:val="center"/>
              <w:rPr>
                <w:rFonts w:hint="eastAsia"/>
                <w:sz w:val="21"/>
                <w:szCs w:val="20"/>
              </w:rPr>
            </w:pPr>
          </w:p>
        </w:tc>
        <w:tc>
          <w:tcPr>
            <w:tcW w:w="612" w:type="pct"/>
            <w:shd w:val="clear" w:color="auto" w:fill="auto"/>
            <w:vAlign w:val="center"/>
          </w:tcPr>
          <w:p w14:paraId="074AE3D5">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1.5</w:t>
            </w:r>
          </w:p>
        </w:tc>
        <w:tc>
          <w:tcPr>
            <w:tcW w:w="464" w:type="pct"/>
            <w:shd w:val="clear" w:color="auto" w:fill="auto"/>
            <w:vAlign w:val="center"/>
          </w:tcPr>
          <w:p w14:paraId="5E75DC62">
            <w:pPr>
              <w:pStyle w:val="19"/>
              <w:bidi w:val="0"/>
              <w:ind w:firstLine="0" w:firstLineChars="0"/>
              <w:rPr>
                <w:rFonts w:hint="eastAsia" w:ascii="Times New Roman" w:hAnsi="Times New Roman" w:eastAsia="宋体" w:cs="Times New Roman"/>
                <w:kern w:val="2"/>
                <w:sz w:val="21"/>
                <w:szCs w:val="22"/>
                <w:highlight w:val="none"/>
                <w:lang w:val="en-US" w:eastAsia="zh-CN" w:bidi="ar-SA"/>
              </w:rPr>
            </w:pPr>
            <w:r>
              <w:rPr>
                <w:rFonts w:hint="eastAsia"/>
                <w:lang w:val="en-US" w:eastAsia="zh-CN"/>
              </w:rPr>
              <w:t>0.053</w:t>
            </w:r>
          </w:p>
        </w:tc>
      </w:tr>
      <w:tr w14:paraId="7131D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continue"/>
            <w:shd w:val="clear" w:color="auto" w:fill="auto"/>
            <w:vAlign w:val="center"/>
          </w:tcPr>
          <w:p w14:paraId="67AC4ED7">
            <w:pPr>
              <w:adjustRightInd w:val="0"/>
              <w:snapToGrid w:val="0"/>
              <w:spacing w:line="240" w:lineRule="auto"/>
              <w:ind w:firstLine="0" w:firstLineChars="0"/>
              <w:jc w:val="center"/>
            </w:pPr>
          </w:p>
        </w:tc>
        <w:tc>
          <w:tcPr>
            <w:tcW w:w="581" w:type="pct"/>
            <w:vMerge w:val="continue"/>
            <w:shd w:val="clear" w:color="auto" w:fill="auto"/>
            <w:vAlign w:val="center"/>
          </w:tcPr>
          <w:p w14:paraId="6E33AF0A">
            <w:pPr>
              <w:adjustRightInd w:val="0"/>
              <w:snapToGrid w:val="0"/>
              <w:spacing w:line="240" w:lineRule="auto"/>
              <w:ind w:firstLine="0" w:firstLineChars="0"/>
              <w:jc w:val="center"/>
            </w:pPr>
          </w:p>
        </w:tc>
        <w:tc>
          <w:tcPr>
            <w:tcW w:w="581" w:type="pct"/>
            <w:vMerge w:val="continue"/>
            <w:shd w:val="clear" w:color="auto" w:fill="auto"/>
            <w:vAlign w:val="center"/>
          </w:tcPr>
          <w:p w14:paraId="3500BC62">
            <w:pPr>
              <w:adjustRightInd w:val="0"/>
              <w:snapToGrid w:val="0"/>
              <w:spacing w:line="240" w:lineRule="auto"/>
              <w:ind w:firstLine="0" w:firstLineChars="0"/>
              <w:jc w:val="center"/>
            </w:pPr>
          </w:p>
        </w:tc>
        <w:tc>
          <w:tcPr>
            <w:tcW w:w="448" w:type="pct"/>
            <w:shd w:val="clear" w:color="auto" w:fill="auto"/>
            <w:vAlign w:val="center"/>
          </w:tcPr>
          <w:p w14:paraId="6F37D692">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H</w:t>
            </w:r>
            <w:r>
              <w:rPr>
                <w:rFonts w:hint="default"/>
                <w:vertAlign w:val="subscript"/>
              </w:rPr>
              <w:t>2</w:t>
            </w:r>
            <w:r>
              <w:rPr>
                <w:rFonts w:hint="default"/>
              </w:rPr>
              <w:t>S</w:t>
            </w:r>
          </w:p>
        </w:tc>
        <w:tc>
          <w:tcPr>
            <w:tcW w:w="1056" w:type="pct"/>
            <w:vMerge w:val="continue"/>
            <w:shd w:val="clear" w:color="auto" w:fill="auto"/>
            <w:vAlign w:val="center"/>
          </w:tcPr>
          <w:p w14:paraId="66DD9805">
            <w:pPr>
              <w:adjustRightInd w:val="0"/>
              <w:snapToGrid w:val="0"/>
              <w:spacing w:line="240" w:lineRule="auto"/>
              <w:ind w:firstLine="0" w:firstLineChars="0"/>
              <w:jc w:val="center"/>
              <w:rPr>
                <w:sz w:val="21"/>
                <w:szCs w:val="20"/>
              </w:rPr>
            </w:pPr>
          </w:p>
        </w:tc>
        <w:tc>
          <w:tcPr>
            <w:tcW w:w="948" w:type="pct"/>
            <w:vMerge w:val="continue"/>
            <w:shd w:val="clear" w:color="auto" w:fill="auto"/>
            <w:vAlign w:val="center"/>
          </w:tcPr>
          <w:p w14:paraId="6F05230F">
            <w:pPr>
              <w:adjustRightInd w:val="0"/>
              <w:snapToGrid w:val="0"/>
              <w:spacing w:line="240" w:lineRule="auto"/>
              <w:ind w:firstLine="0" w:firstLineChars="0"/>
              <w:jc w:val="center"/>
              <w:rPr>
                <w:sz w:val="21"/>
                <w:szCs w:val="20"/>
              </w:rPr>
            </w:pPr>
          </w:p>
        </w:tc>
        <w:tc>
          <w:tcPr>
            <w:tcW w:w="612" w:type="pct"/>
            <w:shd w:val="clear" w:color="auto" w:fill="auto"/>
            <w:vAlign w:val="center"/>
          </w:tcPr>
          <w:p w14:paraId="6C5FF2CF">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0.06</w:t>
            </w:r>
          </w:p>
        </w:tc>
        <w:tc>
          <w:tcPr>
            <w:tcW w:w="464" w:type="pct"/>
            <w:shd w:val="clear" w:color="auto" w:fill="auto"/>
            <w:vAlign w:val="center"/>
          </w:tcPr>
          <w:p w14:paraId="4CAB0A29">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lang w:val="en-US" w:eastAsia="zh-CN"/>
              </w:rPr>
              <w:t>0.005</w:t>
            </w:r>
          </w:p>
        </w:tc>
      </w:tr>
      <w:tr w14:paraId="1ABBE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restart"/>
            <w:shd w:val="clear" w:color="auto" w:fill="auto"/>
            <w:vAlign w:val="center"/>
          </w:tcPr>
          <w:p w14:paraId="2A6C7F85">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3</w:t>
            </w:r>
          </w:p>
        </w:tc>
        <w:tc>
          <w:tcPr>
            <w:tcW w:w="581" w:type="pct"/>
            <w:vMerge w:val="restart"/>
            <w:shd w:val="clear" w:color="auto" w:fill="auto"/>
            <w:vAlign w:val="center"/>
          </w:tcPr>
          <w:p w14:paraId="4E5C96FF">
            <w:pPr>
              <w:adjustRightInd w:val="0"/>
              <w:snapToGrid w:val="0"/>
              <w:spacing w:line="240" w:lineRule="auto"/>
              <w:ind w:firstLine="0" w:firstLineChars="0"/>
              <w:jc w:val="center"/>
              <w:rPr>
                <w:rFonts w:hint="default"/>
                <w:sz w:val="21"/>
                <w:szCs w:val="20"/>
                <w:lang w:val="en-US" w:eastAsia="zh-CN"/>
              </w:rPr>
            </w:pPr>
            <w:r>
              <w:rPr>
                <w:rFonts w:hint="eastAsia"/>
                <w:sz w:val="21"/>
                <w:szCs w:val="20"/>
                <w:lang w:val="en-US" w:eastAsia="zh-CN"/>
              </w:rPr>
              <w:t>G3</w:t>
            </w:r>
          </w:p>
        </w:tc>
        <w:tc>
          <w:tcPr>
            <w:tcW w:w="581" w:type="pct"/>
            <w:vMerge w:val="restart"/>
            <w:shd w:val="clear" w:color="auto" w:fill="auto"/>
            <w:vAlign w:val="center"/>
          </w:tcPr>
          <w:p w14:paraId="1FCBAB20">
            <w:pPr>
              <w:adjustRightInd w:val="0"/>
              <w:snapToGrid w:val="0"/>
              <w:spacing w:line="240" w:lineRule="auto"/>
              <w:ind w:firstLine="0" w:firstLineChars="0"/>
              <w:jc w:val="center"/>
              <w:rPr>
                <w:rFonts w:hint="eastAsia"/>
                <w:sz w:val="21"/>
                <w:szCs w:val="20"/>
                <w:lang w:val="en-US" w:eastAsia="zh-CN"/>
              </w:rPr>
            </w:pPr>
            <w:r>
              <w:rPr>
                <w:rFonts w:hint="eastAsia"/>
                <w:sz w:val="21"/>
                <w:szCs w:val="20"/>
                <w:lang w:val="en-US" w:eastAsia="zh-CN"/>
              </w:rPr>
              <w:t>污水处理系统</w:t>
            </w:r>
          </w:p>
        </w:tc>
        <w:tc>
          <w:tcPr>
            <w:tcW w:w="448" w:type="pct"/>
            <w:shd w:val="clear" w:color="auto" w:fill="auto"/>
            <w:vAlign w:val="center"/>
          </w:tcPr>
          <w:p w14:paraId="1596D64D">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NH</w:t>
            </w:r>
            <w:r>
              <w:rPr>
                <w:rFonts w:hint="default"/>
                <w:vertAlign w:val="subscript"/>
              </w:rPr>
              <w:t>3</w:t>
            </w:r>
          </w:p>
        </w:tc>
        <w:tc>
          <w:tcPr>
            <w:tcW w:w="1056" w:type="pct"/>
            <w:vMerge w:val="restart"/>
            <w:shd w:val="clear" w:color="auto" w:fill="auto"/>
            <w:vAlign w:val="center"/>
          </w:tcPr>
          <w:p w14:paraId="6503360C">
            <w:pPr>
              <w:pStyle w:val="19"/>
              <w:bidi w:val="0"/>
              <w:ind w:firstLine="0" w:firstLineChars="0"/>
              <w:rPr>
                <w:rFonts w:hint="eastAsia"/>
                <w:sz w:val="21"/>
                <w:szCs w:val="20"/>
              </w:rPr>
            </w:pPr>
            <w:r>
              <w:rPr>
                <w:rFonts w:hint="eastAsia"/>
                <w:highlight w:val="none"/>
                <w:lang w:val="en-US" w:eastAsia="zh-CN"/>
              </w:rPr>
              <w:t>收集池</w:t>
            </w:r>
            <w:r>
              <w:rPr>
                <w:rFonts w:hint="eastAsia"/>
                <w:highlight w:val="none"/>
              </w:rPr>
              <w:t>加盖密闭、</w:t>
            </w:r>
            <w:r>
              <w:rPr>
                <w:rFonts w:hint="eastAsia"/>
                <w:highlight w:val="none"/>
                <w:lang w:val="en-US" w:eastAsia="zh-CN"/>
              </w:rPr>
              <w:t>1号粪污处理池</w:t>
            </w:r>
            <w:r>
              <w:rPr>
                <w:rFonts w:hint="eastAsia"/>
                <w:highlight w:val="none"/>
              </w:rPr>
              <w:t>外围定期喷洒除臭剂、厂区绿化</w:t>
            </w:r>
          </w:p>
        </w:tc>
        <w:tc>
          <w:tcPr>
            <w:tcW w:w="948" w:type="pct"/>
            <w:vMerge w:val="continue"/>
            <w:shd w:val="clear" w:color="auto" w:fill="auto"/>
            <w:vAlign w:val="center"/>
          </w:tcPr>
          <w:p w14:paraId="5A4939C9">
            <w:pPr>
              <w:adjustRightInd w:val="0"/>
              <w:snapToGrid w:val="0"/>
              <w:spacing w:line="240" w:lineRule="auto"/>
              <w:ind w:firstLine="0" w:firstLineChars="0"/>
              <w:jc w:val="center"/>
              <w:rPr>
                <w:rFonts w:hint="eastAsia"/>
                <w:sz w:val="21"/>
                <w:szCs w:val="20"/>
              </w:rPr>
            </w:pPr>
          </w:p>
        </w:tc>
        <w:tc>
          <w:tcPr>
            <w:tcW w:w="612" w:type="pct"/>
            <w:shd w:val="clear" w:color="auto" w:fill="auto"/>
            <w:vAlign w:val="center"/>
          </w:tcPr>
          <w:p w14:paraId="2B7FFBC0">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1.5</w:t>
            </w:r>
          </w:p>
        </w:tc>
        <w:tc>
          <w:tcPr>
            <w:tcW w:w="464" w:type="pct"/>
            <w:shd w:val="clear" w:color="auto" w:fill="auto"/>
            <w:vAlign w:val="center"/>
          </w:tcPr>
          <w:p w14:paraId="2C92BCBD">
            <w:pPr>
              <w:pStyle w:val="19"/>
              <w:bidi w:val="0"/>
              <w:ind w:firstLine="0" w:firstLineChars="0"/>
              <w:rPr>
                <w:rFonts w:hint="eastAsia" w:ascii="Times New Roman" w:hAnsi="Times New Roman" w:eastAsia="宋体" w:cs="Times New Roman"/>
                <w:kern w:val="2"/>
                <w:sz w:val="21"/>
                <w:szCs w:val="22"/>
                <w:highlight w:val="none"/>
                <w:lang w:val="en-US" w:eastAsia="zh-CN" w:bidi="ar-SA"/>
              </w:rPr>
            </w:pPr>
            <w:r>
              <w:rPr>
                <w:rFonts w:hint="eastAsia"/>
                <w:lang w:val="en-US" w:eastAsia="zh-CN"/>
              </w:rPr>
              <w:t>0.022</w:t>
            </w:r>
          </w:p>
        </w:tc>
      </w:tr>
      <w:tr w14:paraId="143A1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continue"/>
            <w:shd w:val="clear" w:color="auto" w:fill="auto"/>
            <w:vAlign w:val="center"/>
          </w:tcPr>
          <w:p w14:paraId="6B443DC9">
            <w:pPr>
              <w:adjustRightInd w:val="0"/>
              <w:snapToGrid w:val="0"/>
              <w:spacing w:line="240" w:lineRule="auto"/>
              <w:ind w:firstLine="0" w:firstLineChars="0"/>
              <w:jc w:val="center"/>
            </w:pPr>
          </w:p>
        </w:tc>
        <w:tc>
          <w:tcPr>
            <w:tcW w:w="581" w:type="pct"/>
            <w:vMerge w:val="continue"/>
            <w:shd w:val="clear" w:color="auto" w:fill="auto"/>
            <w:vAlign w:val="center"/>
          </w:tcPr>
          <w:p w14:paraId="30085274">
            <w:pPr>
              <w:adjustRightInd w:val="0"/>
              <w:snapToGrid w:val="0"/>
              <w:spacing w:line="240" w:lineRule="auto"/>
              <w:ind w:firstLine="0" w:firstLineChars="0"/>
              <w:jc w:val="center"/>
            </w:pPr>
          </w:p>
        </w:tc>
        <w:tc>
          <w:tcPr>
            <w:tcW w:w="581" w:type="pct"/>
            <w:vMerge w:val="continue"/>
            <w:shd w:val="clear" w:color="auto" w:fill="auto"/>
            <w:vAlign w:val="center"/>
          </w:tcPr>
          <w:p w14:paraId="6791840C">
            <w:pPr>
              <w:adjustRightInd w:val="0"/>
              <w:snapToGrid w:val="0"/>
              <w:spacing w:line="240" w:lineRule="auto"/>
              <w:ind w:firstLine="0" w:firstLineChars="0"/>
              <w:jc w:val="center"/>
            </w:pPr>
          </w:p>
        </w:tc>
        <w:tc>
          <w:tcPr>
            <w:tcW w:w="448" w:type="pct"/>
            <w:shd w:val="clear" w:color="auto" w:fill="auto"/>
            <w:vAlign w:val="center"/>
          </w:tcPr>
          <w:p w14:paraId="614CE5C3">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H</w:t>
            </w:r>
            <w:r>
              <w:rPr>
                <w:rFonts w:hint="default"/>
                <w:vertAlign w:val="subscript"/>
              </w:rPr>
              <w:t>2</w:t>
            </w:r>
            <w:r>
              <w:rPr>
                <w:rFonts w:hint="default"/>
              </w:rPr>
              <w:t>S</w:t>
            </w:r>
          </w:p>
        </w:tc>
        <w:tc>
          <w:tcPr>
            <w:tcW w:w="1056" w:type="pct"/>
            <w:vMerge w:val="continue"/>
            <w:shd w:val="clear" w:color="auto" w:fill="auto"/>
            <w:vAlign w:val="center"/>
          </w:tcPr>
          <w:p w14:paraId="40A87E6E">
            <w:pPr>
              <w:adjustRightInd w:val="0"/>
              <w:snapToGrid w:val="0"/>
              <w:spacing w:line="240" w:lineRule="auto"/>
              <w:ind w:firstLine="0" w:firstLineChars="0"/>
              <w:jc w:val="center"/>
              <w:rPr>
                <w:sz w:val="21"/>
                <w:szCs w:val="20"/>
              </w:rPr>
            </w:pPr>
          </w:p>
        </w:tc>
        <w:tc>
          <w:tcPr>
            <w:tcW w:w="948" w:type="pct"/>
            <w:vMerge w:val="continue"/>
            <w:shd w:val="clear" w:color="auto" w:fill="auto"/>
            <w:vAlign w:val="center"/>
          </w:tcPr>
          <w:p w14:paraId="3A5D287E">
            <w:pPr>
              <w:adjustRightInd w:val="0"/>
              <w:snapToGrid w:val="0"/>
              <w:spacing w:line="240" w:lineRule="auto"/>
              <w:ind w:firstLine="0" w:firstLineChars="0"/>
              <w:jc w:val="center"/>
              <w:rPr>
                <w:sz w:val="21"/>
                <w:szCs w:val="20"/>
              </w:rPr>
            </w:pPr>
          </w:p>
        </w:tc>
        <w:tc>
          <w:tcPr>
            <w:tcW w:w="612" w:type="pct"/>
            <w:shd w:val="clear" w:color="auto" w:fill="auto"/>
            <w:vAlign w:val="center"/>
          </w:tcPr>
          <w:p w14:paraId="593861C3">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0.06</w:t>
            </w:r>
          </w:p>
        </w:tc>
        <w:tc>
          <w:tcPr>
            <w:tcW w:w="464" w:type="pct"/>
            <w:shd w:val="clear" w:color="auto" w:fill="auto"/>
            <w:vAlign w:val="center"/>
          </w:tcPr>
          <w:p w14:paraId="3AF7B2F5">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lang w:val="en-US" w:eastAsia="zh-CN"/>
              </w:rPr>
              <w:t>0.001</w:t>
            </w:r>
          </w:p>
        </w:tc>
      </w:tr>
      <w:tr w14:paraId="14F67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restart"/>
            <w:shd w:val="clear" w:color="auto" w:fill="auto"/>
            <w:vAlign w:val="center"/>
          </w:tcPr>
          <w:p w14:paraId="09E11859">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4</w:t>
            </w:r>
          </w:p>
        </w:tc>
        <w:tc>
          <w:tcPr>
            <w:tcW w:w="581" w:type="pct"/>
            <w:vMerge w:val="restart"/>
            <w:shd w:val="clear" w:color="auto" w:fill="auto"/>
            <w:vAlign w:val="center"/>
          </w:tcPr>
          <w:p w14:paraId="282E3532">
            <w:pPr>
              <w:adjustRightInd w:val="0"/>
              <w:snapToGrid w:val="0"/>
              <w:spacing w:line="240" w:lineRule="auto"/>
              <w:ind w:firstLine="0" w:firstLineChars="0"/>
              <w:jc w:val="center"/>
              <w:rPr>
                <w:rFonts w:hint="default"/>
                <w:sz w:val="21"/>
                <w:szCs w:val="20"/>
                <w:lang w:val="en-US" w:eastAsia="zh-CN"/>
              </w:rPr>
            </w:pPr>
            <w:r>
              <w:rPr>
                <w:rFonts w:hint="eastAsia"/>
                <w:sz w:val="21"/>
                <w:szCs w:val="20"/>
                <w:lang w:val="en-US" w:eastAsia="zh-CN"/>
              </w:rPr>
              <w:t>G4</w:t>
            </w:r>
          </w:p>
        </w:tc>
        <w:tc>
          <w:tcPr>
            <w:tcW w:w="581" w:type="pct"/>
            <w:vMerge w:val="restart"/>
            <w:shd w:val="clear" w:color="auto" w:fill="auto"/>
            <w:vAlign w:val="center"/>
          </w:tcPr>
          <w:p w14:paraId="0A80F73F">
            <w:pPr>
              <w:adjustRightInd w:val="0"/>
              <w:snapToGrid w:val="0"/>
              <w:spacing w:line="240" w:lineRule="auto"/>
              <w:ind w:firstLine="0" w:firstLineChars="0"/>
              <w:jc w:val="center"/>
              <w:rPr>
                <w:rFonts w:hint="eastAsia"/>
                <w:sz w:val="21"/>
                <w:szCs w:val="20"/>
                <w:lang w:val="en-US" w:eastAsia="zh-CN"/>
              </w:rPr>
            </w:pPr>
            <w:r>
              <w:rPr>
                <w:rFonts w:hint="eastAsia"/>
                <w:sz w:val="21"/>
                <w:szCs w:val="20"/>
                <w:lang w:val="en-US" w:eastAsia="zh-CN"/>
              </w:rPr>
              <w:t>干湿分离房</w:t>
            </w:r>
          </w:p>
        </w:tc>
        <w:tc>
          <w:tcPr>
            <w:tcW w:w="448" w:type="pct"/>
            <w:shd w:val="clear" w:color="auto" w:fill="auto"/>
            <w:vAlign w:val="center"/>
          </w:tcPr>
          <w:p w14:paraId="0A70C18C">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NH</w:t>
            </w:r>
            <w:r>
              <w:rPr>
                <w:rFonts w:hint="default"/>
                <w:vertAlign w:val="subscript"/>
              </w:rPr>
              <w:t>3</w:t>
            </w:r>
          </w:p>
        </w:tc>
        <w:tc>
          <w:tcPr>
            <w:tcW w:w="1056" w:type="pct"/>
            <w:vMerge w:val="restart"/>
            <w:shd w:val="clear" w:color="auto" w:fill="auto"/>
            <w:vAlign w:val="center"/>
          </w:tcPr>
          <w:p w14:paraId="26DC3F98">
            <w:pPr>
              <w:pStyle w:val="19"/>
              <w:bidi w:val="0"/>
              <w:ind w:firstLine="0" w:firstLineChars="0"/>
              <w:rPr>
                <w:rFonts w:hint="eastAsia"/>
                <w:sz w:val="21"/>
                <w:szCs w:val="20"/>
              </w:rPr>
            </w:pPr>
            <w:r>
              <w:rPr>
                <w:rFonts w:hint="default"/>
                <w:highlight w:val="none"/>
                <w:lang w:val="en-US" w:eastAsia="zh-CN"/>
              </w:rPr>
              <w:t>密闭、喷洒除臭剂</w:t>
            </w:r>
          </w:p>
        </w:tc>
        <w:tc>
          <w:tcPr>
            <w:tcW w:w="948" w:type="pct"/>
            <w:vMerge w:val="continue"/>
            <w:shd w:val="clear" w:color="auto" w:fill="auto"/>
            <w:vAlign w:val="center"/>
          </w:tcPr>
          <w:p w14:paraId="6E4D9D60">
            <w:pPr>
              <w:adjustRightInd w:val="0"/>
              <w:snapToGrid w:val="0"/>
              <w:spacing w:line="240" w:lineRule="auto"/>
              <w:ind w:firstLine="0" w:firstLineChars="0"/>
              <w:jc w:val="center"/>
              <w:rPr>
                <w:rFonts w:hint="eastAsia"/>
                <w:sz w:val="21"/>
                <w:szCs w:val="20"/>
              </w:rPr>
            </w:pPr>
          </w:p>
        </w:tc>
        <w:tc>
          <w:tcPr>
            <w:tcW w:w="612" w:type="pct"/>
            <w:shd w:val="clear" w:color="auto" w:fill="auto"/>
            <w:vAlign w:val="center"/>
          </w:tcPr>
          <w:p w14:paraId="6D2330D7">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1.5</w:t>
            </w:r>
          </w:p>
        </w:tc>
        <w:tc>
          <w:tcPr>
            <w:tcW w:w="464" w:type="pct"/>
            <w:shd w:val="clear" w:color="auto" w:fill="auto"/>
            <w:vAlign w:val="center"/>
          </w:tcPr>
          <w:p w14:paraId="0671AA7D">
            <w:pPr>
              <w:pStyle w:val="19"/>
              <w:bidi w:val="0"/>
              <w:ind w:firstLine="0" w:firstLineChars="0"/>
              <w:rPr>
                <w:rFonts w:hint="eastAsia" w:ascii="Times New Roman" w:hAnsi="Times New Roman" w:eastAsia="宋体" w:cs="Times New Roman"/>
                <w:kern w:val="2"/>
                <w:sz w:val="21"/>
                <w:szCs w:val="22"/>
                <w:lang w:val="en-US" w:eastAsia="zh-CN" w:bidi="ar-SA"/>
              </w:rPr>
            </w:pPr>
            <w:r>
              <w:rPr>
                <w:rFonts w:hint="eastAsia"/>
                <w:lang w:val="en-US" w:eastAsia="zh-CN"/>
              </w:rPr>
              <w:t>0.018</w:t>
            </w:r>
          </w:p>
        </w:tc>
      </w:tr>
      <w:tr w14:paraId="01885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07" w:type="pct"/>
            <w:vMerge w:val="continue"/>
            <w:shd w:val="clear" w:color="auto" w:fill="auto"/>
            <w:vAlign w:val="center"/>
          </w:tcPr>
          <w:p w14:paraId="4703A16A">
            <w:pPr>
              <w:adjustRightInd w:val="0"/>
              <w:snapToGrid w:val="0"/>
              <w:spacing w:line="240" w:lineRule="auto"/>
              <w:ind w:firstLine="0" w:firstLineChars="0"/>
              <w:jc w:val="center"/>
            </w:pPr>
          </w:p>
        </w:tc>
        <w:tc>
          <w:tcPr>
            <w:tcW w:w="581" w:type="pct"/>
            <w:vMerge w:val="continue"/>
            <w:shd w:val="clear" w:color="auto" w:fill="auto"/>
            <w:vAlign w:val="center"/>
          </w:tcPr>
          <w:p w14:paraId="08390A67">
            <w:pPr>
              <w:adjustRightInd w:val="0"/>
              <w:snapToGrid w:val="0"/>
              <w:spacing w:line="240" w:lineRule="auto"/>
              <w:ind w:firstLine="0" w:firstLineChars="0"/>
              <w:jc w:val="center"/>
            </w:pPr>
          </w:p>
        </w:tc>
        <w:tc>
          <w:tcPr>
            <w:tcW w:w="581" w:type="pct"/>
            <w:vMerge w:val="continue"/>
            <w:shd w:val="clear" w:color="auto" w:fill="auto"/>
            <w:vAlign w:val="center"/>
          </w:tcPr>
          <w:p w14:paraId="795868FB">
            <w:pPr>
              <w:adjustRightInd w:val="0"/>
              <w:snapToGrid w:val="0"/>
              <w:spacing w:line="240" w:lineRule="auto"/>
              <w:ind w:firstLine="0" w:firstLineChars="0"/>
              <w:jc w:val="center"/>
            </w:pPr>
          </w:p>
        </w:tc>
        <w:tc>
          <w:tcPr>
            <w:tcW w:w="448" w:type="pct"/>
            <w:shd w:val="clear" w:color="auto" w:fill="auto"/>
            <w:vAlign w:val="center"/>
          </w:tcPr>
          <w:p w14:paraId="5053CC0F">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H</w:t>
            </w:r>
            <w:r>
              <w:rPr>
                <w:rFonts w:hint="default"/>
                <w:vertAlign w:val="subscript"/>
              </w:rPr>
              <w:t>2</w:t>
            </w:r>
            <w:r>
              <w:rPr>
                <w:rFonts w:hint="default"/>
              </w:rPr>
              <w:t>S</w:t>
            </w:r>
          </w:p>
        </w:tc>
        <w:tc>
          <w:tcPr>
            <w:tcW w:w="1056" w:type="pct"/>
            <w:vMerge w:val="continue"/>
            <w:shd w:val="clear" w:color="auto" w:fill="auto"/>
            <w:vAlign w:val="center"/>
          </w:tcPr>
          <w:p w14:paraId="3AEA2369">
            <w:pPr>
              <w:adjustRightInd w:val="0"/>
              <w:snapToGrid w:val="0"/>
              <w:spacing w:line="240" w:lineRule="auto"/>
              <w:ind w:firstLine="0" w:firstLineChars="0"/>
              <w:jc w:val="center"/>
              <w:rPr>
                <w:sz w:val="21"/>
                <w:szCs w:val="20"/>
              </w:rPr>
            </w:pPr>
          </w:p>
        </w:tc>
        <w:tc>
          <w:tcPr>
            <w:tcW w:w="948" w:type="pct"/>
            <w:vMerge w:val="continue"/>
            <w:shd w:val="clear" w:color="auto" w:fill="auto"/>
            <w:vAlign w:val="center"/>
          </w:tcPr>
          <w:p w14:paraId="38F2A073">
            <w:pPr>
              <w:adjustRightInd w:val="0"/>
              <w:snapToGrid w:val="0"/>
              <w:spacing w:line="240" w:lineRule="auto"/>
              <w:ind w:firstLine="0" w:firstLineChars="0"/>
              <w:jc w:val="center"/>
              <w:rPr>
                <w:sz w:val="21"/>
                <w:szCs w:val="20"/>
              </w:rPr>
            </w:pPr>
          </w:p>
        </w:tc>
        <w:tc>
          <w:tcPr>
            <w:tcW w:w="612" w:type="pct"/>
            <w:shd w:val="clear" w:color="auto" w:fill="auto"/>
            <w:vAlign w:val="center"/>
          </w:tcPr>
          <w:p w14:paraId="2EC33F2D">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0.06</w:t>
            </w:r>
          </w:p>
        </w:tc>
        <w:tc>
          <w:tcPr>
            <w:tcW w:w="464" w:type="pct"/>
            <w:shd w:val="clear" w:color="auto" w:fill="auto"/>
            <w:vAlign w:val="center"/>
          </w:tcPr>
          <w:p w14:paraId="6314CEBE">
            <w:pPr>
              <w:pStyle w:val="19"/>
              <w:bidi w:val="0"/>
              <w:ind w:firstLine="0" w:firstLineChars="0"/>
              <w:rPr>
                <w:rFonts w:hint="default" w:ascii="Times New Roman" w:hAnsi="Times New Roman" w:eastAsia="宋体" w:cs="Times New Roman"/>
                <w:kern w:val="2"/>
                <w:sz w:val="21"/>
                <w:szCs w:val="22"/>
                <w:lang w:val="en-US" w:eastAsia="zh-CN" w:bidi="ar-SA"/>
              </w:rPr>
            </w:pPr>
            <w:r>
              <w:rPr>
                <w:rFonts w:hint="eastAsia"/>
                <w:lang w:val="en-US" w:eastAsia="zh-CN"/>
              </w:rPr>
              <w:t>0.0009</w:t>
            </w:r>
          </w:p>
        </w:tc>
      </w:tr>
      <w:tr w14:paraId="58297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1919" w:type="pct"/>
            <w:gridSpan w:val="4"/>
            <w:vMerge w:val="restart"/>
            <w:shd w:val="clear" w:color="auto" w:fill="auto"/>
            <w:vAlign w:val="center"/>
          </w:tcPr>
          <w:p w14:paraId="475AE811">
            <w:pPr>
              <w:adjustRightInd w:val="0"/>
              <w:snapToGrid w:val="0"/>
              <w:spacing w:line="240" w:lineRule="auto"/>
              <w:ind w:firstLine="0" w:firstLineChars="0"/>
              <w:jc w:val="center"/>
              <w:rPr>
                <w:sz w:val="21"/>
                <w:szCs w:val="20"/>
              </w:rPr>
            </w:pPr>
            <w:r>
              <w:rPr>
                <w:rFonts w:hint="eastAsia"/>
                <w:sz w:val="21"/>
                <w:szCs w:val="20"/>
              </w:rPr>
              <w:t>无组织排放总计</w:t>
            </w:r>
          </w:p>
        </w:tc>
        <w:tc>
          <w:tcPr>
            <w:tcW w:w="2004" w:type="pct"/>
            <w:gridSpan w:val="2"/>
            <w:shd w:val="clear" w:color="auto" w:fill="auto"/>
            <w:vAlign w:val="center"/>
          </w:tcPr>
          <w:p w14:paraId="08DC4B49">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NH</w:t>
            </w:r>
            <w:r>
              <w:rPr>
                <w:rFonts w:hint="default"/>
                <w:vertAlign w:val="subscript"/>
              </w:rPr>
              <w:t>3</w:t>
            </w:r>
          </w:p>
        </w:tc>
        <w:tc>
          <w:tcPr>
            <w:tcW w:w="1076" w:type="pct"/>
            <w:gridSpan w:val="2"/>
            <w:shd w:val="clear" w:color="auto" w:fill="auto"/>
            <w:vAlign w:val="center"/>
          </w:tcPr>
          <w:p w14:paraId="7432336B">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2.838</w:t>
            </w:r>
          </w:p>
        </w:tc>
      </w:tr>
      <w:tr w14:paraId="19F99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1919" w:type="pct"/>
            <w:gridSpan w:val="4"/>
            <w:vMerge w:val="continue"/>
            <w:shd w:val="clear" w:color="auto" w:fill="auto"/>
            <w:vAlign w:val="center"/>
          </w:tcPr>
          <w:p w14:paraId="4EAAAC42">
            <w:pPr>
              <w:adjustRightInd w:val="0"/>
              <w:snapToGrid w:val="0"/>
              <w:spacing w:line="240" w:lineRule="auto"/>
              <w:ind w:firstLine="0" w:firstLineChars="0"/>
              <w:jc w:val="center"/>
            </w:pPr>
          </w:p>
        </w:tc>
        <w:tc>
          <w:tcPr>
            <w:tcW w:w="2004" w:type="pct"/>
            <w:gridSpan w:val="2"/>
            <w:shd w:val="clear" w:color="auto" w:fill="auto"/>
            <w:vAlign w:val="center"/>
          </w:tcPr>
          <w:p w14:paraId="310A6228">
            <w:pPr>
              <w:pStyle w:val="19"/>
              <w:bidi w:val="0"/>
              <w:ind w:firstLine="0" w:firstLineChars="0"/>
              <w:rPr>
                <w:rFonts w:ascii="Times New Roman" w:hAnsi="Times New Roman" w:eastAsia="宋体" w:cs="Times New Roman"/>
                <w:kern w:val="2"/>
                <w:sz w:val="21"/>
                <w:szCs w:val="22"/>
                <w:lang w:val="en-US" w:eastAsia="zh-CN" w:bidi="ar-SA"/>
              </w:rPr>
            </w:pPr>
            <w:r>
              <w:rPr>
                <w:rFonts w:hint="default"/>
              </w:rPr>
              <w:t>H</w:t>
            </w:r>
            <w:r>
              <w:rPr>
                <w:rFonts w:hint="default"/>
                <w:vertAlign w:val="subscript"/>
              </w:rPr>
              <w:t>2</w:t>
            </w:r>
            <w:r>
              <w:rPr>
                <w:rFonts w:hint="default"/>
              </w:rPr>
              <w:t>S</w:t>
            </w:r>
          </w:p>
        </w:tc>
        <w:tc>
          <w:tcPr>
            <w:tcW w:w="1076" w:type="pct"/>
            <w:gridSpan w:val="2"/>
            <w:shd w:val="clear" w:color="auto" w:fill="auto"/>
            <w:vAlign w:val="center"/>
          </w:tcPr>
          <w:p w14:paraId="4AD103A1">
            <w:pPr>
              <w:pStyle w:val="19"/>
              <w:bidi w:val="0"/>
              <w:ind w:firstLine="0" w:firstLineChars="0"/>
              <w:rPr>
                <w:rFonts w:hint="default" w:ascii="Times New Roman" w:hAnsi="Times New Roman" w:eastAsia="宋体" w:cs="Times New Roman"/>
                <w:kern w:val="2"/>
                <w:sz w:val="21"/>
                <w:szCs w:val="22"/>
                <w:highlight w:val="none"/>
                <w:lang w:val="en-US" w:eastAsia="zh-CN" w:bidi="ar-SA"/>
              </w:rPr>
            </w:pPr>
            <w:r>
              <w:rPr>
                <w:rFonts w:hint="eastAsia"/>
                <w:highlight w:val="none"/>
                <w:lang w:val="en-US" w:eastAsia="zh-CN"/>
              </w:rPr>
              <w:t>0.297</w:t>
            </w:r>
          </w:p>
        </w:tc>
      </w:tr>
    </w:tbl>
    <w:p w14:paraId="72002054">
      <w:pPr>
        <w:adjustRightInd w:val="0"/>
        <w:snapToGrid w:val="0"/>
        <w:spacing w:before="65" w:beforeLines="20" w:after="60" w:line="240" w:lineRule="auto"/>
        <w:ind w:firstLine="0" w:firstLineChars="0"/>
        <w:jc w:val="center"/>
        <w:rPr>
          <w:rFonts w:eastAsia="黑体"/>
        </w:rPr>
      </w:pPr>
      <w:r>
        <w:rPr>
          <w:rFonts w:hint="eastAsia" w:eastAsia="黑体"/>
        </w:rPr>
        <w:t>表</w:t>
      </w:r>
      <w:r>
        <w:rPr>
          <w:rFonts w:eastAsia="黑体"/>
        </w:rPr>
        <w:t>5.</w:t>
      </w:r>
      <w:r>
        <w:rPr>
          <w:rFonts w:hint="eastAsia" w:eastAsia="黑体"/>
          <w:lang w:val="en-US" w:eastAsia="zh-CN"/>
        </w:rPr>
        <w:t>2-10</w:t>
      </w:r>
      <w:r>
        <w:rPr>
          <w:rFonts w:eastAsia="黑体"/>
        </w:rPr>
        <w:t xml:space="preserve">   </w:t>
      </w:r>
      <w:r>
        <w:rPr>
          <w:rFonts w:hint="eastAsia" w:eastAsia="黑体"/>
        </w:rPr>
        <w:t>大气污染物年排放量核算表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65"/>
        <w:gridCol w:w="2769"/>
        <w:gridCol w:w="2769"/>
      </w:tblGrid>
      <w:tr w14:paraId="7D05C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36E40BED">
            <w:pPr>
              <w:adjustRightInd w:val="0"/>
              <w:snapToGrid w:val="0"/>
              <w:spacing w:line="240" w:lineRule="auto"/>
              <w:ind w:firstLine="0" w:firstLineChars="0"/>
              <w:jc w:val="center"/>
              <w:rPr>
                <w:sz w:val="21"/>
                <w:szCs w:val="20"/>
              </w:rPr>
            </w:pPr>
            <w:r>
              <w:rPr>
                <w:rFonts w:hint="eastAsia"/>
                <w:sz w:val="21"/>
                <w:szCs w:val="20"/>
              </w:rPr>
              <w:t>序号</w:t>
            </w:r>
          </w:p>
        </w:tc>
        <w:tc>
          <w:tcPr>
            <w:tcW w:w="1667" w:type="pct"/>
            <w:shd w:val="clear" w:color="auto" w:fill="auto"/>
            <w:vAlign w:val="center"/>
          </w:tcPr>
          <w:p w14:paraId="2FF95368">
            <w:pPr>
              <w:adjustRightInd w:val="0"/>
              <w:snapToGrid w:val="0"/>
              <w:spacing w:line="240" w:lineRule="auto"/>
              <w:ind w:firstLine="0" w:firstLineChars="0"/>
              <w:jc w:val="center"/>
              <w:rPr>
                <w:sz w:val="21"/>
                <w:szCs w:val="20"/>
              </w:rPr>
            </w:pPr>
            <w:r>
              <w:rPr>
                <w:rFonts w:hint="eastAsia"/>
                <w:sz w:val="21"/>
                <w:szCs w:val="20"/>
              </w:rPr>
              <w:t>污染物</w:t>
            </w:r>
          </w:p>
        </w:tc>
        <w:tc>
          <w:tcPr>
            <w:tcW w:w="1667" w:type="pct"/>
            <w:shd w:val="clear" w:color="auto" w:fill="auto"/>
            <w:vAlign w:val="center"/>
          </w:tcPr>
          <w:p w14:paraId="14451B7E">
            <w:pPr>
              <w:adjustRightInd w:val="0"/>
              <w:snapToGrid w:val="0"/>
              <w:spacing w:line="240" w:lineRule="auto"/>
              <w:ind w:firstLine="0" w:firstLineChars="0"/>
              <w:jc w:val="center"/>
              <w:rPr>
                <w:sz w:val="21"/>
                <w:szCs w:val="20"/>
              </w:rPr>
            </w:pPr>
            <w:r>
              <w:rPr>
                <w:rFonts w:hint="eastAsia"/>
                <w:sz w:val="21"/>
                <w:szCs w:val="20"/>
              </w:rPr>
              <w:t>年排放量/（t</w:t>
            </w:r>
            <w:r>
              <w:rPr>
                <w:sz w:val="21"/>
                <w:szCs w:val="20"/>
              </w:rPr>
              <w:t>/a</w:t>
            </w:r>
            <w:r>
              <w:rPr>
                <w:rFonts w:hint="eastAsia"/>
                <w:sz w:val="21"/>
                <w:szCs w:val="20"/>
              </w:rPr>
              <w:t>）</w:t>
            </w:r>
          </w:p>
        </w:tc>
      </w:tr>
      <w:tr w14:paraId="13466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2B9DF08C">
            <w:pPr>
              <w:adjustRightInd w:val="0"/>
              <w:snapToGrid w:val="0"/>
              <w:spacing w:line="240" w:lineRule="auto"/>
              <w:ind w:firstLine="0" w:firstLineChars="0"/>
              <w:jc w:val="center"/>
              <w:rPr>
                <w:sz w:val="21"/>
                <w:szCs w:val="20"/>
              </w:rPr>
            </w:pPr>
            <w:r>
              <w:rPr>
                <w:rFonts w:hint="eastAsia"/>
                <w:sz w:val="21"/>
                <w:szCs w:val="20"/>
              </w:rPr>
              <w:t>1</w:t>
            </w:r>
          </w:p>
        </w:tc>
        <w:tc>
          <w:tcPr>
            <w:tcW w:w="1667" w:type="pct"/>
            <w:shd w:val="clear" w:color="auto" w:fill="auto"/>
            <w:vAlign w:val="center"/>
          </w:tcPr>
          <w:p w14:paraId="54CF5602">
            <w:pPr>
              <w:adjustRightInd w:val="0"/>
              <w:snapToGrid w:val="0"/>
              <w:spacing w:line="240" w:lineRule="auto"/>
              <w:ind w:firstLine="0" w:firstLineChars="0"/>
              <w:jc w:val="center"/>
              <w:rPr>
                <w:sz w:val="21"/>
                <w:szCs w:val="20"/>
                <w:vertAlign w:val="subscript"/>
              </w:rPr>
            </w:pPr>
            <w:r>
              <w:rPr>
                <w:rFonts w:hint="eastAsia"/>
                <w:bCs/>
                <w:sz w:val="21"/>
                <w:lang w:val="zh-CN"/>
              </w:rPr>
              <w:t>颗粒物</w:t>
            </w:r>
          </w:p>
        </w:tc>
        <w:tc>
          <w:tcPr>
            <w:tcW w:w="1667" w:type="pct"/>
            <w:shd w:val="clear" w:color="auto" w:fill="auto"/>
            <w:vAlign w:val="center"/>
          </w:tcPr>
          <w:p w14:paraId="2AFE01AA">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0.0285</w:t>
            </w:r>
          </w:p>
        </w:tc>
      </w:tr>
      <w:tr w14:paraId="6A484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0B28D788">
            <w:pPr>
              <w:adjustRightInd w:val="0"/>
              <w:snapToGrid w:val="0"/>
              <w:spacing w:line="240" w:lineRule="auto"/>
              <w:ind w:firstLine="0" w:firstLineChars="0"/>
              <w:jc w:val="center"/>
              <w:rPr>
                <w:sz w:val="21"/>
                <w:szCs w:val="20"/>
              </w:rPr>
            </w:pPr>
            <w:r>
              <w:rPr>
                <w:rFonts w:hint="eastAsia"/>
                <w:sz w:val="21"/>
                <w:szCs w:val="20"/>
              </w:rPr>
              <w:t>2</w:t>
            </w:r>
          </w:p>
        </w:tc>
        <w:tc>
          <w:tcPr>
            <w:tcW w:w="1667" w:type="pct"/>
            <w:shd w:val="clear" w:color="auto" w:fill="auto"/>
            <w:vAlign w:val="center"/>
          </w:tcPr>
          <w:p w14:paraId="26A55571">
            <w:pPr>
              <w:adjustRightInd w:val="0"/>
              <w:snapToGrid w:val="0"/>
              <w:spacing w:line="240" w:lineRule="auto"/>
              <w:ind w:firstLine="0" w:firstLineChars="0"/>
              <w:jc w:val="center"/>
              <w:rPr>
                <w:bCs/>
                <w:sz w:val="21"/>
                <w:lang w:val="zh-CN"/>
              </w:rPr>
            </w:pPr>
            <w:r>
              <w:rPr>
                <w:bCs/>
                <w:sz w:val="21"/>
                <w:lang w:val="zh-CN"/>
              </w:rPr>
              <w:t>SO</w:t>
            </w:r>
            <w:r>
              <w:rPr>
                <w:bCs/>
                <w:sz w:val="21"/>
                <w:vertAlign w:val="subscript"/>
                <w:lang w:val="zh-CN"/>
              </w:rPr>
              <w:t>2</w:t>
            </w:r>
          </w:p>
        </w:tc>
        <w:tc>
          <w:tcPr>
            <w:tcW w:w="1667" w:type="pct"/>
            <w:shd w:val="clear" w:color="auto" w:fill="auto"/>
            <w:vAlign w:val="center"/>
          </w:tcPr>
          <w:p w14:paraId="6768C85B">
            <w:pPr>
              <w:adjustRightInd w:val="0"/>
              <w:snapToGrid w:val="0"/>
              <w:spacing w:line="240" w:lineRule="auto"/>
              <w:ind w:firstLine="0" w:firstLineChars="0"/>
              <w:jc w:val="center"/>
              <w:rPr>
                <w:rFonts w:hint="default" w:ascii="Times New Roman" w:hAnsi="Times New Roman" w:eastAsia="宋体" w:cs="Times New Roman"/>
                <w:bCs/>
                <w:kern w:val="2"/>
                <w:sz w:val="21"/>
                <w:szCs w:val="22"/>
                <w:lang w:val="zh-CN" w:eastAsia="zh-CN" w:bidi="ar-SA"/>
              </w:rPr>
            </w:pPr>
            <w:r>
              <w:rPr>
                <w:rFonts w:hint="eastAsia"/>
                <w:bCs/>
                <w:sz w:val="21"/>
                <w:lang w:val="en-US" w:eastAsia="zh-CN"/>
              </w:rPr>
              <w:t>9.69</w:t>
            </w:r>
          </w:p>
        </w:tc>
      </w:tr>
      <w:tr w14:paraId="357C2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6299E3DE">
            <w:pPr>
              <w:adjustRightInd w:val="0"/>
              <w:snapToGrid w:val="0"/>
              <w:spacing w:line="240" w:lineRule="auto"/>
              <w:ind w:firstLine="0" w:firstLineChars="0"/>
              <w:jc w:val="center"/>
              <w:rPr>
                <w:sz w:val="21"/>
                <w:szCs w:val="20"/>
              </w:rPr>
            </w:pPr>
            <w:r>
              <w:rPr>
                <w:rFonts w:hint="eastAsia"/>
                <w:sz w:val="21"/>
                <w:szCs w:val="20"/>
              </w:rPr>
              <w:t>3</w:t>
            </w:r>
          </w:p>
        </w:tc>
        <w:tc>
          <w:tcPr>
            <w:tcW w:w="1667" w:type="pct"/>
            <w:shd w:val="clear" w:color="auto" w:fill="auto"/>
            <w:vAlign w:val="center"/>
          </w:tcPr>
          <w:p w14:paraId="7AE3DBE9">
            <w:pPr>
              <w:adjustRightInd w:val="0"/>
              <w:snapToGrid w:val="0"/>
              <w:spacing w:line="240" w:lineRule="auto"/>
              <w:ind w:firstLine="0" w:firstLineChars="0"/>
              <w:jc w:val="center"/>
              <w:rPr>
                <w:bCs/>
                <w:sz w:val="21"/>
                <w:lang w:val="zh-CN"/>
              </w:rPr>
            </w:pPr>
            <w:r>
              <w:rPr>
                <w:bCs/>
                <w:sz w:val="21"/>
                <w:lang w:val="zh-CN"/>
              </w:rPr>
              <w:t>NO</w:t>
            </w:r>
            <w:r>
              <w:rPr>
                <w:bCs/>
                <w:sz w:val="21"/>
                <w:vertAlign w:val="subscript"/>
                <w:lang w:val="zh-CN"/>
              </w:rPr>
              <w:t>x</w:t>
            </w:r>
          </w:p>
        </w:tc>
        <w:tc>
          <w:tcPr>
            <w:tcW w:w="1667" w:type="pct"/>
            <w:shd w:val="clear" w:color="auto" w:fill="auto"/>
            <w:vAlign w:val="center"/>
          </w:tcPr>
          <w:p w14:paraId="151388EA">
            <w:pPr>
              <w:adjustRightInd w:val="0"/>
              <w:snapToGrid w:val="0"/>
              <w:spacing w:line="240" w:lineRule="auto"/>
              <w:ind w:firstLine="0" w:firstLineChars="0"/>
              <w:jc w:val="center"/>
              <w:rPr>
                <w:rFonts w:hint="default" w:ascii="Times New Roman" w:hAnsi="Times New Roman" w:eastAsia="宋体" w:cs="Times New Roman"/>
                <w:bCs/>
                <w:kern w:val="2"/>
                <w:sz w:val="21"/>
                <w:szCs w:val="22"/>
                <w:lang w:val="zh-CN" w:eastAsia="zh-CN" w:bidi="ar-SA"/>
              </w:rPr>
            </w:pPr>
            <w:r>
              <w:rPr>
                <w:rFonts w:hint="eastAsia"/>
                <w:bCs/>
                <w:sz w:val="21"/>
                <w:lang w:val="en-US" w:eastAsia="zh-CN"/>
              </w:rPr>
              <w:t>4.0698</w:t>
            </w:r>
          </w:p>
        </w:tc>
      </w:tr>
      <w:tr w14:paraId="44C72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38A05EEA">
            <w:pPr>
              <w:adjustRightInd w:val="0"/>
              <w:snapToGrid w:val="0"/>
              <w:spacing w:line="240" w:lineRule="auto"/>
              <w:ind w:firstLine="0" w:firstLineChars="0"/>
              <w:jc w:val="center"/>
              <w:rPr>
                <w:sz w:val="21"/>
                <w:szCs w:val="20"/>
              </w:rPr>
            </w:pPr>
            <w:r>
              <w:rPr>
                <w:sz w:val="21"/>
                <w:szCs w:val="20"/>
              </w:rPr>
              <w:t>4</w:t>
            </w:r>
          </w:p>
        </w:tc>
        <w:tc>
          <w:tcPr>
            <w:tcW w:w="1667" w:type="pct"/>
            <w:shd w:val="clear" w:color="auto" w:fill="auto"/>
            <w:vAlign w:val="center"/>
          </w:tcPr>
          <w:p w14:paraId="2D900CB5">
            <w:pPr>
              <w:pStyle w:val="19"/>
              <w:bidi w:val="0"/>
              <w:ind w:firstLine="0" w:firstLineChars="0"/>
              <w:rPr>
                <w:rFonts w:hint="default" w:ascii="Times New Roman" w:hAnsi="Times New Roman" w:eastAsia="宋体" w:cs="Times New Roman"/>
                <w:kern w:val="2"/>
                <w:sz w:val="21"/>
                <w:szCs w:val="22"/>
                <w:highlight w:val="none"/>
                <w:lang w:val="zh-CN" w:eastAsia="zh-CN" w:bidi="ar-SA"/>
              </w:rPr>
            </w:pPr>
            <w:r>
              <w:rPr>
                <w:rFonts w:hint="default"/>
                <w:highlight w:val="none"/>
              </w:rPr>
              <w:t>NH</w:t>
            </w:r>
            <w:r>
              <w:rPr>
                <w:rFonts w:hint="default"/>
                <w:highlight w:val="none"/>
                <w:vertAlign w:val="subscript"/>
              </w:rPr>
              <w:t>3</w:t>
            </w:r>
          </w:p>
        </w:tc>
        <w:tc>
          <w:tcPr>
            <w:tcW w:w="1667" w:type="pct"/>
            <w:shd w:val="clear" w:color="auto" w:fill="auto"/>
            <w:vAlign w:val="center"/>
          </w:tcPr>
          <w:p w14:paraId="7CEF5A0E">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3.098</w:t>
            </w:r>
          </w:p>
        </w:tc>
      </w:tr>
      <w:tr w14:paraId="4D331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4A7F423E">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5</w:t>
            </w:r>
          </w:p>
        </w:tc>
        <w:tc>
          <w:tcPr>
            <w:tcW w:w="1667" w:type="pct"/>
            <w:shd w:val="clear" w:color="auto" w:fill="auto"/>
            <w:vAlign w:val="center"/>
          </w:tcPr>
          <w:p w14:paraId="1878E12F">
            <w:pPr>
              <w:pStyle w:val="19"/>
              <w:bidi w:val="0"/>
              <w:ind w:firstLine="0" w:firstLineChars="0"/>
              <w:rPr>
                <w:rFonts w:hint="default" w:ascii="Times New Roman" w:hAnsi="Times New Roman" w:eastAsia="宋体" w:cs="Times New Roman"/>
                <w:kern w:val="2"/>
                <w:sz w:val="21"/>
                <w:szCs w:val="22"/>
                <w:highlight w:val="none"/>
                <w:lang w:val="zh-CN" w:eastAsia="zh-CN" w:bidi="ar-SA"/>
              </w:rPr>
            </w:pPr>
            <w:r>
              <w:rPr>
                <w:rFonts w:hint="default"/>
                <w:highlight w:val="none"/>
              </w:rPr>
              <w:t>H</w:t>
            </w:r>
            <w:r>
              <w:rPr>
                <w:rFonts w:hint="default"/>
                <w:highlight w:val="none"/>
                <w:vertAlign w:val="subscript"/>
              </w:rPr>
              <w:t>2</w:t>
            </w:r>
            <w:r>
              <w:rPr>
                <w:rFonts w:hint="default"/>
                <w:highlight w:val="none"/>
              </w:rPr>
              <w:t>S</w:t>
            </w:r>
          </w:p>
        </w:tc>
        <w:tc>
          <w:tcPr>
            <w:tcW w:w="1667" w:type="pct"/>
            <w:shd w:val="clear" w:color="auto" w:fill="auto"/>
            <w:vAlign w:val="center"/>
          </w:tcPr>
          <w:p w14:paraId="6820C5EB">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0.323</w:t>
            </w:r>
          </w:p>
        </w:tc>
      </w:tr>
    </w:tbl>
    <w:p w14:paraId="44B25060">
      <w:pPr>
        <w:pStyle w:val="28"/>
        <w:bidi w:val="0"/>
        <w:rPr>
          <w:rFonts w:hint="default"/>
          <w:lang w:val="en-US" w:eastAsia="zh-CN"/>
        </w:rPr>
      </w:pPr>
      <w:r>
        <w:rPr>
          <w:rFonts w:hint="eastAsia"/>
          <w:lang w:val="en-US" w:eastAsia="zh-CN"/>
        </w:rPr>
        <w:t>大气环境防护距离</w:t>
      </w:r>
    </w:p>
    <w:p w14:paraId="63119DB1">
      <w:pPr>
        <w:rPr>
          <w:rFonts w:hint="eastAsia"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大气环境防护距离即为保护人群健康，减少正常排放条件下大气污染物对居住区的环境影响，在项目厂界以外设置的环境防护距离。在大气环境防护距离内不应有长期居住的人群。</w:t>
      </w:r>
    </w:p>
    <w:p w14:paraId="26AAE255">
      <w:pPr>
        <w:rPr>
          <w:rFonts w:hint="eastAsia"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本项目为二级评价，本项目厂界外大气污染物（NH</w:t>
      </w:r>
      <w:r>
        <w:rPr>
          <w:rFonts w:hint="eastAsia" w:cs="Times New Roman"/>
          <w:color w:val="000000"/>
          <w:kern w:val="0"/>
          <w:sz w:val="24"/>
          <w:szCs w:val="24"/>
          <w:vertAlign w:val="subscript"/>
          <w:lang w:val="en-US" w:eastAsia="zh-CN" w:bidi="ar"/>
        </w:rPr>
        <w:t>3</w:t>
      </w:r>
      <w:r>
        <w:rPr>
          <w:rFonts w:hint="eastAsia" w:cs="Times New Roman"/>
          <w:color w:val="000000"/>
          <w:kern w:val="0"/>
          <w:sz w:val="24"/>
          <w:szCs w:val="24"/>
          <w:vertAlign w:val="baseline"/>
          <w:lang w:val="en-US" w:eastAsia="zh-CN" w:bidi="ar"/>
        </w:rPr>
        <w:t>、H</w:t>
      </w:r>
      <w:r>
        <w:rPr>
          <w:rFonts w:hint="eastAsia" w:cs="Times New Roman"/>
          <w:color w:val="000000"/>
          <w:kern w:val="0"/>
          <w:sz w:val="24"/>
          <w:szCs w:val="24"/>
          <w:vertAlign w:val="subscript"/>
          <w:lang w:val="en-US" w:eastAsia="zh-CN" w:bidi="ar"/>
        </w:rPr>
        <w:t>2</w:t>
      </w:r>
      <w:r>
        <w:rPr>
          <w:rFonts w:hint="eastAsia" w:cs="Times New Roman"/>
          <w:color w:val="000000"/>
          <w:kern w:val="0"/>
          <w:sz w:val="24"/>
          <w:szCs w:val="24"/>
          <w:vertAlign w:val="baseline"/>
          <w:lang w:val="en-US" w:eastAsia="zh-CN" w:bidi="ar"/>
        </w:rPr>
        <w:t>S、</w:t>
      </w:r>
      <w:r>
        <w:rPr>
          <w:rFonts w:hint="eastAsia"/>
          <w:lang w:val="en-US" w:eastAsia="zh-CN"/>
        </w:rPr>
        <w:t>PM</w:t>
      </w:r>
      <w:r>
        <w:rPr>
          <w:rFonts w:hint="eastAsia"/>
          <w:vertAlign w:val="subscript"/>
          <w:lang w:val="en-US" w:eastAsia="zh-CN"/>
        </w:rPr>
        <w:t>10</w:t>
      </w:r>
      <w:r>
        <w:rPr>
          <w:rFonts w:hint="eastAsia"/>
          <w:vertAlign w:val="baseline"/>
          <w:lang w:val="en-US" w:eastAsia="zh-CN"/>
        </w:rPr>
        <w:t>、SO</w:t>
      </w:r>
      <w:r>
        <w:rPr>
          <w:rFonts w:hint="eastAsia"/>
          <w:vertAlign w:val="subscript"/>
          <w:lang w:val="en-US" w:eastAsia="zh-CN"/>
        </w:rPr>
        <w:t>2</w:t>
      </w:r>
      <w:r>
        <w:rPr>
          <w:rFonts w:hint="eastAsia"/>
          <w:vertAlign w:val="baseline"/>
          <w:lang w:val="en-US" w:eastAsia="zh-CN"/>
        </w:rPr>
        <w:t>、NO</w:t>
      </w:r>
      <w:r>
        <w:rPr>
          <w:rFonts w:hint="eastAsia"/>
          <w:vertAlign w:val="subscript"/>
          <w:lang w:val="en-US" w:eastAsia="zh-CN"/>
        </w:rPr>
        <w:t>2</w:t>
      </w:r>
      <w:r>
        <w:rPr>
          <w:rFonts w:hint="eastAsia" w:cs="Times New Roman"/>
          <w:color w:val="000000"/>
          <w:kern w:val="0"/>
          <w:sz w:val="24"/>
          <w:szCs w:val="24"/>
          <w:vertAlign w:val="baseline"/>
          <w:lang w:val="en-US" w:eastAsia="zh-CN" w:bidi="ar"/>
        </w:rPr>
        <w:t>）短期贡献浓度未超过环境质量浓度限值，故不需设置大气环境防护距离。</w:t>
      </w:r>
    </w:p>
    <w:p w14:paraId="138FE908">
      <w:pPr>
        <w:pStyle w:val="28"/>
        <w:bidi w:val="0"/>
        <w:rPr>
          <w:rFonts w:hint="default"/>
          <w:lang w:val="en-US" w:eastAsia="zh-CN"/>
        </w:rPr>
      </w:pPr>
      <w:r>
        <w:rPr>
          <w:rFonts w:hint="eastAsia"/>
          <w:lang w:val="en-US" w:eastAsia="zh-CN"/>
        </w:rPr>
        <w:t>卫生防护距离</w:t>
      </w:r>
    </w:p>
    <w:p w14:paraId="376B9706">
      <w:pPr>
        <w:adjustRightInd w:val="0"/>
        <w:snapToGrid w:val="0"/>
        <w:ind w:firstLine="480"/>
        <w:rPr>
          <w:rFonts w:ascii="Times New Roman" w:hAnsi="Times New Roman" w:eastAsia="宋体" w:cs="Times New Roman"/>
          <w:bCs/>
          <w:szCs w:val="24"/>
        </w:rPr>
      </w:pPr>
      <w:r>
        <w:rPr>
          <w:rFonts w:hint="eastAsia" w:ascii="Times New Roman" w:hAnsi="Times New Roman" w:eastAsia="宋体" w:cs="Times New Roman"/>
          <w:bCs/>
          <w:szCs w:val="24"/>
        </w:rPr>
        <w:t>根据《大气有害物质无组织排放卫生防护距离推导技术导则》（GB/T39499-2020）中的行业卫生防护距离初值计算公式计算本项目的卫生防护距离，计算公式如下：</w:t>
      </w:r>
    </w:p>
    <w:p w14:paraId="50B1E8B8">
      <w:pPr>
        <w:adjustRightInd w:val="0"/>
        <w:snapToGrid w:val="0"/>
        <w:ind w:firstLine="480"/>
        <w:jc w:val="center"/>
        <w:rPr>
          <w:rFonts w:ascii="Times New Roman" w:hAnsi="Times New Roman" w:eastAsia="宋体" w:cs="Times New Roman"/>
          <w:bCs/>
          <w:szCs w:val="24"/>
        </w:rPr>
      </w:pPr>
      <w:r>
        <w:rPr>
          <w:rFonts w:ascii="Times New Roman" w:hAnsi="Times New Roman" w:eastAsia="宋体" w:cs="Times New Roman"/>
          <w:bCs/>
          <w:position w:val="-30"/>
          <w:szCs w:val="24"/>
        </w:rPr>
        <w:object>
          <v:shape id="_x0000_i1028" o:spt="75" type="#_x0000_t75" style="height:36pt;width:144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p>
    <w:p w14:paraId="1B38D9B1">
      <w:pPr>
        <w:ind w:firstLine="480"/>
        <w:rPr>
          <w:rFonts w:ascii="Times New Roman" w:hAnsi="Times New Roman" w:eastAsia="宋体" w:cs="Times New Roman"/>
        </w:rPr>
      </w:pPr>
      <w:r>
        <w:rPr>
          <w:rFonts w:hint="eastAsia" w:ascii="Times New Roman" w:hAnsi="Times New Roman" w:eastAsia="宋体" w:cs="Times New Roman"/>
        </w:rPr>
        <w:t>式中：</w:t>
      </w:r>
    </w:p>
    <w:p w14:paraId="60DD786B">
      <w:pPr>
        <w:ind w:firstLine="480"/>
        <w:rPr>
          <w:rFonts w:ascii="Times New Roman" w:hAnsi="Times New Roman" w:eastAsia="宋体" w:cs="Times New Roman"/>
        </w:rPr>
      </w:pPr>
      <w:r>
        <w:rPr>
          <w:rFonts w:hint="eastAsia" w:ascii="Times New Roman" w:hAnsi="Times New Roman" w:eastAsia="宋体" w:cs="Times New Roman"/>
        </w:rPr>
        <w:t>Q</w:t>
      </w:r>
      <w:r>
        <w:rPr>
          <w:rFonts w:hint="eastAsia" w:ascii="Times New Roman" w:hAnsi="Times New Roman" w:eastAsia="宋体" w:cs="Times New Roman"/>
          <w:vertAlign w:val="subscript"/>
        </w:rPr>
        <w:t>c</w:t>
      </w:r>
      <w:r>
        <w:rPr>
          <w:rFonts w:hint="eastAsia" w:ascii="Times New Roman" w:hAnsi="Times New Roman" w:eastAsia="宋体" w:cs="Times New Roman"/>
        </w:rPr>
        <w:t>——大气有害物质的无组织排放量，单位为千克每小时（kg</w:t>
      </w:r>
      <w:r>
        <w:rPr>
          <w:rFonts w:ascii="Times New Roman" w:hAnsi="Times New Roman" w:eastAsia="宋体" w:cs="Times New Roman"/>
        </w:rPr>
        <w:t>/</w:t>
      </w:r>
      <w:r>
        <w:rPr>
          <w:rFonts w:hint="eastAsia" w:ascii="Times New Roman" w:hAnsi="Times New Roman" w:eastAsia="宋体" w:cs="Times New Roman"/>
        </w:rPr>
        <w:t>h）；</w:t>
      </w:r>
    </w:p>
    <w:p w14:paraId="4532BCC5">
      <w:pPr>
        <w:ind w:firstLine="480"/>
        <w:rPr>
          <w:rFonts w:ascii="Times New Roman" w:hAnsi="Times New Roman" w:eastAsia="宋体" w:cs="Times New Roman"/>
        </w:rPr>
      </w:pPr>
      <w:r>
        <w:rPr>
          <w:rFonts w:hint="eastAsia" w:ascii="Times New Roman" w:hAnsi="Times New Roman" w:eastAsia="宋体" w:cs="Times New Roman"/>
        </w:rPr>
        <w:t>c</w:t>
      </w:r>
      <w:r>
        <w:rPr>
          <w:rFonts w:hint="eastAsia" w:ascii="Times New Roman" w:hAnsi="Times New Roman" w:eastAsia="宋体" w:cs="Times New Roman"/>
          <w:vertAlign w:val="subscript"/>
        </w:rPr>
        <w:t>m</w:t>
      </w:r>
      <w:r>
        <w:rPr>
          <w:rFonts w:hint="eastAsia" w:ascii="Times New Roman" w:hAnsi="Times New Roman" w:eastAsia="宋体" w:cs="Times New Roman"/>
        </w:rPr>
        <w:t>——大气有害物质环境空气质量的标准限值，单位为毫克每立方米（mg</w:t>
      </w:r>
      <w:r>
        <w:rPr>
          <w:rFonts w:ascii="Times New Roman" w:hAnsi="Times New Roman" w:eastAsia="宋体" w:cs="Times New Roman"/>
        </w:rPr>
        <w:t>/</w:t>
      </w:r>
      <w:r>
        <w:rPr>
          <w:rFonts w:hint="eastAsia" w:ascii="Times New Roman" w:hAnsi="Times New Roman" w:eastAsia="宋体" w:cs="Times New Roman"/>
        </w:rPr>
        <w:t>m</w:t>
      </w:r>
      <w:r>
        <w:rPr>
          <w:rFonts w:ascii="Times New Roman" w:hAnsi="Times New Roman" w:eastAsia="宋体" w:cs="Times New Roman"/>
          <w:vertAlign w:val="superscript"/>
        </w:rPr>
        <w:t>3</w:t>
      </w:r>
      <w:r>
        <w:rPr>
          <w:rFonts w:hint="eastAsia" w:ascii="Times New Roman" w:hAnsi="Times New Roman" w:eastAsia="宋体" w:cs="Times New Roman"/>
        </w:rPr>
        <w:t>）；</w:t>
      </w:r>
    </w:p>
    <w:p w14:paraId="13E3A5BD">
      <w:pPr>
        <w:ind w:firstLine="480"/>
        <w:rPr>
          <w:rFonts w:ascii="Times New Roman" w:hAnsi="Times New Roman" w:eastAsia="宋体" w:cs="Times New Roman"/>
        </w:rPr>
      </w:pPr>
      <w:r>
        <w:rPr>
          <w:rFonts w:hint="eastAsia" w:ascii="Times New Roman" w:hAnsi="Times New Roman" w:eastAsia="宋体" w:cs="Times New Roman"/>
        </w:rPr>
        <w:t>L——大气有害物质卫生防护距离初值，单位为米（m）；</w:t>
      </w:r>
    </w:p>
    <w:p w14:paraId="5B6B6310">
      <w:pPr>
        <w:ind w:firstLine="480"/>
        <w:rPr>
          <w:rFonts w:ascii="Times New Roman" w:hAnsi="Times New Roman" w:eastAsia="宋体" w:cs="Times New Roman"/>
        </w:rPr>
      </w:pPr>
      <w:r>
        <w:rPr>
          <w:rFonts w:hint="eastAsia" w:ascii="Times New Roman" w:hAnsi="Times New Roman" w:eastAsia="宋体" w:cs="Times New Roman"/>
        </w:rPr>
        <w:t>r——大气有害物质无组织排放源所在生产单元的等效半径，单位为米（m）；</w:t>
      </w:r>
    </w:p>
    <w:p w14:paraId="74011CB4">
      <w:pPr>
        <w:ind w:firstLine="480"/>
        <w:rPr>
          <w:rFonts w:ascii="Times New Roman" w:hAnsi="Times New Roman" w:eastAsia="宋体" w:cs="Times New Roman"/>
        </w:rPr>
      </w:pPr>
      <w:r>
        <w:rPr>
          <w:rFonts w:hint="eastAsia" w:ascii="Times New Roman" w:hAnsi="Times New Roman" w:eastAsia="宋体" w:cs="Times New Roman"/>
        </w:rPr>
        <w:t>A、B、C、D——卫生防护距离初值计算系数，无因次，根据工业企业所在地区近5年平均风速及大气污染源构成类别从表1查取。</w:t>
      </w:r>
    </w:p>
    <w:p w14:paraId="3A4C3BF0">
      <w:pPr>
        <w:rPr>
          <w:rFonts w:hint="eastAsia" w:cs="Times New Roman"/>
          <w:color w:val="000000"/>
          <w:kern w:val="0"/>
          <w:sz w:val="24"/>
          <w:szCs w:val="24"/>
          <w:vertAlign w:val="baseline"/>
          <w:lang w:val="en-US" w:eastAsia="zh-CN" w:bidi="ar"/>
        </w:rPr>
      </w:pPr>
      <w:r>
        <w:rPr>
          <w:rFonts w:hint="eastAsia" w:ascii="Times New Roman" w:hAnsi="Times New Roman" w:eastAsia="宋体" w:cs="Times New Roman"/>
        </w:rPr>
        <w:t>根据上述计算公式的得到的值为1</w:t>
      </w:r>
      <w:r>
        <w:rPr>
          <w:rFonts w:ascii="Times New Roman" w:hAnsi="Times New Roman" w:eastAsia="宋体" w:cs="Times New Roman"/>
        </w:rPr>
        <w:t>3.49</w:t>
      </w:r>
      <w:r>
        <w:rPr>
          <w:rFonts w:hint="eastAsia" w:ascii="Times New Roman" w:hAnsi="Times New Roman" w:eastAsia="宋体" w:cs="Times New Roman"/>
        </w:rPr>
        <w:t>m，则卫生防护距离L</w:t>
      </w:r>
      <w:r>
        <w:rPr>
          <w:rFonts w:ascii="Times New Roman" w:hAnsi="Times New Roman" w:eastAsia="宋体" w:cs="Times New Roman"/>
        </w:rPr>
        <w:t>=50</w:t>
      </w:r>
      <w:r>
        <w:rPr>
          <w:rFonts w:hint="eastAsia" w:ascii="Times New Roman" w:hAnsi="Times New Roman" w:eastAsia="宋体" w:cs="Times New Roman"/>
        </w:rPr>
        <w:t>m，经现场调查，本项目厂界外扩L距离的范围内目前没有居住区、学校、医院、商超、机关及企事业单位、风景区、保护区等环境敏感目标分布，该防护距离范围内不应规划学校、医院、居民区等。</w:t>
      </w:r>
    </w:p>
    <w:p w14:paraId="5C3B1B4D">
      <w:pPr>
        <w:pStyle w:val="28"/>
        <w:bidi w:val="0"/>
        <w:rPr>
          <w:rFonts w:hint="eastAsia"/>
          <w:lang w:val="en-US" w:eastAsia="zh-CN"/>
        </w:rPr>
      </w:pPr>
      <w:r>
        <w:t>大气环境影响评价自查表</w:t>
      </w:r>
    </w:p>
    <w:p w14:paraId="02DE20BC">
      <w:pPr>
        <w:rPr>
          <w:rFonts w:hint="default" w:eastAsia="宋体"/>
          <w:lang w:val="en-US" w:eastAsia="zh-CN"/>
        </w:rPr>
      </w:pPr>
      <w:r>
        <w:rPr>
          <w:rFonts w:hint="eastAsia"/>
          <w:lang w:val="en-US" w:eastAsia="zh-CN"/>
        </w:rPr>
        <w:t>本项目大气环境影响评价自查表见表5.2-11。</w:t>
      </w:r>
    </w:p>
    <w:p w14:paraId="4EBFB4D2">
      <w:pPr>
        <w:pStyle w:val="30"/>
        <w:spacing w:before="65"/>
        <w:rPr>
          <w:lang w:bidi="en-US"/>
        </w:rPr>
      </w:pPr>
      <w:r>
        <w:rPr>
          <w:rFonts w:hint="eastAsia"/>
        </w:rPr>
        <w:t>表5</w:t>
      </w:r>
      <w:r>
        <w:t>.</w:t>
      </w:r>
      <w:r>
        <w:rPr>
          <w:rFonts w:hint="eastAsia"/>
          <w:lang w:val="en-US" w:eastAsia="zh-CN"/>
        </w:rPr>
        <w:t>2-11</w:t>
      </w:r>
      <w:r>
        <w:t xml:space="preserve">   </w:t>
      </w:r>
      <w:r>
        <w:rPr>
          <w:rFonts w:hint="eastAsia"/>
          <w:lang w:bidi="en-US"/>
        </w:rPr>
        <w:t>建设项目大气环境影响评价自查表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52"/>
        <w:gridCol w:w="961"/>
        <w:gridCol w:w="921"/>
        <w:gridCol w:w="47"/>
        <w:gridCol w:w="611"/>
        <w:gridCol w:w="169"/>
        <w:gridCol w:w="174"/>
        <w:gridCol w:w="327"/>
        <w:gridCol w:w="161"/>
        <w:gridCol w:w="211"/>
        <w:gridCol w:w="596"/>
        <w:gridCol w:w="234"/>
        <w:gridCol w:w="116"/>
        <w:gridCol w:w="178"/>
        <w:gridCol w:w="895"/>
        <w:gridCol w:w="105"/>
        <w:gridCol w:w="828"/>
        <w:gridCol w:w="90"/>
        <w:gridCol w:w="362"/>
        <w:gridCol w:w="568"/>
      </w:tblGrid>
      <w:tr w14:paraId="4BC16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2" w:type="pct"/>
            <w:gridSpan w:val="2"/>
            <w:vAlign w:val="center"/>
          </w:tcPr>
          <w:p w14:paraId="6C4ACB42">
            <w:pPr>
              <w:pStyle w:val="32"/>
              <w:rPr>
                <w:rFonts w:ascii="Times New Roman" w:hAnsi="宋体" w:eastAsia="宋体"/>
                <w:lang w:val="en-US" w:eastAsia="en-US"/>
              </w:rPr>
            </w:pPr>
            <w:r>
              <w:rPr>
                <w:rFonts w:ascii="Times New Roman" w:hAnsi="宋体" w:eastAsia="宋体"/>
                <w:lang w:val="en-US" w:eastAsia="en-US"/>
              </w:rPr>
              <w:t>工作内容</w:t>
            </w:r>
          </w:p>
        </w:tc>
        <w:tc>
          <w:tcPr>
            <w:tcW w:w="3967" w:type="pct"/>
            <w:gridSpan w:val="18"/>
            <w:vAlign w:val="center"/>
          </w:tcPr>
          <w:p w14:paraId="605F88FD">
            <w:pPr>
              <w:pStyle w:val="32"/>
              <w:rPr>
                <w:rFonts w:ascii="Times New Roman" w:hAnsi="宋体" w:eastAsia="宋体"/>
                <w:lang w:val="en-US" w:eastAsia="en-US"/>
              </w:rPr>
            </w:pPr>
            <w:r>
              <w:rPr>
                <w:rFonts w:ascii="Times New Roman" w:hAnsi="宋体" w:eastAsia="宋体"/>
                <w:lang w:val="en-US" w:eastAsia="en-US"/>
              </w:rPr>
              <w:t>自查项目</w:t>
            </w:r>
          </w:p>
        </w:tc>
      </w:tr>
      <w:tr w14:paraId="70A13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restart"/>
            <w:vAlign w:val="center"/>
          </w:tcPr>
          <w:p w14:paraId="430FC014">
            <w:pPr>
              <w:pStyle w:val="32"/>
              <w:rPr>
                <w:rFonts w:ascii="Times New Roman" w:hAnsi="宋体" w:eastAsia="宋体"/>
                <w:lang w:val="en-US" w:eastAsia="en-US"/>
              </w:rPr>
            </w:pPr>
            <w:r>
              <w:rPr>
                <w:rFonts w:ascii="Times New Roman" w:hAnsi="宋体" w:eastAsia="宋体"/>
                <w:lang w:val="en-US" w:eastAsia="en-US"/>
              </w:rPr>
              <w:t>评价等级与范围</w:t>
            </w:r>
          </w:p>
        </w:tc>
        <w:tc>
          <w:tcPr>
            <w:tcW w:w="579" w:type="pct"/>
            <w:vAlign w:val="center"/>
          </w:tcPr>
          <w:p w14:paraId="50987763">
            <w:pPr>
              <w:pStyle w:val="32"/>
              <w:rPr>
                <w:rFonts w:ascii="Times New Roman" w:hAnsi="宋体" w:eastAsia="宋体"/>
                <w:lang w:val="en-US" w:eastAsia="en-US"/>
              </w:rPr>
            </w:pPr>
            <w:r>
              <w:rPr>
                <w:rFonts w:ascii="Times New Roman" w:hAnsi="宋体" w:eastAsia="宋体"/>
                <w:lang w:val="en-US" w:eastAsia="en-US"/>
              </w:rPr>
              <w:t>评价等级</w:t>
            </w:r>
          </w:p>
        </w:tc>
        <w:tc>
          <w:tcPr>
            <w:tcW w:w="1353" w:type="pct"/>
            <w:gridSpan w:val="6"/>
            <w:vAlign w:val="center"/>
          </w:tcPr>
          <w:p w14:paraId="3FCF9FF9">
            <w:pPr>
              <w:pStyle w:val="32"/>
              <w:rPr>
                <w:rFonts w:ascii="Times New Roman" w:hAnsi="宋体" w:eastAsia="宋体"/>
                <w:lang w:val="en-US" w:eastAsia="en-US"/>
              </w:rPr>
            </w:pPr>
            <w:r>
              <w:rPr>
                <w:rFonts w:ascii="Times New Roman" w:hAnsi="宋体" w:eastAsia="宋体"/>
                <w:lang w:val="en-US" w:eastAsia="en-US"/>
              </w:rPr>
              <w:t>一级□</w:t>
            </w:r>
          </w:p>
        </w:tc>
        <w:tc>
          <w:tcPr>
            <w:tcW w:w="1501" w:type="pct"/>
            <w:gridSpan w:val="8"/>
            <w:vAlign w:val="center"/>
          </w:tcPr>
          <w:p w14:paraId="07B65674">
            <w:pPr>
              <w:pStyle w:val="32"/>
              <w:rPr>
                <w:rFonts w:hint="eastAsia" w:ascii="Times New Roman" w:hAnsi="宋体" w:eastAsia="宋体"/>
                <w:lang w:val="en-US" w:eastAsia="zh-CN"/>
              </w:rPr>
            </w:pPr>
            <w:r>
              <w:rPr>
                <w:rFonts w:ascii="Times New Roman" w:hAnsi="宋体" w:eastAsia="宋体"/>
                <w:lang w:val="en-US" w:eastAsia="en-US"/>
              </w:rPr>
              <w:t>二级</w:t>
            </w:r>
            <w:r>
              <w:rPr>
                <w:rFonts w:hint="eastAsia" w:ascii="Times New Roman" w:hAnsi="宋体" w:eastAsia="宋体"/>
                <w:lang w:val="en-US" w:eastAsia="zh-CN"/>
              </w:rPr>
              <w:t>☑</w:t>
            </w:r>
          </w:p>
        </w:tc>
        <w:tc>
          <w:tcPr>
            <w:tcW w:w="1111" w:type="pct"/>
            <w:gridSpan w:val="4"/>
            <w:vAlign w:val="center"/>
          </w:tcPr>
          <w:p w14:paraId="43BCDC8D">
            <w:pPr>
              <w:pStyle w:val="32"/>
              <w:rPr>
                <w:rFonts w:ascii="Times New Roman" w:hAnsi="宋体" w:eastAsia="宋体"/>
                <w:lang w:val="en-US" w:eastAsia="en-US"/>
              </w:rPr>
            </w:pPr>
            <w:r>
              <w:rPr>
                <w:rFonts w:ascii="Times New Roman" w:hAnsi="宋体" w:eastAsia="宋体"/>
                <w:lang w:val="en-US" w:eastAsia="en-US"/>
              </w:rPr>
              <w:t>三级□</w:t>
            </w:r>
          </w:p>
        </w:tc>
      </w:tr>
      <w:tr w14:paraId="49063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4253C8FB">
            <w:pPr>
              <w:pStyle w:val="32"/>
              <w:rPr>
                <w:rFonts w:ascii="Times New Roman" w:hAnsi="宋体" w:eastAsia="宋体"/>
                <w:lang w:val="en-US" w:eastAsia="en-US"/>
              </w:rPr>
            </w:pPr>
          </w:p>
        </w:tc>
        <w:tc>
          <w:tcPr>
            <w:tcW w:w="579" w:type="pct"/>
            <w:vAlign w:val="center"/>
          </w:tcPr>
          <w:p w14:paraId="16C44FE4">
            <w:pPr>
              <w:pStyle w:val="32"/>
              <w:rPr>
                <w:rFonts w:ascii="Times New Roman" w:hAnsi="宋体" w:eastAsia="宋体"/>
                <w:lang w:val="en-US" w:eastAsia="en-US"/>
              </w:rPr>
            </w:pPr>
            <w:r>
              <w:rPr>
                <w:rFonts w:ascii="Times New Roman" w:hAnsi="宋体" w:eastAsia="宋体"/>
                <w:lang w:val="en-US" w:eastAsia="en-US"/>
              </w:rPr>
              <w:t>评价范围</w:t>
            </w:r>
          </w:p>
        </w:tc>
        <w:tc>
          <w:tcPr>
            <w:tcW w:w="1353" w:type="pct"/>
            <w:gridSpan w:val="6"/>
            <w:vAlign w:val="center"/>
          </w:tcPr>
          <w:p w14:paraId="2CB1764C">
            <w:pPr>
              <w:pStyle w:val="32"/>
              <w:rPr>
                <w:rFonts w:ascii="Times New Roman" w:hAnsi="宋体" w:eastAsia="宋体"/>
                <w:lang w:val="en-US" w:eastAsia="en-US"/>
              </w:rPr>
            </w:pPr>
            <w:r>
              <w:rPr>
                <w:rFonts w:ascii="Times New Roman" w:hAnsi="宋体" w:eastAsia="宋体"/>
                <w:lang w:val="en-US" w:eastAsia="en-US"/>
              </w:rPr>
              <w:t>边长=50km□</w:t>
            </w:r>
          </w:p>
        </w:tc>
        <w:tc>
          <w:tcPr>
            <w:tcW w:w="1501" w:type="pct"/>
            <w:gridSpan w:val="8"/>
            <w:vAlign w:val="center"/>
          </w:tcPr>
          <w:p w14:paraId="09AE21A1">
            <w:pPr>
              <w:pStyle w:val="32"/>
              <w:rPr>
                <w:rFonts w:ascii="Times New Roman" w:hAnsi="宋体" w:eastAsia="宋体"/>
                <w:lang w:val="en-US" w:eastAsia="en-US"/>
              </w:rPr>
            </w:pPr>
            <w:r>
              <w:rPr>
                <w:rFonts w:ascii="Times New Roman" w:hAnsi="宋体" w:eastAsia="宋体"/>
                <w:lang w:val="en-US" w:eastAsia="en-US"/>
              </w:rPr>
              <w:t>边长5~50km□</w:t>
            </w:r>
          </w:p>
        </w:tc>
        <w:tc>
          <w:tcPr>
            <w:tcW w:w="1111" w:type="pct"/>
            <w:gridSpan w:val="4"/>
            <w:vAlign w:val="center"/>
          </w:tcPr>
          <w:p w14:paraId="3B7BF224">
            <w:pPr>
              <w:pStyle w:val="32"/>
              <w:rPr>
                <w:rFonts w:ascii="Times New Roman" w:hAnsi="宋体" w:eastAsia="宋体"/>
                <w:lang w:val="en-US" w:eastAsia="en-US"/>
              </w:rPr>
            </w:pPr>
            <w:r>
              <w:rPr>
                <w:rFonts w:ascii="Times New Roman" w:hAnsi="宋体" w:eastAsia="宋体"/>
                <w:lang w:val="en-US" w:eastAsia="en-US"/>
              </w:rPr>
              <w:t>边长=5km√</w:t>
            </w:r>
          </w:p>
        </w:tc>
      </w:tr>
      <w:tr w14:paraId="1C927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restart"/>
            <w:vAlign w:val="center"/>
          </w:tcPr>
          <w:p w14:paraId="77F6EF1B">
            <w:pPr>
              <w:pStyle w:val="32"/>
              <w:rPr>
                <w:rFonts w:ascii="Times New Roman" w:hAnsi="宋体" w:eastAsia="宋体"/>
                <w:lang w:val="en-US" w:eastAsia="en-US"/>
              </w:rPr>
            </w:pPr>
            <w:r>
              <w:rPr>
                <w:rFonts w:ascii="Times New Roman" w:hAnsi="宋体" w:eastAsia="宋体"/>
                <w:lang w:val="en-US" w:eastAsia="en-US"/>
              </w:rPr>
              <w:t>评价</w:t>
            </w:r>
          </w:p>
          <w:p w14:paraId="655B4BDB">
            <w:pPr>
              <w:pStyle w:val="32"/>
              <w:rPr>
                <w:rFonts w:ascii="Times New Roman" w:hAnsi="宋体" w:eastAsia="宋体"/>
                <w:lang w:val="en-US" w:eastAsia="en-US"/>
              </w:rPr>
            </w:pPr>
            <w:r>
              <w:rPr>
                <w:rFonts w:ascii="Times New Roman" w:hAnsi="宋体" w:eastAsia="宋体"/>
                <w:lang w:val="en-US" w:eastAsia="en-US"/>
              </w:rPr>
              <w:t>因子</w:t>
            </w:r>
          </w:p>
        </w:tc>
        <w:tc>
          <w:tcPr>
            <w:tcW w:w="579" w:type="pct"/>
            <w:vAlign w:val="center"/>
          </w:tcPr>
          <w:p w14:paraId="7EC74432">
            <w:pPr>
              <w:pStyle w:val="32"/>
              <w:rPr>
                <w:rFonts w:ascii="Times New Roman" w:hAnsi="宋体" w:eastAsia="宋体"/>
                <w:lang w:val="en-US" w:eastAsia="en-US"/>
              </w:rPr>
            </w:pP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+NO</w:t>
            </w:r>
            <w:r>
              <w:rPr>
                <w:rFonts w:ascii="Times New Roman" w:hAnsi="宋体" w:eastAsia="宋体"/>
                <w:vertAlign w:val="subscript"/>
                <w:lang w:val="en-US" w:eastAsia="en-US"/>
              </w:rPr>
              <w:t>2</w:t>
            </w:r>
          </w:p>
          <w:p w14:paraId="22837E40">
            <w:pPr>
              <w:pStyle w:val="32"/>
              <w:rPr>
                <w:rFonts w:ascii="Times New Roman" w:hAnsi="宋体" w:eastAsia="宋体"/>
                <w:lang w:val="en-US" w:eastAsia="en-US"/>
              </w:rPr>
            </w:pPr>
            <w:r>
              <w:rPr>
                <w:rFonts w:ascii="Times New Roman" w:hAnsi="宋体" w:eastAsia="宋体"/>
                <w:lang w:val="en-US" w:eastAsia="en-US"/>
              </w:rPr>
              <w:t>排放量</w:t>
            </w:r>
          </w:p>
        </w:tc>
        <w:tc>
          <w:tcPr>
            <w:tcW w:w="1353" w:type="pct"/>
            <w:gridSpan w:val="6"/>
            <w:vAlign w:val="center"/>
          </w:tcPr>
          <w:p w14:paraId="2D9B82FC">
            <w:pPr>
              <w:pStyle w:val="32"/>
              <w:rPr>
                <w:rFonts w:ascii="Times New Roman" w:hAnsi="宋体" w:eastAsia="宋体"/>
                <w:lang w:val="en-US" w:eastAsia="en-US"/>
              </w:rPr>
            </w:pPr>
            <w:r>
              <w:rPr>
                <w:rFonts w:ascii="Times New Roman" w:hAnsi="宋体" w:eastAsia="宋体"/>
                <w:lang w:val="en-US" w:eastAsia="en-US"/>
              </w:rPr>
              <w:t>≥2000t/a□</w:t>
            </w:r>
          </w:p>
        </w:tc>
        <w:tc>
          <w:tcPr>
            <w:tcW w:w="1501" w:type="pct"/>
            <w:gridSpan w:val="8"/>
            <w:vAlign w:val="center"/>
          </w:tcPr>
          <w:p w14:paraId="398AB59F">
            <w:pPr>
              <w:pStyle w:val="32"/>
              <w:rPr>
                <w:rFonts w:ascii="Times New Roman" w:hAnsi="宋体" w:eastAsia="宋体"/>
                <w:lang w:val="en-US" w:eastAsia="en-US"/>
              </w:rPr>
            </w:pPr>
            <w:r>
              <w:rPr>
                <w:rFonts w:ascii="Times New Roman" w:hAnsi="宋体" w:eastAsia="宋体"/>
                <w:lang w:val="en-US" w:eastAsia="en-US"/>
              </w:rPr>
              <w:t>500~2000t/a□</w:t>
            </w:r>
          </w:p>
        </w:tc>
        <w:tc>
          <w:tcPr>
            <w:tcW w:w="1111" w:type="pct"/>
            <w:gridSpan w:val="4"/>
            <w:vAlign w:val="center"/>
          </w:tcPr>
          <w:p w14:paraId="638EB656">
            <w:pPr>
              <w:pStyle w:val="32"/>
              <w:rPr>
                <w:rFonts w:ascii="Times New Roman" w:hAnsi="宋体" w:eastAsia="宋体"/>
                <w:lang w:val="en-US" w:eastAsia="en-US"/>
              </w:rPr>
            </w:pPr>
            <w:r>
              <w:rPr>
                <w:rFonts w:ascii="Times New Roman" w:hAnsi="宋体" w:eastAsia="宋体"/>
                <w:lang w:val="en-US" w:eastAsia="en-US"/>
              </w:rPr>
              <w:t>＜500t/a√</w:t>
            </w:r>
          </w:p>
        </w:tc>
      </w:tr>
      <w:tr w14:paraId="794D5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1661AE75">
            <w:pPr>
              <w:pStyle w:val="32"/>
              <w:rPr>
                <w:rFonts w:ascii="Times New Roman" w:hAnsi="宋体" w:eastAsia="宋体"/>
                <w:lang w:val="en-US" w:eastAsia="en-US"/>
              </w:rPr>
            </w:pPr>
          </w:p>
        </w:tc>
        <w:tc>
          <w:tcPr>
            <w:tcW w:w="579" w:type="pct"/>
            <w:vAlign w:val="center"/>
          </w:tcPr>
          <w:p w14:paraId="5263AF21">
            <w:pPr>
              <w:pStyle w:val="32"/>
              <w:rPr>
                <w:rFonts w:ascii="Times New Roman" w:hAnsi="宋体" w:eastAsia="宋体"/>
                <w:lang w:val="en-US" w:eastAsia="en-US"/>
              </w:rPr>
            </w:pPr>
            <w:r>
              <w:rPr>
                <w:rFonts w:ascii="Times New Roman" w:hAnsi="宋体" w:eastAsia="宋体"/>
                <w:lang w:val="en-US" w:eastAsia="en-US"/>
              </w:rPr>
              <w:t>评价因子</w:t>
            </w:r>
          </w:p>
        </w:tc>
        <w:tc>
          <w:tcPr>
            <w:tcW w:w="2855" w:type="pct"/>
            <w:gridSpan w:val="14"/>
            <w:vAlign w:val="center"/>
          </w:tcPr>
          <w:p w14:paraId="7039851A">
            <w:pPr>
              <w:pStyle w:val="32"/>
              <w:rPr>
                <w:rFonts w:ascii="Times New Roman" w:hAnsi="宋体" w:eastAsia="宋体"/>
                <w:lang w:val="en-US" w:eastAsia="en-US"/>
              </w:rPr>
            </w:pPr>
            <w:r>
              <w:rPr>
                <w:rFonts w:ascii="Times New Roman" w:hAnsi="宋体" w:eastAsia="宋体"/>
                <w:lang w:val="en-US" w:eastAsia="en-US"/>
              </w:rPr>
              <w:t>基本污染物（PM</w:t>
            </w:r>
            <w:r>
              <w:rPr>
                <w:rFonts w:ascii="Times New Roman" w:hAnsi="宋体" w:eastAsia="宋体"/>
                <w:vertAlign w:val="subscript"/>
                <w:lang w:val="en-US" w:eastAsia="en-US"/>
              </w:rPr>
              <w:t>10</w:t>
            </w:r>
            <w:r>
              <w:rPr>
                <w:rFonts w:ascii="Times New Roman" w:hAnsi="宋体" w:eastAsia="宋体"/>
                <w:lang w:val="en-US" w:eastAsia="en-US"/>
              </w:rPr>
              <w:t>、PM</w:t>
            </w:r>
            <w:r>
              <w:rPr>
                <w:rFonts w:ascii="Times New Roman" w:hAnsi="宋体" w:eastAsia="宋体"/>
                <w:vertAlign w:val="subscript"/>
                <w:lang w:val="en-US" w:eastAsia="en-US"/>
              </w:rPr>
              <w:t>2.5</w:t>
            </w: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、NO</w:t>
            </w:r>
            <w:r>
              <w:rPr>
                <w:rFonts w:ascii="Times New Roman" w:hAnsi="宋体" w:eastAsia="宋体"/>
                <w:vertAlign w:val="subscript"/>
                <w:lang w:val="en-US" w:eastAsia="en-US"/>
              </w:rPr>
              <w:t>2</w:t>
            </w:r>
            <w:r>
              <w:rPr>
                <w:rFonts w:ascii="Times New Roman" w:hAnsi="宋体" w:eastAsia="宋体"/>
                <w:lang w:val="en-US" w:eastAsia="en-US"/>
              </w:rPr>
              <w:t>、CO、O</w:t>
            </w:r>
            <w:r>
              <w:rPr>
                <w:rFonts w:ascii="Times New Roman" w:hAnsi="宋体" w:eastAsia="宋体"/>
                <w:vertAlign w:val="subscript"/>
                <w:lang w:val="en-US" w:eastAsia="en-US"/>
              </w:rPr>
              <w:t>3</w:t>
            </w:r>
            <w:r>
              <w:rPr>
                <w:rFonts w:ascii="Times New Roman" w:hAnsi="宋体" w:eastAsia="宋体"/>
                <w:lang w:val="en-US" w:eastAsia="en-US"/>
              </w:rPr>
              <w:t>）</w:t>
            </w:r>
          </w:p>
          <w:p w14:paraId="6F524DD4">
            <w:pPr>
              <w:pStyle w:val="32"/>
              <w:rPr>
                <w:rFonts w:ascii="Times New Roman" w:hAnsi="宋体" w:eastAsia="宋体"/>
                <w:lang w:val="en-US"/>
              </w:rPr>
            </w:pPr>
            <w:r>
              <w:rPr>
                <w:rFonts w:ascii="Times New Roman" w:hAnsi="宋体" w:eastAsia="宋体"/>
                <w:lang w:val="en-US"/>
              </w:rPr>
              <w:t>其他污染物</w:t>
            </w:r>
            <w:r>
              <w:rPr>
                <w:rFonts w:hint="eastAsia" w:ascii="Times New Roman" w:hAnsi="宋体" w:eastAsia="宋体"/>
                <w:lang w:val="en-US"/>
              </w:rPr>
              <w:t>（</w:t>
            </w:r>
            <w:r>
              <w:rPr>
                <w:rFonts w:hint="eastAsia" w:ascii="Times New Roman" w:hAnsi="宋体" w:eastAsia="宋体"/>
                <w:lang w:val="en-US" w:eastAsia="zh-CN"/>
              </w:rPr>
              <w:t>NH</w:t>
            </w:r>
            <w:r>
              <w:rPr>
                <w:rFonts w:hint="eastAsia" w:ascii="Times New Roman" w:hAnsi="宋体" w:eastAsia="宋体"/>
                <w:vertAlign w:val="subscript"/>
                <w:lang w:val="en-US" w:eastAsia="zh-CN"/>
              </w:rPr>
              <w:t>3</w:t>
            </w:r>
            <w:r>
              <w:rPr>
                <w:rFonts w:hint="eastAsia" w:ascii="Times New Roman" w:hAnsi="宋体" w:eastAsia="宋体"/>
                <w:lang w:val="en-US" w:eastAsia="zh-CN"/>
              </w:rPr>
              <w:t>、H</w:t>
            </w:r>
            <w:r>
              <w:rPr>
                <w:rFonts w:hint="eastAsia" w:ascii="Times New Roman" w:hAnsi="宋体" w:eastAsia="宋体"/>
                <w:vertAlign w:val="subscript"/>
                <w:lang w:val="en-US" w:eastAsia="zh-CN"/>
              </w:rPr>
              <w:t>2</w:t>
            </w:r>
            <w:r>
              <w:rPr>
                <w:rFonts w:hint="eastAsia" w:ascii="Times New Roman" w:hAnsi="宋体" w:eastAsia="宋体"/>
                <w:lang w:val="en-US" w:eastAsia="zh-CN"/>
              </w:rPr>
              <w:t>S</w:t>
            </w:r>
            <w:r>
              <w:rPr>
                <w:rFonts w:hint="eastAsia" w:ascii="Times New Roman" w:hAnsi="宋体" w:eastAsia="宋体"/>
                <w:lang w:val="en-US"/>
              </w:rPr>
              <w:t>）</w:t>
            </w:r>
          </w:p>
        </w:tc>
        <w:tc>
          <w:tcPr>
            <w:tcW w:w="1111" w:type="pct"/>
            <w:gridSpan w:val="4"/>
            <w:vAlign w:val="center"/>
          </w:tcPr>
          <w:p w14:paraId="6C5EE418">
            <w:pPr>
              <w:pStyle w:val="32"/>
              <w:rPr>
                <w:rFonts w:ascii="Times New Roman" w:hAnsi="宋体" w:eastAsia="宋体"/>
                <w:lang w:val="en-US" w:eastAsia="en-US"/>
              </w:rPr>
            </w:pPr>
            <w:r>
              <w:rPr>
                <w:rFonts w:ascii="Times New Roman" w:hAnsi="宋体" w:eastAsia="宋体"/>
                <w:lang w:val="en-US" w:eastAsia="en-US"/>
              </w:rPr>
              <w:t>包括二次PM2.5□</w:t>
            </w:r>
          </w:p>
          <w:p w14:paraId="2C22CB13">
            <w:pPr>
              <w:pStyle w:val="32"/>
              <w:rPr>
                <w:rFonts w:ascii="Times New Roman" w:hAnsi="宋体" w:eastAsia="宋体"/>
                <w:lang w:val="en-US" w:eastAsia="en-US"/>
              </w:rPr>
            </w:pPr>
            <w:r>
              <w:rPr>
                <w:rFonts w:ascii="Times New Roman" w:hAnsi="宋体" w:eastAsia="宋体"/>
                <w:lang w:val="en-US" w:eastAsia="en-US"/>
              </w:rPr>
              <w:t>不包括二次PM2.5√</w:t>
            </w:r>
          </w:p>
        </w:tc>
      </w:tr>
      <w:tr w14:paraId="1213B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Align w:val="center"/>
          </w:tcPr>
          <w:p w14:paraId="782EFD0E">
            <w:pPr>
              <w:pStyle w:val="32"/>
              <w:rPr>
                <w:rFonts w:ascii="Times New Roman" w:hAnsi="宋体" w:eastAsia="宋体"/>
                <w:lang w:val="en-US" w:eastAsia="en-US"/>
              </w:rPr>
            </w:pPr>
            <w:r>
              <w:rPr>
                <w:rFonts w:ascii="Times New Roman" w:hAnsi="宋体" w:eastAsia="宋体"/>
                <w:lang w:val="en-US" w:eastAsia="en-US"/>
              </w:rPr>
              <w:t>评价</w:t>
            </w:r>
          </w:p>
          <w:p w14:paraId="221DA6B0">
            <w:pPr>
              <w:pStyle w:val="32"/>
              <w:rPr>
                <w:rFonts w:ascii="Times New Roman" w:hAnsi="宋体" w:eastAsia="宋体"/>
                <w:lang w:val="en-US" w:eastAsia="en-US"/>
              </w:rPr>
            </w:pPr>
            <w:r>
              <w:rPr>
                <w:rFonts w:ascii="Times New Roman" w:hAnsi="宋体" w:eastAsia="宋体"/>
                <w:lang w:val="en-US" w:eastAsia="en-US"/>
              </w:rPr>
              <w:t>标准</w:t>
            </w:r>
          </w:p>
        </w:tc>
        <w:tc>
          <w:tcPr>
            <w:tcW w:w="579" w:type="pct"/>
            <w:vAlign w:val="center"/>
          </w:tcPr>
          <w:p w14:paraId="2DB9681A">
            <w:pPr>
              <w:pStyle w:val="32"/>
              <w:rPr>
                <w:rFonts w:ascii="Times New Roman" w:hAnsi="宋体" w:eastAsia="宋体"/>
                <w:lang w:val="en-US" w:eastAsia="en-US"/>
              </w:rPr>
            </w:pPr>
            <w:r>
              <w:rPr>
                <w:rFonts w:ascii="Times New Roman" w:hAnsi="宋体" w:eastAsia="宋体"/>
                <w:lang w:val="en-US" w:eastAsia="en-US"/>
              </w:rPr>
              <w:t>评价标准</w:t>
            </w:r>
          </w:p>
        </w:tc>
        <w:tc>
          <w:tcPr>
            <w:tcW w:w="949" w:type="pct"/>
            <w:gridSpan w:val="3"/>
            <w:vAlign w:val="center"/>
          </w:tcPr>
          <w:p w14:paraId="069CD499">
            <w:pPr>
              <w:pStyle w:val="32"/>
              <w:rPr>
                <w:rFonts w:hint="eastAsia" w:ascii="Times New Roman" w:hAnsi="宋体" w:eastAsia="宋体"/>
                <w:lang w:val="en-US" w:eastAsia="zh-CN"/>
              </w:rPr>
            </w:pPr>
            <w:r>
              <w:rPr>
                <w:rFonts w:ascii="Times New Roman" w:hAnsi="宋体" w:eastAsia="宋体"/>
                <w:lang w:val="en-US" w:eastAsia="en-US"/>
              </w:rPr>
              <w:t>国家标准</w:t>
            </w:r>
            <w:r>
              <w:rPr>
                <w:rFonts w:hint="eastAsia" w:ascii="Times New Roman" w:hAnsi="宋体" w:eastAsia="宋体"/>
                <w:lang w:val="en-US" w:eastAsia="zh-CN"/>
              </w:rPr>
              <w:t>☑</w:t>
            </w:r>
          </w:p>
        </w:tc>
        <w:tc>
          <w:tcPr>
            <w:tcW w:w="1127" w:type="pct"/>
            <w:gridSpan w:val="7"/>
            <w:vAlign w:val="center"/>
          </w:tcPr>
          <w:p w14:paraId="5E6CBE01">
            <w:pPr>
              <w:pStyle w:val="32"/>
              <w:rPr>
                <w:rFonts w:ascii="Times New Roman" w:hAnsi="宋体" w:eastAsia="宋体"/>
                <w:lang w:val="en-US" w:eastAsia="en-US"/>
              </w:rPr>
            </w:pPr>
            <w:r>
              <w:rPr>
                <w:rFonts w:ascii="Times New Roman" w:hAnsi="宋体" w:eastAsia="宋体"/>
                <w:lang w:val="en-US" w:eastAsia="en-US"/>
              </w:rPr>
              <w:t>地方标准□</w:t>
            </w:r>
          </w:p>
        </w:tc>
        <w:tc>
          <w:tcPr>
            <w:tcW w:w="778" w:type="pct"/>
            <w:gridSpan w:val="4"/>
            <w:vAlign w:val="center"/>
          </w:tcPr>
          <w:p w14:paraId="4BC7FF3F">
            <w:pPr>
              <w:pStyle w:val="32"/>
              <w:rPr>
                <w:rFonts w:ascii="Times New Roman" w:hAnsi="宋体" w:eastAsia="宋体"/>
                <w:lang w:val="en-US" w:eastAsia="en-US"/>
              </w:rPr>
            </w:pPr>
            <w:r>
              <w:rPr>
                <w:rFonts w:ascii="Times New Roman" w:hAnsi="宋体" w:eastAsia="宋体"/>
                <w:lang w:val="en-US" w:eastAsia="en-US"/>
              </w:rPr>
              <w:t>附录D□</w:t>
            </w:r>
          </w:p>
        </w:tc>
        <w:tc>
          <w:tcPr>
            <w:tcW w:w="1111" w:type="pct"/>
            <w:gridSpan w:val="4"/>
            <w:vAlign w:val="center"/>
          </w:tcPr>
          <w:p w14:paraId="0033BE0C">
            <w:pPr>
              <w:pStyle w:val="32"/>
              <w:rPr>
                <w:rFonts w:ascii="Times New Roman" w:hAnsi="宋体" w:eastAsia="宋体"/>
                <w:lang w:val="en-US" w:eastAsia="en-US"/>
              </w:rPr>
            </w:pPr>
            <w:r>
              <w:rPr>
                <w:rFonts w:ascii="Times New Roman" w:hAnsi="宋体" w:eastAsia="宋体"/>
                <w:lang w:val="en-US" w:eastAsia="en-US"/>
              </w:rPr>
              <w:t>其他标准√</w:t>
            </w:r>
          </w:p>
        </w:tc>
      </w:tr>
      <w:tr w14:paraId="40C9A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restart"/>
            <w:vAlign w:val="center"/>
          </w:tcPr>
          <w:p w14:paraId="101B444F">
            <w:pPr>
              <w:pStyle w:val="32"/>
              <w:rPr>
                <w:rFonts w:ascii="Times New Roman" w:hAnsi="宋体" w:eastAsia="宋体"/>
                <w:lang w:val="en-US" w:eastAsia="en-US"/>
              </w:rPr>
            </w:pPr>
            <w:r>
              <w:rPr>
                <w:rFonts w:ascii="Times New Roman" w:hAnsi="宋体" w:eastAsia="宋体"/>
                <w:lang w:val="en-US" w:eastAsia="en-US"/>
              </w:rPr>
              <w:t>现状评价</w:t>
            </w:r>
          </w:p>
        </w:tc>
        <w:tc>
          <w:tcPr>
            <w:tcW w:w="579" w:type="pct"/>
            <w:vAlign w:val="center"/>
          </w:tcPr>
          <w:p w14:paraId="5F310A09">
            <w:pPr>
              <w:pStyle w:val="32"/>
              <w:rPr>
                <w:rFonts w:ascii="Times New Roman" w:hAnsi="宋体" w:eastAsia="宋体"/>
                <w:lang w:val="en-US" w:eastAsia="en-US"/>
              </w:rPr>
            </w:pPr>
            <w:r>
              <w:rPr>
                <w:rFonts w:ascii="Times New Roman" w:hAnsi="宋体" w:eastAsia="宋体"/>
                <w:lang w:val="en-US" w:eastAsia="en-US"/>
              </w:rPr>
              <w:t>环境功能区</w:t>
            </w:r>
          </w:p>
        </w:tc>
        <w:tc>
          <w:tcPr>
            <w:tcW w:w="1353" w:type="pct"/>
            <w:gridSpan w:val="6"/>
            <w:vAlign w:val="center"/>
          </w:tcPr>
          <w:p w14:paraId="09AA1F1A">
            <w:pPr>
              <w:pStyle w:val="32"/>
              <w:rPr>
                <w:rFonts w:ascii="Times New Roman" w:hAnsi="宋体" w:eastAsia="宋体"/>
                <w:lang w:val="en-US" w:eastAsia="en-US"/>
              </w:rPr>
            </w:pPr>
            <w:r>
              <w:rPr>
                <w:rFonts w:ascii="Times New Roman" w:hAnsi="宋体" w:eastAsia="宋体"/>
                <w:lang w:val="en-US" w:eastAsia="en-US"/>
              </w:rPr>
              <w:t>一类区□</w:t>
            </w:r>
          </w:p>
        </w:tc>
        <w:tc>
          <w:tcPr>
            <w:tcW w:w="1501" w:type="pct"/>
            <w:gridSpan w:val="8"/>
            <w:vAlign w:val="center"/>
          </w:tcPr>
          <w:p w14:paraId="0AE5C77E">
            <w:pPr>
              <w:pStyle w:val="32"/>
              <w:rPr>
                <w:rFonts w:ascii="Times New Roman" w:hAnsi="宋体" w:eastAsia="宋体"/>
                <w:lang w:val="en-US" w:eastAsia="en-US"/>
              </w:rPr>
            </w:pPr>
            <w:r>
              <w:rPr>
                <w:rFonts w:ascii="Times New Roman" w:hAnsi="宋体" w:eastAsia="宋体"/>
                <w:lang w:val="en-US" w:eastAsia="en-US"/>
              </w:rPr>
              <w:t>二类区√</w:t>
            </w:r>
          </w:p>
        </w:tc>
        <w:tc>
          <w:tcPr>
            <w:tcW w:w="1111" w:type="pct"/>
            <w:gridSpan w:val="4"/>
            <w:vAlign w:val="center"/>
          </w:tcPr>
          <w:p w14:paraId="44BBAF76">
            <w:pPr>
              <w:pStyle w:val="32"/>
              <w:rPr>
                <w:rFonts w:ascii="Times New Roman" w:hAnsi="宋体" w:eastAsia="宋体"/>
                <w:lang w:val="en-US" w:eastAsia="en-US"/>
              </w:rPr>
            </w:pPr>
            <w:r>
              <w:rPr>
                <w:rFonts w:ascii="Times New Roman" w:hAnsi="宋体" w:eastAsia="宋体"/>
                <w:lang w:val="en-US" w:eastAsia="en-US"/>
              </w:rPr>
              <w:t>一类区和二类区□</w:t>
            </w:r>
          </w:p>
        </w:tc>
      </w:tr>
      <w:tr w14:paraId="5E5D8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64F38132">
            <w:pPr>
              <w:pStyle w:val="32"/>
              <w:rPr>
                <w:rFonts w:ascii="Times New Roman" w:hAnsi="宋体" w:eastAsia="宋体"/>
                <w:lang w:val="en-US" w:eastAsia="en-US"/>
              </w:rPr>
            </w:pPr>
          </w:p>
        </w:tc>
        <w:tc>
          <w:tcPr>
            <w:tcW w:w="579" w:type="pct"/>
            <w:vAlign w:val="center"/>
          </w:tcPr>
          <w:p w14:paraId="25FFA3BD">
            <w:pPr>
              <w:pStyle w:val="32"/>
              <w:rPr>
                <w:rFonts w:ascii="Times New Roman" w:hAnsi="宋体" w:eastAsia="宋体"/>
                <w:lang w:val="en-US" w:eastAsia="en-US"/>
              </w:rPr>
            </w:pPr>
            <w:r>
              <w:rPr>
                <w:rFonts w:ascii="Times New Roman" w:hAnsi="宋体" w:eastAsia="宋体"/>
                <w:lang w:val="en-US" w:eastAsia="en-US"/>
              </w:rPr>
              <w:t>评价基准年</w:t>
            </w:r>
          </w:p>
        </w:tc>
        <w:tc>
          <w:tcPr>
            <w:tcW w:w="3967" w:type="pct"/>
            <w:gridSpan w:val="18"/>
            <w:vAlign w:val="center"/>
          </w:tcPr>
          <w:p w14:paraId="31B8527B">
            <w:pPr>
              <w:pStyle w:val="32"/>
              <w:rPr>
                <w:rFonts w:ascii="Times New Roman" w:hAnsi="宋体" w:eastAsia="宋体"/>
                <w:lang w:val="en-US" w:eastAsia="en-US"/>
              </w:rPr>
            </w:pPr>
            <w:r>
              <w:rPr>
                <w:rFonts w:ascii="Times New Roman" w:hAnsi="宋体" w:eastAsia="宋体"/>
                <w:lang w:val="en-US" w:eastAsia="en-US"/>
              </w:rPr>
              <w:t>（2022）年</w:t>
            </w:r>
          </w:p>
        </w:tc>
      </w:tr>
      <w:tr w14:paraId="34C30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1BFAF3BB">
            <w:pPr>
              <w:pStyle w:val="32"/>
              <w:rPr>
                <w:rFonts w:ascii="Times New Roman" w:hAnsi="宋体" w:eastAsia="宋体"/>
                <w:lang w:val="en-US" w:eastAsia="en-US"/>
              </w:rPr>
            </w:pPr>
          </w:p>
        </w:tc>
        <w:tc>
          <w:tcPr>
            <w:tcW w:w="579" w:type="pct"/>
            <w:vAlign w:val="center"/>
          </w:tcPr>
          <w:p w14:paraId="0B21D779">
            <w:pPr>
              <w:pStyle w:val="32"/>
              <w:rPr>
                <w:rFonts w:ascii="Times New Roman" w:hAnsi="宋体" w:eastAsia="宋体"/>
                <w:lang w:val="en-US"/>
              </w:rPr>
            </w:pPr>
            <w:r>
              <w:rPr>
                <w:rFonts w:ascii="Times New Roman" w:hAnsi="宋体" w:eastAsia="宋体"/>
                <w:lang w:val="en-US"/>
              </w:rPr>
              <w:t>环境空气质量现状调查数据来源</w:t>
            </w:r>
          </w:p>
        </w:tc>
        <w:tc>
          <w:tcPr>
            <w:tcW w:w="1353" w:type="pct"/>
            <w:gridSpan w:val="6"/>
            <w:vAlign w:val="center"/>
          </w:tcPr>
          <w:p w14:paraId="25BE4483">
            <w:pPr>
              <w:pStyle w:val="32"/>
              <w:rPr>
                <w:rFonts w:ascii="Times New Roman" w:hAnsi="宋体" w:eastAsia="宋体"/>
                <w:lang w:val="en-US" w:eastAsia="en-US"/>
              </w:rPr>
            </w:pPr>
            <w:r>
              <w:rPr>
                <w:rFonts w:ascii="Times New Roman" w:hAnsi="宋体" w:eastAsia="宋体"/>
                <w:lang w:val="en-US" w:eastAsia="en-US"/>
              </w:rPr>
              <w:t>长期例行监测数据√</w:t>
            </w:r>
          </w:p>
        </w:tc>
        <w:tc>
          <w:tcPr>
            <w:tcW w:w="1501" w:type="pct"/>
            <w:gridSpan w:val="8"/>
            <w:vAlign w:val="center"/>
          </w:tcPr>
          <w:p w14:paraId="2528B104">
            <w:pPr>
              <w:pStyle w:val="32"/>
              <w:rPr>
                <w:rFonts w:ascii="Times New Roman" w:hAnsi="宋体" w:eastAsia="宋体"/>
                <w:lang w:val="en-US"/>
              </w:rPr>
            </w:pPr>
            <w:r>
              <w:rPr>
                <w:rFonts w:ascii="Times New Roman" w:hAnsi="宋体" w:eastAsia="宋体"/>
                <w:lang w:val="en-US"/>
              </w:rPr>
              <w:t>主管部门发布的数据□</w:t>
            </w:r>
          </w:p>
        </w:tc>
        <w:tc>
          <w:tcPr>
            <w:tcW w:w="1111" w:type="pct"/>
            <w:gridSpan w:val="4"/>
            <w:vAlign w:val="center"/>
          </w:tcPr>
          <w:p w14:paraId="5C6200F3">
            <w:pPr>
              <w:pStyle w:val="32"/>
              <w:rPr>
                <w:rFonts w:ascii="Times New Roman" w:hAnsi="宋体" w:eastAsia="宋体"/>
                <w:lang w:val="en-US" w:eastAsia="en-US"/>
              </w:rPr>
            </w:pPr>
            <w:r>
              <w:rPr>
                <w:rFonts w:ascii="Times New Roman" w:hAnsi="宋体" w:eastAsia="宋体"/>
                <w:lang w:val="en-US" w:eastAsia="en-US"/>
              </w:rPr>
              <w:t>现状补充监测√</w:t>
            </w:r>
          </w:p>
        </w:tc>
      </w:tr>
      <w:tr w14:paraId="05A70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28C59E16">
            <w:pPr>
              <w:pStyle w:val="32"/>
              <w:rPr>
                <w:rFonts w:ascii="Times New Roman" w:hAnsi="宋体" w:eastAsia="宋体"/>
                <w:lang w:val="en-US" w:eastAsia="en-US"/>
              </w:rPr>
            </w:pPr>
          </w:p>
        </w:tc>
        <w:tc>
          <w:tcPr>
            <w:tcW w:w="579" w:type="pct"/>
            <w:vAlign w:val="center"/>
          </w:tcPr>
          <w:p w14:paraId="44559E0F">
            <w:pPr>
              <w:pStyle w:val="32"/>
              <w:rPr>
                <w:rFonts w:ascii="Times New Roman" w:hAnsi="宋体" w:eastAsia="宋体"/>
                <w:lang w:val="en-US" w:eastAsia="en-US"/>
              </w:rPr>
            </w:pPr>
            <w:r>
              <w:rPr>
                <w:rFonts w:ascii="Times New Roman" w:hAnsi="宋体" w:eastAsia="宋体"/>
                <w:lang w:val="en-US" w:eastAsia="en-US"/>
              </w:rPr>
              <w:t>现状评价</w:t>
            </w:r>
          </w:p>
        </w:tc>
        <w:tc>
          <w:tcPr>
            <w:tcW w:w="2253" w:type="pct"/>
            <w:gridSpan w:val="12"/>
            <w:vAlign w:val="center"/>
          </w:tcPr>
          <w:p w14:paraId="5CF49B85">
            <w:pPr>
              <w:pStyle w:val="32"/>
              <w:rPr>
                <w:rFonts w:ascii="Times New Roman" w:hAnsi="宋体" w:eastAsia="宋体"/>
                <w:lang w:val="en-US" w:eastAsia="en-US"/>
              </w:rPr>
            </w:pPr>
            <w:r>
              <w:rPr>
                <w:rFonts w:ascii="Times New Roman" w:hAnsi="宋体" w:eastAsia="宋体"/>
                <w:lang w:val="en-US" w:eastAsia="en-US"/>
              </w:rPr>
              <w:t>达标区√</w:t>
            </w:r>
          </w:p>
        </w:tc>
        <w:tc>
          <w:tcPr>
            <w:tcW w:w="1713" w:type="pct"/>
            <w:gridSpan w:val="6"/>
            <w:vAlign w:val="center"/>
          </w:tcPr>
          <w:p w14:paraId="7D97EE61">
            <w:pPr>
              <w:pStyle w:val="32"/>
              <w:rPr>
                <w:rFonts w:ascii="Times New Roman" w:hAnsi="宋体" w:eastAsia="宋体"/>
                <w:lang w:val="en-US" w:eastAsia="en-US"/>
              </w:rPr>
            </w:pPr>
            <w:r>
              <w:rPr>
                <w:rFonts w:ascii="Times New Roman" w:hAnsi="宋体" w:eastAsia="宋体"/>
                <w:lang w:val="en-US" w:eastAsia="en-US"/>
              </w:rPr>
              <w:t>不达标区□</w:t>
            </w:r>
          </w:p>
        </w:tc>
      </w:tr>
      <w:tr w14:paraId="1AD27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Align w:val="center"/>
          </w:tcPr>
          <w:p w14:paraId="104F4993">
            <w:pPr>
              <w:pStyle w:val="32"/>
              <w:rPr>
                <w:rFonts w:ascii="Times New Roman" w:hAnsi="宋体" w:eastAsia="宋体"/>
                <w:lang w:val="en-US" w:eastAsia="en-US"/>
              </w:rPr>
            </w:pPr>
            <w:r>
              <w:rPr>
                <w:rFonts w:ascii="Times New Roman" w:hAnsi="宋体" w:eastAsia="宋体"/>
                <w:lang w:val="en-US" w:eastAsia="en-US"/>
              </w:rPr>
              <w:t>污染源</w:t>
            </w:r>
          </w:p>
          <w:p w14:paraId="006B30C2">
            <w:pPr>
              <w:pStyle w:val="32"/>
              <w:rPr>
                <w:rFonts w:ascii="Times New Roman" w:hAnsi="宋体" w:eastAsia="宋体"/>
                <w:lang w:val="en-US" w:eastAsia="en-US"/>
              </w:rPr>
            </w:pPr>
            <w:r>
              <w:rPr>
                <w:rFonts w:ascii="Times New Roman" w:hAnsi="宋体" w:eastAsia="宋体"/>
                <w:lang w:val="en-US" w:eastAsia="en-US"/>
              </w:rPr>
              <w:t>调查</w:t>
            </w:r>
          </w:p>
        </w:tc>
        <w:tc>
          <w:tcPr>
            <w:tcW w:w="579" w:type="pct"/>
            <w:vAlign w:val="center"/>
          </w:tcPr>
          <w:p w14:paraId="7AD48CC0">
            <w:pPr>
              <w:pStyle w:val="32"/>
              <w:rPr>
                <w:rFonts w:ascii="Times New Roman" w:hAnsi="宋体" w:eastAsia="宋体"/>
                <w:lang w:val="en-US" w:eastAsia="en-US"/>
              </w:rPr>
            </w:pPr>
            <w:r>
              <w:rPr>
                <w:rFonts w:ascii="Times New Roman" w:hAnsi="宋体" w:eastAsia="宋体"/>
                <w:lang w:val="en-US" w:eastAsia="en-US"/>
              </w:rPr>
              <w:t>调查内容</w:t>
            </w:r>
          </w:p>
        </w:tc>
        <w:tc>
          <w:tcPr>
            <w:tcW w:w="1450" w:type="pct"/>
            <w:gridSpan w:val="7"/>
            <w:vAlign w:val="center"/>
          </w:tcPr>
          <w:p w14:paraId="53B3549B">
            <w:pPr>
              <w:pStyle w:val="32"/>
              <w:rPr>
                <w:rFonts w:ascii="Times New Roman" w:hAnsi="宋体" w:eastAsia="宋体"/>
                <w:lang w:val="en-US"/>
              </w:rPr>
            </w:pPr>
            <w:r>
              <w:rPr>
                <w:rFonts w:ascii="Times New Roman" w:hAnsi="宋体" w:eastAsia="宋体"/>
                <w:lang w:val="en-US"/>
              </w:rPr>
              <w:t>本项目正常排放源√</w:t>
            </w:r>
          </w:p>
          <w:p w14:paraId="0081865E">
            <w:pPr>
              <w:pStyle w:val="32"/>
              <w:rPr>
                <w:rFonts w:ascii="Times New Roman" w:hAnsi="宋体" w:eastAsia="宋体"/>
                <w:lang w:val="en-US"/>
              </w:rPr>
            </w:pPr>
            <w:r>
              <w:rPr>
                <w:rFonts w:ascii="Times New Roman" w:hAnsi="宋体" w:eastAsia="宋体"/>
                <w:lang w:val="en-US"/>
              </w:rPr>
              <w:t>本项目非正常排放源</w:t>
            </w:r>
            <w:r>
              <w:rPr>
                <w:rFonts w:ascii="Times New Roman" w:hAnsi="宋体" w:eastAsia="宋体"/>
                <w:lang w:val="en-US" w:eastAsia="en-US"/>
              </w:rPr>
              <w:t>□</w:t>
            </w:r>
          </w:p>
          <w:p w14:paraId="1B332A94">
            <w:pPr>
              <w:pStyle w:val="32"/>
              <w:rPr>
                <w:rFonts w:ascii="Times New Roman" w:hAnsi="宋体" w:eastAsia="宋体"/>
                <w:lang w:val="en-US" w:eastAsia="en-US"/>
              </w:rPr>
            </w:pPr>
            <w:r>
              <w:rPr>
                <w:rFonts w:ascii="Times New Roman" w:hAnsi="宋体" w:eastAsia="宋体"/>
                <w:lang w:val="en-US" w:eastAsia="en-US"/>
              </w:rPr>
              <w:t>现有污染源□</w:t>
            </w:r>
          </w:p>
        </w:tc>
        <w:tc>
          <w:tcPr>
            <w:tcW w:w="803" w:type="pct"/>
            <w:gridSpan w:val="5"/>
            <w:vAlign w:val="center"/>
          </w:tcPr>
          <w:p w14:paraId="2C074EC5">
            <w:pPr>
              <w:pStyle w:val="32"/>
              <w:rPr>
                <w:rFonts w:ascii="Times New Roman" w:hAnsi="宋体" w:eastAsia="宋体"/>
                <w:lang w:val="en-US" w:eastAsia="en-US"/>
              </w:rPr>
            </w:pPr>
            <w:r>
              <w:rPr>
                <w:rFonts w:ascii="Times New Roman" w:hAnsi="宋体" w:eastAsia="宋体"/>
                <w:lang w:val="en-US" w:eastAsia="en-US"/>
              </w:rPr>
              <w:t>拟替代的污染源□</w:t>
            </w:r>
          </w:p>
        </w:tc>
        <w:tc>
          <w:tcPr>
            <w:tcW w:w="601" w:type="pct"/>
            <w:gridSpan w:val="2"/>
            <w:vAlign w:val="center"/>
          </w:tcPr>
          <w:p w14:paraId="686C3557">
            <w:pPr>
              <w:pStyle w:val="32"/>
              <w:rPr>
                <w:rFonts w:ascii="Times New Roman" w:hAnsi="宋体" w:eastAsia="宋体"/>
                <w:lang w:val="en-US"/>
              </w:rPr>
            </w:pPr>
            <w:r>
              <w:rPr>
                <w:rFonts w:ascii="Times New Roman" w:hAnsi="宋体" w:eastAsia="宋体"/>
                <w:lang w:val="en-US"/>
              </w:rPr>
              <w:t>其他在建、拟建项目污染源</w:t>
            </w:r>
            <w:r>
              <w:rPr>
                <w:rFonts w:ascii="Times New Roman" w:hAnsi="宋体" w:eastAsia="宋体"/>
                <w:lang w:val="en-US" w:eastAsia="en-US"/>
              </w:rPr>
              <w:t>□</w:t>
            </w:r>
          </w:p>
        </w:tc>
        <w:tc>
          <w:tcPr>
            <w:tcW w:w="1111" w:type="pct"/>
            <w:gridSpan w:val="4"/>
            <w:vAlign w:val="center"/>
          </w:tcPr>
          <w:p w14:paraId="55CDD4E9">
            <w:pPr>
              <w:pStyle w:val="32"/>
              <w:rPr>
                <w:rFonts w:ascii="Times New Roman" w:hAnsi="宋体" w:eastAsia="宋体"/>
                <w:lang w:val="en-US" w:eastAsia="en-US"/>
              </w:rPr>
            </w:pPr>
            <w:r>
              <w:rPr>
                <w:rFonts w:ascii="Times New Roman" w:hAnsi="宋体" w:eastAsia="宋体"/>
                <w:lang w:val="en-US" w:eastAsia="en-US"/>
              </w:rPr>
              <w:t>区域污染源</w:t>
            </w:r>
          </w:p>
          <w:p w14:paraId="063012A8">
            <w:pPr>
              <w:pStyle w:val="32"/>
              <w:rPr>
                <w:rFonts w:ascii="Times New Roman" w:hAnsi="宋体" w:eastAsia="宋体"/>
                <w:lang w:val="en-US" w:eastAsia="en-US"/>
              </w:rPr>
            </w:pPr>
            <w:r>
              <w:rPr>
                <w:rFonts w:ascii="Times New Roman" w:hAnsi="宋体" w:eastAsia="宋体"/>
                <w:lang w:val="en-US" w:eastAsia="en-US"/>
              </w:rPr>
              <w:t>□</w:t>
            </w:r>
          </w:p>
        </w:tc>
      </w:tr>
      <w:tr w14:paraId="34BC5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restart"/>
            <w:vAlign w:val="center"/>
          </w:tcPr>
          <w:p w14:paraId="39E0A562">
            <w:pPr>
              <w:pStyle w:val="32"/>
              <w:rPr>
                <w:rFonts w:ascii="Times New Roman" w:hAnsi="宋体" w:eastAsia="宋体"/>
                <w:lang w:val="en-US"/>
              </w:rPr>
            </w:pPr>
            <w:r>
              <w:rPr>
                <w:rFonts w:ascii="Times New Roman" w:hAnsi="宋体" w:eastAsia="宋体"/>
                <w:lang w:val="en-US"/>
              </w:rPr>
              <w:t>大气环境影响预测与评价</w:t>
            </w:r>
          </w:p>
        </w:tc>
        <w:tc>
          <w:tcPr>
            <w:tcW w:w="579" w:type="pct"/>
            <w:vAlign w:val="center"/>
          </w:tcPr>
          <w:p w14:paraId="1AC22CDF">
            <w:pPr>
              <w:pStyle w:val="32"/>
              <w:rPr>
                <w:rFonts w:ascii="Times New Roman" w:hAnsi="宋体" w:eastAsia="宋体"/>
                <w:lang w:val="en-US" w:eastAsia="en-US"/>
              </w:rPr>
            </w:pPr>
            <w:r>
              <w:rPr>
                <w:rFonts w:ascii="Times New Roman" w:hAnsi="宋体" w:eastAsia="宋体"/>
                <w:lang w:val="en-US" w:eastAsia="en-US"/>
              </w:rPr>
              <w:t>预测模型</w:t>
            </w:r>
          </w:p>
        </w:tc>
        <w:tc>
          <w:tcPr>
            <w:tcW w:w="554" w:type="pct"/>
            <w:vAlign w:val="center"/>
          </w:tcPr>
          <w:p w14:paraId="6EA5F07C">
            <w:pPr>
              <w:pStyle w:val="32"/>
              <w:rPr>
                <w:rFonts w:ascii="Times New Roman" w:hAnsi="宋体" w:eastAsia="宋体"/>
                <w:lang w:val="en-US" w:eastAsia="en-US"/>
              </w:rPr>
            </w:pPr>
            <w:r>
              <w:rPr>
                <w:rFonts w:ascii="Times New Roman" w:hAnsi="宋体" w:eastAsia="宋体"/>
                <w:lang w:val="en-US" w:eastAsia="en-US"/>
              </w:rPr>
              <w:t>AERMOD</w:t>
            </w:r>
          </w:p>
          <w:p w14:paraId="0B42C96D">
            <w:pPr>
              <w:pStyle w:val="32"/>
              <w:rPr>
                <w:rFonts w:ascii="Times New Roman" w:hAnsi="宋体" w:eastAsia="宋体"/>
                <w:lang w:val="en-US" w:eastAsia="en-US"/>
              </w:rPr>
            </w:pPr>
            <w:r>
              <w:rPr>
                <w:rFonts w:ascii="Times New Roman" w:hAnsi="宋体" w:eastAsia="宋体"/>
                <w:lang w:val="en-US" w:eastAsia="en-US"/>
              </w:rPr>
              <w:t>√</w:t>
            </w:r>
          </w:p>
        </w:tc>
        <w:tc>
          <w:tcPr>
            <w:tcW w:w="497" w:type="pct"/>
            <w:gridSpan w:val="3"/>
            <w:vAlign w:val="center"/>
          </w:tcPr>
          <w:p w14:paraId="1EC71158">
            <w:pPr>
              <w:pStyle w:val="32"/>
              <w:rPr>
                <w:rFonts w:ascii="Times New Roman" w:hAnsi="宋体" w:eastAsia="宋体"/>
                <w:lang w:val="en-US" w:eastAsia="en-US"/>
              </w:rPr>
            </w:pPr>
            <w:r>
              <w:rPr>
                <w:rFonts w:ascii="Times New Roman" w:hAnsi="宋体" w:eastAsia="宋体"/>
                <w:lang w:val="en-US" w:eastAsia="en-US"/>
              </w:rPr>
              <w:t>ADMS□</w:t>
            </w:r>
          </w:p>
        </w:tc>
        <w:tc>
          <w:tcPr>
            <w:tcW w:w="884" w:type="pct"/>
            <w:gridSpan w:val="5"/>
            <w:vAlign w:val="center"/>
          </w:tcPr>
          <w:p w14:paraId="21DFF460">
            <w:pPr>
              <w:pStyle w:val="32"/>
              <w:rPr>
                <w:rFonts w:ascii="Times New Roman" w:hAnsi="宋体" w:eastAsia="宋体"/>
                <w:lang w:val="en-US" w:eastAsia="en-US"/>
              </w:rPr>
            </w:pPr>
            <w:r>
              <w:rPr>
                <w:rFonts w:ascii="Times New Roman" w:hAnsi="宋体" w:eastAsia="宋体"/>
                <w:lang w:val="en-US" w:eastAsia="en-US"/>
              </w:rPr>
              <w:t>AUSTAL2000□</w:t>
            </w:r>
          </w:p>
        </w:tc>
        <w:tc>
          <w:tcPr>
            <w:tcW w:w="856" w:type="pct"/>
            <w:gridSpan w:val="4"/>
            <w:vAlign w:val="center"/>
          </w:tcPr>
          <w:p w14:paraId="79F189DD">
            <w:pPr>
              <w:pStyle w:val="32"/>
              <w:rPr>
                <w:rFonts w:ascii="Times New Roman" w:hAnsi="宋体" w:eastAsia="宋体"/>
                <w:lang w:val="en-US" w:eastAsia="en-US"/>
              </w:rPr>
            </w:pPr>
            <w:r>
              <w:rPr>
                <w:rFonts w:ascii="Times New Roman" w:hAnsi="宋体" w:eastAsia="宋体"/>
                <w:lang w:val="en-US" w:eastAsia="en-US"/>
              </w:rPr>
              <w:t>EDMS/AEDT□</w:t>
            </w:r>
          </w:p>
        </w:tc>
        <w:tc>
          <w:tcPr>
            <w:tcW w:w="561" w:type="pct"/>
            <w:gridSpan w:val="2"/>
            <w:vAlign w:val="center"/>
          </w:tcPr>
          <w:p w14:paraId="1EB8AC7A">
            <w:pPr>
              <w:pStyle w:val="32"/>
              <w:rPr>
                <w:rFonts w:ascii="Times New Roman" w:hAnsi="宋体" w:eastAsia="宋体"/>
                <w:lang w:val="en-US" w:eastAsia="en-US"/>
              </w:rPr>
            </w:pPr>
            <w:r>
              <w:rPr>
                <w:rFonts w:ascii="Times New Roman" w:hAnsi="宋体" w:eastAsia="宋体"/>
                <w:lang w:val="en-US" w:eastAsia="en-US"/>
              </w:rPr>
              <w:t>CALPUFF</w:t>
            </w:r>
          </w:p>
          <w:p w14:paraId="4A5D9022">
            <w:pPr>
              <w:pStyle w:val="32"/>
              <w:rPr>
                <w:rFonts w:ascii="Times New Roman" w:hAnsi="宋体" w:eastAsia="宋体"/>
                <w:lang w:val="en-US" w:eastAsia="en-US"/>
              </w:rPr>
            </w:pPr>
            <w:r>
              <w:rPr>
                <w:rFonts w:ascii="Times New Roman" w:hAnsi="宋体" w:eastAsia="宋体"/>
                <w:lang w:val="en-US" w:eastAsia="en-US"/>
              </w:rPr>
              <w:t>□</w:t>
            </w:r>
          </w:p>
        </w:tc>
        <w:tc>
          <w:tcPr>
            <w:tcW w:w="272" w:type="pct"/>
            <w:gridSpan w:val="2"/>
            <w:vAlign w:val="center"/>
          </w:tcPr>
          <w:p w14:paraId="1FD9B137">
            <w:pPr>
              <w:pStyle w:val="32"/>
              <w:rPr>
                <w:rFonts w:ascii="Times New Roman" w:hAnsi="宋体" w:eastAsia="宋体"/>
                <w:lang w:val="en-US" w:eastAsia="en-US"/>
              </w:rPr>
            </w:pPr>
            <w:r>
              <w:rPr>
                <w:rFonts w:ascii="Times New Roman" w:hAnsi="宋体" w:eastAsia="宋体"/>
                <w:lang w:val="en-US" w:eastAsia="en-US"/>
              </w:rPr>
              <w:t>网络模型□</w:t>
            </w:r>
          </w:p>
        </w:tc>
        <w:tc>
          <w:tcPr>
            <w:tcW w:w="340" w:type="pct"/>
            <w:vAlign w:val="center"/>
          </w:tcPr>
          <w:p w14:paraId="3D8389E6">
            <w:pPr>
              <w:pStyle w:val="32"/>
              <w:rPr>
                <w:rFonts w:ascii="Times New Roman" w:hAnsi="宋体" w:eastAsia="宋体"/>
                <w:lang w:val="en-US" w:eastAsia="en-US"/>
              </w:rPr>
            </w:pPr>
            <w:r>
              <w:rPr>
                <w:rFonts w:ascii="Times New Roman" w:hAnsi="宋体" w:eastAsia="宋体"/>
                <w:lang w:val="en-US" w:eastAsia="en-US"/>
              </w:rPr>
              <w:t>其他</w:t>
            </w:r>
          </w:p>
          <w:p w14:paraId="0FD3B16F">
            <w:pPr>
              <w:pStyle w:val="32"/>
              <w:rPr>
                <w:rFonts w:ascii="Times New Roman" w:hAnsi="宋体" w:eastAsia="宋体"/>
                <w:lang w:val="en-US" w:eastAsia="en-US"/>
              </w:rPr>
            </w:pPr>
            <w:r>
              <w:rPr>
                <w:rFonts w:ascii="Times New Roman" w:hAnsi="宋体" w:eastAsia="宋体"/>
                <w:lang w:val="en-US" w:eastAsia="en-US"/>
              </w:rPr>
              <w:t>□</w:t>
            </w:r>
          </w:p>
        </w:tc>
      </w:tr>
      <w:tr w14:paraId="74146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72B78A3C">
            <w:pPr>
              <w:pStyle w:val="32"/>
              <w:rPr>
                <w:rFonts w:ascii="Times New Roman" w:hAnsi="宋体" w:eastAsia="宋体"/>
                <w:lang w:val="en-US" w:eastAsia="en-US"/>
              </w:rPr>
            </w:pPr>
          </w:p>
        </w:tc>
        <w:tc>
          <w:tcPr>
            <w:tcW w:w="579" w:type="pct"/>
            <w:vAlign w:val="center"/>
          </w:tcPr>
          <w:p w14:paraId="50F36F19">
            <w:pPr>
              <w:pStyle w:val="32"/>
              <w:rPr>
                <w:rFonts w:ascii="Times New Roman" w:hAnsi="宋体" w:eastAsia="宋体"/>
                <w:lang w:val="en-US" w:eastAsia="en-US"/>
              </w:rPr>
            </w:pPr>
            <w:r>
              <w:rPr>
                <w:rFonts w:ascii="Times New Roman" w:hAnsi="宋体" w:eastAsia="宋体"/>
                <w:lang w:val="en-US" w:eastAsia="en-US"/>
              </w:rPr>
              <w:t>预测范围</w:t>
            </w:r>
          </w:p>
        </w:tc>
        <w:tc>
          <w:tcPr>
            <w:tcW w:w="1450" w:type="pct"/>
            <w:gridSpan w:val="7"/>
            <w:vAlign w:val="center"/>
          </w:tcPr>
          <w:p w14:paraId="028679D5">
            <w:pPr>
              <w:pStyle w:val="32"/>
              <w:rPr>
                <w:rFonts w:ascii="Times New Roman" w:hAnsi="宋体" w:eastAsia="宋体"/>
                <w:lang w:val="en-US" w:eastAsia="en-US"/>
              </w:rPr>
            </w:pPr>
            <w:r>
              <w:rPr>
                <w:rFonts w:ascii="Times New Roman" w:hAnsi="宋体" w:eastAsia="宋体"/>
                <w:lang w:val="en-US" w:eastAsia="en-US"/>
              </w:rPr>
              <w:t>边长≥50km□</w:t>
            </w:r>
          </w:p>
        </w:tc>
        <w:tc>
          <w:tcPr>
            <w:tcW w:w="1341" w:type="pct"/>
            <w:gridSpan w:val="6"/>
            <w:vAlign w:val="center"/>
          </w:tcPr>
          <w:p w14:paraId="5EF8E2E2">
            <w:pPr>
              <w:pStyle w:val="32"/>
              <w:rPr>
                <w:rFonts w:ascii="Times New Roman" w:hAnsi="宋体" w:eastAsia="宋体"/>
                <w:lang w:val="en-US" w:eastAsia="en-US"/>
              </w:rPr>
            </w:pPr>
            <w:r>
              <w:rPr>
                <w:rFonts w:ascii="Times New Roman" w:hAnsi="宋体" w:eastAsia="宋体"/>
                <w:lang w:val="en-US" w:eastAsia="en-US"/>
              </w:rPr>
              <w:t>边长5~50km□</w:t>
            </w:r>
          </w:p>
        </w:tc>
        <w:tc>
          <w:tcPr>
            <w:tcW w:w="1174" w:type="pct"/>
            <w:gridSpan w:val="5"/>
            <w:vAlign w:val="center"/>
          </w:tcPr>
          <w:p w14:paraId="41B5D63A">
            <w:pPr>
              <w:pStyle w:val="32"/>
              <w:rPr>
                <w:rFonts w:ascii="Times New Roman" w:hAnsi="宋体" w:eastAsia="宋体"/>
                <w:lang w:val="en-US" w:eastAsia="en-US"/>
              </w:rPr>
            </w:pPr>
            <w:r>
              <w:rPr>
                <w:rFonts w:ascii="Times New Roman" w:hAnsi="宋体" w:eastAsia="宋体"/>
                <w:lang w:val="en-US" w:eastAsia="en-US"/>
              </w:rPr>
              <w:t>边长=5km√</w:t>
            </w:r>
          </w:p>
        </w:tc>
      </w:tr>
      <w:tr w14:paraId="6A712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4934DD25">
            <w:pPr>
              <w:pStyle w:val="32"/>
              <w:rPr>
                <w:rFonts w:ascii="Times New Roman" w:hAnsi="宋体" w:eastAsia="宋体"/>
                <w:lang w:val="en-US" w:eastAsia="en-US"/>
              </w:rPr>
            </w:pPr>
          </w:p>
        </w:tc>
        <w:tc>
          <w:tcPr>
            <w:tcW w:w="579" w:type="pct"/>
            <w:vAlign w:val="center"/>
          </w:tcPr>
          <w:p w14:paraId="5E0BDABC">
            <w:pPr>
              <w:pStyle w:val="32"/>
              <w:rPr>
                <w:rFonts w:ascii="Times New Roman" w:hAnsi="宋体" w:eastAsia="宋体"/>
                <w:lang w:val="en-US" w:eastAsia="en-US"/>
              </w:rPr>
            </w:pPr>
            <w:r>
              <w:rPr>
                <w:rFonts w:ascii="Times New Roman" w:hAnsi="宋体" w:eastAsia="宋体"/>
                <w:lang w:val="en-US" w:eastAsia="en-US"/>
              </w:rPr>
              <w:t>预测因子</w:t>
            </w:r>
          </w:p>
        </w:tc>
        <w:tc>
          <w:tcPr>
            <w:tcW w:w="2792" w:type="pct"/>
            <w:gridSpan w:val="13"/>
            <w:vAlign w:val="center"/>
          </w:tcPr>
          <w:p w14:paraId="196950D8">
            <w:pPr>
              <w:pStyle w:val="32"/>
              <w:rPr>
                <w:rFonts w:ascii="Times New Roman" w:hAnsi="宋体" w:eastAsia="宋体"/>
                <w:lang w:val="en-US"/>
              </w:rPr>
            </w:pPr>
            <w:r>
              <w:rPr>
                <w:rFonts w:ascii="Times New Roman" w:hAnsi="宋体" w:eastAsia="宋体"/>
                <w:lang w:val="en-US"/>
              </w:rPr>
              <w:t>预测因子（</w:t>
            </w:r>
            <w:r>
              <w:rPr>
                <w:rFonts w:ascii="Times New Roman" w:hAnsi="宋体" w:eastAsia="宋体"/>
                <w:lang w:val="en-US" w:eastAsia="en-US"/>
              </w:rPr>
              <w:t>PM</w:t>
            </w:r>
            <w:r>
              <w:rPr>
                <w:rFonts w:ascii="Times New Roman" w:hAnsi="宋体" w:eastAsia="宋体"/>
                <w:vertAlign w:val="subscript"/>
                <w:lang w:val="en-US" w:eastAsia="en-US"/>
              </w:rPr>
              <w:t>10</w:t>
            </w: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、NO</w:t>
            </w:r>
            <w:r>
              <w:rPr>
                <w:rFonts w:ascii="Times New Roman" w:hAnsi="宋体" w:eastAsia="宋体"/>
                <w:vertAlign w:val="subscript"/>
                <w:lang w:val="en-US" w:eastAsia="en-US"/>
              </w:rPr>
              <w:t>2</w:t>
            </w:r>
            <w:r>
              <w:rPr>
                <w:rFonts w:ascii="Times New Roman" w:hAnsi="宋体" w:eastAsia="宋体"/>
                <w:lang w:val="en-US" w:eastAsia="en-US"/>
              </w:rPr>
              <w:t>、</w:t>
            </w:r>
            <w:r>
              <w:rPr>
                <w:rFonts w:hint="eastAsia" w:ascii="Times New Roman" w:hAnsi="宋体" w:eastAsia="宋体"/>
                <w:lang w:val="en-US" w:eastAsia="zh-CN"/>
              </w:rPr>
              <w:t>NH</w:t>
            </w:r>
            <w:r>
              <w:rPr>
                <w:rFonts w:hint="eastAsia" w:ascii="Times New Roman" w:hAnsi="宋体" w:eastAsia="宋体"/>
                <w:vertAlign w:val="subscript"/>
                <w:lang w:val="en-US" w:eastAsia="zh-CN"/>
              </w:rPr>
              <w:t>3</w:t>
            </w:r>
            <w:r>
              <w:rPr>
                <w:rFonts w:hint="eastAsia" w:ascii="Times New Roman" w:hAnsi="宋体" w:eastAsia="宋体"/>
                <w:lang w:val="en-US" w:eastAsia="zh-CN"/>
              </w:rPr>
              <w:t>、H</w:t>
            </w:r>
            <w:r>
              <w:rPr>
                <w:rFonts w:hint="eastAsia" w:ascii="Times New Roman" w:hAnsi="宋体" w:eastAsia="宋体"/>
                <w:vertAlign w:val="subscript"/>
                <w:lang w:val="en-US" w:eastAsia="zh-CN"/>
              </w:rPr>
              <w:t>2</w:t>
            </w:r>
            <w:r>
              <w:rPr>
                <w:rFonts w:hint="eastAsia" w:ascii="Times New Roman" w:hAnsi="宋体" w:eastAsia="宋体"/>
                <w:lang w:val="en-US" w:eastAsia="zh-CN"/>
              </w:rPr>
              <w:t>S</w:t>
            </w:r>
            <w:r>
              <w:rPr>
                <w:rFonts w:ascii="Times New Roman" w:hAnsi="宋体" w:eastAsia="宋体"/>
                <w:lang w:val="en-US"/>
              </w:rPr>
              <w:t>）</w:t>
            </w:r>
          </w:p>
        </w:tc>
        <w:tc>
          <w:tcPr>
            <w:tcW w:w="1174" w:type="pct"/>
            <w:gridSpan w:val="5"/>
            <w:vAlign w:val="center"/>
          </w:tcPr>
          <w:p w14:paraId="1CA907FA">
            <w:pPr>
              <w:pStyle w:val="32"/>
              <w:rPr>
                <w:rFonts w:ascii="Times New Roman" w:hAnsi="宋体" w:eastAsia="宋体"/>
                <w:lang w:val="en-US" w:eastAsia="en-US"/>
              </w:rPr>
            </w:pPr>
            <w:r>
              <w:rPr>
                <w:rFonts w:ascii="Times New Roman" w:hAnsi="宋体" w:eastAsia="宋体"/>
                <w:lang w:val="en-US" w:eastAsia="en-US"/>
              </w:rPr>
              <w:t>包括二次PM2.5□</w:t>
            </w:r>
          </w:p>
          <w:p w14:paraId="45E553AE">
            <w:pPr>
              <w:pStyle w:val="32"/>
              <w:rPr>
                <w:rFonts w:ascii="Times New Roman" w:hAnsi="宋体" w:eastAsia="宋体"/>
                <w:lang w:val="en-US" w:eastAsia="en-US"/>
              </w:rPr>
            </w:pPr>
            <w:r>
              <w:rPr>
                <w:rFonts w:ascii="Times New Roman" w:hAnsi="宋体" w:eastAsia="宋体"/>
                <w:lang w:val="en-US" w:eastAsia="en-US"/>
              </w:rPr>
              <w:t>不包括二次PM2.5√</w:t>
            </w:r>
          </w:p>
        </w:tc>
      </w:tr>
      <w:tr w14:paraId="2F5CB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287247FF">
            <w:pPr>
              <w:pStyle w:val="32"/>
              <w:rPr>
                <w:rFonts w:ascii="Times New Roman" w:hAnsi="宋体" w:eastAsia="宋体"/>
                <w:lang w:val="en-US" w:eastAsia="en-US"/>
              </w:rPr>
            </w:pPr>
          </w:p>
        </w:tc>
        <w:tc>
          <w:tcPr>
            <w:tcW w:w="579" w:type="pct"/>
            <w:vAlign w:val="center"/>
          </w:tcPr>
          <w:p w14:paraId="757787B8">
            <w:pPr>
              <w:pStyle w:val="32"/>
              <w:rPr>
                <w:rFonts w:ascii="Times New Roman" w:hAnsi="宋体" w:eastAsia="宋体"/>
                <w:lang w:val="en-US"/>
              </w:rPr>
            </w:pPr>
            <w:r>
              <w:rPr>
                <w:rFonts w:ascii="Times New Roman" w:hAnsi="宋体" w:eastAsia="宋体"/>
                <w:lang w:val="en-US"/>
              </w:rPr>
              <w:t>正常排放短期浓度贡献值</w:t>
            </w:r>
          </w:p>
        </w:tc>
        <w:tc>
          <w:tcPr>
            <w:tcW w:w="2792" w:type="pct"/>
            <w:gridSpan w:val="13"/>
            <w:vAlign w:val="center"/>
          </w:tcPr>
          <w:p w14:paraId="6526607C">
            <w:pPr>
              <w:pStyle w:val="32"/>
              <w:rPr>
                <w:rFonts w:ascii="Times New Roman" w:hAnsi="宋体" w:eastAsia="宋体"/>
                <w:lang w:val="en-US"/>
              </w:rPr>
            </w:pPr>
            <w:r>
              <w:rPr>
                <w:rFonts w:ascii="Times New Roman" w:hAnsi="宋体" w:eastAsia="宋体"/>
                <w:lang w:val="en-US"/>
              </w:rPr>
              <w:t>C本项目最大占标率≤100%√</w:t>
            </w:r>
          </w:p>
        </w:tc>
        <w:tc>
          <w:tcPr>
            <w:tcW w:w="1174" w:type="pct"/>
            <w:gridSpan w:val="5"/>
            <w:vAlign w:val="center"/>
          </w:tcPr>
          <w:p w14:paraId="08314BE4">
            <w:pPr>
              <w:pStyle w:val="32"/>
              <w:rPr>
                <w:rFonts w:ascii="Times New Roman" w:hAnsi="宋体" w:eastAsia="宋体"/>
                <w:lang w:val="en-US"/>
              </w:rPr>
            </w:pPr>
            <w:r>
              <w:rPr>
                <w:rFonts w:ascii="Times New Roman" w:hAnsi="宋体" w:eastAsia="宋体"/>
                <w:lang w:val="en-US"/>
              </w:rPr>
              <w:t>C本项目最大占标率＞100%□</w:t>
            </w:r>
          </w:p>
        </w:tc>
      </w:tr>
      <w:tr w14:paraId="679B5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1D8B41A3">
            <w:pPr>
              <w:pStyle w:val="32"/>
              <w:rPr>
                <w:rFonts w:ascii="Times New Roman" w:hAnsi="宋体" w:eastAsia="宋体"/>
                <w:lang w:val="en-US"/>
              </w:rPr>
            </w:pPr>
          </w:p>
        </w:tc>
        <w:tc>
          <w:tcPr>
            <w:tcW w:w="579" w:type="pct"/>
            <w:vMerge w:val="restart"/>
            <w:vAlign w:val="center"/>
          </w:tcPr>
          <w:p w14:paraId="4B700372">
            <w:pPr>
              <w:pStyle w:val="32"/>
              <w:rPr>
                <w:rFonts w:ascii="Times New Roman" w:hAnsi="宋体" w:eastAsia="宋体"/>
                <w:lang w:val="en-US"/>
              </w:rPr>
            </w:pPr>
            <w:r>
              <w:rPr>
                <w:rFonts w:ascii="Times New Roman" w:hAnsi="宋体" w:eastAsia="宋体"/>
                <w:lang w:val="en-US"/>
              </w:rPr>
              <w:t>正常排放年均浓度贡献值</w:t>
            </w:r>
          </w:p>
        </w:tc>
        <w:tc>
          <w:tcPr>
            <w:tcW w:w="582" w:type="pct"/>
            <w:gridSpan w:val="2"/>
            <w:vAlign w:val="center"/>
          </w:tcPr>
          <w:p w14:paraId="31EFE555">
            <w:pPr>
              <w:pStyle w:val="32"/>
              <w:rPr>
                <w:rFonts w:ascii="Times New Roman" w:hAnsi="宋体" w:eastAsia="宋体"/>
                <w:lang w:val="en-US" w:eastAsia="en-US"/>
              </w:rPr>
            </w:pPr>
            <w:r>
              <w:rPr>
                <w:rFonts w:ascii="Times New Roman" w:hAnsi="宋体" w:eastAsia="宋体"/>
                <w:lang w:val="en-US" w:eastAsia="en-US"/>
              </w:rPr>
              <w:t>一类区</w:t>
            </w:r>
          </w:p>
        </w:tc>
        <w:tc>
          <w:tcPr>
            <w:tcW w:w="2209" w:type="pct"/>
            <w:gridSpan w:val="11"/>
            <w:vAlign w:val="center"/>
          </w:tcPr>
          <w:p w14:paraId="7375A7E6">
            <w:pPr>
              <w:pStyle w:val="32"/>
              <w:rPr>
                <w:rFonts w:ascii="Times New Roman" w:hAnsi="宋体" w:eastAsia="宋体"/>
                <w:lang w:val="en-US"/>
              </w:rPr>
            </w:pPr>
            <w:r>
              <w:rPr>
                <w:rFonts w:ascii="Times New Roman" w:hAnsi="宋体" w:eastAsia="宋体"/>
                <w:lang w:val="en-US"/>
              </w:rPr>
              <w:t>C本项目最大占标率≤10%□</w:t>
            </w:r>
          </w:p>
        </w:tc>
        <w:tc>
          <w:tcPr>
            <w:tcW w:w="1174" w:type="pct"/>
            <w:gridSpan w:val="5"/>
            <w:vAlign w:val="center"/>
          </w:tcPr>
          <w:p w14:paraId="7CF35908">
            <w:pPr>
              <w:pStyle w:val="32"/>
              <w:rPr>
                <w:rFonts w:ascii="Times New Roman" w:hAnsi="宋体" w:eastAsia="宋体"/>
                <w:lang w:val="en-US"/>
              </w:rPr>
            </w:pPr>
            <w:r>
              <w:rPr>
                <w:rFonts w:ascii="Times New Roman" w:hAnsi="宋体" w:eastAsia="宋体"/>
                <w:lang w:val="en-US"/>
              </w:rPr>
              <w:t>C本项目最大占标率＞10%□</w:t>
            </w:r>
          </w:p>
        </w:tc>
      </w:tr>
      <w:tr w14:paraId="23652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7063A1C7">
            <w:pPr>
              <w:pStyle w:val="32"/>
              <w:rPr>
                <w:rFonts w:ascii="Times New Roman" w:hAnsi="宋体" w:eastAsia="宋体"/>
                <w:lang w:val="en-US"/>
              </w:rPr>
            </w:pPr>
          </w:p>
        </w:tc>
        <w:tc>
          <w:tcPr>
            <w:tcW w:w="579" w:type="pct"/>
            <w:vMerge w:val="continue"/>
            <w:vAlign w:val="center"/>
          </w:tcPr>
          <w:p w14:paraId="36BA9779">
            <w:pPr>
              <w:pStyle w:val="32"/>
              <w:rPr>
                <w:rFonts w:ascii="Times New Roman" w:hAnsi="宋体" w:eastAsia="宋体"/>
                <w:lang w:val="en-US"/>
              </w:rPr>
            </w:pPr>
          </w:p>
        </w:tc>
        <w:tc>
          <w:tcPr>
            <w:tcW w:w="582" w:type="pct"/>
            <w:gridSpan w:val="2"/>
            <w:vAlign w:val="center"/>
          </w:tcPr>
          <w:p w14:paraId="0CA59907">
            <w:pPr>
              <w:pStyle w:val="32"/>
              <w:rPr>
                <w:rFonts w:ascii="Times New Roman" w:hAnsi="宋体" w:eastAsia="宋体"/>
                <w:lang w:val="en-US" w:eastAsia="en-US"/>
              </w:rPr>
            </w:pPr>
            <w:r>
              <w:rPr>
                <w:rFonts w:ascii="Times New Roman" w:hAnsi="宋体" w:eastAsia="宋体"/>
                <w:lang w:val="en-US" w:eastAsia="en-US"/>
              </w:rPr>
              <w:t>二类区</w:t>
            </w:r>
          </w:p>
        </w:tc>
        <w:tc>
          <w:tcPr>
            <w:tcW w:w="2209" w:type="pct"/>
            <w:gridSpan w:val="11"/>
            <w:vAlign w:val="center"/>
          </w:tcPr>
          <w:p w14:paraId="56119573">
            <w:pPr>
              <w:pStyle w:val="32"/>
              <w:rPr>
                <w:rFonts w:hint="eastAsia" w:ascii="Times New Roman" w:hAnsi="宋体" w:eastAsia="宋体"/>
                <w:lang w:val="en-US" w:eastAsia="zh-CN"/>
              </w:rPr>
            </w:pPr>
            <w:r>
              <w:rPr>
                <w:rFonts w:ascii="Times New Roman" w:hAnsi="宋体" w:eastAsia="宋体"/>
                <w:lang w:val="en-US"/>
              </w:rPr>
              <w:t>C本项目最大占标率≤30%</w:t>
            </w:r>
            <w:r>
              <w:rPr>
                <w:rFonts w:hint="eastAsia" w:ascii="Times New Roman" w:hAnsi="宋体" w:eastAsia="宋体"/>
                <w:lang w:val="en-US" w:eastAsia="zh-CN"/>
              </w:rPr>
              <w:t>☑</w:t>
            </w:r>
          </w:p>
        </w:tc>
        <w:tc>
          <w:tcPr>
            <w:tcW w:w="1174" w:type="pct"/>
            <w:gridSpan w:val="5"/>
            <w:vAlign w:val="center"/>
          </w:tcPr>
          <w:p w14:paraId="5BA13D8D">
            <w:pPr>
              <w:pStyle w:val="32"/>
              <w:rPr>
                <w:rFonts w:ascii="Times New Roman" w:hAnsi="宋体" w:eastAsia="宋体"/>
                <w:lang w:val="en-US"/>
              </w:rPr>
            </w:pPr>
            <w:r>
              <w:rPr>
                <w:rFonts w:ascii="Times New Roman" w:hAnsi="宋体" w:eastAsia="宋体"/>
                <w:lang w:val="en-US"/>
              </w:rPr>
              <w:t>C本项目最大占标率＞30%□</w:t>
            </w:r>
          </w:p>
        </w:tc>
      </w:tr>
      <w:tr w14:paraId="1D8D6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6B8FEABA">
            <w:pPr>
              <w:pStyle w:val="32"/>
              <w:rPr>
                <w:rFonts w:ascii="Times New Roman" w:hAnsi="宋体" w:eastAsia="宋体"/>
                <w:lang w:val="en-US"/>
              </w:rPr>
            </w:pPr>
          </w:p>
        </w:tc>
        <w:tc>
          <w:tcPr>
            <w:tcW w:w="579" w:type="pct"/>
            <w:vAlign w:val="center"/>
          </w:tcPr>
          <w:p w14:paraId="7C9598C6">
            <w:pPr>
              <w:pStyle w:val="32"/>
              <w:rPr>
                <w:rFonts w:ascii="Times New Roman" w:hAnsi="宋体" w:eastAsia="宋体"/>
                <w:lang w:val="en-US"/>
              </w:rPr>
            </w:pPr>
            <w:r>
              <w:rPr>
                <w:rFonts w:ascii="Times New Roman" w:hAnsi="宋体" w:eastAsia="宋体"/>
                <w:lang w:val="en-US"/>
              </w:rPr>
              <w:t>非正常排放1h浓度贡献值</w:t>
            </w:r>
          </w:p>
        </w:tc>
        <w:tc>
          <w:tcPr>
            <w:tcW w:w="1156" w:type="pct"/>
            <w:gridSpan w:val="5"/>
            <w:vAlign w:val="center"/>
          </w:tcPr>
          <w:p w14:paraId="7D11779F">
            <w:pPr>
              <w:pStyle w:val="32"/>
              <w:rPr>
                <w:rFonts w:ascii="Times New Roman" w:hAnsi="宋体" w:eastAsia="宋体"/>
                <w:lang w:val="en-US"/>
              </w:rPr>
            </w:pPr>
            <w:r>
              <w:rPr>
                <w:rFonts w:ascii="Times New Roman" w:hAnsi="宋体" w:eastAsia="宋体"/>
                <w:lang w:val="en-US"/>
              </w:rPr>
              <w:t>非正常持续时长</w:t>
            </w:r>
          </w:p>
          <w:p w14:paraId="2540BC01">
            <w:pPr>
              <w:pStyle w:val="32"/>
              <w:rPr>
                <w:rFonts w:ascii="Times New Roman" w:hAnsi="宋体" w:eastAsia="宋体"/>
                <w:lang w:val="en-US"/>
              </w:rPr>
            </w:pPr>
            <w:r>
              <w:rPr>
                <w:rFonts w:ascii="Times New Roman" w:hAnsi="宋体" w:eastAsia="宋体"/>
                <w:lang w:val="en-US"/>
              </w:rPr>
              <w:t>（</w:t>
            </w:r>
            <w:r>
              <w:rPr>
                <w:rFonts w:hint="eastAsia" w:ascii="Times New Roman" w:hAnsi="宋体" w:eastAsia="宋体"/>
                <w:lang w:val="en-US" w:eastAsia="zh-CN"/>
              </w:rPr>
              <w:t xml:space="preserve">  </w:t>
            </w:r>
            <w:r>
              <w:rPr>
                <w:rFonts w:ascii="Times New Roman" w:hAnsi="宋体" w:eastAsia="宋体"/>
                <w:lang w:val="en-US"/>
              </w:rPr>
              <w:t>）h</w:t>
            </w:r>
          </w:p>
        </w:tc>
        <w:tc>
          <w:tcPr>
            <w:tcW w:w="1636" w:type="pct"/>
            <w:gridSpan w:val="8"/>
            <w:vAlign w:val="center"/>
          </w:tcPr>
          <w:p w14:paraId="2E950F45">
            <w:pPr>
              <w:pStyle w:val="32"/>
              <w:rPr>
                <w:rFonts w:ascii="Times New Roman" w:hAnsi="宋体" w:eastAsia="宋体"/>
                <w:lang w:val="en-US"/>
              </w:rPr>
            </w:pPr>
            <w:r>
              <w:rPr>
                <w:rFonts w:ascii="Times New Roman" w:hAnsi="宋体" w:eastAsia="宋体"/>
                <w:lang w:val="en-US"/>
              </w:rPr>
              <w:t>C非正常最大占标率≤100%</w:t>
            </w:r>
            <w:r>
              <w:rPr>
                <w:rFonts w:ascii="Times New Roman" w:hAnsi="宋体" w:eastAsia="宋体"/>
                <w:lang w:val="en-US" w:eastAsia="en-US"/>
              </w:rPr>
              <w:t>□</w:t>
            </w:r>
          </w:p>
        </w:tc>
        <w:tc>
          <w:tcPr>
            <w:tcW w:w="1174" w:type="pct"/>
            <w:gridSpan w:val="5"/>
            <w:vAlign w:val="center"/>
          </w:tcPr>
          <w:p w14:paraId="1C5114E5">
            <w:pPr>
              <w:pStyle w:val="32"/>
              <w:rPr>
                <w:rFonts w:ascii="Times New Roman" w:hAnsi="宋体" w:eastAsia="宋体"/>
                <w:lang w:val="en-US"/>
              </w:rPr>
            </w:pPr>
            <w:r>
              <w:rPr>
                <w:rFonts w:ascii="Times New Roman" w:hAnsi="宋体" w:eastAsia="宋体"/>
                <w:lang w:val="en-US"/>
              </w:rPr>
              <w:t>C非正常最大占标率</w:t>
            </w:r>
          </w:p>
          <w:p w14:paraId="3070D2CA">
            <w:pPr>
              <w:pStyle w:val="32"/>
              <w:rPr>
                <w:rFonts w:ascii="Times New Roman" w:hAnsi="宋体" w:eastAsia="宋体"/>
                <w:lang w:val="en-US"/>
              </w:rPr>
            </w:pPr>
            <w:r>
              <w:rPr>
                <w:rFonts w:ascii="Times New Roman" w:hAnsi="宋体" w:eastAsia="宋体"/>
                <w:lang w:val="en-US"/>
              </w:rPr>
              <w:t>＞100%</w:t>
            </w:r>
            <w:r>
              <w:rPr>
                <w:rFonts w:ascii="Times New Roman" w:hAnsi="宋体" w:eastAsia="宋体"/>
                <w:lang w:val="en-US" w:eastAsia="en-US"/>
              </w:rPr>
              <w:sym w:font="Wingdings 2" w:char="00A3"/>
            </w:r>
          </w:p>
        </w:tc>
      </w:tr>
      <w:tr w14:paraId="4D175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6660D598">
            <w:pPr>
              <w:pStyle w:val="32"/>
              <w:rPr>
                <w:rFonts w:ascii="Times New Roman" w:hAnsi="宋体" w:eastAsia="宋体"/>
                <w:lang w:val="en-US"/>
              </w:rPr>
            </w:pPr>
          </w:p>
        </w:tc>
        <w:tc>
          <w:tcPr>
            <w:tcW w:w="579" w:type="pct"/>
            <w:vAlign w:val="center"/>
          </w:tcPr>
          <w:p w14:paraId="5FFB7538">
            <w:pPr>
              <w:pStyle w:val="32"/>
              <w:rPr>
                <w:rFonts w:ascii="Times New Roman" w:hAnsi="宋体" w:eastAsia="宋体"/>
                <w:lang w:val="en-US"/>
              </w:rPr>
            </w:pPr>
            <w:r>
              <w:rPr>
                <w:rFonts w:ascii="Times New Roman" w:hAnsi="宋体" w:eastAsia="宋体"/>
                <w:lang w:val="en-US"/>
              </w:rPr>
              <w:t>保证率日平均浓度和年平均浓度叠加值</w:t>
            </w:r>
          </w:p>
        </w:tc>
        <w:tc>
          <w:tcPr>
            <w:tcW w:w="2146" w:type="pct"/>
            <w:gridSpan w:val="11"/>
            <w:vAlign w:val="center"/>
          </w:tcPr>
          <w:p w14:paraId="3F631E7F">
            <w:pPr>
              <w:pStyle w:val="32"/>
              <w:rPr>
                <w:rFonts w:ascii="Times New Roman" w:hAnsi="宋体" w:eastAsia="宋体"/>
                <w:lang w:val="en-US" w:eastAsia="en-US"/>
              </w:rPr>
            </w:pPr>
            <w:r>
              <w:rPr>
                <w:rFonts w:ascii="Times New Roman" w:hAnsi="宋体" w:eastAsia="宋体"/>
                <w:lang w:val="en-US" w:eastAsia="en-US"/>
              </w:rPr>
              <w:t>C叠加达标□</w:t>
            </w:r>
          </w:p>
        </w:tc>
        <w:tc>
          <w:tcPr>
            <w:tcW w:w="1820" w:type="pct"/>
            <w:gridSpan w:val="7"/>
            <w:vAlign w:val="center"/>
          </w:tcPr>
          <w:p w14:paraId="3FEAE687">
            <w:pPr>
              <w:pStyle w:val="32"/>
              <w:rPr>
                <w:rFonts w:ascii="Times New Roman" w:hAnsi="宋体" w:eastAsia="宋体"/>
                <w:lang w:val="en-US" w:eastAsia="en-US"/>
              </w:rPr>
            </w:pPr>
            <w:r>
              <w:rPr>
                <w:rFonts w:ascii="Times New Roman" w:hAnsi="宋体" w:eastAsia="宋体"/>
                <w:lang w:val="en-US" w:eastAsia="en-US"/>
              </w:rPr>
              <w:t>C叠加不达标</w:t>
            </w:r>
            <w:r>
              <w:rPr>
                <w:rFonts w:ascii="Times New Roman" w:hAnsi="宋体" w:eastAsia="宋体"/>
                <w:lang w:val="en-US" w:eastAsia="en-US"/>
              </w:rPr>
              <w:sym w:font="Wingdings 2" w:char="00A3"/>
            </w:r>
          </w:p>
        </w:tc>
      </w:tr>
      <w:tr w14:paraId="4CE06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4E76A338">
            <w:pPr>
              <w:pStyle w:val="32"/>
              <w:rPr>
                <w:rFonts w:ascii="Times New Roman" w:hAnsi="宋体" w:eastAsia="宋体"/>
                <w:lang w:val="en-US" w:eastAsia="en-US"/>
              </w:rPr>
            </w:pPr>
          </w:p>
        </w:tc>
        <w:tc>
          <w:tcPr>
            <w:tcW w:w="579" w:type="pct"/>
            <w:vAlign w:val="center"/>
          </w:tcPr>
          <w:p w14:paraId="36C3198A">
            <w:pPr>
              <w:pStyle w:val="32"/>
              <w:rPr>
                <w:rFonts w:ascii="Times New Roman" w:hAnsi="宋体" w:eastAsia="宋体"/>
                <w:lang w:val="en-US"/>
              </w:rPr>
            </w:pPr>
            <w:r>
              <w:rPr>
                <w:rFonts w:ascii="Times New Roman" w:hAnsi="宋体" w:eastAsia="宋体"/>
                <w:lang w:val="en-US"/>
              </w:rPr>
              <w:t>区域环境质量的整体变化情况</w:t>
            </w:r>
          </w:p>
        </w:tc>
        <w:tc>
          <w:tcPr>
            <w:tcW w:w="2146" w:type="pct"/>
            <w:gridSpan w:val="11"/>
            <w:vAlign w:val="center"/>
          </w:tcPr>
          <w:p w14:paraId="12A0D803">
            <w:pPr>
              <w:pStyle w:val="32"/>
              <w:rPr>
                <w:rFonts w:ascii="Times New Roman" w:hAnsi="宋体" w:eastAsia="宋体"/>
                <w:lang w:val="en-US" w:eastAsia="en-US"/>
              </w:rPr>
            </w:pPr>
            <w:r>
              <w:rPr>
                <w:rFonts w:ascii="Times New Roman" w:hAnsi="宋体" w:eastAsia="宋体"/>
                <w:lang w:val="en-US" w:eastAsia="en-US"/>
              </w:rPr>
              <w:t>k≤-20%</w:t>
            </w:r>
            <w:r>
              <w:rPr>
                <w:rFonts w:ascii="Times New Roman" w:hAnsi="宋体" w:eastAsia="宋体"/>
                <w:lang w:val="en-US" w:eastAsia="en-US"/>
              </w:rPr>
              <w:sym w:font="Wingdings 2" w:char="00A3"/>
            </w:r>
          </w:p>
        </w:tc>
        <w:tc>
          <w:tcPr>
            <w:tcW w:w="1820" w:type="pct"/>
            <w:gridSpan w:val="7"/>
            <w:vAlign w:val="center"/>
          </w:tcPr>
          <w:p w14:paraId="0335653E">
            <w:pPr>
              <w:pStyle w:val="32"/>
              <w:rPr>
                <w:rFonts w:ascii="Times New Roman" w:hAnsi="宋体" w:eastAsia="宋体"/>
                <w:lang w:val="en-US" w:eastAsia="en-US"/>
              </w:rPr>
            </w:pPr>
            <w:r>
              <w:rPr>
                <w:rFonts w:ascii="Times New Roman" w:hAnsi="宋体" w:eastAsia="宋体"/>
                <w:lang w:val="en-US" w:eastAsia="en-US"/>
              </w:rPr>
              <w:t>k＞-20%</w:t>
            </w:r>
            <w:r>
              <w:rPr>
                <w:rFonts w:ascii="Times New Roman" w:hAnsi="宋体" w:eastAsia="宋体"/>
                <w:lang w:val="en-US" w:eastAsia="en-US"/>
              </w:rPr>
              <w:sym w:font="Wingdings 2" w:char="00A3"/>
            </w:r>
          </w:p>
        </w:tc>
      </w:tr>
      <w:tr w14:paraId="04EE3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restart"/>
            <w:vAlign w:val="center"/>
          </w:tcPr>
          <w:p w14:paraId="174AD3B2">
            <w:pPr>
              <w:pStyle w:val="32"/>
              <w:rPr>
                <w:rFonts w:ascii="Times New Roman" w:hAnsi="宋体" w:eastAsia="宋体"/>
                <w:lang w:val="en-US" w:eastAsia="en-US"/>
              </w:rPr>
            </w:pPr>
            <w:r>
              <w:rPr>
                <w:rFonts w:ascii="Times New Roman" w:hAnsi="宋体" w:eastAsia="宋体"/>
                <w:lang w:val="en-US" w:eastAsia="en-US"/>
              </w:rPr>
              <w:t>环境监测计划</w:t>
            </w:r>
          </w:p>
        </w:tc>
        <w:tc>
          <w:tcPr>
            <w:tcW w:w="579" w:type="pct"/>
            <w:vAlign w:val="center"/>
          </w:tcPr>
          <w:p w14:paraId="4F31B6D6">
            <w:pPr>
              <w:pStyle w:val="32"/>
              <w:rPr>
                <w:rFonts w:ascii="Times New Roman" w:hAnsi="宋体" w:eastAsia="宋体"/>
                <w:lang w:val="en-US" w:eastAsia="en-US"/>
              </w:rPr>
            </w:pPr>
            <w:r>
              <w:rPr>
                <w:rFonts w:ascii="Times New Roman" w:hAnsi="宋体" w:eastAsia="宋体"/>
                <w:lang w:val="en-US" w:eastAsia="en-US"/>
              </w:rPr>
              <w:t>污染源监测</w:t>
            </w:r>
          </w:p>
        </w:tc>
        <w:tc>
          <w:tcPr>
            <w:tcW w:w="2146" w:type="pct"/>
            <w:gridSpan w:val="11"/>
            <w:vAlign w:val="center"/>
          </w:tcPr>
          <w:p w14:paraId="2241639A">
            <w:pPr>
              <w:pStyle w:val="32"/>
              <w:rPr>
                <w:rFonts w:ascii="Times New Roman" w:hAnsi="宋体" w:eastAsia="宋体"/>
                <w:lang w:val="en-US"/>
              </w:rPr>
            </w:pPr>
            <w:r>
              <w:rPr>
                <w:rFonts w:ascii="Times New Roman" w:hAnsi="宋体" w:eastAsia="宋体"/>
                <w:lang w:val="en-US"/>
              </w:rPr>
              <w:t>监测因子（</w:t>
            </w:r>
            <w:r>
              <w:rPr>
                <w:rFonts w:hint="eastAsia" w:ascii="Times New Roman" w:hAnsi="宋体" w:eastAsia="宋体"/>
                <w:lang w:val="en-US"/>
              </w:rPr>
              <w:t>SO</w:t>
            </w:r>
            <w:r>
              <w:rPr>
                <w:rFonts w:ascii="Times New Roman" w:hAnsi="宋体" w:eastAsia="宋体"/>
                <w:vertAlign w:val="subscript"/>
                <w:lang w:val="en-US"/>
              </w:rPr>
              <w:t>2</w:t>
            </w:r>
            <w:r>
              <w:rPr>
                <w:rFonts w:hint="eastAsia" w:ascii="Times New Roman" w:hAnsi="宋体" w:eastAsia="宋体"/>
                <w:lang w:val="en-US"/>
              </w:rPr>
              <w:t>、NO</w:t>
            </w:r>
            <w:r>
              <w:rPr>
                <w:rFonts w:hint="eastAsia" w:ascii="Times New Roman" w:hAnsi="宋体" w:eastAsia="宋体"/>
                <w:vertAlign w:val="subscript"/>
                <w:lang w:val="en-US"/>
              </w:rPr>
              <w:t>X</w:t>
            </w:r>
            <w:r>
              <w:rPr>
                <w:rFonts w:hint="eastAsia" w:ascii="Times New Roman" w:hAnsi="宋体" w:eastAsia="宋体"/>
                <w:lang w:val="en-US"/>
              </w:rPr>
              <w:t>、PM</w:t>
            </w:r>
            <w:r>
              <w:rPr>
                <w:rFonts w:ascii="Times New Roman" w:hAnsi="宋体" w:eastAsia="宋体"/>
                <w:vertAlign w:val="subscript"/>
                <w:lang w:val="en-US"/>
              </w:rPr>
              <w:t>10</w:t>
            </w:r>
            <w:r>
              <w:rPr>
                <w:rFonts w:hint="eastAsia" w:ascii="Times New Roman" w:hAnsi="宋体" w:eastAsia="宋体"/>
                <w:lang w:val="en-US"/>
              </w:rPr>
              <w:t>、氨、硫化氢</w:t>
            </w:r>
            <w:r>
              <w:rPr>
                <w:rFonts w:ascii="Times New Roman" w:hAnsi="宋体" w:eastAsia="宋体"/>
                <w:lang w:val="en-US"/>
              </w:rPr>
              <w:t>）</w:t>
            </w:r>
          </w:p>
        </w:tc>
        <w:tc>
          <w:tcPr>
            <w:tcW w:w="1261" w:type="pct"/>
            <w:gridSpan w:val="5"/>
            <w:vAlign w:val="center"/>
          </w:tcPr>
          <w:p w14:paraId="4F766DB6">
            <w:pPr>
              <w:pStyle w:val="32"/>
              <w:rPr>
                <w:rFonts w:ascii="Times New Roman" w:hAnsi="宋体" w:eastAsia="宋体"/>
                <w:lang w:val="en-US"/>
              </w:rPr>
            </w:pPr>
            <w:r>
              <w:rPr>
                <w:rFonts w:ascii="Times New Roman" w:hAnsi="宋体" w:eastAsia="宋体"/>
                <w:lang w:val="en-US"/>
              </w:rPr>
              <w:t>有组织废气监测√</w:t>
            </w:r>
          </w:p>
          <w:p w14:paraId="0E9250CB">
            <w:pPr>
              <w:pStyle w:val="32"/>
              <w:rPr>
                <w:rFonts w:ascii="Times New Roman" w:hAnsi="宋体" w:eastAsia="宋体"/>
                <w:lang w:val="en-US"/>
              </w:rPr>
            </w:pPr>
            <w:r>
              <w:rPr>
                <w:rFonts w:ascii="Times New Roman" w:hAnsi="宋体" w:eastAsia="宋体"/>
                <w:lang w:val="en-US"/>
              </w:rPr>
              <w:t>无组织废气监测√</w:t>
            </w:r>
          </w:p>
        </w:tc>
        <w:tc>
          <w:tcPr>
            <w:tcW w:w="559" w:type="pct"/>
            <w:gridSpan w:val="2"/>
            <w:vAlign w:val="center"/>
          </w:tcPr>
          <w:p w14:paraId="45371F6F">
            <w:pPr>
              <w:pStyle w:val="32"/>
              <w:rPr>
                <w:rFonts w:ascii="Times New Roman" w:hAnsi="宋体" w:eastAsia="宋体"/>
                <w:lang w:val="en-US" w:eastAsia="en-US"/>
              </w:rPr>
            </w:pPr>
            <w:r>
              <w:rPr>
                <w:rFonts w:ascii="Times New Roman" w:hAnsi="宋体" w:eastAsia="宋体"/>
                <w:lang w:val="en-US" w:eastAsia="en-US"/>
              </w:rPr>
              <w:t>无监测□</w:t>
            </w:r>
          </w:p>
        </w:tc>
      </w:tr>
      <w:tr w14:paraId="76A45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26A637C1">
            <w:pPr>
              <w:pStyle w:val="32"/>
              <w:rPr>
                <w:rFonts w:ascii="Times New Roman" w:hAnsi="宋体" w:eastAsia="宋体"/>
                <w:lang w:val="en-US" w:eastAsia="en-US"/>
              </w:rPr>
            </w:pPr>
          </w:p>
        </w:tc>
        <w:tc>
          <w:tcPr>
            <w:tcW w:w="579" w:type="pct"/>
            <w:vAlign w:val="center"/>
          </w:tcPr>
          <w:p w14:paraId="6CA5A5DE">
            <w:pPr>
              <w:pStyle w:val="32"/>
              <w:rPr>
                <w:rFonts w:ascii="Times New Roman" w:hAnsi="宋体" w:eastAsia="宋体"/>
                <w:lang w:val="en-US" w:eastAsia="en-US"/>
              </w:rPr>
            </w:pPr>
            <w:r>
              <w:rPr>
                <w:rFonts w:ascii="Times New Roman" w:hAnsi="宋体" w:eastAsia="宋体"/>
                <w:lang w:val="en-US" w:eastAsia="en-US"/>
              </w:rPr>
              <w:t>环境质量</w:t>
            </w:r>
          </w:p>
          <w:p w14:paraId="3D746091">
            <w:pPr>
              <w:pStyle w:val="32"/>
              <w:rPr>
                <w:rFonts w:ascii="Times New Roman" w:hAnsi="宋体" w:eastAsia="宋体"/>
                <w:lang w:val="en-US" w:eastAsia="en-US"/>
              </w:rPr>
            </w:pPr>
            <w:r>
              <w:rPr>
                <w:rFonts w:ascii="Times New Roman" w:hAnsi="宋体" w:eastAsia="宋体"/>
                <w:lang w:val="en-US" w:eastAsia="en-US"/>
              </w:rPr>
              <w:t>监测</w:t>
            </w:r>
          </w:p>
        </w:tc>
        <w:tc>
          <w:tcPr>
            <w:tcW w:w="2146" w:type="pct"/>
            <w:gridSpan w:val="11"/>
            <w:vAlign w:val="center"/>
          </w:tcPr>
          <w:p w14:paraId="5802304C">
            <w:pPr>
              <w:pStyle w:val="32"/>
              <w:rPr>
                <w:rFonts w:ascii="Times New Roman" w:hAnsi="宋体" w:eastAsia="宋体"/>
                <w:lang w:val="en-US"/>
              </w:rPr>
            </w:pPr>
            <w:r>
              <w:rPr>
                <w:rFonts w:ascii="Times New Roman" w:hAnsi="宋体" w:eastAsia="宋体"/>
                <w:lang w:val="en-US"/>
              </w:rPr>
              <w:t>监测因子（</w:t>
            </w:r>
            <w:r>
              <w:rPr>
                <w:rFonts w:hint="eastAsia" w:ascii="Times New Roman" w:hAnsi="宋体" w:eastAsia="宋体"/>
                <w:lang w:val="en-US"/>
              </w:rPr>
              <w:t>氨、硫化氢</w:t>
            </w:r>
            <w:r>
              <w:rPr>
                <w:rFonts w:ascii="Times New Roman" w:hAnsi="宋体" w:eastAsia="宋体"/>
                <w:lang w:val="en-US"/>
              </w:rPr>
              <w:t>）</w:t>
            </w:r>
          </w:p>
        </w:tc>
        <w:tc>
          <w:tcPr>
            <w:tcW w:w="1261" w:type="pct"/>
            <w:gridSpan w:val="5"/>
            <w:vAlign w:val="center"/>
          </w:tcPr>
          <w:p w14:paraId="4C2C5B9F">
            <w:pPr>
              <w:pStyle w:val="32"/>
              <w:rPr>
                <w:rFonts w:ascii="Times New Roman" w:hAnsi="宋体" w:eastAsia="宋体"/>
                <w:lang w:val="en-US" w:eastAsia="en-US"/>
              </w:rPr>
            </w:pPr>
            <w:r>
              <w:rPr>
                <w:rFonts w:ascii="Times New Roman" w:hAnsi="宋体" w:eastAsia="宋体"/>
                <w:lang w:val="en-US" w:eastAsia="en-US"/>
              </w:rPr>
              <w:t>监测点位数</w:t>
            </w:r>
            <w:r>
              <w:rPr>
                <w:rFonts w:hint="eastAsia" w:ascii="Times New Roman" w:hAnsi="宋体" w:eastAsia="宋体"/>
                <w:lang w:val="en-US" w:eastAsia="en-US"/>
              </w:rPr>
              <w:t>1</w:t>
            </w:r>
            <w:r>
              <w:rPr>
                <w:rFonts w:ascii="Times New Roman" w:hAnsi="宋体" w:eastAsia="宋体"/>
                <w:lang w:val="en-US" w:eastAsia="en-US"/>
              </w:rPr>
              <w:t>个</w:t>
            </w:r>
          </w:p>
        </w:tc>
        <w:tc>
          <w:tcPr>
            <w:tcW w:w="559" w:type="pct"/>
            <w:gridSpan w:val="2"/>
            <w:vAlign w:val="center"/>
          </w:tcPr>
          <w:p w14:paraId="130069D7">
            <w:pPr>
              <w:pStyle w:val="32"/>
              <w:rPr>
                <w:rFonts w:ascii="Times New Roman" w:hAnsi="宋体" w:eastAsia="宋体"/>
                <w:lang w:val="en-US" w:eastAsia="en-US"/>
              </w:rPr>
            </w:pPr>
            <w:r>
              <w:rPr>
                <w:rFonts w:ascii="Times New Roman" w:hAnsi="宋体" w:eastAsia="宋体"/>
                <w:lang w:val="en-US" w:eastAsia="en-US"/>
              </w:rPr>
              <w:t>无监测□</w:t>
            </w:r>
          </w:p>
        </w:tc>
      </w:tr>
      <w:tr w14:paraId="2BC59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restart"/>
            <w:vAlign w:val="center"/>
          </w:tcPr>
          <w:p w14:paraId="6FBABFF6">
            <w:pPr>
              <w:pStyle w:val="32"/>
              <w:rPr>
                <w:rFonts w:ascii="Times New Roman" w:hAnsi="宋体" w:eastAsia="宋体"/>
                <w:lang w:val="en-US" w:eastAsia="en-US"/>
              </w:rPr>
            </w:pPr>
            <w:r>
              <w:rPr>
                <w:rFonts w:ascii="Times New Roman" w:hAnsi="宋体" w:eastAsia="宋体"/>
                <w:lang w:val="en-US" w:eastAsia="en-US"/>
              </w:rPr>
              <w:t>评价结论</w:t>
            </w:r>
          </w:p>
        </w:tc>
        <w:tc>
          <w:tcPr>
            <w:tcW w:w="579" w:type="pct"/>
            <w:vAlign w:val="center"/>
          </w:tcPr>
          <w:p w14:paraId="67887A3C">
            <w:pPr>
              <w:pStyle w:val="32"/>
              <w:rPr>
                <w:rFonts w:ascii="Times New Roman" w:hAnsi="宋体" w:eastAsia="宋体"/>
                <w:lang w:val="en-US" w:eastAsia="en-US"/>
              </w:rPr>
            </w:pPr>
            <w:r>
              <w:rPr>
                <w:rFonts w:ascii="Times New Roman" w:hAnsi="宋体" w:eastAsia="宋体"/>
                <w:lang w:val="en-US" w:eastAsia="en-US"/>
              </w:rPr>
              <w:t>环境影响</w:t>
            </w:r>
          </w:p>
        </w:tc>
        <w:tc>
          <w:tcPr>
            <w:tcW w:w="3967" w:type="pct"/>
            <w:gridSpan w:val="18"/>
            <w:vAlign w:val="center"/>
          </w:tcPr>
          <w:p w14:paraId="699EC4BA">
            <w:pPr>
              <w:pStyle w:val="32"/>
              <w:rPr>
                <w:rFonts w:ascii="Times New Roman" w:hAnsi="宋体" w:eastAsia="宋体"/>
                <w:lang w:val="en-US" w:eastAsia="en-US"/>
              </w:rPr>
            </w:pPr>
            <w:r>
              <w:rPr>
                <w:rFonts w:ascii="Times New Roman" w:hAnsi="宋体" w:eastAsia="宋体"/>
                <w:lang w:val="en-US" w:eastAsia="en-US"/>
              </w:rPr>
              <w:t>可以接受√        不可以接受</w:t>
            </w:r>
            <w:r>
              <w:rPr>
                <w:rFonts w:ascii="Times New Roman" w:hAnsi="宋体" w:eastAsia="宋体"/>
                <w:lang w:val="en-US" w:eastAsia="en-US"/>
              </w:rPr>
              <w:sym w:font="Wingdings 2" w:char="00A3"/>
            </w:r>
          </w:p>
        </w:tc>
      </w:tr>
      <w:tr w14:paraId="5621C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76E064BA">
            <w:pPr>
              <w:pStyle w:val="32"/>
              <w:rPr>
                <w:rFonts w:ascii="Times New Roman" w:hAnsi="宋体" w:eastAsia="宋体"/>
                <w:lang w:val="en-US" w:eastAsia="en-US"/>
              </w:rPr>
            </w:pPr>
          </w:p>
        </w:tc>
        <w:tc>
          <w:tcPr>
            <w:tcW w:w="579" w:type="pct"/>
            <w:vAlign w:val="center"/>
          </w:tcPr>
          <w:p w14:paraId="013EB274">
            <w:pPr>
              <w:pStyle w:val="32"/>
              <w:rPr>
                <w:rFonts w:ascii="Times New Roman" w:hAnsi="宋体" w:eastAsia="宋体"/>
                <w:lang w:val="en-US" w:eastAsia="en-US"/>
              </w:rPr>
            </w:pPr>
            <w:r>
              <w:rPr>
                <w:rFonts w:ascii="Times New Roman" w:hAnsi="宋体" w:eastAsia="宋体"/>
                <w:lang w:val="en-US" w:eastAsia="en-US"/>
              </w:rPr>
              <w:t>大气环境防护距离</w:t>
            </w:r>
          </w:p>
        </w:tc>
        <w:tc>
          <w:tcPr>
            <w:tcW w:w="3967" w:type="pct"/>
            <w:gridSpan w:val="18"/>
            <w:vAlign w:val="center"/>
          </w:tcPr>
          <w:p w14:paraId="6AD9B212">
            <w:pPr>
              <w:pStyle w:val="32"/>
              <w:rPr>
                <w:rFonts w:ascii="Times New Roman" w:hAnsi="宋体" w:eastAsia="宋体"/>
                <w:lang w:val="en-US"/>
              </w:rPr>
            </w:pPr>
            <w:r>
              <w:rPr>
                <w:rFonts w:ascii="Times New Roman" w:hAnsi="宋体" w:eastAsia="宋体"/>
                <w:lang w:val="en-US"/>
              </w:rPr>
              <w:t>距（-）厂界最远（0）m</w:t>
            </w:r>
          </w:p>
        </w:tc>
      </w:tr>
      <w:tr w14:paraId="0A1F8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74751247">
            <w:pPr>
              <w:pStyle w:val="32"/>
              <w:rPr>
                <w:rFonts w:ascii="Times New Roman" w:hAnsi="宋体" w:eastAsia="宋体"/>
                <w:lang w:val="en-US"/>
              </w:rPr>
            </w:pPr>
          </w:p>
        </w:tc>
        <w:tc>
          <w:tcPr>
            <w:tcW w:w="579" w:type="pct"/>
            <w:vMerge w:val="restart"/>
            <w:vAlign w:val="center"/>
          </w:tcPr>
          <w:p w14:paraId="7267BB43">
            <w:pPr>
              <w:pStyle w:val="32"/>
              <w:rPr>
                <w:rFonts w:ascii="Times New Roman" w:hAnsi="宋体" w:eastAsia="宋体"/>
                <w:lang w:val="en-US" w:eastAsia="en-US"/>
              </w:rPr>
            </w:pPr>
            <w:r>
              <w:rPr>
                <w:rFonts w:ascii="Times New Roman" w:hAnsi="宋体" w:eastAsia="宋体"/>
                <w:lang w:val="en-US" w:eastAsia="en-US"/>
              </w:rPr>
              <w:t>污染源年排放量</w:t>
            </w:r>
          </w:p>
        </w:tc>
        <w:tc>
          <w:tcPr>
            <w:tcW w:w="1577" w:type="pct"/>
            <w:gridSpan w:val="8"/>
            <w:vAlign w:val="center"/>
          </w:tcPr>
          <w:p w14:paraId="046AD480">
            <w:pPr>
              <w:pStyle w:val="32"/>
              <w:rPr>
                <w:rFonts w:ascii="Times New Roman" w:hAnsi="宋体" w:eastAsia="宋体"/>
                <w:lang w:val="en-US" w:eastAsia="en-US"/>
              </w:rPr>
            </w:pP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w:t>
            </w:r>
            <w:r>
              <w:rPr>
                <w:rFonts w:hint="eastAsia" w:ascii="Times New Roman" w:hAnsi="宋体" w:eastAsia="宋体"/>
                <w:lang w:val="en-US" w:eastAsia="zh-CN"/>
              </w:rPr>
              <w:t>9.69</w:t>
            </w:r>
            <w:r>
              <w:rPr>
                <w:rFonts w:ascii="Times New Roman" w:hAnsi="宋体" w:eastAsia="宋体"/>
                <w:lang w:val="en-US" w:eastAsia="en-US"/>
              </w:rPr>
              <w:t>）t/a</w:t>
            </w:r>
          </w:p>
        </w:tc>
        <w:tc>
          <w:tcPr>
            <w:tcW w:w="1277" w:type="pct"/>
            <w:gridSpan w:val="6"/>
            <w:vAlign w:val="center"/>
          </w:tcPr>
          <w:p w14:paraId="21C534C7">
            <w:pPr>
              <w:pStyle w:val="32"/>
              <w:rPr>
                <w:rFonts w:ascii="Times New Roman" w:hAnsi="宋体" w:eastAsia="宋体"/>
                <w:lang w:val="en-US" w:eastAsia="en-US"/>
              </w:rPr>
            </w:pPr>
            <w:r>
              <w:rPr>
                <w:rFonts w:ascii="Times New Roman" w:hAnsi="宋体" w:eastAsia="宋体"/>
                <w:lang w:val="en-US" w:eastAsia="en-US"/>
              </w:rPr>
              <w:t>NO</w:t>
            </w:r>
            <w:r>
              <w:rPr>
                <w:rFonts w:ascii="Times New Roman" w:hAnsi="宋体" w:eastAsia="宋体"/>
                <w:vertAlign w:val="subscript"/>
                <w:lang w:val="en-US" w:eastAsia="en-US"/>
              </w:rPr>
              <w:t>2</w:t>
            </w:r>
            <w:r>
              <w:rPr>
                <w:rFonts w:ascii="Times New Roman" w:hAnsi="宋体" w:eastAsia="宋体"/>
                <w:lang w:val="en-US" w:eastAsia="en-US"/>
              </w:rPr>
              <w:t>：（</w:t>
            </w:r>
            <w:r>
              <w:rPr>
                <w:rFonts w:hint="eastAsia" w:ascii="Times New Roman" w:hAnsi="宋体" w:eastAsia="宋体"/>
                <w:lang w:val="en-US" w:eastAsia="zh-CN"/>
              </w:rPr>
              <w:t>4.0698</w:t>
            </w:r>
            <w:r>
              <w:rPr>
                <w:rFonts w:ascii="Times New Roman" w:hAnsi="宋体" w:eastAsia="宋体"/>
                <w:lang w:val="en-US" w:eastAsia="en-US"/>
              </w:rPr>
              <w:t>）t/a</w:t>
            </w:r>
          </w:p>
        </w:tc>
        <w:tc>
          <w:tcPr>
            <w:tcW w:w="1111" w:type="pct"/>
            <w:gridSpan w:val="4"/>
            <w:vAlign w:val="center"/>
          </w:tcPr>
          <w:p w14:paraId="37F9E5F9">
            <w:pPr>
              <w:pStyle w:val="32"/>
              <w:rPr>
                <w:rFonts w:ascii="Times New Roman" w:hAnsi="宋体" w:eastAsia="宋体"/>
                <w:lang w:val="en-US" w:eastAsia="en-US"/>
              </w:rPr>
            </w:pPr>
            <w:r>
              <w:rPr>
                <w:rFonts w:ascii="Times New Roman" w:hAnsi="宋体" w:eastAsia="宋体"/>
                <w:lang w:val="en-US" w:eastAsia="en-US"/>
              </w:rPr>
              <w:t>颗粒物（</w:t>
            </w:r>
            <w:r>
              <w:rPr>
                <w:rFonts w:hint="eastAsia" w:ascii="Times New Roman" w:hAnsi="宋体" w:eastAsia="宋体"/>
                <w:lang w:val="en-US" w:eastAsia="zh-CN"/>
              </w:rPr>
              <w:t>0.0285</w:t>
            </w:r>
            <w:r>
              <w:rPr>
                <w:rFonts w:ascii="Times New Roman" w:hAnsi="宋体" w:eastAsia="宋体"/>
                <w:lang w:val="en-US" w:eastAsia="en-US"/>
              </w:rPr>
              <w:t>）t/a</w:t>
            </w:r>
          </w:p>
        </w:tc>
      </w:tr>
      <w:tr w14:paraId="00171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Merge w:val="continue"/>
            <w:vAlign w:val="center"/>
          </w:tcPr>
          <w:p w14:paraId="07747969">
            <w:pPr>
              <w:pStyle w:val="32"/>
              <w:rPr>
                <w:rFonts w:ascii="Times New Roman" w:hAnsi="宋体" w:eastAsia="宋体"/>
                <w:lang w:val="en-US" w:eastAsia="en-US"/>
              </w:rPr>
            </w:pPr>
          </w:p>
        </w:tc>
        <w:tc>
          <w:tcPr>
            <w:tcW w:w="579" w:type="pct"/>
            <w:vMerge w:val="continue"/>
            <w:vAlign w:val="center"/>
          </w:tcPr>
          <w:p w14:paraId="40CB62E4">
            <w:pPr>
              <w:pStyle w:val="32"/>
              <w:rPr>
                <w:rFonts w:ascii="Times New Roman" w:hAnsi="宋体" w:eastAsia="宋体"/>
                <w:lang w:val="en-US" w:eastAsia="en-US"/>
              </w:rPr>
            </w:pPr>
          </w:p>
        </w:tc>
        <w:tc>
          <w:tcPr>
            <w:tcW w:w="1577" w:type="pct"/>
            <w:gridSpan w:val="8"/>
            <w:vAlign w:val="center"/>
          </w:tcPr>
          <w:p w14:paraId="3EBEFDBA">
            <w:pPr>
              <w:pStyle w:val="32"/>
              <w:ind w:firstLine="0" w:firstLineChars="0"/>
              <w:rPr>
                <w:rFonts w:ascii="Times New Roman" w:hAnsi="宋体" w:eastAsia="宋体" w:cs="Times New Roman"/>
                <w:kern w:val="0"/>
                <w:sz w:val="21"/>
                <w:szCs w:val="21"/>
                <w:lang w:val="en-US" w:eastAsia="en-US" w:bidi="ar-SA"/>
              </w:rPr>
            </w:pPr>
            <w:r>
              <w:rPr>
                <w:rFonts w:hint="eastAsia" w:ascii="Times New Roman" w:hAnsi="宋体" w:eastAsia="宋体"/>
                <w:lang w:val="en-US"/>
              </w:rPr>
              <w:t>氨：（</w:t>
            </w:r>
            <w:r>
              <w:rPr>
                <w:rFonts w:hint="eastAsia" w:ascii="Times New Roman" w:hAnsi="宋体" w:eastAsia="宋体"/>
                <w:lang w:val="en-US" w:eastAsia="zh-CN"/>
              </w:rPr>
              <w:t>3.098</w:t>
            </w:r>
            <w:r>
              <w:rPr>
                <w:rFonts w:hint="eastAsia" w:ascii="Times New Roman" w:hAnsi="宋体" w:eastAsia="宋体"/>
                <w:lang w:val="en-US"/>
              </w:rPr>
              <w:t>）t</w:t>
            </w:r>
            <w:r>
              <w:rPr>
                <w:rFonts w:ascii="Times New Roman" w:hAnsi="宋体" w:eastAsia="宋体"/>
                <w:lang w:val="en-US"/>
              </w:rPr>
              <w:t>/a</w:t>
            </w:r>
          </w:p>
        </w:tc>
        <w:tc>
          <w:tcPr>
            <w:tcW w:w="1277" w:type="pct"/>
            <w:gridSpan w:val="6"/>
            <w:vAlign w:val="center"/>
          </w:tcPr>
          <w:p w14:paraId="48B3EBF4">
            <w:pPr>
              <w:pStyle w:val="32"/>
              <w:ind w:firstLine="0" w:firstLineChars="0"/>
              <w:rPr>
                <w:rFonts w:ascii="Times New Roman" w:hAnsi="宋体" w:eastAsia="宋体" w:cs="Times New Roman"/>
                <w:kern w:val="0"/>
                <w:sz w:val="21"/>
                <w:szCs w:val="21"/>
                <w:lang w:val="en-US" w:eastAsia="en-US" w:bidi="ar-SA"/>
              </w:rPr>
            </w:pPr>
            <w:r>
              <w:rPr>
                <w:rFonts w:hint="eastAsia" w:ascii="Times New Roman" w:hAnsi="宋体" w:eastAsia="宋体"/>
                <w:lang w:val="en-US"/>
              </w:rPr>
              <w:t>硫化氢：（</w:t>
            </w:r>
            <w:r>
              <w:rPr>
                <w:rFonts w:hint="eastAsia" w:ascii="Times New Roman" w:hAnsi="宋体" w:eastAsia="宋体"/>
                <w:lang w:val="en-US" w:eastAsia="zh-CN"/>
              </w:rPr>
              <w:t>0.323</w:t>
            </w:r>
            <w:r>
              <w:rPr>
                <w:rFonts w:hint="eastAsia" w:ascii="Times New Roman" w:hAnsi="宋体" w:eastAsia="宋体"/>
                <w:lang w:val="en-US"/>
              </w:rPr>
              <w:t>）t</w:t>
            </w:r>
            <w:r>
              <w:rPr>
                <w:rFonts w:ascii="Times New Roman" w:hAnsi="宋体" w:eastAsia="宋体"/>
                <w:lang w:val="en-US"/>
              </w:rPr>
              <w:t>/a</w:t>
            </w:r>
          </w:p>
        </w:tc>
        <w:tc>
          <w:tcPr>
            <w:tcW w:w="1111" w:type="pct"/>
            <w:gridSpan w:val="4"/>
            <w:vAlign w:val="center"/>
          </w:tcPr>
          <w:p w14:paraId="5FE0439D">
            <w:pPr>
              <w:pStyle w:val="32"/>
              <w:rPr>
                <w:rFonts w:ascii="Times New Roman" w:hAnsi="宋体" w:eastAsia="宋体"/>
                <w:lang w:val="en-US" w:eastAsia="en-US"/>
              </w:rPr>
            </w:pPr>
          </w:p>
        </w:tc>
      </w:tr>
    </w:tbl>
    <w:p w14:paraId="2148B2AD">
      <w:pPr>
        <w:pStyle w:val="27"/>
        <w:bidi w:val="0"/>
        <w:rPr>
          <w:rFonts w:hint="default"/>
          <w:lang w:val="en-US" w:eastAsia="zh-CN"/>
        </w:rPr>
      </w:pPr>
      <w:r>
        <w:rPr>
          <w:rFonts w:hint="eastAsia"/>
          <w:lang w:val="en-US" w:eastAsia="zh-CN"/>
        </w:rPr>
        <w:t>地表水环境影响分析与评价</w:t>
      </w:r>
    </w:p>
    <w:p w14:paraId="0CAF1A0E">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（1）废水产生情况</w:t>
      </w:r>
    </w:p>
    <w:p w14:paraId="6AFC2B35">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本项目废水主要为养殖过程产生的粪污，根据项目可研报告及备案证明材料，本项目年出栏生猪10万头，存栏量最大为5万头，通过前文的工程分析可知，</w:t>
      </w:r>
      <w:r>
        <w:rPr>
          <w:rFonts w:hint="eastAsia"/>
          <w:lang w:val="en-US" w:eastAsia="zh-CN"/>
        </w:rPr>
        <w:t>运营期的废水主要包括职工生活污水、养殖废水（猪尿、猪粪滤液和育肥舍冲洗废水）和生物质锅炉排污水，具体产生情况见表3.4-15。</w:t>
      </w:r>
    </w:p>
    <w:p w14:paraId="29E801B5">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（2）废水处置情况</w:t>
      </w:r>
    </w:p>
    <w:p w14:paraId="28A7CA67">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本项目设置污水处理系统，整个养殖场的废水均通过污水处理系统进行处理，污水处理系统采用的处置工艺是</w:t>
      </w:r>
      <w:r>
        <w:rPr>
          <w:rFonts w:hint="eastAsia"/>
          <w:lang w:val="en-US" w:eastAsia="zh-CN"/>
        </w:rPr>
        <w:t>《畜禽养殖业污染治理工程技术规范》（HJ497-2009）中的模式</w:t>
      </w:r>
      <w:r>
        <w:rPr>
          <w:rFonts w:hint="default" w:ascii="Times New Roman" w:hAnsi="Times New Roman" w:cs="Times New Roman"/>
          <w:lang w:val="en-US" w:eastAsia="zh-CN"/>
        </w:rPr>
        <w:t>Ⅲ</w:t>
      </w:r>
      <w:r>
        <w:rPr>
          <w:rFonts w:hint="eastAsia" w:cs="Times New Roman"/>
          <w:lang w:val="en-US" w:eastAsia="zh-CN"/>
        </w:rPr>
        <w:t>，即</w:t>
      </w:r>
      <w:r>
        <w:rPr>
          <w:rFonts w:hint="eastAsia" w:cs="Times New Roman"/>
          <w:color w:val="000000"/>
          <w:kern w:val="0"/>
          <w:sz w:val="24"/>
          <w:szCs w:val="24"/>
          <w:vertAlign w:val="baseline"/>
          <w:lang w:val="en-US" w:eastAsia="zh-CN" w:bidi="ar"/>
        </w:rPr>
        <w:t>“干清粪+固液分离+厌氧+好氧”的处理模式，经处理后的废水在厂区的好氧塘中暂存。</w:t>
      </w:r>
    </w:p>
    <w:p w14:paraId="5C67F703">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（3）废水排放情况</w:t>
      </w:r>
    </w:p>
    <w:p w14:paraId="139F538A">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本项目经场区污水处理系统处理后的废水在场区新建的好氧塘中暂存，委托129团农业发展中心定期清运，不外排，场区不设置废水排放口。</w:t>
      </w:r>
    </w:p>
    <w:p w14:paraId="666FDC99">
      <w:pPr>
        <w:rPr>
          <w:rFonts w:hint="default" w:cs="Times New Roman"/>
          <w:color w:val="000000"/>
          <w:kern w:val="0"/>
          <w:sz w:val="24"/>
          <w:szCs w:val="24"/>
          <w:vertAlign w:val="baseline"/>
          <w:lang w:val="en-US" w:eastAsia="zh-CN" w:bidi="ar"/>
        </w:rPr>
      </w:pPr>
      <w:r>
        <w:rPr>
          <w:rFonts w:hint="default" w:cs="Times New Roman"/>
          <w:color w:val="000000"/>
          <w:kern w:val="0"/>
          <w:sz w:val="24"/>
          <w:szCs w:val="24"/>
          <w:vertAlign w:val="baseline"/>
          <w:lang w:val="en-US" w:eastAsia="zh-CN" w:bidi="ar"/>
        </w:rPr>
        <w:t>综上</w:t>
      </w:r>
      <w:r>
        <w:rPr>
          <w:rFonts w:hint="eastAsia" w:cs="Times New Roman"/>
          <w:color w:val="000000"/>
          <w:kern w:val="0"/>
          <w:sz w:val="24"/>
          <w:szCs w:val="24"/>
          <w:vertAlign w:val="baseline"/>
          <w:lang w:val="en-US" w:eastAsia="zh-CN" w:bidi="ar"/>
        </w:rPr>
        <w:t>所述</w:t>
      </w:r>
      <w:r>
        <w:rPr>
          <w:rFonts w:hint="default" w:cs="Times New Roman"/>
          <w:color w:val="000000"/>
          <w:kern w:val="0"/>
          <w:sz w:val="24"/>
          <w:szCs w:val="24"/>
          <w:vertAlign w:val="baseline"/>
          <w:lang w:val="en-US" w:eastAsia="zh-CN" w:bidi="ar"/>
        </w:rPr>
        <w:t>，本项目废水得到合理处置，不外排，对地表水环境影响小。</w:t>
      </w:r>
    </w:p>
    <w:p w14:paraId="40D0749E">
      <w:pPr>
        <w:pStyle w:val="2"/>
        <w:rPr>
          <w:rFonts w:hint="default"/>
          <w:lang w:val="en-US" w:eastAsia="zh-CN"/>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本项目与地表水体无水力联系，对其无直接环境影响，地表水自查情况见表5.2-</w:t>
      </w:r>
      <w:r>
        <w:rPr>
          <w:rFonts w:hint="eastAsia" w:cs="Times New Roman"/>
          <w:color w:val="000000" w:themeColor="text1"/>
          <w:highlight w:val="none"/>
          <w:shd w:val="clear" w:color="auto" w:fill="auto"/>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p w14:paraId="2B9C5129">
      <w:pPr>
        <w:pStyle w:val="30"/>
        <w:bidi w:val="0"/>
        <w:rPr>
          <w:rFonts w:hint="default"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5.2-</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 xml:space="preserve">12 </w:t>
      </w:r>
      <w:r>
        <w:rPr>
          <w:rFonts w:hint="default"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 xml:space="preserve"> 建设项目地表水环境影响评价自查表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59"/>
        <w:gridCol w:w="1198"/>
        <w:gridCol w:w="131"/>
        <w:gridCol w:w="646"/>
        <w:gridCol w:w="150"/>
        <w:gridCol w:w="782"/>
        <w:gridCol w:w="281"/>
        <w:gridCol w:w="337"/>
        <w:gridCol w:w="463"/>
        <w:gridCol w:w="160"/>
        <w:gridCol w:w="231"/>
        <w:gridCol w:w="178"/>
        <w:gridCol w:w="785"/>
        <w:gridCol w:w="48"/>
        <w:gridCol w:w="1247"/>
      </w:tblGrid>
      <w:tr w14:paraId="7E31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Align w:val="center"/>
          </w:tcPr>
          <w:p w14:paraId="0E5CD2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工作内容</w:t>
            </w:r>
          </w:p>
        </w:tc>
        <w:tc>
          <w:tcPr>
            <w:tcW w:w="3907" w:type="pct"/>
            <w:gridSpan w:val="14"/>
            <w:vAlign w:val="center"/>
          </w:tcPr>
          <w:p w14:paraId="38D8E8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自查项目</w:t>
            </w:r>
          </w:p>
        </w:tc>
      </w:tr>
      <w:tr w14:paraId="31D0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1402AB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w:t>
            </w:r>
          </w:p>
          <w:p w14:paraId="448F44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响</w:t>
            </w:r>
          </w:p>
          <w:p w14:paraId="33B699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识</w:t>
            </w:r>
          </w:p>
          <w:p w14:paraId="3E5F28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别</w:t>
            </w:r>
          </w:p>
        </w:tc>
        <w:tc>
          <w:tcPr>
            <w:tcW w:w="857" w:type="pct"/>
            <w:vAlign w:val="center"/>
          </w:tcPr>
          <w:p w14:paraId="5C718A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影响类型</w:t>
            </w:r>
          </w:p>
        </w:tc>
        <w:tc>
          <w:tcPr>
            <w:tcW w:w="3907" w:type="pct"/>
            <w:gridSpan w:val="14"/>
            <w:vAlign w:val="center"/>
          </w:tcPr>
          <w:p w14:paraId="78D6205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水污染影响型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w:t>
            </w:r>
            <w:r>
              <w:rPr>
                <w:rFonts w:hint="eastAsia" w:cs="Times New Roman"/>
                <w:color w:val="000000" w:themeColor="text1"/>
                <w:sz w:val="21"/>
                <w:szCs w:val="21"/>
                <w:highlight w:val="none"/>
                <w:lang w:eastAsia="zh-CN"/>
                <w14:textFill>
                  <w14:solidFill>
                    <w14:schemeClr w14:val="tx1"/>
                  </w14:solidFill>
                </w14:textFill>
              </w:rPr>
              <w:t>□</w:t>
            </w:r>
          </w:p>
        </w:tc>
      </w:tr>
      <w:tr w14:paraId="3B49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AEF97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47D059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水环境保护目标</w:t>
            </w:r>
          </w:p>
        </w:tc>
        <w:tc>
          <w:tcPr>
            <w:tcW w:w="3907" w:type="pct"/>
            <w:gridSpan w:val="14"/>
            <w:vAlign w:val="center"/>
          </w:tcPr>
          <w:p w14:paraId="2172D20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饮用水水源保护区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；饮用水取水口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；涉水的自然保护区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；重要湿地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；重点保护与珍稀水生生物的栖息地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；重要水生生物的自然产卵场及索饵场、越冬场和洄游通道、天然渔场等渔业水体</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；涉水的风景名胜区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1940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B53B5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191D9E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影响途径</w:t>
            </w:r>
          </w:p>
        </w:tc>
        <w:tc>
          <w:tcPr>
            <w:tcW w:w="2076" w:type="pct"/>
            <w:gridSpan w:val="7"/>
            <w:vAlign w:val="center"/>
          </w:tcPr>
          <w:p w14:paraId="16FB5A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水污染影响型</w:t>
            </w:r>
          </w:p>
        </w:tc>
        <w:tc>
          <w:tcPr>
            <w:tcW w:w="1832" w:type="pct"/>
            <w:gridSpan w:val="7"/>
            <w:vAlign w:val="center"/>
          </w:tcPr>
          <w:p w14:paraId="1BA61F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w:t>
            </w:r>
          </w:p>
        </w:tc>
      </w:tr>
      <w:tr w14:paraId="4436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80A0B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5E281B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52010E1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直接排放</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；间接排放</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75C8B09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；径流</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；水域面积</w:t>
            </w:r>
            <w:r>
              <w:rPr>
                <w:rFonts w:hint="eastAsia" w:cs="Times New Roman"/>
                <w:color w:val="000000" w:themeColor="text1"/>
                <w:sz w:val="21"/>
                <w:szCs w:val="21"/>
                <w:highlight w:val="none"/>
                <w:lang w:eastAsia="zh-CN"/>
                <w14:textFill>
                  <w14:solidFill>
                    <w14:schemeClr w14:val="tx1"/>
                  </w14:solidFill>
                </w14:textFill>
              </w:rPr>
              <w:t>□</w:t>
            </w:r>
          </w:p>
        </w:tc>
      </w:tr>
      <w:tr w14:paraId="3454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35E51E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0A13BE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影响因子</w:t>
            </w:r>
          </w:p>
        </w:tc>
        <w:tc>
          <w:tcPr>
            <w:tcW w:w="2076" w:type="pct"/>
            <w:gridSpan w:val="7"/>
            <w:vAlign w:val="center"/>
          </w:tcPr>
          <w:p w14:paraId="7C5030F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持久性污染物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；非持久性污染物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；热污染</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；富营养化</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5EF3B73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；水位（水深）</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；流速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；流量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5DE6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Merge w:val="restart"/>
            <w:vAlign w:val="center"/>
          </w:tcPr>
          <w:p w14:paraId="130248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w:t>
            </w:r>
          </w:p>
        </w:tc>
        <w:tc>
          <w:tcPr>
            <w:tcW w:w="2076" w:type="pct"/>
            <w:gridSpan w:val="7"/>
            <w:vAlign w:val="center"/>
          </w:tcPr>
          <w:p w14:paraId="4E2718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水污染影响型</w:t>
            </w:r>
          </w:p>
        </w:tc>
        <w:tc>
          <w:tcPr>
            <w:tcW w:w="1832" w:type="pct"/>
            <w:gridSpan w:val="7"/>
            <w:vAlign w:val="center"/>
          </w:tcPr>
          <w:p w14:paraId="250787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w:t>
            </w:r>
          </w:p>
        </w:tc>
      </w:tr>
      <w:tr w14:paraId="5499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Merge w:val="continue"/>
            <w:vAlign w:val="center"/>
          </w:tcPr>
          <w:p w14:paraId="07D591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614A65E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；三级A</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；三级B</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3A71579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r>
              <w:rPr>
                <w:rFonts w:hint="eastAsia" w:cs="Times New Roman"/>
                <w:color w:val="000000" w:themeColor="text1"/>
                <w:sz w:val="21"/>
                <w:szCs w:val="21"/>
                <w:highlight w:val="none"/>
                <w:lang w:eastAsia="zh-CN"/>
                <w14:textFill>
                  <w14:solidFill>
                    <w14:schemeClr w14:val="tx1"/>
                  </w14:solidFill>
                </w14:textFill>
              </w:rPr>
              <w:t>□</w:t>
            </w:r>
          </w:p>
        </w:tc>
      </w:tr>
      <w:tr w14:paraId="2E8F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67ABC8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w:t>
            </w:r>
          </w:p>
          <w:p w14:paraId="3427BB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状</w:t>
            </w:r>
          </w:p>
          <w:p w14:paraId="4DC216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w:t>
            </w:r>
          </w:p>
          <w:p w14:paraId="64A7AC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查</w:t>
            </w:r>
          </w:p>
        </w:tc>
        <w:tc>
          <w:tcPr>
            <w:tcW w:w="857" w:type="pct"/>
            <w:vMerge w:val="restart"/>
            <w:vAlign w:val="center"/>
          </w:tcPr>
          <w:p w14:paraId="58984D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区域污染源</w:t>
            </w:r>
          </w:p>
        </w:tc>
        <w:tc>
          <w:tcPr>
            <w:tcW w:w="2076" w:type="pct"/>
            <w:gridSpan w:val="7"/>
            <w:vAlign w:val="center"/>
          </w:tcPr>
          <w:p w14:paraId="53DD27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调查项目</w:t>
            </w:r>
          </w:p>
        </w:tc>
        <w:tc>
          <w:tcPr>
            <w:tcW w:w="1832" w:type="pct"/>
            <w:gridSpan w:val="7"/>
            <w:vAlign w:val="center"/>
          </w:tcPr>
          <w:p w14:paraId="379BD6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数据来源</w:t>
            </w:r>
          </w:p>
        </w:tc>
      </w:tr>
      <w:tr w14:paraId="0CF5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40314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70FB53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62" w:type="pct"/>
            <w:gridSpan w:val="3"/>
            <w:vAlign w:val="center"/>
          </w:tcPr>
          <w:p w14:paraId="03F5A09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已建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；在建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；拟建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c>
          <w:tcPr>
            <w:tcW w:w="913" w:type="pct"/>
            <w:gridSpan w:val="4"/>
            <w:vAlign w:val="center"/>
          </w:tcPr>
          <w:p w14:paraId="2A11557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拟替代的污染源</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3C6275B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排污许可证</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；环评</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；环保验收</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；既有实测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；现场监测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；入河排放口数据</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7B0C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5618F2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114438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受影响水体水环境质量</w:t>
            </w:r>
          </w:p>
        </w:tc>
        <w:tc>
          <w:tcPr>
            <w:tcW w:w="2076" w:type="pct"/>
            <w:gridSpan w:val="7"/>
            <w:vAlign w:val="center"/>
          </w:tcPr>
          <w:p w14:paraId="106631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调查时期</w:t>
            </w:r>
          </w:p>
        </w:tc>
        <w:tc>
          <w:tcPr>
            <w:tcW w:w="1832" w:type="pct"/>
            <w:gridSpan w:val="7"/>
            <w:vAlign w:val="center"/>
          </w:tcPr>
          <w:p w14:paraId="73261B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数据来源</w:t>
            </w:r>
          </w:p>
        </w:tc>
      </w:tr>
      <w:tr w14:paraId="6723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CD700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4921A4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5008C76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57940A4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33C39D0D">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生态环境保护主管部门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；补充监测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7FF0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739D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216F3F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区域水资源开发利用状况</w:t>
            </w:r>
          </w:p>
        </w:tc>
        <w:tc>
          <w:tcPr>
            <w:tcW w:w="3907" w:type="pct"/>
            <w:gridSpan w:val="14"/>
            <w:vAlign w:val="center"/>
          </w:tcPr>
          <w:p w14:paraId="05EBBAE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未开发</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；开发量40%以下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；开发量40%以上</w:t>
            </w:r>
            <w:r>
              <w:rPr>
                <w:rFonts w:hint="eastAsia" w:cs="Times New Roman"/>
                <w:color w:val="000000" w:themeColor="text1"/>
                <w:sz w:val="21"/>
                <w:szCs w:val="21"/>
                <w:highlight w:val="none"/>
                <w:lang w:eastAsia="zh-CN"/>
                <w14:textFill>
                  <w14:solidFill>
                    <w14:schemeClr w14:val="tx1"/>
                  </w14:solidFill>
                </w14:textFill>
              </w:rPr>
              <w:t>□</w:t>
            </w:r>
          </w:p>
        </w:tc>
      </w:tr>
      <w:tr w14:paraId="39BF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ED3AE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3D9038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水文情势调查</w:t>
            </w:r>
          </w:p>
        </w:tc>
        <w:tc>
          <w:tcPr>
            <w:tcW w:w="2076" w:type="pct"/>
            <w:gridSpan w:val="7"/>
            <w:vAlign w:val="center"/>
          </w:tcPr>
          <w:p w14:paraId="2D9035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调查时期</w:t>
            </w:r>
          </w:p>
        </w:tc>
        <w:tc>
          <w:tcPr>
            <w:tcW w:w="1832" w:type="pct"/>
            <w:gridSpan w:val="7"/>
            <w:vAlign w:val="center"/>
          </w:tcPr>
          <w:p w14:paraId="032752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数据来源</w:t>
            </w:r>
          </w:p>
        </w:tc>
      </w:tr>
      <w:tr w14:paraId="0951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F4CC6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15F894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41FDF15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6C393F5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48D7987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水行政主管部门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；补充监测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4ADA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019FA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26B592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补充监测</w:t>
            </w:r>
          </w:p>
        </w:tc>
        <w:tc>
          <w:tcPr>
            <w:tcW w:w="1877" w:type="pct"/>
            <w:gridSpan w:val="6"/>
            <w:vAlign w:val="center"/>
          </w:tcPr>
          <w:p w14:paraId="7C1643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监测时期</w:t>
            </w:r>
          </w:p>
        </w:tc>
        <w:tc>
          <w:tcPr>
            <w:tcW w:w="808" w:type="pct"/>
            <w:gridSpan w:val="5"/>
            <w:vAlign w:val="center"/>
          </w:tcPr>
          <w:p w14:paraId="56D510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p>
        </w:tc>
        <w:tc>
          <w:tcPr>
            <w:tcW w:w="1222" w:type="pct"/>
            <w:gridSpan w:val="3"/>
            <w:vAlign w:val="center"/>
          </w:tcPr>
          <w:p w14:paraId="350973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监测断面或点位</w:t>
            </w:r>
          </w:p>
        </w:tc>
      </w:tr>
      <w:tr w14:paraId="4A86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D7365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2AF79E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77" w:type="pct"/>
            <w:gridSpan w:val="6"/>
            <w:vAlign w:val="center"/>
          </w:tcPr>
          <w:p w14:paraId="0524B31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3215CAF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c>
          <w:tcPr>
            <w:tcW w:w="808" w:type="pct"/>
            <w:gridSpan w:val="5"/>
            <w:vAlign w:val="center"/>
          </w:tcPr>
          <w:p w14:paraId="634332C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22" w:type="pct"/>
            <w:gridSpan w:val="3"/>
            <w:vAlign w:val="center"/>
          </w:tcPr>
          <w:p w14:paraId="67DA80D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监测断面或点位个数（</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）个</w:t>
            </w:r>
          </w:p>
        </w:tc>
      </w:tr>
      <w:tr w14:paraId="3A07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405FD9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w:t>
            </w:r>
          </w:p>
          <w:p w14:paraId="688CE9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状</w:t>
            </w:r>
          </w:p>
          <w:p w14:paraId="444C1F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w:t>
            </w:r>
          </w:p>
          <w:p w14:paraId="2BDFAC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价</w:t>
            </w:r>
          </w:p>
        </w:tc>
        <w:tc>
          <w:tcPr>
            <w:tcW w:w="857" w:type="pct"/>
            <w:vAlign w:val="center"/>
          </w:tcPr>
          <w:p w14:paraId="4155B2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3907" w:type="pct"/>
            <w:gridSpan w:val="14"/>
            <w:vAlign w:val="center"/>
          </w:tcPr>
          <w:p w14:paraId="550761FD">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河流：长度（ </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）km；湖库、河口及近岸海域：面积（/）km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r>
      <w:tr w14:paraId="57B6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0E129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2058E6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3907" w:type="pct"/>
            <w:gridSpan w:val="14"/>
            <w:vAlign w:val="center"/>
          </w:tcPr>
          <w:p w14:paraId="6AC729F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732D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EB1BF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30BC1F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3907" w:type="pct"/>
            <w:gridSpan w:val="14"/>
            <w:vAlign w:val="center"/>
          </w:tcPr>
          <w:p w14:paraId="6673EEE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河流、湖库、河口：Ⅰ类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；Ⅱ类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；Ⅲ类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；Ⅳ类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；Ⅴ类</w:t>
            </w:r>
            <w:r>
              <w:rPr>
                <w:rFonts w:hint="eastAsia" w:cs="Times New Roman"/>
                <w:color w:val="000000" w:themeColor="text1"/>
                <w:sz w:val="21"/>
                <w:szCs w:val="21"/>
                <w:highlight w:val="none"/>
                <w:lang w:eastAsia="zh-CN"/>
                <w14:textFill>
                  <w14:solidFill>
                    <w14:schemeClr w14:val="tx1"/>
                  </w14:solidFill>
                </w14:textFill>
              </w:rPr>
              <w:t>□</w:t>
            </w:r>
          </w:p>
          <w:p w14:paraId="3E6E03A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近岸海域：第一类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；第二类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；第三类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；第四类</w:t>
            </w:r>
            <w:r>
              <w:rPr>
                <w:rFonts w:hint="eastAsia" w:cs="Times New Roman"/>
                <w:color w:val="000000" w:themeColor="text1"/>
                <w:sz w:val="21"/>
                <w:szCs w:val="21"/>
                <w:highlight w:val="none"/>
                <w:lang w:eastAsia="zh-CN"/>
                <w14:textFill>
                  <w14:solidFill>
                    <w14:schemeClr w14:val="tx1"/>
                  </w14:solidFill>
                </w14:textFill>
              </w:rPr>
              <w:t>□</w:t>
            </w:r>
          </w:p>
          <w:p w14:paraId="12130B4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规划年评价标准（/）</w:t>
            </w:r>
          </w:p>
        </w:tc>
      </w:tr>
      <w:tr w14:paraId="6590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5D6B5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478C66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评价时期</w:t>
            </w:r>
          </w:p>
        </w:tc>
        <w:tc>
          <w:tcPr>
            <w:tcW w:w="3907" w:type="pct"/>
            <w:gridSpan w:val="14"/>
            <w:vAlign w:val="center"/>
          </w:tcPr>
          <w:p w14:paraId="5D78A5A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519269D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r>
      <w:tr w14:paraId="42D4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52A12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682E2C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3146" w:type="pct"/>
            <w:gridSpan w:val="12"/>
            <w:vAlign w:val="center"/>
          </w:tcPr>
          <w:p w14:paraId="05AABE9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水环境功能区或水功能区、近岸海域环境功能区水质达标状况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6EF25E9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水环境控制单元或断面水质达标状况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5E5CFE2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水环境保护目标质量状况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6F23A47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对照断面、控制断面等代表性断面的水质状况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66F2202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底泥污染评价</w:t>
            </w:r>
            <w:r>
              <w:rPr>
                <w:rFonts w:hint="eastAsia" w:cs="Times New Roman"/>
                <w:color w:val="000000" w:themeColor="text1"/>
                <w:sz w:val="21"/>
                <w:szCs w:val="21"/>
                <w:highlight w:val="none"/>
                <w:lang w:eastAsia="zh-CN"/>
                <w14:textFill>
                  <w14:solidFill>
                    <w14:schemeClr w14:val="tx1"/>
                  </w14:solidFill>
                </w14:textFill>
              </w:rPr>
              <w:t>□</w:t>
            </w:r>
          </w:p>
          <w:p w14:paraId="3986649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水资源与开发利用程度及其水文情势评价</w:t>
            </w:r>
            <w:r>
              <w:rPr>
                <w:rFonts w:hint="eastAsia" w:cs="Times New Roman"/>
                <w:color w:val="000000" w:themeColor="text1"/>
                <w:sz w:val="21"/>
                <w:szCs w:val="21"/>
                <w:highlight w:val="none"/>
                <w:lang w:eastAsia="zh-CN"/>
                <w14:textFill>
                  <w14:solidFill>
                    <w14:schemeClr w14:val="tx1"/>
                  </w14:solidFill>
                </w14:textFill>
              </w:rPr>
              <w:t>□</w:t>
            </w:r>
          </w:p>
          <w:p w14:paraId="03792D9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水环境质量回顾评价</w:t>
            </w:r>
            <w:r>
              <w:rPr>
                <w:rFonts w:hint="eastAsia" w:cs="Times New Roman"/>
                <w:color w:val="000000" w:themeColor="text1"/>
                <w:sz w:val="21"/>
                <w:szCs w:val="21"/>
                <w:highlight w:val="none"/>
                <w:lang w:eastAsia="zh-CN"/>
                <w14:textFill>
                  <w14:solidFill>
                    <w14:schemeClr w14:val="tx1"/>
                  </w14:solidFill>
                </w14:textFill>
              </w:rPr>
              <w:t>□</w:t>
            </w:r>
          </w:p>
          <w:p w14:paraId="7BAD9E3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eastAsia" w:cs="Times New Roman"/>
                <w:color w:val="000000" w:themeColor="text1"/>
                <w:sz w:val="21"/>
                <w:szCs w:val="21"/>
                <w:highlight w:val="none"/>
                <w:lang w:eastAsia="zh-CN"/>
                <w14:textFill>
                  <w14:solidFill>
                    <w14:schemeClr w14:val="tx1"/>
                  </w14:solidFill>
                </w14:textFill>
              </w:rPr>
              <w:t>□</w:t>
            </w:r>
          </w:p>
        </w:tc>
        <w:tc>
          <w:tcPr>
            <w:tcW w:w="761" w:type="pct"/>
            <w:gridSpan w:val="2"/>
            <w:vAlign w:val="center"/>
          </w:tcPr>
          <w:p w14:paraId="047A439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达标区</w:t>
            </w:r>
            <w:r>
              <w:rPr>
                <w:rFonts w:hint="eastAsia" w:cs="Times New Roman"/>
                <w:color w:val="000000" w:themeColor="text1"/>
                <w:sz w:val="21"/>
                <w:szCs w:val="21"/>
                <w:highlight w:val="none"/>
                <w:lang w:eastAsia="zh-CN"/>
                <w14:textFill>
                  <w14:solidFill>
                    <w14:schemeClr w14:val="tx1"/>
                  </w14:solidFill>
                </w14:textFill>
              </w:rPr>
              <w:t>□</w:t>
            </w:r>
          </w:p>
          <w:p w14:paraId="66DF941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不达标区</w:t>
            </w:r>
            <w:r>
              <w:rPr>
                <w:rFonts w:hint="eastAsia" w:cs="Times New Roman"/>
                <w:color w:val="000000" w:themeColor="text1"/>
                <w:sz w:val="21"/>
                <w:szCs w:val="21"/>
                <w:highlight w:val="none"/>
                <w:lang w:eastAsia="zh-CN"/>
                <w14:textFill>
                  <w14:solidFill>
                    <w14:schemeClr w14:val="tx1"/>
                  </w14:solidFill>
                </w14:textFill>
              </w:rPr>
              <w:t>□</w:t>
            </w:r>
          </w:p>
        </w:tc>
      </w:tr>
      <w:tr w14:paraId="0AD9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2A4477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w:t>
            </w:r>
          </w:p>
          <w:p w14:paraId="706DD5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响</w:t>
            </w:r>
          </w:p>
          <w:p w14:paraId="02F4E8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w:t>
            </w:r>
          </w:p>
          <w:p w14:paraId="003D79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测</w:t>
            </w:r>
          </w:p>
        </w:tc>
        <w:tc>
          <w:tcPr>
            <w:tcW w:w="857" w:type="pct"/>
            <w:vAlign w:val="center"/>
          </w:tcPr>
          <w:p w14:paraId="4BD105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预测范围</w:t>
            </w:r>
          </w:p>
        </w:tc>
        <w:tc>
          <w:tcPr>
            <w:tcW w:w="3907" w:type="pct"/>
            <w:gridSpan w:val="14"/>
            <w:vAlign w:val="center"/>
          </w:tcPr>
          <w:p w14:paraId="05BD2A2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河流：长度（/）km；湖库、河口及近岸海域：面积（/）km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r>
      <w:tr w14:paraId="6007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3578F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0D05A7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p>
        </w:tc>
        <w:tc>
          <w:tcPr>
            <w:tcW w:w="3907" w:type="pct"/>
            <w:gridSpan w:val="14"/>
            <w:vAlign w:val="center"/>
          </w:tcPr>
          <w:p w14:paraId="33F8D64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55B3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9DB6F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256918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预测时期</w:t>
            </w:r>
          </w:p>
        </w:tc>
        <w:tc>
          <w:tcPr>
            <w:tcW w:w="3907" w:type="pct"/>
            <w:gridSpan w:val="14"/>
            <w:vAlign w:val="center"/>
          </w:tcPr>
          <w:p w14:paraId="6BE174F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63DD0D7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p w14:paraId="1C4D905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设计水文条件</w:t>
            </w:r>
            <w:r>
              <w:rPr>
                <w:rFonts w:hint="eastAsia" w:cs="Times New Roman"/>
                <w:color w:val="000000" w:themeColor="text1"/>
                <w:sz w:val="21"/>
                <w:szCs w:val="21"/>
                <w:highlight w:val="none"/>
                <w:lang w:eastAsia="zh-CN"/>
                <w14:textFill>
                  <w14:solidFill>
                    <w14:schemeClr w14:val="tx1"/>
                  </w14:solidFill>
                </w14:textFill>
              </w:rPr>
              <w:t>□</w:t>
            </w:r>
          </w:p>
        </w:tc>
      </w:tr>
      <w:tr w14:paraId="6001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7BC60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4EFA3E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预测情景</w:t>
            </w:r>
          </w:p>
        </w:tc>
        <w:tc>
          <w:tcPr>
            <w:tcW w:w="3907" w:type="pct"/>
            <w:gridSpan w:val="14"/>
            <w:vAlign w:val="center"/>
          </w:tcPr>
          <w:p w14:paraId="1D3DBB5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；生产运行期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；服务期满后</w:t>
            </w:r>
            <w:r>
              <w:rPr>
                <w:rFonts w:hint="eastAsia" w:cs="Times New Roman"/>
                <w:color w:val="000000" w:themeColor="text1"/>
                <w:sz w:val="21"/>
                <w:szCs w:val="21"/>
                <w:highlight w:val="none"/>
                <w:lang w:eastAsia="zh-CN"/>
                <w14:textFill>
                  <w14:solidFill>
                    <w14:schemeClr w14:val="tx1"/>
                  </w14:solidFill>
                </w14:textFill>
              </w:rPr>
              <w:t>□</w:t>
            </w:r>
          </w:p>
          <w:p w14:paraId="14126A4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正常工况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；非正常工况</w:t>
            </w:r>
            <w:r>
              <w:rPr>
                <w:rFonts w:hint="eastAsia" w:cs="Times New Roman"/>
                <w:color w:val="000000" w:themeColor="text1"/>
                <w:sz w:val="21"/>
                <w:szCs w:val="21"/>
                <w:highlight w:val="none"/>
                <w:lang w:eastAsia="zh-CN"/>
                <w14:textFill>
                  <w14:solidFill>
                    <w14:schemeClr w14:val="tx1"/>
                  </w14:solidFill>
                </w14:textFill>
              </w:rPr>
              <w:t>□</w:t>
            </w:r>
          </w:p>
          <w:p w14:paraId="1F0BCF6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污染控制和减缓措施方案</w:t>
            </w:r>
            <w:r>
              <w:rPr>
                <w:rFonts w:hint="eastAsia" w:cs="Times New Roman"/>
                <w:color w:val="000000" w:themeColor="text1"/>
                <w:sz w:val="21"/>
                <w:szCs w:val="21"/>
                <w:highlight w:val="none"/>
                <w:lang w:eastAsia="zh-CN"/>
                <w14:textFill>
                  <w14:solidFill>
                    <w14:schemeClr w14:val="tx1"/>
                  </w14:solidFill>
                </w14:textFill>
              </w:rPr>
              <w:t>□</w:t>
            </w:r>
          </w:p>
          <w:p w14:paraId="2AE57A6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区（流）域环境质量改善目标要求情景</w:t>
            </w:r>
            <w:r>
              <w:rPr>
                <w:rFonts w:hint="eastAsia" w:cs="Times New Roman"/>
                <w:color w:val="000000" w:themeColor="text1"/>
                <w:sz w:val="21"/>
                <w:szCs w:val="21"/>
                <w:highlight w:val="none"/>
                <w:lang w:eastAsia="zh-CN"/>
                <w14:textFill>
                  <w14:solidFill>
                    <w14:schemeClr w14:val="tx1"/>
                  </w14:solidFill>
                </w14:textFill>
              </w:rPr>
              <w:t>□</w:t>
            </w:r>
          </w:p>
        </w:tc>
      </w:tr>
      <w:tr w14:paraId="2905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E9B65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6CBFC4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预测方法</w:t>
            </w:r>
          </w:p>
        </w:tc>
        <w:tc>
          <w:tcPr>
            <w:tcW w:w="3907" w:type="pct"/>
            <w:gridSpan w:val="14"/>
            <w:vAlign w:val="center"/>
          </w:tcPr>
          <w:p w14:paraId="1980D80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数值解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：解析</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p w14:paraId="201A48A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导则推荐模式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4BF4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6016F8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w:t>
            </w:r>
          </w:p>
          <w:p w14:paraId="0DCF97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响</w:t>
            </w:r>
          </w:p>
          <w:p w14:paraId="7967DD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w:t>
            </w:r>
          </w:p>
          <w:p w14:paraId="1909F1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价</w:t>
            </w:r>
          </w:p>
        </w:tc>
        <w:tc>
          <w:tcPr>
            <w:tcW w:w="857" w:type="pct"/>
            <w:vAlign w:val="center"/>
          </w:tcPr>
          <w:p w14:paraId="3E8F18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水污染控制和水环境影响减缓措施有效性评价</w:t>
            </w:r>
          </w:p>
        </w:tc>
        <w:tc>
          <w:tcPr>
            <w:tcW w:w="3907" w:type="pct"/>
            <w:gridSpan w:val="14"/>
            <w:vAlign w:val="center"/>
          </w:tcPr>
          <w:p w14:paraId="2E11B17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区（流）域水环境质量改善目标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；替代削减源</w:t>
            </w:r>
            <w:r>
              <w:rPr>
                <w:rFonts w:hint="eastAsia" w:cs="Times New Roman"/>
                <w:color w:val="000000" w:themeColor="text1"/>
                <w:sz w:val="21"/>
                <w:szCs w:val="21"/>
                <w:highlight w:val="none"/>
                <w:lang w:eastAsia="zh-CN"/>
                <w14:textFill>
                  <w14:solidFill>
                    <w14:schemeClr w14:val="tx1"/>
                  </w14:solidFill>
                </w14:textFill>
              </w:rPr>
              <w:t>□</w:t>
            </w:r>
          </w:p>
        </w:tc>
      </w:tr>
      <w:tr w14:paraId="2E04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3A9AD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56BDA7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水环境影响评价</w:t>
            </w:r>
          </w:p>
        </w:tc>
        <w:tc>
          <w:tcPr>
            <w:tcW w:w="3907" w:type="pct"/>
            <w:gridSpan w:val="14"/>
            <w:vAlign w:val="center"/>
          </w:tcPr>
          <w:p w14:paraId="3609204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排放口混合区外满足水环境管理要求</w:t>
            </w:r>
            <w:r>
              <w:rPr>
                <w:rFonts w:hint="eastAsia" w:cs="Times New Roman"/>
                <w:color w:val="000000" w:themeColor="text1"/>
                <w:sz w:val="21"/>
                <w:szCs w:val="21"/>
                <w:highlight w:val="none"/>
                <w:lang w:eastAsia="zh-CN"/>
                <w14:textFill>
                  <w14:solidFill>
                    <w14:schemeClr w14:val="tx1"/>
                  </w14:solidFill>
                </w14:textFill>
              </w:rPr>
              <w:t>□</w:t>
            </w:r>
          </w:p>
          <w:p w14:paraId="08C21B4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水环境功能区或水功能区、近岸海域环境功能区水质达标</w:t>
            </w:r>
            <w:r>
              <w:rPr>
                <w:rFonts w:hint="eastAsia" w:cs="Times New Roman"/>
                <w:color w:val="000000" w:themeColor="text1"/>
                <w:sz w:val="21"/>
                <w:szCs w:val="21"/>
                <w:highlight w:val="none"/>
                <w:lang w:eastAsia="zh-CN"/>
                <w14:textFill>
                  <w14:solidFill>
                    <w14:schemeClr w14:val="tx1"/>
                  </w14:solidFill>
                </w14:textFill>
              </w:rPr>
              <w:t>□</w:t>
            </w:r>
          </w:p>
          <w:p w14:paraId="6C06F6F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满足水环境保护目标水域水环境质量要求</w:t>
            </w:r>
            <w:r>
              <w:rPr>
                <w:rFonts w:hint="eastAsia" w:cs="Times New Roman"/>
                <w:color w:val="000000" w:themeColor="text1"/>
                <w:sz w:val="21"/>
                <w:szCs w:val="21"/>
                <w:highlight w:val="none"/>
                <w:lang w:eastAsia="zh-CN"/>
                <w14:textFill>
                  <w14:solidFill>
                    <w14:schemeClr w14:val="tx1"/>
                  </w14:solidFill>
                </w14:textFill>
              </w:rPr>
              <w:t>□</w:t>
            </w:r>
          </w:p>
          <w:p w14:paraId="1FC47A4D">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水环境控制单元或断面水质达标</w:t>
            </w:r>
            <w:r>
              <w:rPr>
                <w:rFonts w:hint="eastAsia" w:cs="Times New Roman"/>
                <w:color w:val="000000" w:themeColor="text1"/>
                <w:sz w:val="21"/>
                <w:szCs w:val="21"/>
                <w:highlight w:val="none"/>
                <w:lang w:eastAsia="zh-CN"/>
                <w14:textFill>
                  <w14:solidFill>
                    <w14:schemeClr w14:val="tx1"/>
                  </w14:solidFill>
                </w14:textFill>
              </w:rPr>
              <w:t>□</w:t>
            </w:r>
          </w:p>
          <w:p w14:paraId="04C704C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满足重点水污染物排放总量控制指标要求，重点行业建设项目，主要污染物排放满足等量或减量替代要求</w:t>
            </w:r>
            <w:r>
              <w:rPr>
                <w:rFonts w:hint="eastAsia" w:cs="Times New Roman"/>
                <w:color w:val="000000" w:themeColor="text1"/>
                <w:sz w:val="21"/>
                <w:szCs w:val="21"/>
                <w:highlight w:val="none"/>
                <w:lang w:eastAsia="zh-CN"/>
                <w14:textFill>
                  <w14:solidFill>
                    <w14:schemeClr w14:val="tx1"/>
                  </w14:solidFill>
                </w14:textFill>
              </w:rPr>
              <w:t>□</w:t>
            </w:r>
          </w:p>
          <w:p w14:paraId="7A37489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满足区（流）域水环境质量改善目标要求</w:t>
            </w:r>
            <w:r>
              <w:rPr>
                <w:rFonts w:hint="eastAsia" w:cs="Times New Roman"/>
                <w:color w:val="000000" w:themeColor="text1"/>
                <w:sz w:val="21"/>
                <w:szCs w:val="21"/>
                <w:highlight w:val="none"/>
                <w:lang w:eastAsia="zh-CN"/>
                <w14:textFill>
                  <w14:solidFill>
                    <w14:schemeClr w14:val="tx1"/>
                  </w14:solidFill>
                </w14:textFill>
              </w:rPr>
              <w:t>□</w:t>
            </w:r>
          </w:p>
          <w:p w14:paraId="0B7D8549">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水文要素影响型建设项目同时应包括水文情势变化评价、主要水文特征值影响评价、生态流量符合性评价</w:t>
            </w:r>
            <w:r>
              <w:rPr>
                <w:rFonts w:hint="eastAsia" w:cs="Times New Roman"/>
                <w:color w:val="000000" w:themeColor="text1"/>
                <w:sz w:val="21"/>
                <w:szCs w:val="21"/>
                <w:highlight w:val="none"/>
                <w:lang w:eastAsia="zh-CN"/>
                <w14:textFill>
                  <w14:solidFill>
                    <w14:schemeClr w14:val="tx1"/>
                  </w14:solidFill>
                </w14:textFill>
              </w:rPr>
              <w:t>□</w:t>
            </w:r>
          </w:p>
          <w:p w14:paraId="791B1DE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对于新设或调整入河（湖库、近岸海域）排放口的建设项目，应包括排放口设置的环境合理性评价</w:t>
            </w:r>
            <w:r>
              <w:rPr>
                <w:rFonts w:hint="eastAsia" w:cs="Times New Roman"/>
                <w:color w:val="000000" w:themeColor="text1"/>
                <w:sz w:val="21"/>
                <w:szCs w:val="21"/>
                <w:highlight w:val="none"/>
                <w:lang w:eastAsia="zh-CN"/>
                <w14:textFill>
                  <w14:solidFill>
                    <w14:schemeClr w14:val="tx1"/>
                  </w14:solidFill>
                </w14:textFill>
              </w:rPr>
              <w:t>□</w:t>
            </w:r>
          </w:p>
          <w:p w14:paraId="1547266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满足生态保护红线、水环境质量底线、资源利用上线和环境准入清单管理要求</w:t>
            </w:r>
            <w:r>
              <w:rPr>
                <w:rFonts w:hint="eastAsia" w:cs="Times New Roman"/>
                <w:color w:val="000000" w:themeColor="text1"/>
                <w:sz w:val="21"/>
                <w:szCs w:val="21"/>
                <w:highlight w:val="none"/>
                <w:lang w:eastAsia="zh-CN"/>
                <w14:textFill>
                  <w14:solidFill>
                    <w14:schemeClr w14:val="tx1"/>
                  </w14:solidFill>
                </w14:textFill>
              </w:rPr>
              <w:t>□</w:t>
            </w:r>
          </w:p>
        </w:tc>
      </w:tr>
      <w:tr w14:paraId="10D7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CE333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3CFD1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污染源排放量核算</w:t>
            </w:r>
          </w:p>
        </w:tc>
        <w:tc>
          <w:tcPr>
            <w:tcW w:w="1251" w:type="pct"/>
            <w:gridSpan w:val="4"/>
            <w:vAlign w:val="center"/>
          </w:tcPr>
          <w:p w14:paraId="73CB39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污染物名称</w:t>
            </w:r>
          </w:p>
        </w:tc>
        <w:tc>
          <w:tcPr>
            <w:tcW w:w="1329" w:type="pct"/>
            <w:gridSpan w:val="6"/>
            <w:vAlign w:val="center"/>
          </w:tcPr>
          <w:p w14:paraId="79C120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排放量/（t/a）</w:t>
            </w:r>
          </w:p>
        </w:tc>
        <w:tc>
          <w:tcPr>
            <w:tcW w:w="1327" w:type="pct"/>
            <w:gridSpan w:val="4"/>
            <w:vAlign w:val="center"/>
          </w:tcPr>
          <w:p w14:paraId="20E650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排放浓度/（mg/L）</w:t>
            </w:r>
          </w:p>
        </w:tc>
      </w:tr>
      <w:tr w14:paraId="615F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1399C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04E65F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51" w:type="pct"/>
            <w:gridSpan w:val="4"/>
            <w:vAlign w:val="center"/>
          </w:tcPr>
          <w:p w14:paraId="14AE76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29" w:type="pct"/>
            <w:gridSpan w:val="6"/>
            <w:vAlign w:val="center"/>
          </w:tcPr>
          <w:p w14:paraId="4AB2AE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27" w:type="pct"/>
            <w:gridSpan w:val="4"/>
            <w:vAlign w:val="center"/>
          </w:tcPr>
          <w:p w14:paraId="528F71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0F9B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BC79C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7FD4BA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替代源排放情况</w:t>
            </w:r>
          </w:p>
        </w:tc>
        <w:tc>
          <w:tcPr>
            <w:tcW w:w="704" w:type="pct"/>
            <w:vAlign w:val="center"/>
          </w:tcPr>
          <w:p w14:paraId="3A0B83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污染源名称</w:t>
            </w:r>
          </w:p>
        </w:tc>
        <w:tc>
          <w:tcPr>
            <w:tcW w:w="1007" w:type="pct"/>
            <w:gridSpan w:val="4"/>
            <w:vAlign w:val="center"/>
          </w:tcPr>
          <w:p w14:paraId="3E91E5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排污许可证编号</w:t>
            </w:r>
          </w:p>
        </w:tc>
        <w:tc>
          <w:tcPr>
            <w:tcW w:w="733" w:type="pct"/>
            <w:gridSpan w:val="4"/>
            <w:vAlign w:val="center"/>
          </w:tcPr>
          <w:p w14:paraId="53F9D5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污染物名称</w:t>
            </w:r>
          </w:p>
        </w:tc>
        <w:tc>
          <w:tcPr>
            <w:tcW w:w="731" w:type="pct"/>
            <w:gridSpan w:val="4"/>
            <w:vAlign w:val="center"/>
          </w:tcPr>
          <w:p w14:paraId="3FA982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排放量/（t/a）</w:t>
            </w:r>
          </w:p>
        </w:tc>
        <w:tc>
          <w:tcPr>
            <w:tcW w:w="731" w:type="pct"/>
            <w:vAlign w:val="center"/>
          </w:tcPr>
          <w:p w14:paraId="50AEE3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排放浓度/（mg/L）</w:t>
            </w:r>
          </w:p>
        </w:tc>
      </w:tr>
      <w:tr w14:paraId="690A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9E18E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3BB2A1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4" w:type="pct"/>
            <w:vAlign w:val="center"/>
          </w:tcPr>
          <w:p w14:paraId="68AF8E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007" w:type="pct"/>
            <w:gridSpan w:val="4"/>
            <w:vAlign w:val="center"/>
          </w:tcPr>
          <w:p w14:paraId="124D60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33" w:type="pct"/>
            <w:gridSpan w:val="4"/>
            <w:vAlign w:val="center"/>
          </w:tcPr>
          <w:p w14:paraId="4E4A99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31" w:type="pct"/>
            <w:gridSpan w:val="4"/>
            <w:vAlign w:val="center"/>
          </w:tcPr>
          <w:p w14:paraId="4C588C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31" w:type="pct"/>
            <w:vAlign w:val="center"/>
          </w:tcPr>
          <w:p w14:paraId="729956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56F1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CBF9E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6C52AC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生态流量确定</w:t>
            </w:r>
          </w:p>
        </w:tc>
        <w:tc>
          <w:tcPr>
            <w:tcW w:w="3907" w:type="pct"/>
            <w:gridSpan w:val="14"/>
            <w:vAlign w:val="center"/>
          </w:tcPr>
          <w:p w14:paraId="5BBF9B1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生态流量：一般水期（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/s；鱼类繁殖期（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/s；其他（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/s</w:t>
            </w:r>
          </w:p>
          <w:p w14:paraId="5DC2D61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生态水位：一般水期（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）m；鱼类繁殖期（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）m；其他（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r>
      <w:tr w14:paraId="6C78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538E6B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w:t>
            </w:r>
          </w:p>
          <w:p w14:paraId="754011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治</w:t>
            </w:r>
          </w:p>
          <w:p w14:paraId="4FB772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措</w:t>
            </w:r>
          </w:p>
          <w:p w14:paraId="139B5C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w:t>
            </w:r>
          </w:p>
        </w:tc>
        <w:tc>
          <w:tcPr>
            <w:tcW w:w="857" w:type="pct"/>
            <w:vAlign w:val="center"/>
          </w:tcPr>
          <w:p w14:paraId="77F1DC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环保措施</w:t>
            </w:r>
          </w:p>
        </w:tc>
        <w:tc>
          <w:tcPr>
            <w:tcW w:w="3907" w:type="pct"/>
            <w:gridSpan w:val="14"/>
            <w:vAlign w:val="center"/>
          </w:tcPr>
          <w:p w14:paraId="20068AF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污水处理设施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；水文减缓设施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；生态流量保障设施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；区域削减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；依托其他工程措施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2D11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7DB11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07C618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监测计划</w:t>
            </w:r>
          </w:p>
        </w:tc>
        <w:tc>
          <w:tcPr>
            <w:tcW w:w="782" w:type="pct"/>
            <w:gridSpan w:val="2"/>
            <w:vAlign w:val="center"/>
          </w:tcPr>
          <w:p w14:paraId="45766A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67" w:type="pct"/>
            <w:gridSpan w:val="6"/>
            <w:vAlign w:val="center"/>
          </w:tcPr>
          <w:p w14:paraId="46BCFF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环境质量</w:t>
            </w:r>
          </w:p>
        </w:tc>
        <w:tc>
          <w:tcPr>
            <w:tcW w:w="1558" w:type="pct"/>
            <w:gridSpan w:val="6"/>
            <w:vAlign w:val="center"/>
          </w:tcPr>
          <w:p w14:paraId="3E817B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w:t>
            </w:r>
          </w:p>
        </w:tc>
      </w:tr>
      <w:tr w14:paraId="3233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54BD4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22D7E5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2" w:type="pct"/>
            <w:gridSpan w:val="2"/>
            <w:vAlign w:val="center"/>
          </w:tcPr>
          <w:p w14:paraId="1A766B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监测方式</w:t>
            </w:r>
          </w:p>
        </w:tc>
        <w:tc>
          <w:tcPr>
            <w:tcW w:w="1567" w:type="pct"/>
            <w:gridSpan w:val="6"/>
            <w:vAlign w:val="center"/>
          </w:tcPr>
          <w:p w14:paraId="1D4FC7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手动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；自动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cs="Times New Roman"/>
                <w:color w:val="000000" w:themeColor="text1"/>
                <w:sz w:val="21"/>
                <w:szCs w:val="21"/>
                <w:highlight w:val="none"/>
                <w:lang w:eastAsia="zh-CN"/>
                <w14:textFill>
                  <w14:solidFill>
                    <w14:schemeClr w14:val="tx1"/>
                  </w14:solidFill>
                </w14:textFill>
              </w:rPr>
              <w:t>□</w:t>
            </w:r>
          </w:p>
        </w:tc>
        <w:tc>
          <w:tcPr>
            <w:tcW w:w="1558" w:type="pct"/>
            <w:gridSpan w:val="6"/>
            <w:vAlign w:val="center"/>
          </w:tcPr>
          <w:p w14:paraId="1D9D75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手动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；自动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cs="Times New Roman"/>
                <w:color w:val="000000" w:themeColor="text1"/>
                <w:sz w:val="21"/>
                <w:szCs w:val="21"/>
                <w:highlight w:val="none"/>
                <w:lang w:eastAsia="zh-CN"/>
                <w14:textFill>
                  <w14:solidFill>
                    <w14:schemeClr w14:val="tx1"/>
                  </w14:solidFill>
                </w14:textFill>
              </w:rPr>
              <w:t>□</w:t>
            </w:r>
          </w:p>
        </w:tc>
      </w:tr>
      <w:tr w14:paraId="608D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F88F8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218916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2" w:type="pct"/>
            <w:gridSpan w:val="2"/>
            <w:vAlign w:val="center"/>
          </w:tcPr>
          <w:p w14:paraId="768960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1567" w:type="pct"/>
            <w:gridSpan w:val="6"/>
            <w:vAlign w:val="center"/>
          </w:tcPr>
          <w:p w14:paraId="699EA2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58" w:type="pct"/>
            <w:gridSpan w:val="6"/>
            <w:vAlign w:val="center"/>
          </w:tcPr>
          <w:p w14:paraId="1043EA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697E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B578B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67C557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2" w:type="pct"/>
            <w:gridSpan w:val="2"/>
            <w:vAlign w:val="center"/>
          </w:tcPr>
          <w:p w14:paraId="1205BD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p>
        </w:tc>
        <w:tc>
          <w:tcPr>
            <w:tcW w:w="1567" w:type="pct"/>
            <w:gridSpan w:val="6"/>
            <w:vAlign w:val="center"/>
          </w:tcPr>
          <w:p w14:paraId="451874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58" w:type="pct"/>
            <w:gridSpan w:val="6"/>
            <w:vAlign w:val="center"/>
          </w:tcPr>
          <w:p w14:paraId="42FDF8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0D58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D0D26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727C39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污染物排放清单</w:t>
            </w:r>
          </w:p>
        </w:tc>
        <w:tc>
          <w:tcPr>
            <w:tcW w:w="3907" w:type="pct"/>
            <w:gridSpan w:val="14"/>
            <w:vAlign w:val="center"/>
          </w:tcPr>
          <w:p w14:paraId="38698C3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p>
        </w:tc>
      </w:tr>
      <w:tr w14:paraId="1A42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Align w:val="center"/>
          </w:tcPr>
          <w:p w14:paraId="2C9EC8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3907" w:type="pct"/>
            <w:gridSpan w:val="14"/>
            <w:vAlign w:val="center"/>
          </w:tcPr>
          <w:p w14:paraId="7B4B4CD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可以接受</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；不可以接受</w:t>
            </w:r>
            <w:r>
              <w:rPr>
                <w:rFonts w:hint="eastAsia" w:cs="Times New Roman"/>
                <w:color w:val="000000" w:themeColor="text1"/>
                <w:sz w:val="21"/>
                <w:szCs w:val="21"/>
                <w:highlight w:val="none"/>
                <w:lang w:eastAsia="zh-CN"/>
                <w14:textFill>
                  <w14:solidFill>
                    <w14:schemeClr w14:val="tx1"/>
                  </w14:solidFill>
                </w14:textFill>
              </w:rPr>
              <w:t>□</w:t>
            </w:r>
          </w:p>
        </w:tc>
      </w:tr>
      <w:tr w14:paraId="2BEE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6"/>
            <w:vAlign w:val="center"/>
          </w:tcPr>
          <w:p w14:paraId="37D9177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”为勾选项，可√；“（ ）”为内容填写项；“备注”为其他补充内容。</w:t>
            </w:r>
          </w:p>
        </w:tc>
      </w:tr>
    </w:tbl>
    <w:p w14:paraId="106A41C7">
      <w:pPr>
        <w:pStyle w:val="27"/>
        <w:bidi w:val="0"/>
        <w:rPr>
          <w:rFonts w:hint="default"/>
          <w:lang w:val="en-US" w:eastAsia="zh-CN"/>
        </w:rPr>
      </w:pPr>
      <w:r>
        <w:rPr>
          <w:rFonts w:hint="eastAsia"/>
          <w:lang w:val="en-US" w:eastAsia="zh-CN"/>
        </w:rPr>
        <w:t>地下水环境影响分析与评价</w:t>
      </w:r>
    </w:p>
    <w:p w14:paraId="6B24641C">
      <w:pPr>
        <w:pStyle w:val="28"/>
        <w:bidi w:val="0"/>
        <w:rPr>
          <w:rFonts w:hint="default"/>
          <w:lang w:val="en-US" w:eastAsia="zh-CN"/>
        </w:rPr>
      </w:pPr>
      <w:r>
        <w:rPr>
          <w:rFonts w:hint="eastAsia"/>
          <w:lang w:val="en-US" w:eastAsia="zh-CN"/>
        </w:rPr>
        <w:t>区域水文地质条件</w:t>
      </w:r>
    </w:p>
    <w:p w14:paraId="5B233E0B">
      <w:pPr>
        <w:rPr>
          <w:rFonts w:hint="default" w:cs="Times New Roman"/>
          <w:color w:val="000000"/>
          <w:kern w:val="0"/>
          <w:sz w:val="24"/>
          <w:szCs w:val="24"/>
          <w:vertAlign w:val="baseline"/>
          <w:lang w:val="en-US" w:eastAsia="zh-CN" w:bidi="ar"/>
        </w:rPr>
      </w:pPr>
      <w:r>
        <w:rPr>
          <w:rFonts w:hint="default" w:cs="Times New Roman"/>
          <w:color w:val="000000"/>
          <w:kern w:val="0"/>
          <w:sz w:val="24"/>
          <w:szCs w:val="24"/>
          <w:vertAlign w:val="baseline"/>
          <w:lang w:val="en-US" w:eastAsia="zh-CN" w:bidi="ar"/>
        </w:rPr>
        <w:t>本项目评价范围地处天山北麓准噶尔盆地西南边缘、奎屯河冲积平原的中下部，区域上属于奎屯河水文地质单元，区域地形地貌具有一般山前冲洪积倾斜砾质平原及第四纪冲积细土平原共有特征，即由山前冲洪积扇区（山前冲洪积倾斜砾质平原区）、扇缘溢出带区、冲积平原区和下游排泄区组成，为一个较完整的水文地质单元，具有相对独立性，区域地下水流向为</w:t>
      </w:r>
      <w:r>
        <w:rPr>
          <w:rFonts w:hint="eastAsia" w:ascii="宋体" w:hAnsi="宋体" w:eastAsia="宋体" w:cs="宋体"/>
          <w:color w:val="000000"/>
          <w:kern w:val="0"/>
          <w:sz w:val="24"/>
          <w:szCs w:val="24"/>
          <w:vertAlign w:val="baseline"/>
          <w:lang w:val="en-US" w:eastAsia="zh-CN" w:bidi="ar"/>
        </w:rPr>
        <w:t>“由南向北”</w:t>
      </w:r>
      <w:r>
        <w:rPr>
          <w:rFonts w:hint="default" w:cs="Times New Roman"/>
          <w:color w:val="000000"/>
          <w:kern w:val="0"/>
          <w:sz w:val="24"/>
          <w:szCs w:val="24"/>
          <w:vertAlign w:val="baseline"/>
          <w:lang w:val="en-US" w:eastAsia="zh-CN" w:bidi="ar"/>
        </w:rPr>
        <w:t>。</w:t>
      </w:r>
    </w:p>
    <w:p w14:paraId="1363AFCF">
      <w:pPr>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（1）地下水分布特征</w:t>
      </w:r>
    </w:p>
    <w:p w14:paraId="5A8E79EC">
      <w:pPr>
        <w:rPr>
          <w:rFonts w:hint="default" w:cs="Times New Roman"/>
          <w:color w:val="000000"/>
          <w:kern w:val="0"/>
          <w:sz w:val="24"/>
          <w:szCs w:val="24"/>
          <w:vertAlign w:val="baseline"/>
          <w:lang w:val="en-US" w:eastAsia="zh-CN" w:bidi="ar"/>
        </w:rPr>
      </w:pPr>
      <w:r>
        <w:rPr>
          <w:rFonts w:hint="default" w:cs="Times New Roman"/>
          <w:color w:val="000000"/>
          <w:kern w:val="0"/>
          <w:sz w:val="24"/>
          <w:szCs w:val="24"/>
          <w:vertAlign w:val="baseline"/>
          <w:lang w:val="en-US" w:eastAsia="zh-CN" w:bidi="ar"/>
        </w:rPr>
        <w:t>项目所在区域地处天山北麓准噶尔盆地西南边缘、奎屯河冲洪积平原的中下部，区域上属于奎屯河水文地质单元，为一个较完整的水文地质单元。地层以中粗砂、细砂层和粉砂层为主，层间夹有粉土、粉质粘土和粘土，厚度大于300m，为该区域地下水的赋存和运移提供了较好的空间。</w:t>
      </w:r>
    </w:p>
    <w:p w14:paraId="15245E64">
      <w:pPr>
        <w:rPr>
          <w:rFonts w:hint="default" w:cs="Times New Roman"/>
          <w:color w:val="000000"/>
          <w:kern w:val="0"/>
          <w:sz w:val="24"/>
          <w:szCs w:val="24"/>
          <w:vertAlign w:val="baseline"/>
          <w:lang w:val="en-US" w:eastAsia="zh-CN" w:bidi="ar"/>
        </w:rPr>
      </w:pPr>
      <w:r>
        <w:rPr>
          <w:rFonts w:hint="default" w:cs="Times New Roman"/>
          <w:color w:val="000000"/>
          <w:kern w:val="0"/>
          <w:sz w:val="24"/>
          <w:szCs w:val="24"/>
          <w:vertAlign w:val="baseline"/>
          <w:lang w:val="en-US" w:eastAsia="zh-CN" w:bidi="ar"/>
        </w:rPr>
        <w:t>评价区地下水属松散岩类孔隙水，径流方向大体为由南向北，潜水含水层和承压含水层两种含水层类型并存。区域水文地质纵向剖面见图5.</w:t>
      </w:r>
      <w:r>
        <w:rPr>
          <w:rFonts w:hint="eastAsia" w:cs="Times New Roman"/>
          <w:color w:val="000000"/>
          <w:kern w:val="0"/>
          <w:sz w:val="24"/>
          <w:szCs w:val="24"/>
          <w:vertAlign w:val="baseline"/>
          <w:lang w:val="en-US" w:eastAsia="zh-CN" w:bidi="ar"/>
        </w:rPr>
        <w:t>2</w:t>
      </w:r>
      <w:r>
        <w:rPr>
          <w:rFonts w:hint="default" w:cs="Times New Roman"/>
          <w:color w:val="000000"/>
          <w:kern w:val="0"/>
          <w:sz w:val="24"/>
          <w:szCs w:val="24"/>
          <w:vertAlign w:val="baseline"/>
          <w:lang w:val="en-US" w:eastAsia="zh-CN" w:bidi="ar"/>
        </w:rPr>
        <w:t>-1。</w:t>
      </w:r>
    </w:p>
    <w:p w14:paraId="11770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kern w:val="0"/>
          <w:sz w:val="24"/>
          <w:szCs w:val="24"/>
          <w:vertAlign w:val="baseline"/>
          <w:lang w:val="en-US" w:eastAsia="zh-CN" w:bidi="ar"/>
        </w:rPr>
      </w:pPr>
    </w:p>
    <w:p w14:paraId="0856CF23">
      <w:pPr>
        <w:ind w:firstLine="48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潜水含水层</w:t>
      </w:r>
    </w:p>
    <w:p w14:paraId="3A09E739">
      <w:pPr>
        <w:ind w:firstLine="480"/>
        <w:rPr>
          <w:rFonts w:ascii="Times New Roman" w:hAnsi="Times New Roman" w:eastAsia="宋体" w:cs="Times New Roman"/>
        </w:rPr>
      </w:pPr>
      <w:r>
        <w:rPr>
          <w:rFonts w:hint="eastAsia" w:ascii="Times New Roman" w:hAnsi="Times New Roman" w:eastAsia="宋体" w:cs="Times New Roman"/>
        </w:rPr>
        <w:t>本区域</w:t>
      </w:r>
      <w:r>
        <w:rPr>
          <w:rFonts w:ascii="Times New Roman" w:hAnsi="Times New Roman" w:eastAsia="宋体" w:cs="Times New Roman"/>
        </w:rPr>
        <w:t>地层地表以粉土为主，层厚20～30m，为弱透水层，潜水含水层主要分</w:t>
      </w:r>
    </w:p>
    <w:p w14:paraId="3096B681">
      <w:pPr>
        <w:ind w:firstLine="0" w:firstLineChars="0"/>
        <w:rPr>
          <w:rFonts w:ascii="Times New Roman" w:hAnsi="Times New Roman" w:eastAsia="宋体" w:cs="Times New Roman"/>
        </w:rPr>
      </w:pPr>
      <w:r>
        <w:rPr>
          <w:rFonts w:ascii="Times New Roman" w:hAnsi="Times New Roman" w:eastAsia="宋体" w:cs="Times New Roman"/>
        </w:rPr>
        <w:t>布在20～30m以下，含水砂层3～6层，岩性主要以粉细砂为主，总厚度约15～18m，中间夹厚度不等的粉土或粉质粘土弱透水层，底板埋深50～80m，在此之上无稳定隔水层。</w:t>
      </w:r>
    </w:p>
    <w:p w14:paraId="115428CA">
      <w:pPr>
        <w:ind w:firstLine="480"/>
        <w:rPr>
          <w:rFonts w:ascii="Times New Roman" w:hAnsi="Times New Roman" w:eastAsia="宋体" w:cs="Times New Roman"/>
        </w:rPr>
      </w:pPr>
      <w:r>
        <w:rPr>
          <w:rFonts w:ascii="Times New Roman" w:hAnsi="Times New Roman" w:eastAsia="宋体" w:cs="Times New Roman"/>
        </w:rPr>
        <w:t>根据区内水文孔换算为200mm管径，推测5m降深出水量，</w:t>
      </w:r>
      <w:r>
        <w:rPr>
          <w:rFonts w:hint="eastAsia" w:ascii="Times New Roman" w:hAnsi="Times New Roman" w:eastAsia="宋体" w:cs="Times New Roman"/>
        </w:rPr>
        <w:t>区域内</w:t>
      </w:r>
      <w:r>
        <w:rPr>
          <w:rFonts w:ascii="Times New Roman" w:hAnsi="Times New Roman" w:eastAsia="宋体" w:cs="Times New Roman"/>
        </w:rPr>
        <w:t>浅层含水层在西部一带单孔出水量100～1000m</w:t>
      </w:r>
      <w:r>
        <w:rPr>
          <w:rFonts w:ascii="Times New Roman" w:hAnsi="Times New Roman" w:eastAsia="宋体" w:cs="Times New Roman"/>
          <w:vertAlign w:val="superscript"/>
        </w:rPr>
        <w:t>3</w:t>
      </w:r>
      <w:r>
        <w:rPr>
          <w:rFonts w:ascii="Times New Roman" w:hAnsi="Times New Roman" w:eastAsia="宋体" w:cs="Times New Roman"/>
        </w:rPr>
        <w:t>/d，中南部出水量较少，小于100m</w:t>
      </w:r>
      <w:r>
        <w:rPr>
          <w:rFonts w:ascii="Times New Roman" w:hAnsi="Times New Roman" w:eastAsia="宋体" w:cs="Times New Roman"/>
          <w:vertAlign w:val="superscript"/>
        </w:rPr>
        <w:t>3</w:t>
      </w:r>
      <w:r>
        <w:rPr>
          <w:rFonts w:ascii="Times New Roman" w:hAnsi="Times New Roman" w:eastAsia="宋体" w:cs="Times New Roman"/>
        </w:rPr>
        <w:t>/d。水位埋深较浅，一般5～6m，个别大于7m。矿化度除在西部129团附近小于3g/L外，其他广大地区大于3g/L。水化学类型大部分为SO</w:t>
      </w:r>
      <w:r>
        <w:rPr>
          <w:rFonts w:ascii="Times New Roman" w:hAnsi="Times New Roman" w:eastAsia="宋体" w:cs="Times New Roman"/>
          <w:vertAlign w:val="subscript"/>
        </w:rPr>
        <w:t>4</w:t>
      </w:r>
      <w:r>
        <w:rPr>
          <w:rFonts w:ascii="Times New Roman" w:hAnsi="Times New Roman" w:eastAsia="宋体" w:cs="Times New Roman"/>
        </w:rPr>
        <w:t>•Cl-Na•Ca（或 Ca•Na）型水，西部零星分布Cl•HCO</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-Na或SO</w:t>
      </w:r>
      <w:r>
        <w:rPr>
          <w:rFonts w:ascii="Times New Roman" w:hAnsi="Times New Roman" w:eastAsia="宋体" w:cs="Times New Roman"/>
          <w:vertAlign w:val="subscript"/>
        </w:rPr>
        <w:t>4</w:t>
      </w:r>
      <w:r>
        <w:rPr>
          <w:rFonts w:ascii="Times New Roman" w:hAnsi="Times New Roman" w:eastAsia="宋体" w:cs="Times New Roman"/>
        </w:rPr>
        <w:t>•Cl-Na型水。</w:t>
      </w:r>
    </w:p>
    <w:p w14:paraId="7CD42FB5">
      <w:pPr>
        <w:ind w:firstLine="48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承压含水层</w:t>
      </w:r>
    </w:p>
    <w:p w14:paraId="457A4F99">
      <w:pPr>
        <w:ind w:firstLine="480"/>
        <w:rPr>
          <w:rFonts w:ascii="Times New Roman" w:hAnsi="Times New Roman" w:eastAsia="宋体" w:cs="Times New Roman"/>
        </w:rPr>
      </w:pPr>
      <w:r>
        <w:rPr>
          <w:rFonts w:ascii="Times New Roman" w:hAnsi="Times New Roman" w:eastAsia="宋体" w:cs="Times New Roman"/>
        </w:rPr>
        <w:t>300m深度内可见承压含水层组三组。第一组承压含水层的隔水顶板埋深为60～77m，含水层厚度为53～70m，岩性以粉细砂为主，底板埋深为120～139m。第一组承压含水层的隔水底板亦为第二组承压含水层的隔水顶板，含水层厚度4～22m，含水层岩性为粉细砂，隔水底板埋深为183～193m，厚度为11～6m，岩性为粉质粘土。第二组承压含水层底板以下至300m之间为第三组承压含水层，含水层岩性为细砂及中细砂。</w:t>
      </w:r>
    </w:p>
    <w:p w14:paraId="7A4D0DE2">
      <w:pPr>
        <w:rPr>
          <w:rFonts w:hint="default" w:cs="Times New Roman"/>
          <w:color w:val="000000"/>
          <w:kern w:val="0"/>
          <w:sz w:val="24"/>
          <w:szCs w:val="24"/>
          <w:vertAlign w:val="baseline"/>
          <w:lang w:val="en-US" w:eastAsia="zh-CN" w:bidi="ar"/>
        </w:rPr>
      </w:pPr>
      <w:r>
        <w:rPr>
          <w:rFonts w:ascii="Times New Roman" w:hAnsi="Times New Roman" w:eastAsia="宋体" w:cs="Times New Roman"/>
        </w:rPr>
        <w:t>根据区水文孔换算为200mm管径，推测5m降深出水量，</w:t>
      </w:r>
      <w:r>
        <w:rPr>
          <w:rFonts w:hint="eastAsia" w:ascii="Times New Roman" w:hAnsi="Times New Roman" w:eastAsia="宋体" w:cs="Times New Roman"/>
        </w:rPr>
        <w:t>区域内</w:t>
      </w:r>
      <w:r>
        <w:rPr>
          <w:rFonts w:ascii="Times New Roman" w:hAnsi="Times New Roman" w:eastAsia="宋体" w:cs="Times New Roman"/>
        </w:rPr>
        <w:t>承压含水层单孔出水量为100～1000m</w:t>
      </w:r>
      <w:r>
        <w:rPr>
          <w:rFonts w:ascii="Times New Roman" w:hAnsi="Times New Roman" w:eastAsia="宋体" w:cs="Times New Roman"/>
          <w:vertAlign w:val="superscript"/>
        </w:rPr>
        <w:t>3</w:t>
      </w:r>
      <w:r>
        <w:rPr>
          <w:rFonts w:ascii="Times New Roman" w:hAnsi="Times New Roman" w:eastAsia="宋体" w:cs="Times New Roman"/>
        </w:rPr>
        <w:t>/d，单位涌水量为0.348～0.968L/m•s。水位埋深较深，一般12～15m，个别大于20m。矿化度基本小于1.0g/L，但大部分氟离子含量超标，水化学类型为HCO</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-Na或HCO</w:t>
      </w:r>
      <w:r>
        <w:rPr>
          <w:rFonts w:ascii="Times New Roman" w:hAnsi="Times New Roman" w:eastAsia="宋体" w:cs="Times New Roman"/>
          <w:vertAlign w:val="subscript"/>
        </w:rPr>
        <w:t>3</w:t>
      </w:r>
      <w:r>
        <w:rPr>
          <w:rFonts w:ascii="Times New Roman" w:hAnsi="Times New Roman" w:eastAsia="宋体" w:cs="Times New Roman"/>
        </w:rPr>
        <w:t>-Na型水。</w:t>
      </w:r>
    </w:p>
    <w:p w14:paraId="5F11A349">
      <w:pPr>
        <w:pStyle w:val="2"/>
        <w:rPr>
          <w:rFonts w:hint="default" w:cs="Times New Roman"/>
          <w:color w:val="000000"/>
          <w:kern w:val="0"/>
          <w:sz w:val="24"/>
          <w:szCs w:val="24"/>
          <w:vertAlign w:val="baseline"/>
          <w:lang w:val="en-US" w:eastAsia="zh-CN" w:bidi="ar"/>
        </w:rPr>
      </w:pPr>
      <w:r>
        <w:rPr>
          <w:rFonts w:hint="eastAsia" w:cs="Times New Roman"/>
          <w:color w:val="000000"/>
          <w:kern w:val="0"/>
          <w:sz w:val="24"/>
          <w:szCs w:val="24"/>
          <w:vertAlign w:val="baseline"/>
          <w:lang w:val="en-US" w:eastAsia="zh-CN" w:bidi="ar"/>
        </w:rPr>
        <w:t>（2）地下水补、径、排条件</w:t>
      </w:r>
    </w:p>
    <w:p w14:paraId="42C8631E">
      <w:pPr>
        <w:ind w:firstLine="480"/>
      </w:pPr>
      <w:r>
        <w:rPr>
          <w:rFonts w:hint="eastAsia"/>
          <w:lang w:val="en-US" w:eastAsia="zh-CN"/>
        </w:rPr>
        <w:t>A.</w:t>
      </w:r>
      <w:r>
        <w:rPr>
          <w:rFonts w:hint="eastAsia"/>
        </w:rPr>
        <w:t>地下水的补给</w:t>
      </w:r>
    </w:p>
    <w:p w14:paraId="32460536">
      <w:pPr>
        <w:ind w:firstLine="480"/>
      </w:pPr>
      <w:r>
        <w:rPr>
          <w:rFonts w:hint="eastAsia"/>
        </w:rPr>
        <w:t>评价区域地下水的补给主要是侧向径流流入补给、地表水的垂向入渗补给和大气降水渗入补给，其中地表水的垂向入渗补给包括渠道水、田间灌溉水和水库水三种渗入补给。</w:t>
      </w:r>
    </w:p>
    <w:p w14:paraId="1CBBFAEC">
      <w:pPr>
        <w:ind w:firstLine="480"/>
      </w:pPr>
      <w:r>
        <w:rPr>
          <w:rFonts w:hint="eastAsia"/>
        </w:rPr>
        <w:t>①地下水侧向流入补给</w:t>
      </w:r>
    </w:p>
    <w:p w14:paraId="6112228A">
      <w:pPr>
        <w:ind w:firstLine="480"/>
      </w:pPr>
      <w:r>
        <w:rPr>
          <w:rFonts w:hint="eastAsia"/>
        </w:rPr>
        <w:t>本项目南界为地下水流入断面，断面以南在地貌上属于冲洪积倾斜平原区的扇缘溢出带区。该地貌单元地层颗粒相对较粗，地层结构较为单一，渗透性较好。地下水在接受了大量补给后，受较大的水力坡度和较粗的含水层岩性的影响，以径流形式侧向补给下游区。</w:t>
      </w:r>
    </w:p>
    <w:p w14:paraId="4610F3B4">
      <w:pPr>
        <w:ind w:firstLine="480"/>
      </w:pPr>
      <w:r>
        <w:rPr>
          <w:rFonts w:hint="eastAsia"/>
        </w:rPr>
        <w:t>②渠道水渗入补给</w:t>
      </w:r>
    </w:p>
    <w:p w14:paraId="76159F88">
      <w:pPr>
        <w:ind w:firstLine="480"/>
      </w:pPr>
      <w:r>
        <w:rPr>
          <w:rFonts w:hint="eastAsia"/>
        </w:rPr>
        <w:t>项目所在区域位于129团</w:t>
      </w:r>
      <w:r>
        <w:rPr>
          <w:rFonts w:hint="eastAsia"/>
          <w:lang w:val="en-US" w:eastAsia="zh-CN"/>
        </w:rPr>
        <w:t>13连</w:t>
      </w:r>
      <w:r>
        <w:rPr>
          <w:rFonts w:hint="eastAsia"/>
        </w:rPr>
        <w:t>一带，周边分布有耕地，另外还有引水干渠，由此形成测区各级渠道纵横交错的水系网，</w:t>
      </w:r>
      <w:r>
        <w:rPr>
          <w:rFonts w:hint="eastAsia"/>
          <w:lang w:val="en-US" w:eastAsia="zh-CN"/>
        </w:rPr>
        <w:t>引水</w:t>
      </w:r>
      <w:r>
        <w:rPr>
          <w:rFonts w:hint="eastAsia"/>
        </w:rPr>
        <w:t>干渠及区内使用渠道总长度为数千公里。渠道防渗完好率仅占一半，干、支渠输水线路长，各渠床及渠堤土质多为粉土，各级渠系年引水量大，使渠道渗漏成为区内潜水及中浅微承压水主要的补给源。</w:t>
      </w:r>
    </w:p>
    <w:p w14:paraId="62ECF5F8">
      <w:pPr>
        <w:ind w:firstLine="480"/>
      </w:pPr>
      <w:r>
        <w:rPr>
          <w:rFonts w:hint="eastAsia"/>
        </w:rPr>
        <w:t>③田间灌溉水渗入补给</w:t>
      </w:r>
    </w:p>
    <w:p w14:paraId="565C6468">
      <w:pPr>
        <w:ind w:firstLine="480"/>
      </w:pPr>
      <w:r>
        <w:rPr>
          <w:rFonts w:hint="eastAsia"/>
        </w:rPr>
        <w:t>项目所在区域内耕作层多为粉土与粉细砂、粉质粘土交互沉积组成，渗透性较好。区域现状综合净灌溉定额相对较高，由此，与耕作层及包气带良好的渗透性相结合，使田间灌溉水渗入条件较好，渗入量较为可观，成为地下水的主要补给源之一。</w:t>
      </w:r>
    </w:p>
    <w:p w14:paraId="34BBE234">
      <w:pPr>
        <w:ind w:firstLine="480"/>
      </w:pPr>
      <w:r>
        <w:rPr>
          <w:rFonts w:hint="eastAsia" w:ascii="宋体" w:hAnsi="宋体" w:cs="宋体"/>
        </w:rPr>
        <w:t>④</w:t>
      </w:r>
      <w:r>
        <w:t>水库水入渗补给</w:t>
      </w:r>
    </w:p>
    <w:p w14:paraId="29537536">
      <w:pPr>
        <w:ind w:firstLine="480"/>
      </w:pPr>
      <w:r>
        <w:rPr>
          <w:rFonts w:hint="eastAsia"/>
        </w:rPr>
        <w:t>项目所在区域西侧分布两座水库，分别为车排子水库和奎屯水库，车排子水库位于项目区正西面约22km，奎屯水库位于项目区西南偏西约21km，总有效库容为57×10</w:t>
      </w:r>
      <w:r>
        <w:rPr>
          <w:rFonts w:hint="eastAsia"/>
          <w:vertAlign w:val="superscript"/>
        </w:rPr>
        <w:t>4</w:t>
      </w:r>
      <w:r>
        <w:rPr>
          <w:rFonts w:hint="eastAsia"/>
        </w:rPr>
        <w:t>m</w:t>
      </w:r>
      <w:r>
        <w:rPr>
          <w:rFonts w:hint="eastAsia"/>
          <w:vertAlign w:val="superscript"/>
        </w:rPr>
        <w:t>3</w:t>
      </w:r>
      <w:r>
        <w:rPr>
          <w:rFonts w:hint="eastAsia"/>
        </w:rPr>
        <w:t>。根据前人实测，水库坝后形成的宽度200～500m等的沼泽化带，表明库区及坝体存在着渗漏，对地下水起着重要补给作用。</w:t>
      </w:r>
    </w:p>
    <w:p w14:paraId="08900CB5">
      <w:pPr>
        <w:ind w:firstLine="480"/>
      </w:pPr>
      <w:r>
        <w:rPr>
          <w:rFonts w:hint="eastAsia" w:ascii="宋体" w:hAnsi="宋体" w:cs="宋体"/>
        </w:rPr>
        <w:t>⑤</w:t>
      </w:r>
      <w:r>
        <w:t>大气降水渗入补给</w:t>
      </w:r>
    </w:p>
    <w:p w14:paraId="2CD13FD1">
      <w:pPr>
        <w:ind w:firstLine="480"/>
      </w:pPr>
      <w:r>
        <w:rPr>
          <w:rFonts w:hint="eastAsia"/>
        </w:rPr>
        <w:t>本项目所在区域</w:t>
      </w:r>
      <w:r>
        <w:t>地处内陆腹地，气候干旱，降水稀少，多年平均降水量仅为204.5mm，有效降雨量为135.3mm，对地下水有一定渗入补给，但补给意义不大。</w:t>
      </w:r>
    </w:p>
    <w:p w14:paraId="17402BA8">
      <w:pPr>
        <w:ind w:firstLine="480"/>
      </w:pPr>
      <w:r>
        <w:rPr>
          <w:rFonts w:hint="eastAsia"/>
          <w:lang w:val="en-US" w:eastAsia="zh-CN"/>
        </w:rPr>
        <w:t>B.</w:t>
      </w:r>
      <w:r>
        <w:t>地下水径流</w:t>
      </w:r>
    </w:p>
    <w:p w14:paraId="568F197B">
      <w:pPr>
        <w:ind w:firstLine="480"/>
      </w:pPr>
      <w:r>
        <w:t>地下水的径流条件主要受地形条件和含水层介质所控制。</w:t>
      </w:r>
      <w:r>
        <w:rPr>
          <w:rFonts w:hint="eastAsia"/>
        </w:rPr>
        <w:t>区域</w:t>
      </w:r>
      <w:r>
        <w:t>地形开阔，地势东南高、西北低，地形坡降1‰～2.0‰。含水介质以细砂和粉细砂为主，由南向北逐渐变细，但其总体在平面上径流条件相差不大。</w:t>
      </w:r>
      <w:r>
        <w:rPr>
          <w:rFonts w:hint="eastAsia"/>
        </w:rPr>
        <w:t>区域内</w:t>
      </w:r>
      <w:r>
        <w:t>潜水和承压水主流基本一致，均为由南向北，稍偏西，总体来说</w:t>
      </w:r>
      <w:r>
        <w:rPr>
          <w:rFonts w:hint="eastAsia"/>
        </w:rPr>
        <w:t>区域</w:t>
      </w:r>
      <w:r>
        <w:t>内地下水流场较为简单。</w:t>
      </w:r>
    </w:p>
    <w:p w14:paraId="4B68B582">
      <w:pPr>
        <w:ind w:firstLine="480"/>
      </w:pPr>
      <w:r>
        <w:t>潜水由区</w:t>
      </w:r>
      <w:r>
        <w:rPr>
          <w:rFonts w:hint="eastAsia"/>
        </w:rPr>
        <w:t>域</w:t>
      </w:r>
      <w:r>
        <w:t>南部边界流入测区，南部水力坡度约为1.0‰，中东部由于受渠水、田灌水入渗及人工开采影响，地下水径流相对加强，水力坡度增大到2.0‰左右，至北部径流放缓，降为1.0‰左右。承压水径流因受开采强度影响，较潜水径流较快，但较为稳定，水力坡度平均为1.6‰。</w:t>
      </w:r>
    </w:p>
    <w:p w14:paraId="32CACA53">
      <w:pPr>
        <w:ind w:firstLine="480"/>
      </w:pPr>
      <w:r>
        <w:rPr>
          <w:rFonts w:hint="eastAsia"/>
          <w:lang w:val="en-US" w:eastAsia="zh-CN"/>
        </w:rPr>
        <w:t>C.</w:t>
      </w:r>
      <w:r>
        <w:t>地下水的排泄</w:t>
      </w:r>
    </w:p>
    <w:p w14:paraId="591579BA">
      <w:pPr>
        <w:bidi w:val="0"/>
        <w:rPr>
          <w:rFonts w:hint="default"/>
          <w:lang w:val="en-US" w:eastAsia="zh-CN"/>
        </w:rPr>
      </w:pPr>
      <w:r>
        <w:rPr>
          <w:rFonts w:hint="eastAsia"/>
        </w:rPr>
        <w:t>区域</w:t>
      </w:r>
      <w:r>
        <w:t>内潜水的排泄方式有蒸发蒸腾、河沟排泄、排渠排泄、地下水侧向排泄及人工开采等，承压水则主要为地下水侧向排泄及人工开采。</w:t>
      </w:r>
      <w:r>
        <w:rPr>
          <w:rFonts w:hint="eastAsia"/>
        </w:rPr>
        <w:t>区域内</w:t>
      </w:r>
      <w:r>
        <w:t>水面多年蒸发量由奎屯气象站和车牌子气象站实测平均1755（E20），且有部分区域潜水位埋深小于5m，因此，蒸发、蒸腾是本区地下水主要的排泄方式之一，近年由于农田用水增加，人工开采影响比较明显，开采集中区已形成降落漏斗，下游断面还存在地下侧向径流排泄。</w:t>
      </w:r>
    </w:p>
    <w:p w14:paraId="5DB98E67">
      <w:pPr>
        <w:bidi w:val="0"/>
        <w:rPr>
          <w:rFonts w:hint="default"/>
          <w:lang w:val="en-US" w:eastAsia="zh-CN"/>
        </w:rPr>
      </w:pPr>
      <w:r>
        <w:rPr>
          <w:rFonts w:hint="eastAsia"/>
          <w:lang w:val="en-US" w:eastAsia="zh-CN"/>
        </w:rPr>
        <w:t>（3）地下水化学特征</w:t>
      </w:r>
    </w:p>
    <w:p w14:paraId="48A6D26D">
      <w:pPr>
        <w:bidi w:val="0"/>
        <w:rPr>
          <w:rFonts w:hint="default"/>
          <w:lang w:val="en-US" w:eastAsia="zh-CN"/>
        </w:rPr>
      </w:pPr>
      <w:r>
        <w:rPr>
          <w:rFonts w:hint="default"/>
          <w:lang w:val="en-US" w:eastAsia="zh-CN"/>
        </w:rPr>
        <w:t>地下水的化学特征主要受气候条件、地层岩性、地貌条件及地下水的补给、径流、排泄条件控制。项目区位置的总体化学特征为地下水化学类型以潜水：扇区为HCO</w:t>
      </w:r>
      <w:r>
        <w:rPr>
          <w:rFonts w:hint="default"/>
          <w:vertAlign w:val="subscript"/>
          <w:lang w:val="en-US" w:eastAsia="zh-CN"/>
        </w:rPr>
        <w:t>3</w:t>
      </w:r>
      <w:r>
        <w:rPr>
          <w:rFonts w:hint="default"/>
          <w:lang w:val="en-US" w:eastAsia="zh-CN"/>
        </w:rPr>
        <w:t>型水，矿化度0.2-0.5g/L，平原区为HCO</w:t>
      </w:r>
      <w:r>
        <w:rPr>
          <w:rFonts w:hint="default"/>
          <w:vertAlign w:val="subscript"/>
          <w:lang w:val="en-US" w:eastAsia="zh-CN"/>
        </w:rPr>
        <w:t>3</w:t>
      </w:r>
      <w:r>
        <w:rPr>
          <w:rFonts w:hint="default"/>
          <w:lang w:val="en-US" w:eastAsia="zh-CN"/>
        </w:rPr>
        <w:t>-SO</w:t>
      </w:r>
      <w:r>
        <w:rPr>
          <w:rFonts w:hint="default"/>
          <w:vertAlign w:val="subscript"/>
          <w:lang w:val="en-US" w:eastAsia="zh-CN"/>
        </w:rPr>
        <w:t>4</w:t>
      </w:r>
      <w:r>
        <w:rPr>
          <w:rFonts w:hint="default"/>
          <w:lang w:val="en-US" w:eastAsia="zh-CN"/>
        </w:rPr>
        <w:t>及SO</w:t>
      </w:r>
      <w:r>
        <w:rPr>
          <w:rFonts w:hint="default"/>
          <w:vertAlign w:val="subscript"/>
          <w:lang w:val="en-US" w:eastAsia="zh-CN"/>
        </w:rPr>
        <w:t>4</w:t>
      </w:r>
      <w:r>
        <w:rPr>
          <w:rFonts w:hint="default"/>
          <w:lang w:val="en-US" w:eastAsia="zh-CN"/>
        </w:rPr>
        <w:t>-HCO</w:t>
      </w:r>
      <w:r>
        <w:rPr>
          <w:rFonts w:hint="default"/>
          <w:vertAlign w:val="subscript"/>
          <w:lang w:val="en-US" w:eastAsia="zh-CN"/>
        </w:rPr>
        <w:t>3</w:t>
      </w:r>
      <w:r>
        <w:rPr>
          <w:rFonts w:hint="default"/>
          <w:lang w:val="en-US" w:eastAsia="zh-CN"/>
        </w:rPr>
        <w:t>型水，矿化度1-5g/L，沙漠边缘为SO</w:t>
      </w:r>
      <w:r>
        <w:rPr>
          <w:rFonts w:hint="default"/>
          <w:vertAlign w:val="subscript"/>
          <w:lang w:val="en-US" w:eastAsia="zh-CN"/>
        </w:rPr>
        <w:t>4</w:t>
      </w:r>
      <w:r>
        <w:rPr>
          <w:rFonts w:hint="default"/>
          <w:lang w:val="en-US" w:eastAsia="zh-CN"/>
        </w:rPr>
        <w:t>-Cl型水，矿化度大于10g/L，由南而北，潜水水质呈现恶化趋势。</w:t>
      </w:r>
    </w:p>
    <w:p w14:paraId="52361722">
      <w:pPr>
        <w:bidi w:val="0"/>
        <w:rPr>
          <w:rFonts w:hint="default"/>
          <w:lang w:val="en-US" w:eastAsia="zh-CN"/>
        </w:rPr>
      </w:pPr>
      <w:r>
        <w:rPr>
          <w:rFonts w:hint="default"/>
          <w:lang w:val="en-US" w:eastAsia="zh-CN"/>
        </w:rPr>
        <w:t>浅层承压一自流水：顶板埋深(50-80m），为SO</w:t>
      </w:r>
      <w:r>
        <w:rPr>
          <w:rFonts w:hint="default"/>
          <w:vertAlign w:val="subscript"/>
          <w:lang w:val="en-US" w:eastAsia="zh-CN"/>
        </w:rPr>
        <w:t>4</w:t>
      </w:r>
      <w:r>
        <w:rPr>
          <w:rFonts w:hint="default"/>
          <w:lang w:val="en-US" w:eastAsia="zh-CN"/>
        </w:rPr>
        <w:t>-HCO</w:t>
      </w:r>
      <w:r>
        <w:rPr>
          <w:rFonts w:hint="default"/>
          <w:vertAlign w:val="subscript"/>
          <w:lang w:val="en-US" w:eastAsia="zh-CN"/>
        </w:rPr>
        <w:t>3</w:t>
      </w:r>
      <w:r>
        <w:rPr>
          <w:rFonts w:hint="default"/>
          <w:lang w:val="en-US" w:eastAsia="zh-CN"/>
        </w:rPr>
        <w:t>型水，及SO</w:t>
      </w:r>
      <w:r>
        <w:rPr>
          <w:rFonts w:hint="default"/>
          <w:vertAlign w:val="subscript"/>
          <w:lang w:val="en-US" w:eastAsia="zh-CN"/>
        </w:rPr>
        <w:t>4</w:t>
      </w:r>
      <w:r>
        <w:rPr>
          <w:rFonts w:hint="default"/>
          <w:lang w:val="en-US" w:eastAsia="zh-CN"/>
        </w:rPr>
        <w:t>-Cl型水，矿化度1-10g/L，中深层承压-自流水（顶极埋深大于100m），为HCO</w:t>
      </w:r>
      <w:r>
        <w:rPr>
          <w:rFonts w:hint="default"/>
          <w:vertAlign w:val="subscript"/>
          <w:lang w:val="en-US" w:eastAsia="zh-CN"/>
        </w:rPr>
        <w:t>3</w:t>
      </w:r>
      <w:r>
        <w:rPr>
          <w:rFonts w:hint="default"/>
          <w:lang w:val="en-US" w:eastAsia="zh-CN"/>
        </w:rPr>
        <w:t>-SO</w:t>
      </w:r>
      <w:r>
        <w:rPr>
          <w:rFonts w:hint="default"/>
          <w:vertAlign w:val="subscript"/>
          <w:lang w:val="en-US" w:eastAsia="zh-CN"/>
        </w:rPr>
        <w:t>4</w:t>
      </w:r>
      <w:r>
        <w:rPr>
          <w:rFonts w:hint="default"/>
          <w:lang w:val="en-US" w:eastAsia="zh-CN"/>
        </w:rPr>
        <w:t>型水，矿化度为0.5-lg/L。</w:t>
      </w:r>
    </w:p>
    <w:p w14:paraId="1E762895">
      <w:pPr>
        <w:bidi w:val="0"/>
        <w:rPr>
          <w:rFonts w:hint="default"/>
          <w:lang w:val="en-US" w:eastAsia="zh-CN"/>
        </w:rPr>
      </w:pPr>
      <w:r>
        <w:rPr>
          <w:rFonts w:hint="eastAsia"/>
          <w:lang w:val="en-US" w:eastAsia="zh-CN"/>
        </w:rPr>
        <w:t>（4）地下水污染途径</w:t>
      </w:r>
    </w:p>
    <w:p w14:paraId="37D63BC8">
      <w:pPr>
        <w:bidi w:val="0"/>
        <w:rPr>
          <w:rFonts w:hint="default"/>
          <w:lang w:val="en-US" w:eastAsia="zh-CN"/>
        </w:rPr>
      </w:pPr>
      <w:r>
        <w:rPr>
          <w:rFonts w:hint="default"/>
          <w:lang w:val="en-US" w:eastAsia="zh-CN"/>
        </w:rPr>
        <w:t>地下水污染途径一般分为四种，即间接入渗型、连续入渗型、越流型和径流型。</w:t>
      </w:r>
    </w:p>
    <w:p w14:paraId="2F078218">
      <w:pPr>
        <w:bidi w:val="0"/>
        <w:rPr>
          <w:rFonts w:hint="default"/>
          <w:lang w:val="en-US" w:eastAsia="zh-CN"/>
        </w:rPr>
      </w:pPr>
      <w:r>
        <w:rPr>
          <w:rFonts w:hint="eastAsia"/>
          <w:lang w:val="en-US" w:eastAsia="zh-CN"/>
        </w:rPr>
        <w:t>①</w:t>
      </w:r>
      <w:r>
        <w:rPr>
          <w:rFonts w:hint="default"/>
          <w:lang w:val="en-US" w:eastAsia="zh-CN"/>
        </w:rPr>
        <w:t>间接入渗型</w:t>
      </w:r>
    </w:p>
    <w:p w14:paraId="2E22ED86">
      <w:pPr>
        <w:bidi w:val="0"/>
        <w:rPr>
          <w:rFonts w:hint="default"/>
          <w:lang w:val="en-US" w:eastAsia="zh-CN"/>
        </w:rPr>
      </w:pPr>
      <w:r>
        <w:rPr>
          <w:rFonts w:hint="default"/>
          <w:lang w:val="en-US" w:eastAsia="zh-CN"/>
        </w:rPr>
        <w:t>间接入渗型的特点是污染物通过大气降水或灌溉水的淋滤，使固体废弃物、表层土壤或地层中的有毒或有害物质周期性从污染源通过包气带土层渗入含水层。这种渗入形式一般呈非饱水状态的淋雨状渗流形式，或者呈短时间的饱水状态连续渗流形式。此类污水，无论在其范围或浓度上，均可能有明显的季节性变化，受污染的对象主要是浅层地下水</w:t>
      </w:r>
    </w:p>
    <w:p w14:paraId="3C517962">
      <w:pPr>
        <w:bidi w:val="0"/>
        <w:rPr>
          <w:rFonts w:hint="default"/>
          <w:lang w:val="en-US" w:eastAsia="zh-CN"/>
        </w:rPr>
      </w:pPr>
      <w:r>
        <w:rPr>
          <w:rFonts w:hint="eastAsia"/>
          <w:lang w:val="en-US" w:eastAsia="zh-CN"/>
        </w:rPr>
        <w:t>②</w:t>
      </w:r>
      <w:r>
        <w:rPr>
          <w:rFonts w:hint="default"/>
          <w:lang w:val="en-US" w:eastAsia="zh-CN"/>
        </w:rPr>
        <w:t>连续入渗型</w:t>
      </w:r>
    </w:p>
    <w:p w14:paraId="1145915D">
      <w:pPr>
        <w:bidi w:val="0"/>
        <w:rPr>
          <w:rFonts w:hint="default"/>
          <w:lang w:val="en-US" w:eastAsia="zh-CN"/>
        </w:rPr>
      </w:pPr>
      <w:r>
        <w:rPr>
          <w:rFonts w:hint="default"/>
          <w:lang w:val="en-US" w:eastAsia="zh-CN"/>
        </w:rPr>
        <w:t>连续入渗型的特点是污染物随各种液体废弃物不断地经包气带渗入含水层</w:t>
      </w:r>
      <w:r>
        <w:rPr>
          <w:rFonts w:hint="eastAsia"/>
          <w:lang w:val="en-US" w:eastAsia="zh-CN"/>
        </w:rPr>
        <w:t>，</w:t>
      </w:r>
      <w:r>
        <w:rPr>
          <w:rFonts w:hint="default"/>
          <w:lang w:val="en-US" w:eastAsia="zh-CN"/>
        </w:rPr>
        <w:t>这种情况下或者包气带完全饱水，呈连续入渗的形式</w:t>
      </w:r>
      <w:r>
        <w:rPr>
          <w:rFonts w:hint="eastAsia"/>
          <w:lang w:val="en-US" w:eastAsia="zh-CN"/>
        </w:rPr>
        <w:t>，</w:t>
      </w:r>
      <w:r>
        <w:rPr>
          <w:rFonts w:hint="default"/>
          <w:lang w:val="en-US" w:eastAsia="zh-CN"/>
        </w:rPr>
        <w:t>或者是包气带上部的表土层完全饱水呈连续渗流形式，而其下部(下包气带)呈非饱水的淋雨状的渗流形式，渗入含水层。这种类型的污染对象亦主要是浅水含水层。</w:t>
      </w:r>
    </w:p>
    <w:p w14:paraId="07879091">
      <w:pPr>
        <w:bidi w:val="0"/>
        <w:rPr>
          <w:rFonts w:hint="default"/>
          <w:lang w:val="en-US" w:eastAsia="zh-CN"/>
        </w:rPr>
      </w:pPr>
      <w:r>
        <w:rPr>
          <w:rFonts w:hint="eastAsia"/>
          <w:lang w:val="en-US" w:eastAsia="zh-CN"/>
        </w:rPr>
        <w:t>③</w:t>
      </w:r>
      <w:r>
        <w:rPr>
          <w:rFonts w:hint="default"/>
          <w:lang w:val="en-US" w:eastAsia="zh-CN"/>
        </w:rPr>
        <w:t>越流型</w:t>
      </w:r>
    </w:p>
    <w:p w14:paraId="394B0E87">
      <w:pPr>
        <w:bidi w:val="0"/>
        <w:rPr>
          <w:rFonts w:hint="default"/>
          <w:lang w:val="en-US" w:eastAsia="zh-CN"/>
        </w:rPr>
      </w:pPr>
      <w:r>
        <w:rPr>
          <w:rFonts w:hint="default"/>
          <w:lang w:val="en-US" w:eastAsia="zh-CN"/>
        </w:rPr>
        <w:t>越流型的特点是污染物通过层间越流的形式转入其他含水层。这种转移或者是通过天然途径</w:t>
      </w:r>
      <w:r>
        <w:rPr>
          <w:rFonts w:hint="eastAsia"/>
          <w:lang w:val="en-US" w:eastAsia="zh-CN"/>
        </w:rPr>
        <w:t>（</w:t>
      </w:r>
      <w:r>
        <w:rPr>
          <w:rFonts w:hint="default"/>
          <w:lang w:val="en-US" w:eastAsia="zh-CN"/>
        </w:rPr>
        <w:t>水文地质天窗</w:t>
      </w:r>
      <w:r>
        <w:rPr>
          <w:rFonts w:hint="eastAsia"/>
          <w:lang w:val="en-US" w:eastAsia="zh-CN"/>
        </w:rPr>
        <w:t>）</w:t>
      </w:r>
      <w:r>
        <w:rPr>
          <w:rFonts w:hint="default"/>
          <w:lang w:val="en-US" w:eastAsia="zh-CN"/>
        </w:rPr>
        <w:t>，或者通过人为途径</w:t>
      </w:r>
      <w:r>
        <w:rPr>
          <w:rFonts w:hint="eastAsia"/>
          <w:lang w:val="en-US" w:eastAsia="zh-CN"/>
        </w:rPr>
        <w:t>（</w:t>
      </w:r>
      <w:r>
        <w:rPr>
          <w:rFonts w:hint="default"/>
          <w:lang w:val="en-US" w:eastAsia="zh-CN"/>
        </w:rPr>
        <w:t>结构不合理的井管、破损的老井管</w:t>
      </w:r>
      <w:r>
        <w:rPr>
          <w:rFonts w:hint="eastAsia"/>
          <w:lang w:val="en-US" w:eastAsia="zh-CN"/>
        </w:rPr>
        <w:t>）</w:t>
      </w:r>
      <w:r>
        <w:rPr>
          <w:rFonts w:hint="default"/>
          <w:lang w:val="en-US" w:eastAsia="zh-CN"/>
        </w:rPr>
        <w:t>，或者人为开采引起的地下水动力条件的变化而改变了越流方向</w:t>
      </w:r>
      <w:r>
        <w:rPr>
          <w:rFonts w:hint="eastAsia"/>
          <w:lang w:val="en-US" w:eastAsia="zh-CN"/>
        </w:rPr>
        <w:t>，</w:t>
      </w:r>
      <w:r>
        <w:rPr>
          <w:rFonts w:hint="default"/>
          <w:lang w:val="en-US" w:eastAsia="zh-CN"/>
        </w:rPr>
        <w:t>使污染物通过大面积的弱隔水层越流转移到其它含水层，其污染来源可能是地下水环境本身的，也可能是外来的，它可能污染承压水或者潜水。研究这一类型污染的困难之处是难于查清越流具体的地点及地质部位。</w:t>
      </w:r>
    </w:p>
    <w:p w14:paraId="4D3E3321">
      <w:pPr>
        <w:bidi w:val="0"/>
        <w:rPr>
          <w:rFonts w:hint="default"/>
          <w:lang w:val="en-US" w:eastAsia="zh-CN"/>
        </w:rPr>
      </w:pPr>
      <w:r>
        <w:rPr>
          <w:rFonts w:hint="eastAsia"/>
          <w:lang w:val="en-US" w:eastAsia="zh-CN"/>
        </w:rPr>
        <w:t>④</w:t>
      </w:r>
      <w:r>
        <w:rPr>
          <w:rFonts w:hint="default"/>
          <w:lang w:val="en-US" w:eastAsia="zh-CN"/>
        </w:rPr>
        <w:t>径流型</w:t>
      </w:r>
    </w:p>
    <w:p w14:paraId="00606052">
      <w:pPr>
        <w:bidi w:val="0"/>
        <w:rPr>
          <w:rFonts w:hint="default"/>
          <w:lang w:val="en-US" w:eastAsia="zh-CN"/>
        </w:rPr>
      </w:pPr>
      <w:r>
        <w:rPr>
          <w:rFonts w:hint="default"/>
          <w:lang w:val="en-US" w:eastAsia="zh-CN"/>
        </w:rPr>
        <w:t>径流型的特点是污染物通过地下水径流的形式进入含水层，或者通过废水处理井，或者通过岩溶发育的巨大岩溶通道，或者通过废液地下储存层的裂隙进入其他含水层。此中形式的污染，其污染物可能是认为来源，也可能是天然来源，可能污染潜水或承压水。其污染范围可能不很大，但其污染程度往往由于缺乏自然净化作用而显得十分严重。</w:t>
      </w:r>
    </w:p>
    <w:p w14:paraId="6D26B84D">
      <w:pPr>
        <w:pStyle w:val="28"/>
        <w:bidi w:val="0"/>
        <w:rPr>
          <w:rFonts w:hint="default"/>
          <w:lang w:val="en-US" w:eastAsia="zh-CN"/>
        </w:rPr>
      </w:pPr>
      <w:r>
        <w:t>地下水环境影响</w:t>
      </w:r>
      <w:r>
        <w:rPr>
          <w:rFonts w:hint="eastAsia"/>
          <w:lang w:val="en-US" w:eastAsia="zh-CN"/>
        </w:rPr>
        <w:t>预测与评价</w:t>
      </w:r>
    </w:p>
    <w:p w14:paraId="22E1108E">
      <w:pPr>
        <w:bidi w:val="0"/>
        <w:rPr>
          <w:rFonts w:hint="default"/>
          <w:lang w:val="en-US" w:eastAsia="zh-CN"/>
        </w:rPr>
      </w:pPr>
      <w:r>
        <w:rPr>
          <w:rFonts w:hint="default"/>
          <w:lang w:val="en-US" w:eastAsia="zh-CN"/>
        </w:rPr>
        <w:t>根据《环境影响评价技术导则 地下水环境》（HJ610-2016），</w:t>
      </w:r>
      <w:r>
        <w:rPr>
          <w:rFonts w:hint="eastAsia"/>
          <w:lang w:val="en-US" w:eastAsia="zh-CN"/>
        </w:rPr>
        <w:t>三</w:t>
      </w:r>
      <w:r>
        <w:rPr>
          <w:rFonts w:hint="default"/>
          <w:lang w:val="en-US" w:eastAsia="zh-CN"/>
        </w:rPr>
        <w:t>级评价</w:t>
      </w:r>
      <w:r>
        <w:rPr>
          <w:rFonts w:hint="eastAsia"/>
          <w:lang w:val="en-US" w:eastAsia="zh-CN"/>
        </w:rPr>
        <w:t>可</w:t>
      </w:r>
      <w:r>
        <w:rPr>
          <w:rFonts w:hint="default"/>
          <w:lang w:val="en-US" w:eastAsia="zh-CN"/>
        </w:rPr>
        <w:t>采用解析法或类比分析法。</w:t>
      </w:r>
    </w:p>
    <w:p w14:paraId="731F76DD">
      <w:pPr>
        <w:bidi w:val="0"/>
        <w:rPr>
          <w:rFonts w:hint="default"/>
          <w:lang w:val="en-US" w:eastAsia="zh-CN"/>
        </w:rPr>
      </w:pPr>
      <w:r>
        <w:rPr>
          <w:rFonts w:hint="eastAsia"/>
          <w:lang w:val="en-US" w:eastAsia="zh-CN"/>
        </w:rPr>
        <w:t>（1）预测原则</w:t>
      </w:r>
    </w:p>
    <w:p w14:paraId="64C9C076">
      <w:pPr>
        <w:bidi w:val="0"/>
        <w:rPr>
          <w:rFonts w:hint="default"/>
          <w:lang w:val="en-US" w:eastAsia="zh-CN"/>
        </w:rPr>
      </w:pPr>
      <w:r>
        <w:rPr>
          <w:rFonts w:hint="eastAsia"/>
          <w:lang w:val="en-US" w:eastAsia="zh-CN"/>
        </w:rPr>
        <w:t>本</w:t>
      </w:r>
      <w:r>
        <w:rPr>
          <w:rFonts w:hint="default"/>
          <w:lang w:val="en-US" w:eastAsia="zh-CN"/>
        </w:rPr>
        <w:t>项目地下水环境影响预测原则为</w:t>
      </w:r>
      <w:r>
        <w:rPr>
          <w:rFonts w:hint="eastAsia"/>
          <w:lang w:val="en-US" w:eastAsia="zh-CN"/>
        </w:rPr>
        <w:t>：</w:t>
      </w:r>
    </w:p>
    <w:p w14:paraId="138A7687">
      <w:pPr>
        <w:bidi w:val="0"/>
        <w:rPr>
          <w:rFonts w:hint="default"/>
          <w:lang w:val="en-US" w:eastAsia="zh-CN"/>
        </w:rPr>
      </w:pPr>
      <w:r>
        <w:rPr>
          <w:rFonts w:hint="eastAsia"/>
          <w:lang w:val="en-US" w:eastAsia="zh-CN"/>
        </w:rPr>
        <w:t>①</w:t>
      </w:r>
      <w:r>
        <w:rPr>
          <w:rFonts w:hint="default"/>
          <w:lang w:val="en-US" w:eastAsia="zh-CN"/>
        </w:rPr>
        <w:t>考虑到地下水环境污染的隐蔽性和难恢复性，遵循环境安全性原则，为评价各方案的环境安全和环境保护措施的合理性提供依据。</w:t>
      </w:r>
    </w:p>
    <w:p w14:paraId="42F38DC5">
      <w:pPr>
        <w:bidi w:val="0"/>
        <w:rPr>
          <w:rFonts w:hint="default"/>
          <w:lang w:val="en-US" w:eastAsia="zh-CN"/>
        </w:rPr>
      </w:pPr>
      <w:r>
        <w:rPr>
          <w:rFonts w:hint="eastAsia"/>
          <w:lang w:val="en-US" w:eastAsia="zh-CN"/>
        </w:rPr>
        <w:t>②</w:t>
      </w:r>
      <w:r>
        <w:rPr>
          <w:rFonts w:hint="default"/>
          <w:lang w:val="en-US" w:eastAsia="zh-CN"/>
        </w:rPr>
        <w:t>预测的范围、时段、内容和方法根据评价工作等级、工程特征与环境特征，结合当地环境功能和环保要求确定</w:t>
      </w:r>
      <w:r>
        <w:rPr>
          <w:rFonts w:hint="eastAsia"/>
          <w:lang w:val="en-US" w:eastAsia="zh-CN"/>
        </w:rPr>
        <w:t>，</w:t>
      </w:r>
      <w:r>
        <w:rPr>
          <w:rFonts w:hint="default"/>
          <w:lang w:val="en-US" w:eastAsia="zh-CN"/>
        </w:rPr>
        <w:t>以拟建项目对地下水水质的影响及由此而产生的主要环境水文地质问题为重点。</w:t>
      </w:r>
    </w:p>
    <w:p w14:paraId="37CDAD38">
      <w:pPr>
        <w:bidi w:val="0"/>
        <w:rPr>
          <w:rFonts w:hint="default"/>
          <w:lang w:val="en-US" w:eastAsia="zh-CN"/>
        </w:rPr>
      </w:pPr>
      <w:r>
        <w:rPr>
          <w:rFonts w:hint="eastAsia"/>
          <w:lang w:val="en-US" w:eastAsia="zh-CN"/>
        </w:rPr>
        <w:t>（2）预测范围</w:t>
      </w:r>
    </w:p>
    <w:p w14:paraId="69DD4013">
      <w:pPr>
        <w:bidi w:val="0"/>
        <w:rPr>
          <w:rFonts w:hint="default"/>
          <w:lang w:val="en-US" w:eastAsia="zh-CN"/>
        </w:rPr>
      </w:pPr>
      <w:r>
        <w:rPr>
          <w:rFonts w:hint="eastAsia"/>
        </w:rPr>
        <w:t>根据《环境影响评价技术导则 地下水环境》（HJ610-2016）要求，地下水预测范围一般与调查评价范围一致，即以</w:t>
      </w:r>
      <w:r>
        <w:t>厂址中心周围</w:t>
      </w:r>
      <w:r>
        <w:rPr>
          <w:rFonts w:hint="eastAsia"/>
          <w:lang w:val="en-US" w:eastAsia="zh-CN"/>
        </w:rPr>
        <w:t>2</w:t>
      </w:r>
      <w:r>
        <w:t>km×</w:t>
      </w:r>
      <w:r>
        <w:rPr>
          <w:rFonts w:hint="eastAsia"/>
          <w:lang w:val="en-US" w:eastAsia="zh-CN"/>
        </w:rPr>
        <w:t>3</w:t>
      </w:r>
      <w:r>
        <w:t>km的</w:t>
      </w:r>
      <w:r>
        <w:rPr>
          <w:rFonts w:hint="eastAsia"/>
        </w:rPr>
        <w:t>矩形</w:t>
      </w:r>
      <w:r>
        <w:t>范围</w:t>
      </w:r>
      <w:r>
        <w:rPr>
          <w:rFonts w:hint="eastAsia"/>
        </w:rPr>
        <w:t>。</w:t>
      </w:r>
    </w:p>
    <w:p w14:paraId="5790E12A">
      <w:pPr>
        <w:bidi w:val="0"/>
        <w:rPr>
          <w:rFonts w:hint="default"/>
          <w:lang w:val="en-US" w:eastAsia="zh-CN"/>
        </w:rPr>
      </w:pPr>
      <w:r>
        <w:rPr>
          <w:rFonts w:hint="eastAsia"/>
          <w:lang w:val="en-US" w:eastAsia="zh-CN"/>
        </w:rPr>
        <w:t>（3）预测时段</w:t>
      </w:r>
    </w:p>
    <w:p w14:paraId="476EDA3D">
      <w:pPr>
        <w:bidi w:val="0"/>
        <w:rPr>
          <w:rFonts w:hint="default"/>
          <w:lang w:val="en-US" w:eastAsia="zh-CN"/>
        </w:rPr>
      </w:pPr>
      <w:r>
        <w:rPr>
          <w:rFonts w:hint="eastAsia"/>
        </w:rPr>
        <w:t>根据《环境影响评价技术导则 地下水环境》（HJ610-2016）要求，结合本项目废水污染源强，本次预测时段选取可能产生地下水污染的关键时间节点，预测时段包括污染发生后的1</w:t>
      </w:r>
      <w:r>
        <w:t>00</w:t>
      </w:r>
      <w:r>
        <w:rPr>
          <w:rFonts w:hint="eastAsia"/>
        </w:rPr>
        <w:t>d、</w:t>
      </w:r>
      <w:r>
        <w:rPr>
          <w:rFonts w:hint="eastAsia"/>
          <w:lang w:val="en-US" w:eastAsia="zh-CN"/>
        </w:rPr>
        <w:t>365</w:t>
      </w:r>
      <w:r>
        <w:rPr>
          <w:rFonts w:hint="eastAsia"/>
        </w:rPr>
        <w:t>d、</w:t>
      </w:r>
      <w:r>
        <w:rPr>
          <w:rFonts w:hint="eastAsia"/>
          <w:lang w:val="en-US" w:eastAsia="zh-CN"/>
        </w:rPr>
        <w:t>100</w:t>
      </w:r>
      <w:r>
        <w:rPr>
          <w:rFonts w:hint="eastAsia"/>
        </w:rPr>
        <w:t>0d。</w:t>
      </w:r>
    </w:p>
    <w:p w14:paraId="539494C4">
      <w:pPr>
        <w:bidi w:val="0"/>
        <w:rPr>
          <w:rFonts w:hint="default"/>
          <w:lang w:val="en-US" w:eastAsia="zh-CN"/>
        </w:rPr>
      </w:pPr>
      <w:r>
        <w:rPr>
          <w:rFonts w:hint="eastAsia"/>
          <w:lang w:val="en-US" w:eastAsia="zh-CN"/>
        </w:rPr>
        <w:t>（4）预测情景设置</w:t>
      </w:r>
    </w:p>
    <w:p w14:paraId="03C9DFDB">
      <w:pPr>
        <w:bidi w:val="0"/>
        <w:rPr>
          <w:rFonts w:hint="default"/>
          <w:lang w:val="en-US" w:eastAsia="zh-CN"/>
        </w:rPr>
      </w:pPr>
      <w:r>
        <w:rPr>
          <w:rFonts w:hint="default"/>
          <w:lang w:val="en-US" w:eastAsia="zh-CN"/>
        </w:rPr>
        <w:t>一般情况下，建设项目须对正常状况和非正常状况的情景分别进行预测，由于本项目主要地下水污染源已经按相关要求设计了防渗措施，正常情况下对地下水环境影响较小，故不进行正常状况情景下的预测。</w:t>
      </w:r>
    </w:p>
    <w:p w14:paraId="57FE0F77">
      <w:pPr>
        <w:bidi w:val="0"/>
        <w:rPr>
          <w:rFonts w:hint="default"/>
          <w:lang w:val="en-US" w:eastAsia="zh-CN"/>
        </w:rPr>
      </w:pPr>
      <w:r>
        <w:rPr>
          <w:rFonts w:hint="default"/>
          <w:lang w:val="en-US" w:eastAsia="zh-CN"/>
        </w:rPr>
        <w:t>非正常状况下，</w:t>
      </w:r>
      <w:r>
        <w:rPr>
          <w:rFonts w:hint="eastAsia"/>
          <w:lang w:val="en-US" w:eastAsia="zh-CN"/>
        </w:rPr>
        <w:t>由于</w:t>
      </w:r>
      <w:r>
        <w:rPr>
          <w:rFonts w:hint="default"/>
          <w:lang w:val="en-US" w:eastAsia="zh-CN"/>
        </w:rPr>
        <w:t>池体防渗层老化失效等因素</w:t>
      </w:r>
      <w:r>
        <w:rPr>
          <w:rFonts w:hint="eastAsia"/>
          <w:lang w:val="en-US" w:eastAsia="zh-CN"/>
        </w:rPr>
        <w:t>的</w:t>
      </w:r>
      <w:r>
        <w:rPr>
          <w:rFonts w:hint="default"/>
          <w:lang w:val="en-US" w:eastAsia="zh-CN"/>
        </w:rPr>
        <w:t>影响出现裂缝，</w:t>
      </w:r>
      <w:r>
        <w:rPr>
          <w:rFonts w:hint="eastAsia"/>
          <w:lang w:val="en-US" w:eastAsia="zh-CN"/>
        </w:rPr>
        <w:t>废水</w:t>
      </w:r>
      <w:r>
        <w:rPr>
          <w:rFonts w:hint="default"/>
          <w:lang w:val="en-US" w:eastAsia="zh-CN"/>
        </w:rPr>
        <w:t>沿裂缝下渗进入地下水含水层，将对区内地下水</w:t>
      </w:r>
      <w:r>
        <w:rPr>
          <w:rFonts w:hint="eastAsia"/>
          <w:lang w:val="en-US" w:eastAsia="zh-CN"/>
        </w:rPr>
        <w:t>环境</w:t>
      </w:r>
      <w:r>
        <w:rPr>
          <w:rFonts w:hint="default"/>
          <w:lang w:val="en-US" w:eastAsia="zh-CN"/>
        </w:rPr>
        <w:t>产生影响，假设非正常状况发生后</w:t>
      </w:r>
      <w:r>
        <w:rPr>
          <w:rFonts w:hint="eastAsia"/>
          <w:lang w:val="en-US" w:eastAsia="zh-CN"/>
        </w:rPr>
        <w:t>3</w:t>
      </w:r>
      <w:r>
        <w:rPr>
          <w:rFonts w:hint="default"/>
          <w:lang w:val="en-US" w:eastAsia="zh-CN"/>
        </w:rPr>
        <w:t>0天发现地下水跟踪监测井污染物浓度异常升高，即刻清空池体内废水，对防渗层进行检修。</w:t>
      </w:r>
    </w:p>
    <w:p w14:paraId="4E193A53">
      <w:pPr>
        <w:bidi w:val="0"/>
        <w:rPr>
          <w:rFonts w:hint="default"/>
          <w:lang w:val="en-US" w:eastAsia="zh-CN"/>
        </w:rPr>
      </w:pPr>
      <w:r>
        <w:rPr>
          <w:rFonts w:hint="default"/>
          <w:lang w:val="en-US" w:eastAsia="zh-CN"/>
        </w:rPr>
        <w:t>本项目</w:t>
      </w:r>
      <w:r>
        <w:rPr>
          <w:rFonts w:hint="eastAsia"/>
          <w:lang w:val="en-US" w:eastAsia="zh-CN"/>
        </w:rPr>
        <w:t>好氧塘</w:t>
      </w:r>
      <w:r>
        <w:rPr>
          <w:rFonts w:hint="default"/>
          <w:lang w:val="en-US" w:eastAsia="zh-CN"/>
        </w:rPr>
        <w:t>暂存池</w:t>
      </w:r>
      <w:r>
        <w:rPr>
          <w:rFonts w:hint="eastAsia"/>
          <w:lang w:val="en-US" w:eastAsia="zh-CN"/>
        </w:rPr>
        <w:t>9600m</w:t>
      </w:r>
      <w:r>
        <w:rPr>
          <w:rFonts w:hint="eastAsia"/>
          <w:vertAlign w:val="superscript"/>
          <w:lang w:val="en-US" w:eastAsia="zh-CN"/>
        </w:rPr>
        <w:t>2</w:t>
      </w:r>
      <w:r>
        <w:rPr>
          <w:rFonts w:hint="default"/>
          <w:lang w:val="en-US" w:eastAsia="zh-CN"/>
        </w:rPr>
        <w:t>，</w:t>
      </w:r>
      <w:r>
        <w:rPr>
          <w:rFonts w:hint="eastAsia"/>
          <w:lang w:val="en-US" w:eastAsia="zh-CN"/>
        </w:rPr>
        <w:t>好氧塘</w:t>
      </w:r>
      <w:r>
        <w:rPr>
          <w:rFonts w:hint="default"/>
          <w:lang w:val="en-US" w:eastAsia="zh-CN"/>
        </w:rPr>
        <w:t>暂存池中暂存的废水</w:t>
      </w:r>
      <w:r>
        <w:rPr>
          <w:rFonts w:hint="eastAsia"/>
          <w:lang w:val="en-US" w:eastAsia="zh-CN"/>
        </w:rPr>
        <w:t>是经过污水处理系统处理后的废水，</w:t>
      </w:r>
      <w:r>
        <w:rPr>
          <w:rFonts w:hint="default"/>
          <w:lang w:val="en-US" w:eastAsia="zh-CN"/>
        </w:rPr>
        <w:t>能满足《畜禽养殖业污染物排放标准》（GB18596-2001）表4最高允许排水量、表5养殖业污染物最高允许日均排放浓度值，污染物浓度较低。由于项目</w:t>
      </w:r>
      <w:r>
        <w:rPr>
          <w:rFonts w:hint="eastAsia"/>
          <w:lang w:val="en-US" w:eastAsia="zh-CN"/>
        </w:rPr>
        <w:t>育肥舍</w:t>
      </w:r>
      <w:r>
        <w:rPr>
          <w:rFonts w:hint="default"/>
          <w:lang w:val="en-US" w:eastAsia="zh-CN"/>
        </w:rPr>
        <w:t>集污池收集处理高浓度养殖废水，因此</w:t>
      </w:r>
      <w:r>
        <w:rPr>
          <w:rFonts w:hint="eastAsia"/>
          <w:lang w:val="en-US" w:eastAsia="zh-CN"/>
        </w:rPr>
        <w:t>，本次评价</w:t>
      </w:r>
      <w:r>
        <w:rPr>
          <w:rFonts w:hint="default"/>
          <w:lang w:val="en-US" w:eastAsia="zh-CN"/>
        </w:rPr>
        <w:t>预测选择考虑集污池污水在非正常情况下，按最大浓度废水直接排放进行预测。</w:t>
      </w:r>
    </w:p>
    <w:p w14:paraId="6299889E">
      <w:pPr>
        <w:bidi w:val="0"/>
        <w:rPr>
          <w:rFonts w:hint="default"/>
          <w:lang w:val="en-US" w:eastAsia="zh-CN"/>
        </w:rPr>
      </w:pPr>
      <w:r>
        <w:rPr>
          <w:rFonts w:hint="eastAsia"/>
          <w:lang w:val="en-US" w:eastAsia="zh-CN"/>
        </w:rPr>
        <w:t>（5）</w:t>
      </w:r>
      <w:r>
        <w:rPr>
          <w:rFonts w:hint="eastAsia"/>
        </w:rPr>
        <w:t>预测因子及标准</w:t>
      </w:r>
    </w:p>
    <w:p w14:paraId="53D0670D">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根据项目特点，选取</w:t>
      </w:r>
      <w:r>
        <w:rPr>
          <w:rFonts w:hint="default"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作为主要预测因子。</w:t>
      </w:r>
    </w:p>
    <w:p w14:paraId="78E63746">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cs="Times New Roman"/>
          <w:color w:val="000000" w:themeColor="text1"/>
          <w:highlight w:val="none"/>
          <w:shd w:val="clear" w:color="auto" w:fill="auto"/>
          <w:lang w:val="en-US" w:eastAsia="zh-CN"/>
          <w14:textFill>
            <w14:solidFill>
              <w14:schemeClr w14:val="tx1"/>
            </w14:solidFill>
          </w14:textFill>
        </w:rPr>
        <w:t>本次评价</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选取</w:t>
      </w:r>
      <w:r>
        <w:rPr>
          <w:rFonts w:hint="eastAsia" w:cs="Times New Roman"/>
          <w:color w:val="000000" w:themeColor="text1"/>
          <w:highlight w:val="none"/>
          <w:shd w:val="clear" w:color="auto" w:fill="auto"/>
          <w:lang w:val="en-US" w:eastAsia="zh-CN"/>
          <w14:textFill>
            <w14:solidFill>
              <w14:schemeClr w14:val="tx1"/>
            </w14:solidFill>
          </w14:textFill>
        </w:rPr>
        <w:t>的地下水预测评价因子</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为COD，而地下水环境的评价因子为高锰酸盐指数，为使污染因子COD与评价因子高锰酸盐指数在数值关系上对应统一，在模型计算过程中，参照国内学者胡大琼（云南省水文水资源局普洱分局）《高锰酸盐指数与化学需氧量相关关系探讨》一文得出的高锰酸盐指数与化学需氧量线性回归方程Y=4.76X+2.61（X为高锰酸盐指数，Y为COD）进行换算，得项目COD评价标准浓度为16.89mg/L。高锰酸盐指数和氨氮评价标准参照《地下水质量标准》（GB/T14848-2017）中的</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instrText xml:space="preserve"> = 3 \* ROMAN </w:instrTex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III</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类标准。各评价因子检出限及评价标准</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instrText xml:space="preserve"> HYPERLINK \l "bookmark41" \o "Current Document" \h </w:instrTex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见表</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instrText xml:space="preserve"> HYPERLINK \l "bookmark41" \o "Current Document" \h </w:instrTex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5.2-13。</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end"/>
      </w:r>
    </w:p>
    <w:p w14:paraId="481EC0A7">
      <w:pPr>
        <w:pStyle w:val="30"/>
        <w:bidi w:val="0"/>
        <w:rPr>
          <w:rFonts w:hint="eastAsia"/>
          <w:lang w:val="en-US" w:eastAsia="zh-CN"/>
        </w:rPr>
      </w:pPr>
      <w:r>
        <w:rPr>
          <w:rFonts w:hint="eastAsia"/>
          <w:lang w:val="en-US" w:eastAsia="zh-CN"/>
        </w:rPr>
        <w:t>表5.2-13   污染物水质标准限值</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2659"/>
        <w:gridCol w:w="4037"/>
      </w:tblGrid>
      <w:tr w14:paraId="4C31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09D44928">
            <w:pPr>
              <w:pStyle w:val="19"/>
              <w:bidi w:val="0"/>
              <w:rPr>
                <w:rFonts w:hint="eastAsia"/>
                <w:lang w:val="en-US" w:eastAsia="zh-CN"/>
              </w:rPr>
            </w:pPr>
            <w:r>
              <w:rPr>
                <w:rFonts w:hint="eastAsia"/>
                <w:lang w:val="en-US" w:eastAsia="zh-CN"/>
              </w:rPr>
              <w:t>污染物因子</w:t>
            </w:r>
          </w:p>
        </w:tc>
        <w:tc>
          <w:tcPr>
            <w:tcW w:w="1560" w:type="pct"/>
            <w:vAlign w:val="center"/>
          </w:tcPr>
          <w:p w14:paraId="23074EE2">
            <w:pPr>
              <w:pStyle w:val="19"/>
              <w:bidi w:val="0"/>
              <w:rPr>
                <w:rFonts w:hint="eastAsia"/>
                <w:lang w:val="en-US" w:eastAsia="zh-CN"/>
              </w:rPr>
            </w:pPr>
            <w:r>
              <w:rPr>
                <w:rFonts w:hint="eastAsia"/>
                <w:lang w:val="en-US" w:eastAsia="zh-CN"/>
              </w:rPr>
              <w:t>标准限制（mg/L）</w:t>
            </w:r>
          </w:p>
        </w:tc>
        <w:tc>
          <w:tcPr>
            <w:tcW w:w="2368" w:type="pct"/>
            <w:vAlign w:val="center"/>
          </w:tcPr>
          <w:p w14:paraId="46927664">
            <w:pPr>
              <w:pStyle w:val="19"/>
              <w:bidi w:val="0"/>
              <w:rPr>
                <w:rFonts w:hint="eastAsia"/>
                <w:lang w:val="en-US" w:eastAsia="zh-CN"/>
              </w:rPr>
            </w:pPr>
            <w:r>
              <w:rPr>
                <w:rFonts w:hint="eastAsia"/>
                <w:lang w:val="en-US" w:eastAsia="zh-CN"/>
              </w:rPr>
              <w:t>标准来源</w:t>
            </w:r>
          </w:p>
        </w:tc>
      </w:tr>
      <w:tr w14:paraId="6844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2B883713">
            <w:pPr>
              <w:pStyle w:val="19"/>
              <w:bidi w:val="0"/>
              <w:rPr>
                <w:rFonts w:hint="eastAsia"/>
                <w:lang w:val="en-US" w:eastAsia="zh-CN"/>
              </w:rPr>
            </w:pPr>
            <w:r>
              <w:rPr>
                <w:rFonts w:hint="default"/>
              </w:rPr>
              <w:t>高锰酸盐指数</w:t>
            </w:r>
          </w:p>
        </w:tc>
        <w:tc>
          <w:tcPr>
            <w:tcW w:w="1560" w:type="pct"/>
            <w:vAlign w:val="center"/>
          </w:tcPr>
          <w:p w14:paraId="3CFB810C">
            <w:pPr>
              <w:pStyle w:val="19"/>
              <w:bidi w:val="0"/>
              <w:rPr>
                <w:rFonts w:hint="default"/>
                <w:lang w:val="en-US" w:eastAsia="zh-CN"/>
              </w:rPr>
            </w:pPr>
            <w:r>
              <w:rPr>
                <w:rFonts w:hint="eastAsia"/>
                <w:lang w:val="en-US" w:eastAsia="zh-CN"/>
              </w:rPr>
              <w:t>3.0</w:t>
            </w:r>
          </w:p>
        </w:tc>
        <w:tc>
          <w:tcPr>
            <w:tcW w:w="2368" w:type="pct"/>
            <w:vMerge w:val="restart"/>
            <w:vAlign w:val="center"/>
          </w:tcPr>
          <w:p w14:paraId="40A561EC">
            <w:pPr>
              <w:pStyle w:val="19"/>
              <w:bidi w:val="0"/>
              <w:rPr>
                <w:rFonts w:hint="eastAsia"/>
                <w:lang w:val="en-US" w:eastAsia="zh-CN"/>
              </w:rPr>
            </w:pPr>
            <w:r>
              <w:rPr>
                <w:rFonts w:hint="eastAsia"/>
                <w:lang w:val="en-US" w:eastAsia="zh-CN"/>
              </w:rPr>
              <w:t>《地下水水质标准》（GB/T14848-2017）</w:t>
            </w:r>
            <w:r>
              <w:rPr>
                <w:rFonts w:hint="default" w:ascii="Times New Roman" w:hAnsi="Times New Roman" w:cs="Times New Roman"/>
                <w:lang w:val="en-US" w:eastAsia="zh-CN"/>
              </w:rPr>
              <w:t>Ⅲ</w:t>
            </w:r>
            <w:r>
              <w:rPr>
                <w:rFonts w:hint="eastAsia"/>
                <w:lang w:val="en-US" w:eastAsia="zh-CN"/>
              </w:rPr>
              <w:t>类</w:t>
            </w:r>
          </w:p>
        </w:tc>
      </w:tr>
      <w:tr w14:paraId="7A84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030FC255">
            <w:pPr>
              <w:pStyle w:val="19"/>
              <w:bidi w:val="0"/>
              <w:rPr>
                <w:rFonts w:hint="eastAsia"/>
                <w:lang w:val="en-US" w:eastAsia="zh-CN"/>
              </w:rPr>
            </w:pPr>
            <w:r>
              <w:rPr>
                <w:rFonts w:hint="eastAsia"/>
                <w:lang w:val="en-US" w:eastAsia="zh-CN"/>
              </w:rPr>
              <w:t>COD</w:t>
            </w:r>
          </w:p>
        </w:tc>
        <w:tc>
          <w:tcPr>
            <w:tcW w:w="1560" w:type="pct"/>
            <w:vAlign w:val="center"/>
          </w:tcPr>
          <w:p w14:paraId="2373DCD9">
            <w:pPr>
              <w:pStyle w:val="19"/>
              <w:bidi w:val="0"/>
              <w:rPr>
                <w:rFonts w:hint="default"/>
                <w:lang w:val="en-US" w:eastAsia="zh-CN"/>
              </w:rPr>
            </w:pPr>
            <w:r>
              <w:rPr>
                <w:rFonts w:hint="eastAsia"/>
                <w:lang w:val="en-US" w:eastAsia="zh-CN"/>
              </w:rPr>
              <w:t>16.89</w:t>
            </w:r>
          </w:p>
        </w:tc>
        <w:tc>
          <w:tcPr>
            <w:tcW w:w="2368" w:type="pct"/>
            <w:vMerge w:val="continue"/>
            <w:vAlign w:val="center"/>
          </w:tcPr>
          <w:p w14:paraId="78F7A2B4">
            <w:pPr>
              <w:pStyle w:val="19"/>
              <w:bidi w:val="0"/>
              <w:rPr>
                <w:rFonts w:hint="eastAsia"/>
                <w:lang w:val="en-US" w:eastAsia="zh-CN"/>
              </w:rPr>
            </w:pPr>
          </w:p>
        </w:tc>
      </w:tr>
      <w:tr w14:paraId="339C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48C6AFA5">
            <w:pPr>
              <w:pStyle w:val="19"/>
              <w:bidi w:val="0"/>
              <w:rPr>
                <w:rFonts w:hint="eastAsia"/>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1560" w:type="pct"/>
            <w:vAlign w:val="center"/>
          </w:tcPr>
          <w:p w14:paraId="18D27266">
            <w:pPr>
              <w:pStyle w:val="19"/>
              <w:bidi w:val="0"/>
              <w:rPr>
                <w:rFonts w:hint="eastAsia"/>
                <w:lang w:val="en-US" w:eastAsia="zh-CN"/>
              </w:rPr>
            </w:pPr>
            <w:r>
              <w:rPr>
                <w:rFonts w:hint="eastAsia"/>
                <w:lang w:val="en-US" w:eastAsia="zh-CN"/>
              </w:rPr>
              <w:t>0.5</w:t>
            </w:r>
          </w:p>
        </w:tc>
        <w:tc>
          <w:tcPr>
            <w:tcW w:w="2368" w:type="pct"/>
            <w:vMerge w:val="continue"/>
            <w:vAlign w:val="center"/>
          </w:tcPr>
          <w:p w14:paraId="175B98DB">
            <w:pPr>
              <w:pStyle w:val="19"/>
              <w:bidi w:val="0"/>
              <w:rPr>
                <w:rFonts w:hint="eastAsia"/>
                <w:lang w:val="en-US" w:eastAsia="zh-CN"/>
              </w:rPr>
            </w:pPr>
          </w:p>
        </w:tc>
      </w:tr>
    </w:tbl>
    <w:p w14:paraId="67D356C5">
      <w:pPr>
        <w:bidi w:val="0"/>
        <w:rPr>
          <w:rFonts w:hint="default"/>
          <w:lang w:val="en-US" w:eastAsia="zh-CN"/>
        </w:rPr>
      </w:pPr>
      <w:r>
        <w:rPr>
          <w:rFonts w:hint="eastAsia"/>
          <w:lang w:val="en-US" w:eastAsia="zh-CN"/>
        </w:rPr>
        <w:t>（6）预测源强</w:t>
      </w:r>
    </w:p>
    <w:p w14:paraId="29E33173">
      <w:pPr>
        <w:bidi w:val="0"/>
        <w:rPr>
          <w:rFonts w:hint="eastAsia"/>
          <w:lang w:val="en-US" w:eastAsia="zh-CN"/>
        </w:rPr>
      </w:pPr>
      <w:r>
        <w:rPr>
          <w:rFonts w:hint="eastAsia"/>
          <w:lang w:val="en-US" w:eastAsia="zh-CN"/>
        </w:rPr>
        <w:t>根据设置的预测情景及前文工程分析内容，地下水预测源强见表5.2-14。</w:t>
      </w:r>
    </w:p>
    <w:p w14:paraId="0C95A87E">
      <w:pPr>
        <w:pStyle w:val="30"/>
        <w:bidi w:val="0"/>
      </w:pPr>
      <w:r>
        <w:rPr>
          <w:rFonts w:hint="eastAsia"/>
          <w:lang w:val="en-US" w:eastAsia="zh-CN"/>
        </w:rPr>
        <w:t xml:space="preserve">表5.2-14   </w:t>
      </w:r>
      <w:r>
        <w:rPr>
          <w:lang w:val="en-US" w:eastAsia="zh-CN"/>
        </w:rPr>
        <w:t>本项目非正常工况集污池评价因子及源强浓度</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2D7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18A63AF">
            <w:pPr>
              <w:pStyle w:val="19"/>
              <w:bidi w:val="0"/>
              <w:rPr>
                <w:rFonts w:hint="default"/>
                <w:lang w:val="en-US" w:eastAsia="zh-CN"/>
              </w:rPr>
            </w:pPr>
            <w:r>
              <w:rPr>
                <w:rFonts w:hint="eastAsia"/>
                <w:lang w:val="en-US" w:eastAsia="zh-CN"/>
              </w:rPr>
              <w:t>污染源</w:t>
            </w:r>
          </w:p>
        </w:tc>
        <w:tc>
          <w:tcPr>
            <w:tcW w:w="1666" w:type="pct"/>
          </w:tcPr>
          <w:p w14:paraId="56F7CA3B">
            <w:pPr>
              <w:pStyle w:val="19"/>
              <w:bidi w:val="0"/>
              <w:rPr>
                <w:rFonts w:hint="default"/>
                <w:lang w:val="en-US" w:eastAsia="zh-CN"/>
              </w:rPr>
            </w:pPr>
            <w:r>
              <w:rPr>
                <w:rFonts w:hint="eastAsia"/>
                <w:lang w:val="en-US" w:eastAsia="zh-CN"/>
              </w:rPr>
              <w:t>COD（mg/L）</w:t>
            </w:r>
          </w:p>
        </w:tc>
        <w:tc>
          <w:tcPr>
            <w:tcW w:w="1666" w:type="pct"/>
          </w:tcPr>
          <w:p w14:paraId="0D7B0938">
            <w:pPr>
              <w:pStyle w:val="19"/>
              <w:bidi w:val="0"/>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-N（mg/L）</w:t>
            </w:r>
          </w:p>
        </w:tc>
      </w:tr>
      <w:tr w14:paraId="3738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33D62F7">
            <w:pPr>
              <w:pStyle w:val="19"/>
              <w:bidi w:val="0"/>
              <w:rPr>
                <w:rFonts w:hint="default"/>
                <w:lang w:val="en-US" w:eastAsia="zh-CN"/>
              </w:rPr>
            </w:pPr>
            <w:r>
              <w:rPr>
                <w:rFonts w:hint="eastAsia"/>
                <w:lang w:val="en-US" w:eastAsia="zh-CN"/>
              </w:rPr>
              <w:t>源强浓度</w:t>
            </w:r>
          </w:p>
        </w:tc>
        <w:tc>
          <w:tcPr>
            <w:tcW w:w="1666" w:type="pct"/>
          </w:tcPr>
          <w:p w14:paraId="45E0015B">
            <w:pPr>
              <w:pStyle w:val="19"/>
              <w:bidi w:val="0"/>
              <w:rPr>
                <w:rFonts w:hint="default"/>
                <w:lang w:val="en-US" w:eastAsia="zh-CN"/>
              </w:rPr>
            </w:pPr>
            <w:r>
              <w:rPr>
                <w:rFonts w:hint="eastAsia"/>
                <w:lang w:val="en-US" w:eastAsia="zh-CN"/>
              </w:rPr>
              <w:t>2640</w:t>
            </w:r>
          </w:p>
        </w:tc>
        <w:tc>
          <w:tcPr>
            <w:tcW w:w="1666" w:type="pct"/>
          </w:tcPr>
          <w:p w14:paraId="76265839">
            <w:pPr>
              <w:pStyle w:val="19"/>
              <w:bidi w:val="0"/>
              <w:rPr>
                <w:rFonts w:hint="default"/>
                <w:lang w:val="en-US" w:eastAsia="zh-CN"/>
              </w:rPr>
            </w:pPr>
            <w:r>
              <w:rPr>
                <w:rFonts w:hint="eastAsia"/>
                <w:lang w:val="en-US" w:eastAsia="zh-CN"/>
              </w:rPr>
              <w:t>261</w:t>
            </w:r>
          </w:p>
        </w:tc>
      </w:tr>
      <w:tr w14:paraId="45AF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F167FA8">
            <w:pPr>
              <w:pStyle w:val="19"/>
              <w:bidi w:val="0"/>
              <w:rPr>
                <w:rFonts w:hint="default"/>
                <w:lang w:val="en-US" w:eastAsia="zh-CN"/>
              </w:rPr>
            </w:pPr>
            <w:r>
              <w:rPr>
                <w:rFonts w:hint="eastAsia"/>
                <w:lang w:val="en-US" w:eastAsia="zh-CN"/>
              </w:rPr>
              <w:t>标准值</w:t>
            </w:r>
          </w:p>
        </w:tc>
        <w:tc>
          <w:tcPr>
            <w:tcW w:w="1666" w:type="pct"/>
          </w:tcPr>
          <w:p w14:paraId="7D157DA9">
            <w:pPr>
              <w:pStyle w:val="19"/>
              <w:bidi w:val="0"/>
              <w:rPr>
                <w:rFonts w:hint="default"/>
                <w:lang w:val="en-US" w:eastAsia="zh-CN"/>
              </w:rPr>
            </w:pPr>
            <w:r>
              <w:rPr>
                <w:rFonts w:hint="eastAsia"/>
                <w:lang w:val="en-US" w:eastAsia="zh-CN"/>
              </w:rPr>
              <w:t>16.89</w:t>
            </w:r>
          </w:p>
        </w:tc>
        <w:tc>
          <w:tcPr>
            <w:tcW w:w="1666" w:type="pct"/>
          </w:tcPr>
          <w:p w14:paraId="32DA1B9F">
            <w:pPr>
              <w:pStyle w:val="19"/>
              <w:bidi w:val="0"/>
              <w:rPr>
                <w:rFonts w:hint="default"/>
                <w:lang w:val="en-US" w:eastAsia="zh-CN"/>
              </w:rPr>
            </w:pPr>
            <w:r>
              <w:rPr>
                <w:rFonts w:hint="eastAsia"/>
                <w:lang w:val="en-US" w:eastAsia="zh-CN"/>
              </w:rPr>
              <w:t>0.5</w:t>
            </w:r>
          </w:p>
        </w:tc>
      </w:tr>
    </w:tbl>
    <w:p w14:paraId="617D5AF2">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防渗破损部分渗漏量计算公式：</w:t>
      </w:r>
    </w:p>
    <w:p w14:paraId="1193A582">
      <w:pPr>
        <w:snapToGrid w:val="0"/>
        <w:spacing w:line="360" w:lineRule="auto"/>
        <w:ind w:left="0" w:leftChars="0" w:firstLine="0" w:firstLineChars="0"/>
        <w:jc w:val="center"/>
        <w:rPr>
          <w:rFonts w:hint="default" w:hAnsi="Cambria Math" w:eastAsia="宋体" w:cs="Times New Roman"/>
          <w:b w:val="0"/>
          <w:i w:val="0"/>
          <w:color w:val="000000" w:themeColor="text1"/>
          <w:kern w:val="2"/>
          <w:sz w:val="28"/>
          <w:szCs w:val="28"/>
          <w:highlight w:val="none"/>
          <w:shd w:val="clear" w:color="auto" w:fill="auto"/>
          <w:lang w:val="en-US" w:eastAsia="zh-CN" w:bidi="ar-SA"/>
          <w14:textFill>
            <w14:solidFill>
              <w14:schemeClr w14:val="tx1"/>
            </w14:solidFill>
          </w14:textFill>
        </w:rPr>
      </w:pPr>
      <m:oMathPara>
        <m:oMath>
          <m:r>
            <m:rPr>
              <m:sty m:val="p"/>
            </m:rPr>
            <w:rPr>
              <w:rFonts w:hint="default" w:ascii="Cambria Math" w:hAnsi="Cambria Math" w:eastAsia="宋体" w:cs="Times New Roman"/>
              <w:color w:val="000000" w:themeColor="text1"/>
              <w:kern w:val="2"/>
              <w:sz w:val="28"/>
              <w:szCs w:val="28"/>
              <w:highlight w:val="none"/>
              <w:shd w:val="clear" w:color="auto" w:fill="auto"/>
              <w:lang w:val="en-US" w:eastAsia="zh-CN" w:bidi="ar-SA"/>
              <w14:textFill>
                <w14:solidFill>
                  <w14:schemeClr w14:val="tx1"/>
                </w14:solidFill>
              </w14:textFill>
            </w:rPr>
            <m:t>Q=K</m:t>
          </m:r>
          <m:r>
            <m:rPr>
              <m:sty m:val="p"/>
            </m:rPr>
            <w:rPr>
              <w:rFonts w:hint="default" w:ascii="Cambria Math" w:hAnsi="Cambria Math" w:cs="Times New Roman"/>
              <w:color w:val="000000" w:themeColor="text1"/>
              <w:kern w:val="2"/>
              <w:sz w:val="28"/>
              <w:szCs w:val="28"/>
              <w:highlight w:val="none"/>
              <w:shd w:val="clear" w:color="auto" w:fill="auto"/>
              <w:lang w:val="en-US" w:bidi="ar-SA"/>
              <w14:textFill>
                <w14:solidFill>
                  <w14:schemeClr w14:val="tx1"/>
                </w14:solidFill>
              </w14:textFill>
            </w:rPr>
            <m:t>×</m:t>
          </m:r>
          <m:r>
            <m:rPr>
              <m:sty m:val="p"/>
            </m:rPr>
            <w:rPr>
              <w:rFonts w:hint="default" w:ascii="Cambria Math" w:hAnsi="Cambria Math" w:eastAsia="宋体" w:cs="Times New Roman"/>
              <w:color w:val="000000" w:themeColor="text1"/>
              <w:kern w:val="2"/>
              <w:sz w:val="28"/>
              <w:szCs w:val="28"/>
              <w:highlight w:val="none"/>
              <w:shd w:val="clear" w:color="auto" w:fill="auto"/>
              <w:lang w:val="en-US" w:eastAsia="zh-CN" w:bidi="ar-SA"/>
              <w14:textFill>
                <w14:solidFill>
                  <w14:schemeClr w14:val="tx1"/>
                </w14:solidFill>
              </w14:textFill>
            </w:rPr>
            <m:t>I</m:t>
          </m:r>
          <m:r>
            <m:rPr>
              <m:sty m:val="p"/>
            </m:rPr>
            <w:rPr>
              <w:rFonts w:hint="default" w:ascii="Cambria Math" w:hAnsi="Cambria Math" w:cs="Times New Roman"/>
              <w:color w:val="000000" w:themeColor="text1"/>
              <w:kern w:val="2"/>
              <w:sz w:val="28"/>
              <w:szCs w:val="28"/>
              <w:highlight w:val="none"/>
              <w:shd w:val="clear" w:color="auto" w:fill="auto"/>
              <w:lang w:val="en-US" w:bidi="ar-SA"/>
              <w14:textFill>
                <w14:solidFill>
                  <w14:schemeClr w14:val="tx1"/>
                </w14:solidFill>
              </w14:textFill>
            </w:rPr>
            <m:t>×</m:t>
          </m:r>
          <m:r>
            <m:rPr>
              <m:sty m:val="p"/>
            </m:rPr>
            <w:rPr>
              <w:rFonts w:hint="default" w:ascii="Cambria Math" w:hAnsi="Cambria Math" w:eastAsia="宋体" w:cs="Times New Roman"/>
              <w:color w:val="000000" w:themeColor="text1"/>
              <w:kern w:val="2"/>
              <w:sz w:val="28"/>
              <w:szCs w:val="28"/>
              <w:highlight w:val="none"/>
              <w:shd w:val="clear" w:color="auto" w:fill="auto"/>
              <w:lang w:val="en-US" w:eastAsia="zh-CN" w:bidi="ar-SA"/>
              <w14:textFill>
                <w14:solidFill>
                  <w14:schemeClr w14:val="tx1"/>
                </w14:solidFill>
              </w14:textFill>
            </w:rPr>
            <m:t>A</m:t>
          </m:r>
        </m:oMath>
      </m:oMathPara>
    </w:p>
    <w:p w14:paraId="7176A9B3">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式中：Q——破损部分的渗透量，m</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p>
    <w:p w14:paraId="07EEB6BF">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K——包气带渗透系数，m/d；</w:t>
      </w:r>
    </w:p>
    <w:p w14:paraId="0D9B6E9F">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I——水力坡度</w:t>
      </w:r>
    </w:p>
    <w:p w14:paraId="6353C43A">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A——泄漏面面积，m</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p w14:paraId="73488C8F">
      <w:pPr>
        <w:bidi w:val="0"/>
        <w:rPr>
          <w:rFonts w:hint="eastAsia"/>
          <w:lang w:val="en-US" w:eastAsia="zh-CN"/>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包气带渗透系数根据区域水文地质特征及项目区土壤地层分布确定渗透系数确定为</w:t>
      </w:r>
      <w:r>
        <w:rPr>
          <w:rFonts w:hint="eastAsia" w:cs="Times New Roman"/>
          <w:color w:val="000000" w:themeColor="text1"/>
          <w:highlight w:val="none"/>
          <w:shd w:val="clear" w:color="auto" w:fill="auto"/>
          <w:lang w:val="en-US" w:eastAsia="zh-CN"/>
          <w14:textFill>
            <w14:solidFill>
              <w14:schemeClr w14:val="tx1"/>
            </w14:solidFill>
          </w14:textFill>
        </w:rPr>
        <w:t>29.4</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m/d</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，水力坡度取0.2%，则防渗破</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损10‰</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情况下泄漏量为5.</w:t>
      </w:r>
      <w:r>
        <w:rPr>
          <w:rFonts w:hint="eastAsia" w:cs="Times New Roman"/>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4m</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p>
    <w:p w14:paraId="52488796">
      <w:pPr>
        <w:bidi w:val="0"/>
        <w:rPr>
          <w:rFonts w:hint="default"/>
          <w:lang w:val="en-US" w:eastAsia="zh-CN"/>
        </w:rPr>
      </w:pPr>
      <w:r>
        <w:rPr>
          <w:rFonts w:hint="eastAsia"/>
          <w:lang w:val="en-US" w:eastAsia="zh-CN"/>
        </w:rPr>
        <w:t>（7）预测模型及参数</w:t>
      </w:r>
    </w:p>
    <w:p w14:paraId="38037BE8">
      <w:pPr>
        <w:snapToGrid w:val="0"/>
        <w:spacing w:line="360" w:lineRule="auto"/>
        <w:ind w:firstLine="480"/>
        <w:jc w:val="both"/>
        <w:rPr>
          <w:rFonts w:hint="default" w:cs="Times New Roman"/>
          <w:color w:val="000000" w:themeColor="text1"/>
          <w:highlight w:val="none"/>
          <w:shd w:val="clear" w:color="auto" w:fill="auto"/>
          <w:lang w:val="en-US" w:eastAsia="zh-CN"/>
          <w14:textFill>
            <w14:solidFill>
              <w14:schemeClr w14:val="tx1"/>
            </w14:solidFill>
          </w14:textFill>
        </w:rPr>
      </w:pPr>
      <w:r>
        <w:rPr>
          <w:rFonts w:hint="eastAsia" w:cs="Times New Roman"/>
          <w:color w:val="000000" w:themeColor="text1"/>
          <w:highlight w:val="none"/>
          <w:shd w:val="clear" w:color="auto" w:fill="auto"/>
          <w:lang w:val="en-US" w:eastAsia="zh-CN"/>
          <w14:textFill>
            <w14:solidFill>
              <w14:schemeClr w14:val="tx1"/>
            </w14:solidFill>
          </w14:textFill>
        </w:rPr>
        <w:t>①预测模型选择</w:t>
      </w:r>
    </w:p>
    <w:p w14:paraId="1620DF73">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本次地下水环境影响预测采用《环境影响评价技术导则 地下水环境》（HJ610-2016）推荐的一维稳定流动一维水动力弥散问题，概化条件为一维半无限长多孔介质柱体，一端为定浓度边界。其解析解为：</w:t>
      </w:r>
    </w:p>
    <w:p w14:paraId="7AA1F214">
      <w:pPr>
        <w:snapToGrid w:val="0"/>
        <w:spacing w:line="360" w:lineRule="auto"/>
        <w:ind w:left="0" w:leftChars="0" w:firstLine="0" w:firstLineChars="0"/>
        <w:jc w:val="cente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object>
          <v:shape id="_x0000_i1029" o:spt="75" type="#_x0000_t75" style="height:43.05pt;width:244.95pt;" o:ole="t" filled="f" o:preferrelative="t" stroked="f" coordsize="21600,21600">
            <v:path/>
            <v:fill on="f" focussize="0,0"/>
            <v:stroke on="f"/>
            <v:imagedata r:id="rId30" o:title=""/>
            <o:lock v:ext="edit" aspectratio="t"/>
            <w10:wrap type="none"/>
            <w10:anchorlock/>
          </v:shape>
          <o:OLEObject Type="Embed" ProgID="Equation.AxMath" ShapeID="_x0000_i1029" DrawAspect="Content" ObjectID="_1468075729" r:id="rId29">
            <o:LockedField>false</o:LockedField>
          </o:OLEObject>
        </w:object>
      </w:r>
    </w:p>
    <w:p w14:paraId="24F5EB08">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式中：x——距注入点的距离，m；</w:t>
      </w:r>
    </w:p>
    <w:p w14:paraId="142231AA">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t——时间，d；</w:t>
      </w:r>
    </w:p>
    <w:p w14:paraId="0EBEC983">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C（x，t）——t时刻x处的示踪剂浓度，g/L；</w:t>
      </w:r>
    </w:p>
    <w:p w14:paraId="521DB838">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C</w:t>
      </w:r>
      <w:r>
        <w:rPr>
          <w:rFonts w:hint="eastAsia"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0</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——注入的示踪剂浓度，g/L；</w:t>
      </w:r>
    </w:p>
    <w:p w14:paraId="35D98FA6">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u——水流速度，m/d；</w:t>
      </w:r>
    </w:p>
    <w:p w14:paraId="2F54BBDB">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r>
        <w:rPr>
          <w:rFonts w:hint="eastAsia"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L</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——纵向弥散系数，m</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p>
    <w:p w14:paraId="16787756">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erfc（）——余误差函数。</w:t>
      </w:r>
    </w:p>
    <w:p w14:paraId="79B7B42C">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cs="Times New Roman"/>
          <w:color w:val="000000" w:themeColor="text1"/>
          <w:highlight w:val="none"/>
          <w:shd w:val="clear" w:color="auto" w:fill="auto"/>
          <w:lang w:val="en-US" w:eastAsia="zh-CN"/>
          <w14:textFill>
            <w14:solidFill>
              <w14:schemeClr w14:val="tx1"/>
            </w14:solidFill>
          </w14:textFill>
        </w:rPr>
        <w:t>②</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水文地质参数</w:t>
      </w:r>
    </w:p>
    <w:p w14:paraId="06199ACA">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地下水实际流速的确定按下列方法取得：</w:t>
      </w:r>
    </w:p>
    <w:p w14:paraId="5AC1FFA2">
      <w:pPr>
        <w:snapToGrid w:val="0"/>
        <w:spacing w:line="360" w:lineRule="auto"/>
        <w:ind w:left="0" w:leftChars="0" w:firstLine="0" w:firstLineChars="0"/>
        <w:jc w:val="cente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object>
          <v:shape id="_x0000_i1030" o:spt="75" type="#_x0000_t75" style="height:34.55pt;width:69.1pt;" o:ole="t" filled="f" o:preferrelative="t" stroked="f" coordsize="21600,21600">
            <v:path/>
            <v:fill on="f" focussize="0,0"/>
            <v:stroke on="f"/>
            <v:imagedata r:id="rId32" o:title=""/>
            <o:lock v:ext="edit" aspectratio="t"/>
            <w10:wrap type="none"/>
            <w10:anchorlock/>
          </v:shape>
          <o:OLEObject Type="Embed" ProgID="Equation.AxMath" ShapeID="_x0000_i1030" DrawAspect="Content" ObjectID="_1468075730" r:id="rId31">
            <o:LockedField>false</o:LockedField>
          </o:OLEObject>
        </w:object>
      </w:r>
    </w:p>
    <w:p w14:paraId="3C171646">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式中：u——地下水实际流速，m/d；</w:t>
      </w:r>
    </w:p>
    <w:p w14:paraId="11C706FE">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K——渗透系数，m/d；</w:t>
      </w:r>
    </w:p>
    <w:p w14:paraId="3837E943">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I——水力坡度；</w:t>
      </w:r>
    </w:p>
    <w:p w14:paraId="3A92023F">
      <w:pPr>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n——孔隙度；</w:t>
      </w:r>
    </w:p>
    <w:p w14:paraId="06A94EF0">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弥散系数计算公式：</w:t>
      </w:r>
    </w:p>
    <w:p w14:paraId="0A823B35">
      <w:pPr>
        <w:snapToGrid w:val="0"/>
        <w:spacing w:line="360" w:lineRule="auto"/>
        <w:ind w:left="0" w:leftChars="0" w:firstLine="0" w:firstLineChars="0"/>
        <w:jc w:val="cente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object>
          <v:shape id="_x0000_i1031" o:spt="75" type="#_x0000_t75" style="height:19.3pt;width:79.25pt;" o:ole="t" filled="f" o:preferrelative="t" stroked="f" coordsize="21600,21600">
            <v:path/>
            <v:fill on="f" focussize="0,0"/>
            <v:stroke on="f"/>
            <v:imagedata r:id="rId34" o:title=""/>
            <o:lock v:ext="edit" aspectratio="t"/>
            <w10:wrap type="none"/>
            <w10:anchorlock/>
          </v:shape>
          <o:OLEObject Type="Embed" ProgID="Equation.AxMath" ShapeID="_x0000_i1031" DrawAspect="Content" ObjectID="_1468075731" r:id="rId33">
            <o:LockedField>false</o:LockedField>
          </o:OLEObject>
        </w:object>
      </w:r>
    </w:p>
    <w:p w14:paraId="0B14A536">
      <w:pPr>
        <w:snapToGrid w:val="0"/>
        <w:spacing w:line="360" w:lineRule="auto"/>
        <w:ind w:firstLine="480"/>
        <w:jc w:val="both"/>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式中</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r>
        <w:rPr>
          <w:rFonts w:hint="default"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 xml:space="preserve"> ——纵向弥散系数，m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p>
    <w:p w14:paraId="40BA750D">
      <w:pPr>
        <w:snapToGrid w:val="0"/>
        <w:spacing w:line="360" w:lineRule="auto"/>
        <w:ind w:firstLine="1200" w:firstLineChars="500"/>
        <w:jc w:val="both"/>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u ——地下水实际流速，m/d；</w:t>
      </w:r>
    </w:p>
    <w:p w14:paraId="7E4D3F48">
      <w:pPr>
        <w:snapToGrid w:val="0"/>
        <w:spacing w:line="360" w:lineRule="auto"/>
        <w:ind w:firstLine="1200" w:firstLineChars="500"/>
        <w:jc w:val="both"/>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n——孔隙度；</w:t>
      </w:r>
    </w:p>
    <w:p w14:paraId="5650CFD3">
      <w:pPr>
        <w:snapToGrid w:val="0"/>
        <w:spacing w:line="360" w:lineRule="auto"/>
        <w:ind w:firstLine="1200" w:firstLineChars="500"/>
        <w:jc w:val="both"/>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α</w:t>
      </w:r>
      <w:r>
        <w:rPr>
          <w:rFonts w:hint="default"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L</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——纵向弥散度。</w:t>
      </w:r>
    </w:p>
    <w:p w14:paraId="7680DF3E">
      <w:pPr>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预测参数参见表5.2-15。</w:t>
      </w:r>
    </w:p>
    <w:p w14:paraId="5F2718BF">
      <w:pPr>
        <w:pStyle w:val="30"/>
        <w:bidi w:val="0"/>
        <w:rPr>
          <w:rFonts w:hint="eastAsia"/>
          <w:lang w:val="en-US" w:eastAsia="zh-CN"/>
        </w:rPr>
      </w:pPr>
      <w:r>
        <w:rPr>
          <w:rFonts w:hint="eastAsia"/>
          <w:lang w:val="en-US" w:eastAsia="zh-CN"/>
        </w:rPr>
        <w:t>表5.2-15   预测参数一览表</w:t>
      </w:r>
    </w:p>
    <w:tbl>
      <w:tblPr>
        <w:tblStyle w:val="21"/>
        <w:tblW w:w="4998" w:type="pct"/>
        <w:jc w:val="center"/>
        <w:tblLayout w:type="autofit"/>
        <w:tblCellMar>
          <w:top w:w="0" w:type="dxa"/>
          <w:left w:w="0" w:type="dxa"/>
          <w:bottom w:w="0" w:type="dxa"/>
          <w:right w:w="0" w:type="dxa"/>
        </w:tblCellMar>
      </w:tblPr>
      <w:tblGrid>
        <w:gridCol w:w="3286"/>
        <w:gridCol w:w="2729"/>
        <w:gridCol w:w="2294"/>
      </w:tblGrid>
      <w:tr w14:paraId="5FA46821">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2F0FDB80">
            <w:pPr>
              <w:pStyle w:val="19"/>
              <w:bidi w:val="0"/>
            </w:pPr>
            <w:r>
              <w:rPr>
                <w:rFonts w:hint="eastAsia"/>
              </w:rPr>
              <w:t>参数</w:t>
            </w:r>
          </w:p>
        </w:tc>
        <w:tc>
          <w:tcPr>
            <w:tcW w:w="1642" w:type="pct"/>
            <w:tcBorders>
              <w:top w:val="single" w:color="000000" w:sz="2" w:space="0"/>
              <w:left w:val="single" w:color="000000" w:sz="2" w:space="0"/>
              <w:bottom w:val="single" w:color="000000" w:sz="2" w:space="0"/>
              <w:right w:val="single" w:color="000000" w:sz="2" w:space="0"/>
            </w:tcBorders>
            <w:vAlign w:val="center"/>
          </w:tcPr>
          <w:p w14:paraId="24BBCE76">
            <w:pPr>
              <w:pStyle w:val="19"/>
              <w:bidi w:val="0"/>
            </w:pPr>
            <w:r>
              <w:rPr>
                <w:rFonts w:hint="eastAsia"/>
              </w:rPr>
              <w:t>单位</w:t>
            </w:r>
          </w:p>
        </w:tc>
        <w:tc>
          <w:tcPr>
            <w:tcW w:w="1380" w:type="pct"/>
            <w:tcBorders>
              <w:top w:val="single" w:color="000000" w:sz="2" w:space="0"/>
              <w:left w:val="single" w:color="000000" w:sz="2" w:space="0"/>
              <w:bottom w:val="single" w:color="000000" w:sz="2" w:space="0"/>
              <w:right w:val="single" w:color="000000" w:sz="2" w:space="0"/>
            </w:tcBorders>
            <w:vAlign w:val="center"/>
          </w:tcPr>
          <w:p w14:paraId="5B9C41E7">
            <w:pPr>
              <w:pStyle w:val="19"/>
              <w:bidi w:val="0"/>
            </w:pPr>
            <w:r>
              <w:rPr>
                <w:rFonts w:hint="eastAsia"/>
              </w:rPr>
              <w:t>数值</w:t>
            </w:r>
          </w:p>
        </w:tc>
      </w:tr>
      <w:tr w14:paraId="5CA0A1D8">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16226FEF">
            <w:pPr>
              <w:pStyle w:val="19"/>
              <w:bidi w:val="0"/>
              <w:rPr>
                <w:rFonts w:hint="default"/>
                <w:lang w:val="en-US" w:eastAsia="zh-CN"/>
              </w:rPr>
            </w:pPr>
            <w:r>
              <w:rPr>
                <w:rFonts w:hint="eastAsia"/>
                <w:lang w:val="en-US" w:eastAsia="zh-CN"/>
              </w:rPr>
              <w:t>渗透系数</w:t>
            </w:r>
          </w:p>
        </w:tc>
        <w:tc>
          <w:tcPr>
            <w:tcW w:w="1642" w:type="pct"/>
            <w:tcBorders>
              <w:top w:val="single" w:color="000000" w:sz="2" w:space="0"/>
              <w:left w:val="single" w:color="000000" w:sz="2" w:space="0"/>
              <w:bottom w:val="single" w:color="000000" w:sz="2" w:space="0"/>
              <w:right w:val="single" w:color="000000" w:sz="2" w:space="0"/>
            </w:tcBorders>
            <w:vAlign w:val="center"/>
          </w:tcPr>
          <w:p w14:paraId="3E12C438">
            <w:pPr>
              <w:pStyle w:val="19"/>
              <w:bidi w:val="0"/>
              <w:rPr>
                <w:rFonts w:hint="eastAsia"/>
              </w:rPr>
            </w:pPr>
            <w:r>
              <w:t>m/d</w:t>
            </w:r>
          </w:p>
        </w:tc>
        <w:tc>
          <w:tcPr>
            <w:tcW w:w="1380" w:type="pct"/>
            <w:tcBorders>
              <w:top w:val="single" w:color="000000" w:sz="2" w:space="0"/>
              <w:left w:val="single" w:color="000000" w:sz="2" w:space="0"/>
              <w:bottom w:val="single" w:color="000000" w:sz="2" w:space="0"/>
              <w:right w:val="single" w:color="000000" w:sz="2" w:space="0"/>
            </w:tcBorders>
            <w:vAlign w:val="center"/>
          </w:tcPr>
          <w:p w14:paraId="7AF56FA9">
            <w:pPr>
              <w:pStyle w:val="19"/>
              <w:bidi w:val="0"/>
              <w:rPr>
                <w:rFonts w:hint="default"/>
                <w:lang w:val="en-US" w:eastAsia="zh-CN"/>
              </w:rPr>
            </w:pPr>
            <w:r>
              <w:rPr>
                <w:rFonts w:hint="eastAsia"/>
                <w:lang w:val="en-US" w:eastAsia="zh-CN"/>
              </w:rPr>
              <w:t>29.4</w:t>
            </w:r>
          </w:p>
        </w:tc>
      </w:tr>
      <w:tr w14:paraId="140F9613">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54086209">
            <w:pPr>
              <w:pStyle w:val="19"/>
              <w:bidi w:val="0"/>
            </w:pPr>
            <w:r>
              <w:rPr>
                <w:rFonts w:hint="eastAsia"/>
              </w:rPr>
              <w:t>地下水实际流速</w:t>
            </w:r>
          </w:p>
        </w:tc>
        <w:tc>
          <w:tcPr>
            <w:tcW w:w="1642" w:type="pct"/>
            <w:tcBorders>
              <w:top w:val="single" w:color="000000" w:sz="2" w:space="0"/>
              <w:left w:val="single" w:color="000000" w:sz="2" w:space="0"/>
              <w:bottom w:val="single" w:color="000000" w:sz="2" w:space="0"/>
              <w:right w:val="single" w:color="000000" w:sz="2" w:space="0"/>
            </w:tcBorders>
            <w:vAlign w:val="center"/>
          </w:tcPr>
          <w:p w14:paraId="1B551D6E">
            <w:pPr>
              <w:pStyle w:val="19"/>
              <w:bidi w:val="0"/>
            </w:pPr>
            <w:r>
              <w:rPr>
                <w:rFonts w:hint="eastAsia"/>
              </w:rPr>
              <w:t>m</w:t>
            </w:r>
            <w:r>
              <w:t>/d</w:t>
            </w:r>
          </w:p>
        </w:tc>
        <w:tc>
          <w:tcPr>
            <w:tcW w:w="1380" w:type="pct"/>
            <w:tcBorders>
              <w:top w:val="single" w:color="000000" w:sz="2" w:space="0"/>
              <w:left w:val="single" w:color="000000" w:sz="2" w:space="0"/>
              <w:bottom w:val="single" w:color="000000" w:sz="2" w:space="0"/>
              <w:right w:val="single" w:color="000000" w:sz="2" w:space="0"/>
            </w:tcBorders>
            <w:vAlign w:val="center"/>
          </w:tcPr>
          <w:p w14:paraId="3F04B076">
            <w:pPr>
              <w:pStyle w:val="19"/>
              <w:bidi w:val="0"/>
              <w:rPr>
                <w:rFonts w:hint="default"/>
                <w:lang w:val="en-US" w:eastAsia="zh-CN"/>
              </w:rPr>
            </w:pPr>
            <w:r>
              <w:rPr>
                <w:rFonts w:hint="eastAsia"/>
                <w:lang w:val="en-US" w:eastAsia="zh-CN"/>
              </w:rPr>
              <w:t>0.2352</w:t>
            </w:r>
          </w:p>
        </w:tc>
      </w:tr>
      <w:tr w14:paraId="7A61DD36">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123AEB1E">
            <w:pPr>
              <w:pStyle w:val="19"/>
              <w:bidi w:val="0"/>
            </w:pPr>
            <w:r>
              <w:rPr>
                <w:rFonts w:hint="eastAsia"/>
              </w:rPr>
              <w:t>水力坡度</w:t>
            </w:r>
          </w:p>
        </w:tc>
        <w:tc>
          <w:tcPr>
            <w:tcW w:w="1642" w:type="pct"/>
            <w:tcBorders>
              <w:top w:val="single" w:color="000000" w:sz="2" w:space="0"/>
              <w:left w:val="single" w:color="000000" w:sz="2" w:space="0"/>
              <w:bottom w:val="single" w:color="000000" w:sz="2" w:space="0"/>
              <w:right w:val="single" w:color="000000" w:sz="2" w:space="0"/>
            </w:tcBorders>
            <w:vAlign w:val="center"/>
          </w:tcPr>
          <w:p w14:paraId="76F70BDC">
            <w:pPr>
              <w:pStyle w:val="19"/>
              <w:bidi w:val="0"/>
            </w:pPr>
            <w:r>
              <w:rPr>
                <w:rFonts w:hint="eastAsia"/>
              </w:rPr>
              <w:t>%</w:t>
            </w:r>
          </w:p>
        </w:tc>
        <w:tc>
          <w:tcPr>
            <w:tcW w:w="1380" w:type="pct"/>
            <w:tcBorders>
              <w:top w:val="single" w:color="000000" w:sz="2" w:space="0"/>
              <w:left w:val="single" w:color="000000" w:sz="2" w:space="0"/>
              <w:bottom w:val="single" w:color="000000" w:sz="2" w:space="0"/>
              <w:right w:val="single" w:color="000000" w:sz="2" w:space="0"/>
            </w:tcBorders>
            <w:vAlign w:val="center"/>
          </w:tcPr>
          <w:p w14:paraId="33C2FC40">
            <w:pPr>
              <w:pStyle w:val="19"/>
              <w:bidi w:val="0"/>
            </w:pPr>
            <w:r>
              <w:t>0.2</w:t>
            </w:r>
          </w:p>
        </w:tc>
      </w:tr>
      <w:tr w14:paraId="73515F2C">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5B1CFC50">
            <w:pPr>
              <w:pStyle w:val="19"/>
              <w:bidi w:val="0"/>
            </w:pPr>
            <w:r>
              <w:rPr>
                <w:rFonts w:hint="eastAsia"/>
              </w:rPr>
              <w:t>有效孔隙度</w:t>
            </w:r>
          </w:p>
        </w:tc>
        <w:tc>
          <w:tcPr>
            <w:tcW w:w="1642" w:type="pct"/>
            <w:tcBorders>
              <w:top w:val="single" w:color="000000" w:sz="2" w:space="0"/>
              <w:left w:val="single" w:color="000000" w:sz="2" w:space="0"/>
              <w:bottom w:val="single" w:color="000000" w:sz="2" w:space="0"/>
              <w:right w:val="single" w:color="000000" w:sz="2" w:space="0"/>
            </w:tcBorders>
            <w:vAlign w:val="center"/>
          </w:tcPr>
          <w:p w14:paraId="7D169C1E">
            <w:pPr>
              <w:pStyle w:val="19"/>
              <w:bidi w:val="0"/>
            </w:pPr>
            <w:r>
              <w:t>/</w:t>
            </w:r>
          </w:p>
        </w:tc>
        <w:tc>
          <w:tcPr>
            <w:tcW w:w="1380" w:type="pct"/>
            <w:tcBorders>
              <w:top w:val="single" w:color="000000" w:sz="2" w:space="0"/>
              <w:left w:val="single" w:color="000000" w:sz="2" w:space="0"/>
              <w:bottom w:val="single" w:color="000000" w:sz="2" w:space="0"/>
              <w:right w:val="single" w:color="000000" w:sz="2" w:space="0"/>
            </w:tcBorders>
            <w:vAlign w:val="center"/>
          </w:tcPr>
          <w:p w14:paraId="757D8386">
            <w:pPr>
              <w:pStyle w:val="19"/>
              <w:bidi w:val="0"/>
              <w:rPr>
                <w:rFonts w:hint="default"/>
                <w:lang w:val="en-US" w:eastAsia="zh-CN"/>
              </w:rPr>
            </w:pPr>
            <w:r>
              <w:t>0.</w:t>
            </w:r>
            <w:r>
              <w:rPr>
                <w:rFonts w:hint="eastAsia"/>
                <w:lang w:val="en-US" w:eastAsia="zh-CN"/>
              </w:rPr>
              <w:t>25</w:t>
            </w:r>
          </w:p>
        </w:tc>
      </w:tr>
      <w:tr w14:paraId="413D3519">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208A82B6">
            <w:pPr>
              <w:pStyle w:val="19"/>
              <w:bidi w:val="0"/>
            </w:pPr>
            <w:r>
              <w:rPr>
                <w:rFonts w:hint="eastAsia"/>
              </w:rPr>
              <w:t>纵向弥散度</w:t>
            </w:r>
          </w:p>
        </w:tc>
        <w:tc>
          <w:tcPr>
            <w:tcW w:w="1642" w:type="pct"/>
            <w:tcBorders>
              <w:top w:val="single" w:color="000000" w:sz="2" w:space="0"/>
              <w:left w:val="single" w:color="000000" w:sz="2" w:space="0"/>
              <w:bottom w:val="single" w:color="000000" w:sz="2" w:space="0"/>
              <w:right w:val="single" w:color="000000" w:sz="2" w:space="0"/>
            </w:tcBorders>
            <w:vAlign w:val="center"/>
          </w:tcPr>
          <w:p w14:paraId="766EA069">
            <w:pPr>
              <w:pStyle w:val="19"/>
              <w:bidi w:val="0"/>
            </w:pPr>
            <w:r>
              <w:t>m</w:t>
            </w:r>
          </w:p>
        </w:tc>
        <w:tc>
          <w:tcPr>
            <w:tcW w:w="1380" w:type="pct"/>
            <w:tcBorders>
              <w:top w:val="single" w:color="000000" w:sz="2" w:space="0"/>
              <w:left w:val="single" w:color="000000" w:sz="2" w:space="0"/>
              <w:bottom w:val="single" w:color="000000" w:sz="2" w:space="0"/>
              <w:right w:val="single" w:color="000000" w:sz="2" w:space="0"/>
            </w:tcBorders>
            <w:vAlign w:val="center"/>
          </w:tcPr>
          <w:p w14:paraId="5F3997CB">
            <w:pPr>
              <w:pStyle w:val="19"/>
              <w:bidi w:val="0"/>
              <w:rPr>
                <w:rFonts w:hint="default"/>
                <w:lang w:val="en-US" w:eastAsia="zh-CN"/>
              </w:rPr>
            </w:pPr>
            <w:r>
              <w:rPr>
                <w:rFonts w:hint="eastAsia"/>
                <w:lang w:val="en-US" w:eastAsia="zh-CN"/>
              </w:rPr>
              <w:t>10</w:t>
            </w:r>
          </w:p>
        </w:tc>
      </w:tr>
      <w:tr w14:paraId="65A2B453">
        <w:tblPrEx>
          <w:tblCellMar>
            <w:top w:w="0" w:type="dxa"/>
            <w:left w:w="0" w:type="dxa"/>
            <w:bottom w:w="0" w:type="dxa"/>
            <w:right w:w="0" w:type="dxa"/>
          </w:tblCellMar>
        </w:tblPrEx>
        <w:trPr>
          <w:trHeight w:val="340" w:hRule="atLeast"/>
          <w:jc w:val="center"/>
        </w:trPr>
        <w:tc>
          <w:tcPr>
            <w:tcW w:w="1977" w:type="pct"/>
            <w:tcBorders>
              <w:top w:val="single" w:color="000000" w:sz="2" w:space="0"/>
              <w:left w:val="single" w:color="000000" w:sz="2" w:space="0"/>
              <w:bottom w:val="single" w:color="000000" w:sz="2" w:space="0"/>
              <w:right w:val="single" w:color="000000" w:sz="2" w:space="0"/>
            </w:tcBorders>
            <w:vAlign w:val="center"/>
          </w:tcPr>
          <w:p w14:paraId="7F6F5192">
            <w:pPr>
              <w:pStyle w:val="19"/>
              <w:bidi w:val="0"/>
            </w:pPr>
            <w:r>
              <w:rPr>
                <w:rFonts w:hint="eastAsia"/>
              </w:rPr>
              <w:t>纵向弥散系数</w:t>
            </w:r>
          </w:p>
        </w:tc>
        <w:tc>
          <w:tcPr>
            <w:tcW w:w="1642" w:type="pct"/>
            <w:tcBorders>
              <w:top w:val="single" w:color="000000" w:sz="2" w:space="0"/>
              <w:left w:val="single" w:color="000000" w:sz="2" w:space="0"/>
              <w:bottom w:val="single" w:color="000000" w:sz="2" w:space="0"/>
              <w:right w:val="single" w:color="000000" w:sz="2" w:space="0"/>
            </w:tcBorders>
            <w:vAlign w:val="center"/>
          </w:tcPr>
          <w:p w14:paraId="20F92F28">
            <w:pPr>
              <w:pStyle w:val="19"/>
              <w:bidi w:val="0"/>
            </w:pPr>
            <w:r>
              <w:t>m2/d</w:t>
            </w:r>
          </w:p>
        </w:tc>
        <w:tc>
          <w:tcPr>
            <w:tcW w:w="1380" w:type="pct"/>
            <w:tcBorders>
              <w:top w:val="single" w:color="000000" w:sz="2" w:space="0"/>
              <w:left w:val="single" w:color="000000" w:sz="2" w:space="0"/>
              <w:bottom w:val="single" w:color="000000" w:sz="2" w:space="0"/>
              <w:right w:val="single" w:color="000000" w:sz="2" w:space="0"/>
            </w:tcBorders>
            <w:vAlign w:val="center"/>
          </w:tcPr>
          <w:p w14:paraId="61AC9E0F">
            <w:pPr>
              <w:pStyle w:val="19"/>
              <w:bidi w:val="0"/>
              <w:rPr>
                <w:rFonts w:hint="default"/>
                <w:lang w:val="en-US" w:eastAsia="zh-CN"/>
              </w:rPr>
            </w:pPr>
            <w:r>
              <w:rPr>
                <w:rFonts w:hint="eastAsia"/>
                <w:lang w:val="en-US" w:eastAsia="zh-CN"/>
              </w:rPr>
              <w:t>2.352</w:t>
            </w:r>
          </w:p>
        </w:tc>
      </w:tr>
    </w:tbl>
    <w:p w14:paraId="276AB066">
      <w:pPr>
        <w:bidi w:val="0"/>
        <w:rPr>
          <w:rFonts w:hint="default"/>
          <w:lang w:val="en-US" w:eastAsia="zh-CN"/>
        </w:rPr>
      </w:pPr>
      <w:r>
        <w:rPr>
          <w:rFonts w:hint="eastAsia"/>
          <w:lang w:val="en-US" w:eastAsia="zh-CN"/>
        </w:rPr>
        <w:t>（8）预测结果</w:t>
      </w:r>
    </w:p>
    <w:p w14:paraId="123B30E8">
      <w:pPr>
        <w:bidi w:val="0"/>
        <w:rPr>
          <w:rFonts w:hint="default"/>
          <w:lang w:val="en-US" w:eastAsia="zh-CN"/>
        </w:rPr>
      </w:pPr>
      <w:r>
        <w:rPr>
          <w:rFonts w:hint="eastAsia"/>
          <w:lang w:val="en-US" w:eastAsia="zh-CN"/>
        </w:rPr>
        <w:t>本次地下水预测结果见表5.2-16。</w:t>
      </w:r>
    </w:p>
    <w:p w14:paraId="76171570">
      <w:pPr>
        <w:pStyle w:val="30"/>
        <w:bidi w:val="0"/>
        <w:rPr>
          <w:rFonts w:hint="eastAsia"/>
          <w:lang w:val="en-US" w:eastAsia="zh-CN"/>
        </w:rPr>
      </w:pPr>
      <w:r>
        <w:rPr>
          <w:rFonts w:hint="eastAsia"/>
          <w:lang w:val="en-US" w:eastAsia="zh-CN"/>
        </w:rPr>
        <w:t>表5.2-16   非正常渗漏影响预测结果表  单位：mg/L</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8"/>
        <w:gridCol w:w="1254"/>
        <w:gridCol w:w="1254"/>
        <w:gridCol w:w="1276"/>
        <w:gridCol w:w="1254"/>
        <w:gridCol w:w="1257"/>
        <w:gridCol w:w="1301"/>
      </w:tblGrid>
      <w:tr w14:paraId="3A3C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Merge w:val="restart"/>
            <w:vAlign w:val="center"/>
          </w:tcPr>
          <w:p w14:paraId="03DB5024">
            <w:pPr>
              <w:pStyle w:val="19"/>
              <w:bidi w:val="0"/>
              <w:rPr>
                <w:rFonts w:hint="default"/>
              </w:rPr>
            </w:pPr>
            <w:r>
              <w:rPr>
                <w:rFonts w:hint="default"/>
              </w:rPr>
              <w:t>距离（m）</w:t>
            </w:r>
          </w:p>
        </w:tc>
        <w:tc>
          <w:tcPr>
            <w:tcW w:w="4567" w:type="pct"/>
            <w:gridSpan w:val="6"/>
            <w:vAlign w:val="center"/>
          </w:tcPr>
          <w:p w14:paraId="75983A50">
            <w:pPr>
              <w:pStyle w:val="19"/>
              <w:bidi w:val="0"/>
              <w:rPr>
                <w:rFonts w:hint="default"/>
              </w:rPr>
            </w:pPr>
            <w:r>
              <w:rPr>
                <w:rFonts w:hint="default"/>
              </w:rPr>
              <w:t>预测浓度（mg/L）</w:t>
            </w:r>
          </w:p>
        </w:tc>
      </w:tr>
      <w:tr w14:paraId="1426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Merge w:val="continue"/>
            <w:vAlign w:val="center"/>
          </w:tcPr>
          <w:p w14:paraId="4DA7DEFF">
            <w:pPr>
              <w:pStyle w:val="19"/>
              <w:bidi w:val="0"/>
              <w:rPr>
                <w:rFonts w:hint="default"/>
              </w:rPr>
            </w:pPr>
          </w:p>
        </w:tc>
        <w:tc>
          <w:tcPr>
            <w:tcW w:w="2275" w:type="pct"/>
            <w:gridSpan w:val="3"/>
            <w:vAlign w:val="center"/>
          </w:tcPr>
          <w:p w14:paraId="2EF80920">
            <w:pPr>
              <w:pStyle w:val="19"/>
              <w:bidi w:val="0"/>
              <w:rPr>
                <w:rFonts w:hint="default"/>
              </w:rPr>
            </w:pPr>
            <w:r>
              <w:rPr>
                <w:rFonts w:hint="default"/>
              </w:rPr>
              <w:t>COD</w:t>
            </w:r>
          </w:p>
        </w:tc>
        <w:tc>
          <w:tcPr>
            <w:tcW w:w="2291" w:type="pct"/>
            <w:gridSpan w:val="3"/>
            <w:vAlign w:val="center"/>
          </w:tcPr>
          <w:p w14:paraId="7B885A0D">
            <w:pPr>
              <w:pStyle w:val="19"/>
              <w:bidi w:val="0"/>
              <w:rPr>
                <w:rFonts w:hint="default"/>
              </w:rPr>
            </w:pPr>
            <w:r>
              <w:rPr>
                <w:rFonts w:hint="default"/>
              </w:rPr>
              <w:t>NH</w:t>
            </w:r>
            <w:r>
              <w:rPr>
                <w:rFonts w:hint="default"/>
                <w:vertAlign w:val="subscript"/>
              </w:rPr>
              <w:t>3</w:t>
            </w:r>
            <w:r>
              <w:rPr>
                <w:rFonts w:hint="default"/>
              </w:rPr>
              <w:t>-N</w:t>
            </w:r>
          </w:p>
        </w:tc>
      </w:tr>
      <w:tr w14:paraId="24A3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Merge w:val="continue"/>
            <w:vAlign w:val="center"/>
          </w:tcPr>
          <w:p w14:paraId="6E0B88AA">
            <w:pPr>
              <w:pStyle w:val="19"/>
              <w:bidi w:val="0"/>
              <w:rPr>
                <w:rFonts w:hint="default"/>
              </w:rPr>
            </w:pPr>
          </w:p>
        </w:tc>
        <w:tc>
          <w:tcPr>
            <w:tcW w:w="754" w:type="pct"/>
            <w:vAlign w:val="center"/>
          </w:tcPr>
          <w:p w14:paraId="63FE2E9B">
            <w:pPr>
              <w:pStyle w:val="19"/>
              <w:bidi w:val="0"/>
              <w:rPr>
                <w:rFonts w:hint="default"/>
              </w:rPr>
            </w:pPr>
            <w:r>
              <w:rPr>
                <w:rFonts w:hint="default"/>
              </w:rPr>
              <w:t>100d</w:t>
            </w:r>
          </w:p>
        </w:tc>
        <w:tc>
          <w:tcPr>
            <w:tcW w:w="754" w:type="pct"/>
            <w:vAlign w:val="center"/>
          </w:tcPr>
          <w:p w14:paraId="034DD642">
            <w:pPr>
              <w:pStyle w:val="19"/>
              <w:bidi w:val="0"/>
              <w:rPr>
                <w:rFonts w:hint="default"/>
                <w:lang w:val="en-US" w:eastAsia="zh-CN"/>
              </w:rPr>
            </w:pPr>
            <w:r>
              <w:rPr>
                <w:rFonts w:hint="eastAsia"/>
                <w:lang w:val="en-US" w:eastAsia="zh-CN"/>
              </w:rPr>
              <w:t>365</w:t>
            </w:r>
            <w:r>
              <w:rPr>
                <w:rFonts w:hint="default"/>
                <w:lang w:val="en-US" w:eastAsia="zh-CN"/>
              </w:rPr>
              <w:t>d</w:t>
            </w:r>
          </w:p>
        </w:tc>
        <w:tc>
          <w:tcPr>
            <w:tcW w:w="765" w:type="pct"/>
            <w:vAlign w:val="center"/>
          </w:tcPr>
          <w:p w14:paraId="66D2BE38">
            <w:pPr>
              <w:pStyle w:val="19"/>
              <w:bidi w:val="0"/>
              <w:rPr>
                <w:rFonts w:hint="default"/>
                <w:lang w:val="en-US" w:eastAsia="zh-CN"/>
              </w:rPr>
            </w:pPr>
            <w:r>
              <w:rPr>
                <w:rFonts w:hint="eastAsia"/>
                <w:lang w:val="en-US" w:eastAsia="zh-CN"/>
              </w:rPr>
              <w:t>1000</w:t>
            </w:r>
            <w:r>
              <w:rPr>
                <w:rFonts w:hint="default"/>
                <w:lang w:val="en-US" w:eastAsia="zh-CN"/>
              </w:rPr>
              <w:t>d</w:t>
            </w:r>
          </w:p>
        </w:tc>
        <w:tc>
          <w:tcPr>
            <w:tcW w:w="754" w:type="pct"/>
            <w:vAlign w:val="center"/>
          </w:tcPr>
          <w:p w14:paraId="23C45577">
            <w:pPr>
              <w:pStyle w:val="19"/>
              <w:bidi w:val="0"/>
              <w:rPr>
                <w:rFonts w:hint="default"/>
              </w:rPr>
            </w:pPr>
            <w:r>
              <w:rPr>
                <w:rFonts w:hint="default"/>
              </w:rPr>
              <w:t>100d</w:t>
            </w:r>
          </w:p>
        </w:tc>
        <w:tc>
          <w:tcPr>
            <w:tcW w:w="1257" w:type="dxa"/>
            <w:vAlign w:val="center"/>
          </w:tcPr>
          <w:p w14:paraId="1D7E10B9">
            <w:pPr>
              <w:pStyle w:val="19"/>
              <w:bidi w:val="0"/>
              <w:ind w:firstLine="0" w:firstLineChars="0"/>
              <w:rPr>
                <w:rFonts w:hint="default"/>
              </w:rPr>
            </w:pPr>
            <w:r>
              <w:rPr>
                <w:rFonts w:hint="eastAsia"/>
                <w:lang w:val="en-US" w:eastAsia="zh-CN"/>
              </w:rPr>
              <w:t>365</w:t>
            </w:r>
            <w:r>
              <w:rPr>
                <w:rFonts w:hint="default"/>
                <w:lang w:val="en-US" w:eastAsia="zh-CN"/>
              </w:rPr>
              <w:t>d</w:t>
            </w:r>
          </w:p>
        </w:tc>
        <w:tc>
          <w:tcPr>
            <w:tcW w:w="1301" w:type="dxa"/>
            <w:vAlign w:val="center"/>
          </w:tcPr>
          <w:p w14:paraId="52B7B896">
            <w:pPr>
              <w:pStyle w:val="19"/>
              <w:bidi w:val="0"/>
              <w:ind w:firstLine="0" w:firstLineChars="0"/>
              <w:rPr>
                <w:rFonts w:hint="default"/>
              </w:rPr>
            </w:pPr>
            <w:r>
              <w:rPr>
                <w:rFonts w:hint="eastAsia"/>
                <w:lang w:val="en-US" w:eastAsia="zh-CN"/>
              </w:rPr>
              <w:t>1000</w:t>
            </w:r>
            <w:r>
              <w:rPr>
                <w:rFonts w:hint="default"/>
                <w:lang w:val="en-US" w:eastAsia="zh-CN"/>
              </w:rPr>
              <w:t>d</w:t>
            </w:r>
          </w:p>
        </w:tc>
      </w:tr>
      <w:tr w14:paraId="4CEF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0FBCE19A">
            <w:pPr>
              <w:pStyle w:val="19"/>
              <w:bidi w:val="0"/>
              <w:rPr>
                <w:rFonts w:hint="default"/>
              </w:rPr>
            </w:pPr>
            <w:r>
              <w:rPr>
                <w:rFonts w:hint="default"/>
              </w:rPr>
              <w:t>0</w:t>
            </w:r>
          </w:p>
        </w:tc>
        <w:tc>
          <w:tcPr>
            <w:tcW w:w="754" w:type="pct"/>
            <w:vAlign w:val="center"/>
          </w:tcPr>
          <w:p w14:paraId="6B75605A">
            <w:pPr>
              <w:pStyle w:val="19"/>
              <w:bidi w:val="0"/>
              <w:rPr>
                <w:rFonts w:hint="default"/>
                <w:lang w:val="en-US" w:eastAsia="zh-CN"/>
              </w:rPr>
            </w:pPr>
            <w:r>
              <w:rPr>
                <w:rFonts w:hint="eastAsia"/>
                <w:lang w:val="en-US" w:eastAsia="zh-CN"/>
              </w:rPr>
              <w:t>2601</w:t>
            </w:r>
          </w:p>
        </w:tc>
        <w:tc>
          <w:tcPr>
            <w:tcW w:w="754" w:type="pct"/>
            <w:vAlign w:val="center"/>
          </w:tcPr>
          <w:p w14:paraId="49557619">
            <w:pPr>
              <w:pStyle w:val="19"/>
              <w:bidi w:val="0"/>
              <w:rPr>
                <w:rFonts w:hint="default"/>
                <w:lang w:val="en-US" w:eastAsia="zh-CN"/>
              </w:rPr>
            </w:pPr>
            <w:r>
              <w:rPr>
                <w:rFonts w:hint="eastAsia"/>
                <w:lang w:val="en-US" w:eastAsia="zh-CN"/>
              </w:rPr>
              <w:t>2601</w:t>
            </w:r>
          </w:p>
        </w:tc>
        <w:tc>
          <w:tcPr>
            <w:tcW w:w="765" w:type="pct"/>
            <w:vAlign w:val="center"/>
          </w:tcPr>
          <w:p w14:paraId="686F8887">
            <w:pPr>
              <w:pStyle w:val="19"/>
              <w:bidi w:val="0"/>
              <w:rPr>
                <w:rFonts w:hint="default"/>
                <w:lang w:val="en-US" w:eastAsia="zh-CN"/>
              </w:rPr>
            </w:pPr>
            <w:r>
              <w:rPr>
                <w:rFonts w:hint="eastAsia"/>
                <w:lang w:val="en-US" w:eastAsia="zh-CN"/>
              </w:rPr>
              <w:t>2601</w:t>
            </w:r>
          </w:p>
        </w:tc>
        <w:tc>
          <w:tcPr>
            <w:tcW w:w="754" w:type="pct"/>
            <w:vAlign w:val="center"/>
          </w:tcPr>
          <w:p w14:paraId="6BE694A9">
            <w:pPr>
              <w:pStyle w:val="19"/>
              <w:bidi w:val="0"/>
              <w:rPr>
                <w:rFonts w:hint="default"/>
                <w:lang w:val="en-US" w:eastAsia="zh-CN"/>
              </w:rPr>
            </w:pPr>
            <w:r>
              <w:rPr>
                <w:rFonts w:hint="eastAsia"/>
                <w:lang w:val="en-US" w:eastAsia="zh-CN"/>
              </w:rPr>
              <w:t>257</w:t>
            </w:r>
          </w:p>
        </w:tc>
        <w:tc>
          <w:tcPr>
            <w:tcW w:w="756" w:type="pct"/>
            <w:vAlign w:val="center"/>
          </w:tcPr>
          <w:p w14:paraId="1C9B3EC4">
            <w:pPr>
              <w:pStyle w:val="19"/>
              <w:bidi w:val="0"/>
              <w:rPr>
                <w:rFonts w:hint="default"/>
                <w:lang w:val="en-US" w:eastAsia="zh-CN"/>
              </w:rPr>
            </w:pPr>
            <w:r>
              <w:rPr>
                <w:rFonts w:hint="eastAsia"/>
                <w:lang w:val="en-US" w:eastAsia="zh-CN"/>
              </w:rPr>
              <w:t>257</w:t>
            </w:r>
          </w:p>
        </w:tc>
        <w:tc>
          <w:tcPr>
            <w:tcW w:w="779" w:type="pct"/>
            <w:vAlign w:val="center"/>
          </w:tcPr>
          <w:p w14:paraId="7C71C26E">
            <w:pPr>
              <w:pStyle w:val="19"/>
              <w:bidi w:val="0"/>
              <w:rPr>
                <w:rFonts w:hint="default"/>
                <w:lang w:val="en-US" w:eastAsia="zh-CN"/>
              </w:rPr>
            </w:pPr>
            <w:r>
              <w:rPr>
                <w:rFonts w:hint="eastAsia"/>
                <w:lang w:val="en-US" w:eastAsia="zh-CN"/>
              </w:rPr>
              <w:t>257</w:t>
            </w:r>
          </w:p>
        </w:tc>
      </w:tr>
      <w:tr w14:paraId="2754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1B42433B">
            <w:pPr>
              <w:pStyle w:val="19"/>
              <w:bidi w:val="0"/>
              <w:rPr>
                <w:rFonts w:hint="default"/>
                <w:lang w:val="en-US" w:eastAsia="zh-CN"/>
              </w:rPr>
            </w:pPr>
            <w:r>
              <w:rPr>
                <w:rFonts w:hint="eastAsia"/>
                <w:lang w:val="en-US" w:eastAsia="zh-CN"/>
              </w:rPr>
              <w:t>10</w:t>
            </w:r>
          </w:p>
        </w:tc>
        <w:tc>
          <w:tcPr>
            <w:tcW w:w="754" w:type="pct"/>
            <w:vAlign w:val="center"/>
          </w:tcPr>
          <w:p w14:paraId="25748638">
            <w:pPr>
              <w:pStyle w:val="19"/>
              <w:bidi w:val="0"/>
              <w:rPr>
                <w:rFonts w:hint="default"/>
                <w:lang w:val="en-US" w:eastAsia="zh-CN"/>
              </w:rPr>
            </w:pPr>
            <w:r>
              <w:rPr>
                <w:rFonts w:hint="default"/>
                <w:lang w:val="en-US" w:eastAsia="zh-CN"/>
              </w:rPr>
              <w:t>2340</w:t>
            </w:r>
          </w:p>
        </w:tc>
        <w:tc>
          <w:tcPr>
            <w:tcW w:w="754" w:type="pct"/>
            <w:vAlign w:val="center"/>
          </w:tcPr>
          <w:p w14:paraId="0E056A45">
            <w:pPr>
              <w:pStyle w:val="19"/>
              <w:bidi w:val="0"/>
              <w:rPr>
                <w:rFonts w:hint="default"/>
                <w:lang w:val="en-US" w:eastAsia="zh-CN"/>
              </w:rPr>
            </w:pPr>
            <w:r>
              <w:rPr>
                <w:rFonts w:hint="eastAsia"/>
                <w:lang w:val="en-US" w:eastAsia="zh-CN"/>
              </w:rPr>
              <w:t>2590</w:t>
            </w:r>
          </w:p>
        </w:tc>
        <w:tc>
          <w:tcPr>
            <w:tcW w:w="765" w:type="pct"/>
            <w:vAlign w:val="center"/>
          </w:tcPr>
          <w:p w14:paraId="7A714F17">
            <w:pPr>
              <w:pStyle w:val="19"/>
              <w:bidi w:val="0"/>
              <w:rPr>
                <w:rFonts w:hint="default"/>
                <w:lang w:val="en-US" w:eastAsia="zh-CN"/>
              </w:rPr>
            </w:pPr>
            <w:r>
              <w:rPr>
                <w:rFonts w:hint="eastAsia"/>
                <w:lang w:val="en-US" w:eastAsia="zh-CN"/>
              </w:rPr>
              <w:t>2600</w:t>
            </w:r>
          </w:p>
        </w:tc>
        <w:tc>
          <w:tcPr>
            <w:tcW w:w="754" w:type="pct"/>
            <w:vAlign w:val="center"/>
          </w:tcPr>
          <w:p w14:paraId="318E5748">
            <w:pPr>
              <w:pStyle w:val="19"/>
              <w:bidi w:val="0"/>
              <w:rPr>
                <w:rFonts w:hint="default"/>
                <w:lang w:val="en-US" w:eastAsia="zh-CN"/>
              </w:rPr>
            </w:pPr>
            <w:r>
              <w:rPr>
                <w:rFonts w:hint="eastAsia"/>
                <w:lang w:val="en-US" w:eastAsia="zh-CN"/>
              </w:rPr>
              <w:t>231</w:t>
            </w:r>
          </w:p>
        </w:tc>
        <w:tc>
          <w:tcPr>
            <w:tcW w:w="756" w:type="pct"/>
            <w:vAlign w:val="center"/>
          </w:tcPr>
          <w:p w14:paraId="54A1AEF1">
            <w:pPr>
              <w:pStyle w:val="19"/>
              <w:bidi w:val="0"/>
              <w:rPr>
                <w:rFonts w:hint="default"/>
                <w:lang w:val="en-US" w:eastAsia="zh-CN"/>
              </w:rPr>
            </w:pPr>
            <w:r>
              <w:rPr>
                <w:rFonts w:hint="eastAsia"/>
                <w:lang w:val="en-US" w:eastAsia="zh-CN"/>
              </w:rPr>
              <w:t>256</w:t>
            </w:r>
          </w:p>
        </w:tc>
        <w:tc>
          <w:tcPr>
            <w:tcW w:w="779" w:type="pct"/>
            <w:vAlign w:val="center"/>
          </w:tcPr>
          <w:p w14:paraId="22BE571D">
            <w:pPr>
              <w:pStyle w:val="19"/>
              <w:bidi w:val="0"/>
              <w:rPr>
                <w:rFonts w:hint="default"/>
                <w:lang w:val="en-US" w:eastAsia="zh-CN"/>
              </w:rPr>
            </w:pPr>
            <w:r>
              <w:rPr>
                <w:rFonts w:hint="eastAsia"/>
                <w:lang w:val="en-US" w:eastAsia="zh-CN"/>
              </w:rPr>
              <w:t>257</w:t>
            </w:r>
          </w:p>
        </w:tc>
      </w:tr>
      <w:tr w14:paraId="0912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5FF4406B">
            <w:pPr>
              <w:pStyle w:val="19"/>
              <w:bidi w:val="0"/>
              <w:rPr>
                <w:rFonts w:hint="default"/>
                <w:lang w:val="en-US" w:eastAsia="zh-CN"/>
              </w:rPr>
            </w:pPr>
            <w:r>
              <w:rPr>
                <w:rFonts w:hint="eastAsia"/>
                <w:lang w:val="en-US" w:eastAsia="zh-CN"/>
              </w:rPr>
              <w:t>20</w:t>
            </w:r>
          </w:p>
        </w:tc>
        <w:tc>
          <w:tcPr>
            <w:tcW w:w="754" w:type="pct"/>
            <w:vAlign w:val="center"/>
          </w:tcPr>
          <w:p w14:paraId="288FC439">
            <w:pPr>
              <w:pStyle w:val="19"/>
              <w:bidi w:val="0"/>
              <w:rPr>
                <w:rFonts w:hint="default"/>
                <w:lang w:val="en-US" w:eastAsia="zh-CN"/>
              </w:rPr>
            </w:pPr>
            <w:r>
              <w:rPr>
                <w:rFonts w:hint="default"/>
                <w:lang w:val="en-US" w:eastAsia="zh-CN"/>
              </w:rPr>
              <w:t>1900</w:t>
            </w:r>
          </w:p>
        </w:tc>
        <w:tc>
          <w:tcPr>
            <w:tcW w:w="754" w:type="pct"/>
            <w:vAlign w:val="center"/>
          </w:tcPr>
          <w:p w14:paraId="4AC8FF5E">
            <w:pPr>
              <w:pStyle w:val="19"/>
              <w:bidi w:val="0"/>
              <w:rPr>
                <w:rFonts w:hint="default"/>
                <w:lang w:val="en-US" w:eastAsia="zh-CN"/>
              </w:rPr>
            </w:pPr>
            <w:r>
              <w:rPr>
                <w:rFonts w:hint="eastAsia"/>
                <w:lang w:val="en-US" w:eastAsia="zh-CN"/>
              </w:rPr>
              <w:t>2560</w:t>
            </w:r>
          </w:p>
        </w:tc>
        <w:tc>
          <w:tcPr>
            <w:tcW w:w="765" w:type="pct"/>
            <w:vAlign w:val="center"/>
          </w:tcPr>
          <w:p w14:paraId="0221FD76">
            <w:pPr>
              <w:pStyle w:val="19"/>
              <w:bidi w:val="0"/>
              <w:rPr>
                <w:rFonts w:hint="default"/>
                <w:lang w:val="en-US" w:eastAsia="zh-CN"/>
              </w:rPr>
            </w:pPr>
            <w:r>
              <w:rPr>
                <w:rFonts w:hint="eastAsia"/>
                <w:lang w:val="en-US" w:eastAsia="zh-CN"/>
              </w:rPr>
              <w:t>2600</w:t>
            </w:r>
          </w:p>
        </w:tc>
        <w:tc>
          <w:tcPr>
            <w:tcW w:w="754" w:type="pct"/>
            <w:vAlign w:val="center"/>
          </w:tcPr>
          <w:p w14:paraId="116D1CB0">
            <w:pPr>
              <w:pStyle w:val="19"/>
              <w:bidi w:val="0"/>
              <w:rPr>
                <w:rFonts w:hint="default"/>
                <w:lang w:val="en-US" w:eastAsia="zh-CN"/>
              </w:rPr>
            </w:pPr>
            <w:r>
              <w:rPr>
                <w:rFonts w:hint="eastAsia"/>
                <w:lang w:val="en-US" w:eastAsia="zh-CN"/>
              </w:rPr>
              <w:t>188</w:t>
            </w:r>
          </w:p>
        </w:tc>
        <w:tc>
          <w:tcPr>
            <w:tcW w:w="756" w:type="pct"/>
            <w:vAlign w:val="center"/>
          </w:tcPr>
          <w:p w14:paraId="0F819835">
            <w:pPr>
              <w:pStyle w:val="19"/>
              <w:bidi w:val="0"/>
              <w:rPr>
                <w:rFonts w:hint="default"/>
                <w:lang w:val="en-US" w:eastAsia="zh-CN"/>
              </w:rPr>
            </w:pPr>
            <w:r>
              <w:rPr>
                <w:rFonts w:hint="eastAsia"/>
                <w:lang w:val="en-US" w:eastAsia="zh-CN"/>
              </w:rPr>
              <w:t>253</w:t>
            </w:r>
          </w:p>
        </w:tc>
        <w:tc>
          <w:tcPr>
            <w:tcW w:w="779" w:type="pct"/>
            <w:vAlign w:val="center"/>
          </w:tcPr>
          <w:p w14:paraId="119A2265">
            <w:pPr>
              <w:pStyle w:val="19"/>
              <w:bidi w:val="0"/>
              <w:rPr>
                <w:rFonts w:hint="default"/>
                <w:lang w:val="en-US" w:eastAsia="zh-CN"/>
              </w:rPr>
            </w:pPr>
            <w:r>
              <w:rPr>
                <w:rFonts w:hint="eastAsia"/>
                <w:lang w:val="en-US" w:eastAsia="zh-CN"/>
              </w:rPr>
              <w:t>257</w:t>
            </w:r>
          </w:p>
        </w:tc>
      </w:tr>
      <w:tr w14:paraId="47BD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44D3EFA0">
            <w:pPr>
              <w:pStyle w:val="19"/>
              <w:bidi w:val="0"/>
              <w:rPr>
                <w:rFonts w:hint="default"/>
              </w:rPr>
            </w:pPr>
            <w:r>
              <w:rPr>
                <w:rFonts w:hint="default"/>
                <w:lang w:val="en-US" w:eastAsia="zh-CN"/>
              </w:rPr>
              <w:t>50</w:t>
            </w:r>
          </w:p>
        </w:tc>
        <w:tc>
          <w:tcPr>
            <w:tcW w:w="754" w:type="pct"/>
            <w:vAlign w:val="center"/>
          </w:tcPr>
          <w:p w14:paraId="42EE47FC">
            <w:pPr>
              <w:pStyle w:val="19"/>
              <w:bidi w:val="0"/>
              <w:rPr>
                <w:rFonts w:hint="default"/>
                <w:lang w:val="en-US" w:eastAsia="zh-CN"/>
              </w:rPr>
            </w:pPr>
            <w:r>
              <w:rPr>
                <w:rFonts w:hint="default"/>
                <w:lang w:val="en-US" w:eastAsia="zh-CN"/>
              </w:rPr>
              <w:t>424</w:t>
            </w:r>
          </w:p>
        </w:tc>
        <w:tc>
          <w:tcPr>
            <w:tcW w:w="754" w:type="pct"/>
            <w:vAlign w:val="center"/>
          </w:tcPr>
          <w:p w14:paraId="576A2876">
            <w:pPr>
              <w:pStyle w:val="19"/>
              <w:bidi w:val="0"/>
              <w:rPr>
                <w:rFonts w:hint="default"/>
                <w:lang w:val="en-US" w:eastAsia="zh-CN"/>
              </w:rPr>
            </w:pPr>
            <w:r>
              <w:rPr>
                <w:rFonts w:hint="eastAsia"/>
                <w:lang w:val="en-US" w:eastAsia="zh-CN"/>
              </w:rPr>
              <w:t>2300</w:t>
            </w:r>
          </w:p>
        </w:tc>
        <w:tc>
          <w:tcPr>
            <w:tcW w:w="765" w:type="pct"/>
            <w:vAlign w:val="center"/>
          </w:tcPr>
          <w:p w14:paraId="35438D19">
            <w:pPr>
              <w:pStyle w:val="19"/>
              <w:bidi w:val="0"/>
              <w:rPr>
                <w:rFonts w:hint="default"/>
                <w:lang w:val="en-US" w:eastAsia="zh-CN"/>
              </w:rPr>
            </w:pPr>
            <w:r>
              <w:rPr>
                <w:rFonts w:hint="eastAsia"/>
                <w:lang w:val="en-US" w:eastAsia="zh-CN"/>
              </w:rPr>
              <w:t>2600</w:t>
            </w:r>
          </w:p>
        </w:tc>
        <w:tc>
          <w:tcPr>
            <w:tcW w:w="754" w:type="pct"/>
            <w:vAlign w:val="center"/>
          </w:tcPr>
          <w:p w14:paraId="39A5A9B6">
            <w:pPr>
              <w:pStyle w:val="19"/>
              <w:bidi w:val="0"/>
              <w:rPr>
                <w:rFonts w:hint="default"/>
                <w:lang w:val="en-US" w:eastAsia="zh-CN"/>
              </w:rPr>
            </w:pPr>
            <w:r>
              <w:rPr>
                <w:rFonts w:hint="eastAsia"/>
                <w:lang w:val="en-US" w:eastAsia="zh-CN"/>
              </w:rPr>
              <w:t>41.9</w:t>
            </w:r>
          </w:p>
        </w:tc>
        <w:tc>
          <w:tcPr>
            <w:tcW w:w="756" w:type="pct"/>
            <w:vAlign w:val="center"/>
          </w:tcPr>
          <w:p w14:paraId="7AF7D7EA">
            <w:pPr>
              <w:pStyle w:val="19"/>
              <w:bidi w:val="0"/>
              <w:rPr>
                <w:rFonts w:hint="default"/>
                <w:lang w:val="en-US" w:eastAsia="zh-CN"/>
              </w:rPr>
            </w:pPr>
            <w:r>
              <w:rPr>
                <w:rFonts w:hint="eastAsia"/>
                <w:lang w:val="en-US" w:eastAsia="zh-CN"/>
              </w:rPr>
              <w:t>227</w:t>
            </w:r>
          </w:p>
        </w:tc>
        <w:tc>
          <w:tcPr>
            <w:tcW w:w="779" w:type="pct"/>
            <w:vAlign w:val="center"/>
          </w:tcPr>
          <w:p w14:paraId="2680F3A9">
            <w:pPr>
              <w:pStyle w:val="19"/>
              <w:bidi w:val="0"/>
              <w:rPr>
                <w:rFonts w:hint="default"/>
                <w:lang w:val="en-US" w:eastAsia="zh-CN"/>
              </w:rPr>
            </w:pPr>
            <w:r>
              <w:rPr>
                <w:rFonts w:hint="eastAsia"/>
                <w:lang w:val="en-US" w:eastAsia="zh-CN"/>
              </w:rPr>
              <w:t>257</w:t>
            </w:r>
          </w:p>
        </w:tc>
      </w:tr>
      <w:tr w14:paraId="3821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4552F8CC">
            <w:pPr>
              <w:pStyle w:val="19"/>
              <w:bidi w:val="0"/>
              <w:rPr>
                <w:rFonts w:hint="default"/>
              </w:rPr>
            </w:pPr>
            <w:r>
              <w:rPr>
                <w:rFonts w:hint="default"/>
                <w:lang w:val="en-US" w:eastAsia="zh-CN"/>
              </w:rPr>
              <w:t>100</w:t>
            </w:r>
          </w:p>
        </w:tc>
        <w:tc>
          <w:tcPr>
            <w:tcW w:w="754" w:type="pct"/>
            <w:vAlign w:val="center"/>
          </w:tcPr>
          <w:p w14:paraId="75423853">
            <w:pPr>
              <w:pStyle w:val="19"/>
              <w:bidi w:val="0"/>
              <w:rPr>
                <w:rFonts w:hint="default"/>
                <w:lang w:val="en-US" w:eastAsia="zh-CN"/>
              </w:rPr>
            </w:pPr>
            <w:r>
              <w:rPr>
                <w:rFonts w:hint="default"/>
                <w:lang w:val="en-US" w:eastAsia="zh-CN"/>
              </w:rPr>
              <w:t>0.90</w:t>
            </w:r>
            <w:r>
              <w:rPr>
                <w:rFonts w:hint="eastAsia"/>
                <w:lang w:val="en-US" w:eastAsia="zh-CN"/>
              </w:rPr>
              <w:t>3</w:t>
            </w:r>
          </w:p>
        </w:tc>
        <w:tc>
          <w:tcPr>
            <w:tcW w:w="754" w:type="pct"/>
            <w:vAlign w:val="center"/>
          </w:tcPr>
          <w:p w14:paraId="25A38C01">
            <w:pPr>
              <w:pStyle w:val="19"/>
              <w:bidi w:val="0"/>
              <w:rPr>
                <w:rFonts w:hint="default"/>
                <w:lang w:val="en-US" w:eastAsia="zh-CN"/>
              </w:rPr>
            </w:pPr>
            <w:r>
              <w:rPr>
                <w:rFonts w:hint="eastAsia"/>
                <w:lang w:val="en-US" w:eastAsia="zh-CN"/>
              </w:rPr>
              <w:t>1160</w:t>
            </w:r>
          </w:p>
        </w:tc>
        <w:tc>
          <w:tcPr>
            <w:tcW w:w="765" w:type="pct"/>
            <w:vAlign w:val="center"/>
          </w:tcPr>
          <w:p w14:paraId="04169A2B">
            <w:pPr>
              <w:pStyle w:val="19"/>
              <w:bidi w:val="0"/>
              <w:rPr>
                <w:rFonts w:hint="default"/>
                <w:lang w:val="en-US" w:eastAsia="zh-CN"/>
              </w:rPr>
            </w:pPr>
            <w:r>
              <w:rPr>
                <w:rFonts w:hint="eastAsia"/>
                <w:lang w:val="en-US" w:eastAsia="zh-CN"/>
              </w:rPr>
              <w:t>2570</w:t>
            </w:r>
          </w:p>
        </w:tc>
        <w:tc>
          <w:tcPr>
            <w:tcW w:w="754" w:type="pct"/>
            <w:vAlign w:val="center"/>
          </w:tcPr>
          <w:p w14:paraId="760AD5B8">
            <w:pPr>
              <w:pStyle w:val="19"/>
              <w:bidi w:val="0"/>
              <w:rPr>
                <w:rFonts w:hint="default"/>
                <w:lang w:val="en-US" w:eastAsia="zh-CN"/>
              </w:rPr>
            </w:pPr>
            <w:r>
              <w:rPr>
                <w:rFonts w:hint="default"/>
                <w:lang w:val="en-US" w:eastAsia="zh-CN"/>
              </w:rPr>
              <w:t>0.0892</w:t>
            </w:r>
          </w:p>
        </w:tc>
        <w:tc>
          <w:tcPr>
            <w:tcW w:w="756" w:type="pct"/>
            <w:vAlign w:val="center"/>
          </w:tcPr>
          <w:p w14:paraId="2924F414">
            <w:pPr>
              <w:pStyle w:val="19"/>
              <w:bidi w:val="0"/>
              <w:rPr>
                <w:rFonts w:hint="default"/>
                <w:lang w:val="en-US" w:eastAsia="zh-CN"/>
              </w:rPr>
            </w:pPr>
            <w:r>
              <w:rPr>
                <w:rFonts w:hint="default"/>
                <w:lang w:val="en-US" w:eastAsia="zh-CN"/>
              </w:rPr>
              <w:t>115</w:t>
            </w:r>
          </w:p>
        </w:tc>
        <w:tc>
          <w:tcPr>
            <w:tcW w:w="779" w:type="pct"/>
            <w:vAlign w:val="center"/>
          </w:tcPr>
          <w:p w14:paraId="61F49582">
            <w:pPr>
              <w:pStyle w:val="19"/>
              <w:bidi w:val="0"/>
              <w:rPr>
                <w:rFonts w:hint="default"/>
                <w:lang w:val="en-US" w:eastAsia="zh-CN"/>
              </w:rPr>
            </w:pPr>
            <w:r>
              <w:rPr>
                <w:rFonts w:hint="default"/>
                <w:lang w:val="en-US" w:eastAsia="zh-CN"/>
              </w:rPr>
              <w:t>254</w:t>
            </w:r>
          </w:p>
        </w:tc>
      </w:tr>
      <w:tr w14:paraId="43BA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3327A060">
            <w:pPr>
              <w:pStyle w:val="19"/>
              <w:bidi w:val="0"/>
              <w:rPr>
                <w:rFonts w:hint="default"/>
              </w:rPr>
            </w:pPr>
            <w:r>
              <w:rPr>
                <w:rFonts w:hint="default"/>
                <w:lang w:val="en-US" w:eastAsia="zh-CN"/>
              </w:rPr>
              <w:t>150</w:t>
            </w:r>
          </w:p>
        </w:tc>
        <w:tc>
          <w:tcPr>
            <w:tcW w:w="754" w:type="pct"/>
            <w:vAlign w:val="center"/>
          </w:tcPr>
          <w:p w14:paraId="0AEAFC56">
            <w:pPr>
              <w:pStyle w:val="19"/>
              <w:bidi w:val="0"/>
              <w:rPr>
                <w:rFonts w:hint="default"/>
              </w:rPr>
            </w:pPr>
            <w:r>
              <w:rPr>
                <w:rFonts w:hint="default"/>
                <w:lang w:val="en-US" w:eastAsia="zh-CN"/>
              </w:rPr>
              <w:t>1.</w:t>
            </w:r>
            <w:r>
              <w:rPr>
                <w:rFonts w:hint="eastAsia"/>
                <w:lang w:val="en-US" w:eastAsia="zh-CN"/>
              </w:rPr>
              <w:t>28*10</w:t>
            </w:r>
            <w:r>
              <w:rPr>
                <w:rFonts w:hint="default"/>
                <w:vertAlign w:val="superscript"/>
                <w:lang w:val="en-US" w:eastAsia="zh-CN"/>
              </w:rPr>
              <w:t>-5</w:t>
            </w:r>
          </w:p>
        </w:tc>
        <w:tc>
          <w:tcPr>
            <w:tcW w:w="754" w:type="pct"/>
            <w:vAlign w:val="center"/>
          </w:tcPr>
          <w:p w14:paraId="012A4914">
            <w:pPr>
              <w:pStyle w:val="19"/>
              <w:bidi w:val="0"/>
              <w:rPr>
                <w:rFonts w:hint="default"/>
                <w:lang w:val="en-US"/>
              </w:rPr>
            </w:pPr>
            <w:r>
              <w:rPr>
                <w:rFonts w:hint="eastAsia"/>
                <w:lang w:val="en-US" w:eastAsia="zh-CN"/>
              </w:rPr>
              <w:t>212</w:t>
            </w:r>
          </w:p>
        </w:tc>
        <w:tc>
          <w:tcPr>
            <w:tcW w:w="765" w:type="pct"/>
            <w:vAlign w:val="center"/>
          </w:tcPr>
          <w:p w14:paraId="6EA4A6A7">
            <w:pPr>
              <w:pStyle w:val="19"/>
              <w:bidi w:val="0"/>
              <w:rPr>
                <w:rFonts w:hint="default"/>
                <w:lang w:val="en-US"/>
              </w:rPr>
            </w:pPr>
            <w:r>
              <w:rPr>
                <w:rFonts w:hint="eastAsia"/>
                <w:lang w:val="en-US" w:eastAsia="zh-CN"/>
              </w:rPr>
              <w:t>2410</w:t>
            </w:r>
          </w:p>
        </w:tc>
        <w:tc>
          <w:tcPr>
            <w:tcW w:w="754" w:type="pct"/>
            <w:vAlign w:val="center"/>
          </w:tcPr>
          <w:p w14:paraId="6AF26A48">
            <w:pPr>
              <w:pStyle w:val="19"/>
              <w:bidi w:val="0"/>
              <w:rPr>
                <w:rFonts w:hint="default"/>
                <w:lang w:val="en-US" w:eastAsia="zh-CN"/>
              </w:rPr>
            </w:pPr>
            <w:r>
              <w:rPr>
                <w:rFonts w:hint="eastAsia"/>
                <w:lang w:val="en-US" w:eastAsia="zh-CN"/>
              </w:rPr>
              <w:t>1.27*10</w:t>
            </w:r>
            <w:r>
              <w:rPr>
                <w:rFonts w:hint="eastAsia"/>
                <w:vertAlign w:val="superscript"/>
                <w:lang w:val="en-US" w:eastAsia="zh-CN"/>
              </w:rPr>
              <w:t>-6</w:t>
            </w:r>
          </w:p>
        </w:tc>
        <w:tc>
          <w:tcPr>
            <w:tcW w:w="756" w:type="pct"/>
            <w:vAlign w:val="center"/>
          </w:tcPr>
          <w:p w14:paraId="5D3FF031">
            <w:pPr>
              <w:pStyle w:val="19"/>
              <w:bidi w:val="0"/>
              <w:rPr>
                <w:rFonts w:hint="default"/>
                <w:lang w:val="en-US" w:eastAsia="zh-CN"/>
              </w:rPr>
            </w:pPr>
            <w:r>
              <w:rPr>
                <w:rFonts w:hint="default"/>
                <w:lang w:val="en-US" w:eastAsia="zh-CN"/>
              </w:rPr>
              <w:t>20.9</w:t>
            </w:r>
          </w:p>
        </w:tc>
        <w:tc>
          <w:tcPr>
            <w:tcW w:w="779" w:type="pct"/>
            <w:vAlign w:val="center"/>
          </w:tcPr>
          <w:p w14:paraId="00ADFA9F">
            <w:pPr>
              <w:pStyle w:val="19"/>
              <w:bidi w:val="0"/>
              <w:rPr>
                <w:rFonts w:hint="default"/>
                <w:lang w:val="en-US" w:eastAsia="zh-CN"/>
              </w:rPr>
            </w:pPr>
            <w:r>
              <w:rPr>
                <w:rFonts w:hint="default"/>
                <w:lang w:val="en-US" w:eastAsia="zh-CN"/>
              </w:rPr>
              <w:t>238</w:t>
            </w:r>
          </w:p>
        </w:tc>
      </w:tr>
      <w:tr w14:paraId="6306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172533EB">
            <w:pPr>
              <w:pStyle w:val="19"/>
              <w:bidi w:val="0"/>
              <w:rPr>
                <w:rFonts w:hint="default"/>
              </w:rPr>
            </w:pPr>
            <w:r>
              <w:rPr>
                <w:rFonts w:hint="default"/>
                <w:lang w:val="en-US" w:eastAsia="zh-CN"/>
              </w:rPr>
              <w:t>200</w:t>
            </w:r>
          </w:p>
        </w:tc>
        <w:tc>
          <w:tcPr>
            <w:tcW w:w="754" w:type="pct"/>
            <w:vAlign w:val="center"/>
          </w:tcPr>
          <w:p w14:paraId="091AB423">
            <w:pPr>
              <w:pStyle w:val="19"/>
              <w:bidi w:val="0"/>
              <w:rPr>
                <w:rFonts w:hint="default"/>
              </w:rPr>
            </w:pPr>
            <w:r>
              <w:rPr>
                <w:rFonts w:hint="eastAsia"/>
                <w:lang w:val="en-US" w:eastAsia="zh-CN"/>
              </w:rPr>
              <w:t>5.78*10</w:t>
            </w:r>
            <w:r>
              <w:rPr>
                <w:rFonts w:hint="default"/>
                <w:vertAlign w:val="superscript"/>
                <w:lang w:val="en-US" w:eastAsia="zh-CN"/>
              </w:rPr>
              <w:t>-13</w:t>
            </w:r>
          </w:p>
        </w:tc>
        <w:tc>
          <w:tcPr>
            <w:tcW w:w="754" w:type="pct"/>
            <w:vAlign w:val="center"/>
          </w:tcPr>
          <w:p w14:paraId="1FE4201D">
            <w:pPr>
              <w:pStyle w:val="19"/>
              <w:bidi w:val="0"/>
              <w:rPr>
                <w:rFonts w:hint="default"/>
                <w:lang w:val="en-US"/>
              </w:rPr>
            </w:pPr>
            <w:r>
              <w:rPr>
                <w:rFonts w:hint="eastAsia"/>
                <w:lang w:val="en-US" w:eastAsia="zh-CN"/>
              </w:rPr>
              <w:t>11</w:t>
            </w:r>
          </w:p>
        </w:tc>
        <w:tc>
          <w:tcPr>
            <w:tcW w:w="765" w:type="pct"/>
            <w:vAlign w:val="center"/>
          </w:tcPr>
          <w:p w14:paraId="6598F81F">
            <w:pPr>
              <w:pStyle w:val="19"/>
              <w:bidi w:val="0"/>
              <w:rPr>
                <w:rFonts w:hint="default"/>
                <w:lang w:val="en-US"/>
              </w:rPr>
            </w:pPr>
            <w:r>
              <w:rPr>
                <w:rFonts w:hint="eastAsia"/>
                <w:lang w:val="en-US" w:eastAsia="zh-CN"/>
              </w:rPr>
              <w:t>1950</w:t>
            </w:r>
          </w:p>
        </w:tc>
        <w:tc>
          <w:tcPr>
            <w:tcW w:w="754" w:type="pct"/>
            <w:vAlign w:val="center"/>
          </w:tcPr>
          <w:p w14:paraId="4674EDDE">
            <w:pPr>
              <w:pStyle w:val="19"/>
              <w:bidi w:val="0"/>
              <w:rPr>
                <w:rFonts w:hint="default"/>
                <w:lang w:val="en-US" w:eastAsia="zh-CN"/>
              </w:rPr>
            </w:pPr>
            <w:r>
              <w:rPr>
                <w:rFonts w:hint="eastAsia"/>
                <w:lang w:val="en-US" w:eastAsia="zh-CN"/>
              </w:rPr>
              <w:t>5.71*10</w:t>
            </w:r>
            <w:r>
              <w:rPr>
                <w:rFonts w:hint="eastAsia"/>
                <w:vertAlign w:val="superscript"/>
                <w:lang w:val="en-US" w:eastAsia="zh-CN"/>
              </w:rPr>
              <w:t>-14</w:t>
            </w:r>
          </w:p>
        </w:tc>
        <w:tc>
          <w:tcPr>
            <w:tcW w:w="756" w:type="pct"/>
            <w:vAlign w:val="center"/>
          </w:tcPr>
          <w:p w14:paraId="5EA2080D">
            <w:pPr>
              <w:pStyle w:val="19"/>
              <w:bidi w:val="0"/>
              <w:rPr>
                <w:rFonts w:hint="default"/>
                <w:lang w:val="en-US" w:eastAsia="zh-CN"/>
              </w:rPr>
            </w:pPr>
            <w:r>
              <w:rPr>
                <w:rFonts w:hint="default"/>
                <w:lang w:val="en-US" w:eastAsia="zh-CN"/>
              </w:rPr>
              <w:t>1.08</w:t>
            </w:r>
          </w:p>
        </w:tc>
        <w:tc>
          <w:tcPr>
            <w:tcW w:w="779" w:type="pct"/>
            <w:vAlign w:val="center"/>
          </w:tcPr>
          <w:p w14:paraId="395BB33F">
            <w:pPr>
              <w:pStyle w:val="19"/>
              <w:bidi w:val="0"/>
              <w:rPr>
                <w:rFonts w:hint="default"/>
                <w:lang w:val="en-US" w:eastAsia="zh-CN"/>
              </w:rPr>
            </w:pPr>
            <w:r>
              <w:rPr>
                <w:rFonts w:hint="default"/>
                <w:lang w:val="en-US" w:eastAsia="zh-CN"/>
              </w:rPr>
              <w:t>193</w:t>
            </w:r>
          </w:p>
        </w:tc>
      </w:tr>
      <w:tr w14:paraId="395E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13F085D1">
            <w:pPr>
              <w:pStyle w:val="19"/>
              <w:bidi w:val="0"/>
              <w:rPr>
                <w:rFonts w:hint="default"/>
              </w:rPr>
            </w:pPr>
            <w:r>
              <w:rPr>
                <w:rFonts w:hint="default"/>
                <w:lang w:val="en-US" w:eastAsia="zh-CN"/>
              </w:rPr>
              <w:t>250</w:t>
            </w:r>
          </w:p>
        </w:tc>
        <w:tc>
          <w:tcPr>
            <w:tcW w:w="754" w:type="pct"/>
            <w:vAlign w:val="center"/>
          </w:tcPr>
          <w:p w14:paraId="13A93365">
            <w:pPr>
              <w:pStyle w:val="19"/>
              <w:bidi w:val="0"/>
              <w:rPr>
                <w:rFonts w:hint="default"/>
              </w:rPr>
            </w:pPr>
            <w:r>
              <w:rPr>
                <w:rFonts w:hint="eastAsia"/>
                <w:lang w:val="en-US" w:eastAsia="zh-CN"/>
              </w:rPr>
              <w:t>0</w:t>
            </w:r>
          </w:p>
        </w:tc>
        <w:tc>
          <w:tcPr>
            <w:tcW w:w="754" w:type="pct"/>
            <w:vAlign w:val="center"/>
          </w:tcPr>
          <w:p w14:paraId="28E8646B">
            <w:pPr>
              <w:pStyle w:val="19"/>
              <w:bidi w:val="0"/>
              <w:rPr>
                <w:rFonts w:hint="default"/>
              </w:rPr>
            </w:pPr>
            <w:r>
              <w:rPr>
                <w:rFonts w:hint="eastAsia"/>
                <w:lang w:val="en-US" w:eastAsia="zh-CN"/>
              </w:rPr>
              <w:t>0.745</w:t>
            </w:r>
          </w:p>
        </w:tc>
        <w:tc>
          <w:tcPr>
            <w:tcW w:w="765" w:type="pct"/>
            <w:vAlign w:val="center"/>
          </w:tcPr>
          <w:p w14:paraId="1CA225F4">
            <w:pPr>
              <w:pStyle w:val="19"/>
              <w:bidi w:val="0"/>
              <w:rPr>
                <w:rFonts w:hint="default"/>
                <w:lang w:val="en-US"/>
              </w:rPr>
            </w:pPr>
            <w:r>
              <w:rPr>
                <w:rFonts w:hint="default"/>
                <w:lang w:val="en-US" w:eastAsia="zh-CN"/>
              </w:rPr>
              <w:t>12</w:t>
            </w:r>
            <w:r>
              <w:rPr>
                <w:rFonts w:hint="eastAsia"/>
                <w:lang w:val="en-US" w:eastAsia="zh-CN"/>
              </w:rPr>
              <w:t>30</w:t>
            </w:r>
          </w:p>
        </w:tc>
        <w:tc>
          <w:tcPr>
            <w:tcW w:w="754" w:type="pct"/>
            <w:vAlign w:val="center"/>
          </w:tcPr>
          <w:p w14:paraId="3800443C">
            <w:pPr>
              <w:pStyle w:val="19"/>
              <w:bidi w:val="0"/>
              <w:rPr>
                <w:rFonts w:hint="default"/>
                <w:lang w:val="en-US" w:eastAsia="zh-CN"/>
              </w:rPr>
            </w:pPr>
            <w:r>
              <w:rPr>
                <w:rFonts w:hint="default"/>
                <w:lang w:val="en-US" w:eastAsia="zh-CN"/>
              </w:rPr>
              <w:t>0</w:t>
            </w:r>
          </w:p>
        </w:tc>
        <w:tc>
          <w:tcPr>
            <w:tcW w:w="756" w:type="pct"/>
            <w:vAlign w:val="center"/>
          </w:tcPr>
          <w:p w14:paraId="615803A3">
            <w:pPr>
              <w:pStyle w:val="19"/>
              <w:bidi w:val="0"/>
              <w:rPr>
                <w:rFonts w:hint="default"/>
                <w:lang w:val="en-US" w:eastAsia="zh-CN"/>
              </w:rPr>
            </w:pPr>
            <w:r>
              <w:rPr>
                <w:rFonts w:hint="default"/>
                <w:lang w:val="en-US" w:eastAsia="zh-CN"/>
              </w:rPr>
              <w:t>0.0147</w:t>
            </w:r>
          </w:p>
        </w:tc>
        <w:tc>
          <w:tcPr>
            <w:tcW w:w="779" w:type="pct"/>
            <w:vAlign w:val="center"/>
          </w:tcPr>
          <w:p w14:paraId="393EE7D5">
            <w:pPr>
              <w:pStyle w:val="19"/>
              <w:bidi w:val="0"/>
              <w:rPr>
                <w:rFonts w:hint="default"/>
                <w:lang w:val="en-US" w:eastAsia="zh-CN"/>
              </w:rPr>
            </w:pPr>
            <w:r>
              <w:rPr>
                <w:rFonts w:hint="default"/>
                <w:lang w:val="en-US" w:eastAsia="zh-CN"/>
              </w:rPr>
              <w:t>122</w:t>
            </w:r>
          </w:p>
        </w:tc>
      </w:tr>
      <w:tr w14:paraId="79E4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051E65A4">
            <w:pPr>
              <w:pStyle w:val="19"/>
              <w:bidi w:val="0"/>
              <w:rPr>
                <w:rFonts w:hint="default"/>
              </w:rPr>
            </w:pPr>
            <w:r>
              <w:rPr>
                <w:rFonts w:hint="default"/>
                <w:lang w:val="en-US" w:eastAsia="zh-CN"/>
              </w:rPr>
              <w:t>300</w:t>
            </w:r>
          </w:p>
        </w:tc>
        <w:tc>
          <w:tcPr>
            <w:tcW w:w="754" w:type="pct"/>
            <w:vAlign w:val="center"/>
          </w:tcPr>
          <w:p w14:paraId="6F3D1B10">
            <w:pPr>
              <w:pStyle w:val="19"/>
              <w:bidi w:val="0"/>
              <w:rPr>
                <w:rFonts w:hint="default"/>
              </w:rPr>
            </w:pPr>
            <w:r>
              <w:rPr>
                <w:rFonts w:hint="eastAsia"/>
                <w:lang w:val="en-US" w:eastAsia="zh-CN"/>
              </w:rPr>
              <w:t>0</w:t>
            </w:r>
          </w:p>
        </w:tc>
        <w:tc>
          <w:tcPr>
            <w:tcW w:w="754" w:type="pct"/>
            <w:vAlign w:val="center"/>
          </w:tcPr>
          <w:p w14:paraId="1127B370">
            <w:pPr>
              <w:pStyle w:val="19"/>
              <w:bidi w:val="0"/>
              <w:rPr>
                <w:rFonts w:hint="default"/>
                <w:lang w:val="en-US"/>
              </w:rPr>
            </w:pPr>
            <w:r>
              <w:rPr>
                <w:rFonts w:hint="eastAsia"/>
                <w:lang w:val="en-US" w:eastAsia="zh-CN"/>
              </w:rPr>
              <w:t>3.08*10</w:t>
            </w:r>
            <w:r>
              <w:rPr>
                <w:rFonts w:hint="eastAsia"/>
                <w:vertAlign w:val="superscript"/>
                <w:lang w:val="en-US" w:eastAsia="zh-CN"/>
              </w:rPr>
              <w:t>-4</w:t>
            </w:r>
          </w:p>
        </w:tc>
        <w:tc>
          <w:tcPr>
            <w:tcW w:w="765" w:type="pct"/>
            <w:vAlign w:val="center"/>
          </w:tcPr>
          <w:p w14:paraId="413A0ACB">
            <w:pPr>
              <w:pStyle w:val="19"/>
              <w:bidi w:val="0"/>
              <w:rPr>
                <w:rFonts w:hint="default"/>
                <w:lang w:val="en-US"/>
              </w:rPr>
            </w:pPr>
            <w:r>
              <w:rPr>
                <w:rFonts w:hint="default"/>
                <w:lang w:val="en-US" w:eastAsia="zh-CN"/>
              </w:rPr>
              <w:t>5</w:t>
            </w:r>
            <w:r>
              <w:rPr>
                <w:rFonts w:hint="eastAsia"/>
                <w:lang w:val="en-US" w:eastAsia="zh-CN"/>
              </w:rPr>
              <w:t>38</w:t>
            </w:r>
          </w:p>
        </w:tc>
        <w:tc>
          <w:tcPr>
            <w:tcW w:w="754" w:type="pct"/>
            <w:vAlign w:val="center"/>
          </w:tcPr>
          <w:p w14:paraId="124BD827">
            <w:pPr>
              <w:pStyle w:val="19"/>
              <w:bidi w:val="0"/>
              <w:rPr>
                <w:rFonts w:hint="default"/>
                <w:lang w:val="en-US" w:eastAsia="zh-CN"/>
              </w:rPr>
            </w:pPr>
            <w:r>
              <w:rPr>
                <w:rFonts w:hint="default"/>
                <w:lang w:val="en-US" w:eastAsia="zh-CN"/>
              </w:rPr>
              <w:t>0</w:t>
            </w:r>
          </w:p>
        </w:tc>
        <w:tc>
          <w:tcPr>
            <w:tcW w:w="756" w:type="pct"/>
            <w:vAlign w:val="center"/>
          </w:tcPr>
          <w:p w14:paraId="7862DD62">
            <w:pPr>
              <w:pStyle w:val="19"/>
              <w:bidi w:val="0"/>
              <w:rPr>
                <w:rFonts w:hint="default"/>
                <w:lang w:val="en-US" w:eastAsia="zh-CN"/>
              </w:rPr>
            </w:pPr>
            <w:r>
              <w:rPr>
                <w:rFonts w:hint="eastAsia"/>
                <w:lang w:val="en-US" w:eastAsia="zh-CN"/>
              </w:rPr>
              <w:t>3.04*10</w:t>
            </w:r>
            <w:r>
              <w:rPr>
                <w:rFonts w:hint="eastAsia"/>
                <w:vertAlign w:val="superscript"/>
                <w:lang w:val="en-US" w:eastAsia="zh-CN"/>
              </w:rPr>
              <w:t>-5</w:t>
            </w:r>
          </w:p>
        </w:tc>
        <w:tc>
          <w:tcPr>
            <w:tcW w:w="779" w:type="pct"/>
            <w:vAlign w:val="center"/>
          </w:tcPr>
          <w:p w14:paraId="46BEDB3F">
            <w:pPr>
              <w:pStyle w:val="19"/>
              <w:bidi w:val="0"/>
              <w:rPr>
                <w:rFonts w:hint="default"/>
                <w:lang w:val="en-US" w:eastAsia="zh-CN"/>
              </w:rPr>
            </w:pPr>
            <w:r>
              <w:rPr>
                <w:rFonts w:hint="default"/>
                <w:lang w:val="en-US" w:eastAsia="zh-CN"/>
              </w:rPr>
              <w:t>53.1</w:t>
            </w:r>
          </w:p>
        </w:tc>
      </w:tr>
      <w:tr w14:paraId="1409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3027A12E">
            <w:pPr>
              <w:pStyle w:val="19"/>
              <w:bidi w:val="0"/>
              <w:rPr>
                <w:rFonts w:hint="default"/>
              </w:rPr>
            </w:pPr>
            <w:r>
              <w:rPr>
                <w:rFonts w:hint="default"/>
                <w:lang w:val="en-US" w:eastAsia="zh-CN"/>
              </w:rPr>
              <w:t>350</w:t>
            </w:r>
          </w:p>
        </w:tc>
        <w:tc>
          <w:tcPr>
            <w:tcW w:w="754" w:type="pct"/>
            <w:vAlign w:val="center"/>
          </w:tcPr>
          <w:p w14:paraId="744FECCD">
            <w:pPr>
              <w:pStyle w:val="19"/>
              <w:bidi w:val="0"/>
              <w:rPr>
                <w:rFonts w:hint="default"/>
              </w:rPr>
            </w:pPr>
            <w:r>
              <w:rPr>
                <w:rFonts w:hint="eastAsia"/>
                <w:lang w:val="en-US" w:eastAsia="zh-CN"/>
              </w:rPr>
              <w:t>0</w:t>
            </w:r>
          </w:p>
        </w:tc>
        <w:tc>
          <w:tcPr>
            <w:tcW w:w="754" w:type="pct"/>
            <w:vAlign w:val="center"/>
          </w:tcPr>
          <w:p w14:paraId="6CDC0154">
            <w:pPr>
              <w:pStyle w:val="19"/>
              <w:bidi w:val="0"/>
              <w:rPr>
                <w:rFonts w:hint="default"/>
              </w:rPr>
            </w:pPr>
            <w:r>
              <w:rPr>
                <w:rFonts w:hint="eastAsia"/>
                <w:lang w:val="en-US" w:eastAsia="zh-CN"/>
              </w:rPr>
              <w:t>2.39*10</w:t>
            </w:r>
            <w:r>
              <w:rPr>
                <w:rFonts w:hint="eastAsia"/>
                <w:vertAlign w:val="superscript"/>
                <w:lang w:val="en-US" w:eastAsia="zh-CN"/>
              </w:rPr>
              <w:t>-</w:t>
            </w:r>
            <w:r>
              <w:rPr>
                <w:rFonts w:hint="default"/>
                <w:vertAlign w:val="superscript"/>
                <w:lang w:val="en-US" w:eastAsia="zh-CN"/>
              </w:rPr>
              <w:t>7</w:t>
            </w:r>
          </w:p>
        </w:tc>
        <w:tc>
          <w:tcPr>
            <w:tcW w:w="765" w:type="pct"/>
            <w:vAlign w:val="center"/>
          </w:tcPr>
          <w:p w14:paraId="27657175">
            <w:pPr>
              <w:pStyle w:val="19"/>
              <w:bidi w:val="0"/>
              <w:rPr>
                <w:rFonts w:hint="default"/>
                <w:lang w:val="en-US"/>
              </w:rPr>
            </w:pPr>
            <w:r>
              <w:rPr>
                <w:rFonts w:hint="eastAsia"/>
                <w:lang w:val="en-US" w:eastAsia="zh-CN"/>
              </w:rPr>
              <w:t>123</w:t>
            </w:r>
          </w:p>
        </w:tc>
        <w:tc>
          <w:tcPr>
            <w:tcW w:w="754" w:type="pct"/>
            <w:vAlign w:val="center"/>
          </w:tcPr>
          <w:p w14:paraId="29C3AA6F">
            <w:pPr>
              <w:pStyle w:val="19"/>
              <w:bidi w:val="0"/>
              <w:rPr>
                <w:rFonts w:hint="default"/>
                <w:lang w:val="en-US" w:eastAsia="zh-CN"/>
              </w:rPr>
            </w:pPr>
            <w:r>
              <w:rPr>
                <w:rFonts w:hint="default"/>
                <w:lang w:val="en-US" w:eastAsia="zh-CN"/>
              </w:rPr>
              <w:t>0</w:t>
            </w:r>
          </w:p>
        </w:tc>
        <w:tc>
          <w:tcPr>
            <w:tcW w:w="756" w:type="pct"/>
            <w:vAlign w:val="center"/>
          </w:tcPr>
          <w:p w14:paraId="3C73D502">
            <w:pPr>
              <w:pStyle w:val="19"/>
              <w:bidi w:val="0"/>
              <w:rPr>
                <w:rFonts w:hint="default"/>
                <w:lang w:val="en-US" w:eastAsia="zh-CN"/>
              </w:rPr>
            </w:pPr>
            <w:r>
              <w:rPr>
                <w:rFonts w:hint="eastAsia"/>
                <w:lang w:val="en-US" w:eastAsia="zh-CN"/>
              </w:rPr>
              <w:t>2.36*10</w:t>
            </w:r>
            <w:r>
              <w:rPr>
                <w:rFonts w:hint="eastAsia"/>
                <w:vertAlign w:val="superscript"/>
                <w:lang w:val="en-US" w:eastAsia="zh-CN"/>
              </w:rPr>
              <w:t>-8</w:t>
            </w:r>
          </w:p>
        </w:tc>
        <w:tc>
          <w:tcPr>
            <w:tcW w:w="779" w:type="pct"/>
            <w:vAlign w:val="center"/>
          </w:tcPr>
          <w:p w14:paraId="4E867876">
            <w:pPr>
              <w:pStyle w:val="19"/>
              <w:bidi w:val="0"/>
              <w:rPr>
                <w:rFonts w:hint="default"/>
                <w:lang w:val="en-US" w:eastAsia="zh-CN"/>
              </w:rPr>
            </w:pPr>
            <w:r>
              <w:rPr>
                <w:rFonts w:hint="default"/>
                <w:lang w:val="en-US" w:eastAsia="zh-CN"/>
              </w:rPr>
              <w:t>12.1</w:t>
            </w:r>
          </w:p>
        </w:tc>
      </w:tr>
      <w:tr w14:paraId="0B58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55853F3E">
            <w:pPr>
              <w:pStyle w:val="19"/>
              <w:bidi w:val="0"/>
              <w:rPr>
                <w:rFonts w:hint="default"/>
              </w:rPr>
            </w:pPr>
            <w:r>
              <w:rPr>
                <w:rFonts w:hint="default"/>
                <w:lang w:val="en-US" w:eastAsia="zh-CN"/>
              </w:rPr>
              <w:t>400</w:t>
            </w:r>
          </w:p>
        </w:tc>
        <w:tc>
          <w:tcPr>
            <w:tcW w:w="754" w:type="pct"/>
            <w:vAlign w:val="center"/>
          </w:tcPr>
          <w:p w14:paraId="2B88D2DD">
            <w:pPr>
              <w:pStyle w:val="19"/>
              <w:bidi w:val="0"/>
              <w:rPr>
                <w:rFonts w:hint="default"/>
              </w:rPr>
            </w:pPr>
            <w:r>
              <w:rPr>
                <w:rFonts w:hint="eastAsia"/>
                <w:lang w:val="en-US" w:eastAsia="zh-CN"/>
              </w:rPr>
              <w:t>0</w:t>
            </w:r>
          </w:p>
        </w:tc>
        <w:tc>
          <w:tcPr>
            <w:tcW w:w="754" w:type="pct"/>
            <w:vAlign w:val="center"/>
          </w:tcPr>
          <w:p w14:paraId="25A13A8F">
            <w:pPr>
              <w:pStyle w:val="19"/>
              <w:bidi w:val="0"/>
              <w:rPr>
                <w:rFonts w:hint="default"/>
              </w:rPr>
            </w:pPr>
            <w:r>
              <w:rPr>
                <w:rFonts w:hint="eastAsia"/>
                <w:lang w:val="en-US" w:eastAsia="zh-CN"/>
              </w:rPr>
              <w:t>4.78*10</w:t>
            </w:r>
            <w:r>
              <w:rPr>
                <w:rFonts w:hint="eastAsia"/>
                <w:vertAlign w:val="superscript"/>
                <w:lang w:val="en-US" w:eastAsia="zh-CN"/>
              </w:rPr>
              <w:t>-</w:t>
            </w:r>
            <w:r>
              <w:rPr>
                <w:rFonts w:hint="default"/>
                <w:vertAlign w:val="superscript"/>
                <w:lang w:val="en-US" w:eastAsia="zh-CN"/>
              </w:rPr>
              <w:t>11</w:t>
            </w:r>
          </w:p>
        </w:tc>
        <w:tc>
          <w:tcPr>
            <w:tcW w:w="765" w:type="pct"/>
            <w:vAlign w:val="center"/>
          </w:tcPr>
          <w:p w14:paraId="4C3E09A6">
            <w:pPr>
              <w:pStyle w:val="19"/>
              <w:bidi w:val="0"/>
              <w:rPr>
                <w:rFonts w:hint="default"/>
                <w:lang w:val="en-US"/>
              </w:rPr>
            </w:pPr>
            <w:r>
              <w:rPr>
                <w:rFonts w:hint="eastAsia"/>
                <w:lang w:val="en-US" w:eastAsia="zh-CN"/>
              </w:rPr>
              <w:t>21.2</w:t>
            </w:r>
          </w:p>
        </w:tc>
        <w:tc>
          <w:tcPr>
            <w:tcW w:w="754" w:type="pct"/>
            <w:vAlign w:val="center"/>
          </w:tcPr>
          <w:p w14:paraId="7DD069EC">
            <w:pPr>
              <w:pStyle w:val="19"/>
              <w:bidi w:val="0"/>
              <w:rPr>
                <w:rFonts w:hint="default"/>
                <w:lang w:val="en-US" w:eastAsia="zh-CN"/>
              </w:rPr>
            </w:pPr>
            <w:r>
              <w:rPr>
                <w:rFonts w:hint="default"/>
                <w:lang w:val="en-US" w:eastAsia="zh-CN"/>
              </w:rPr>
              <w:t>0</w:t>
            </w:r>
          </w:p>
        </w:tc>
        <w:tc>
          <w:tcPr>
            <w:tcW w:w="756" w:type="pct"/>
            <w:vAlign w:val="center"/>
          </w:tcPr>
          <w:p w14:paraId="1F872201">
            <w:pPr>
              <w:pStyle w:val="19"/>
              <w:bidi w:val="0"/>
              <w:rPr>
                <w:rFonts w:hint="default"/>
                <w:lang w:val="en-US" w:eastAsia="zh-CN"/>
              </w:rPr>
            </w:pPr>
            <w:r>
              <w:rPr>
                <w:rFonts w:hint="eastAsia"/>
                <w:lang w:val="en-US" w:eastAsia="zh-CN"/>
              </w:rPr>
              <w:t>4.72*10</w:t>
            </w:r>
            <w:r>
              <w:rPr>
                <w:rFonts w:hint="eastAsia"/>
                <w:vertAlign w:val="superscript"/>
                <w:lang w:val="en-US" w:eastAsia="zh-CN"/>
              </w:rPr>
              <w:t>-12</w:t>
            </w:r>
          </w:p>
        </w:tc>
        <w:tc>
          <w:tcPr>
            <w:tcW w:w="779" w:type="pct"/>
            <w:vAlign w:val="center"/>
          </w:tcPr>
          <w:p w14:paraId="6416A8E8">
            <w:pPr>
              <w:pStyle w:val="19"/>
              <w:bidi w:val="0"/>
              <w:rPr>
                <w:rFonts w:hint="default"/>
                <w:lang w:val="en-US" w:eastAsia="zh-CN"/>
              </w:rPr>
            </w:pPr>
            <w:r>
              <w:rPr>
                <w:rFonts w:hint="default"/>
                <w:lang w:val="en-US" w:eastAsia="zh-CN"/>
              </w:rPr>
              <w:t>2.09</w:t>
            </w:r>
          </w:p>
        </w:tc>
      </w:tr>
      <w:tr w14:paraId="4AB5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78DC3BC9">
            <w:pPr>
              <w:pStyle w:val="19"/>
              <w:bidi w:val="0"/>
              <w:rPr>
                <w:rFonts w:hint="default"/>
              </w:rPr>
            </w:pPr>
            <w:r>
              <w:rPr>
                <w:rFonts w:hint="default"/>
                <w:lang w:val="en-US" w:eastAsia="zh-CN"/>
              </w:rPr>
              <w:t>450</w:t>
            </w:r>
          </w:p>
        </w:tc>
        <w:tc>
          <w:tcPr>
            <w:tcW w:w="754" w:type="pct"/>
            <w:vAlign w:val="center"/>
          </w:tcPr>
          <w:p w14:paraId="2E6F1F83">
            <w:pPr>
              <w:pStyle w:val="19"/>
              <w:bidi w:val="0"/>
              <w:rPr>
                <w:rFonts w:hint="default"/>
                <w:lang w:val="en-US"/>
              </w:rPr>
            </w:pPr>
            <w:r>
              <w:rPr>
                <w:rFonts w:hint="eastAsia"/>
                <w:lang w:val="en-US" w:eastAsia="zh-CN"/>
              </w:rPr>
              <w:t>0</w:t>
            </w:r>
          </w:p>
        </w:tc>
        <w:tc>
          <w:tcPr>
            <w:tcW w:w="754" w:type="pct"/>
            <w:vAlign w:val="center"/>
          </w:tcPr>
          <w:p w14:paraId="2F5ECEC6">
            <w:pPr>
              <w:pStyle w:val="19"/>
              <w:bidi w:val="0"/>
              <w:rPr>
                <w:rFonts w:hint="default"/>
              </w:rPr>
            </w:pPr>
            <w:r>
              <w:rPr>
                <w:rFonts w:hint="eastAsia"/>
                <w:lang w:val="en-US" w:eastAsia="zh-CN"/>
              </w:rPr>
              <w:t>0</w:t>
            </w:r>
          </w:p>
        </w:tc>
        <w:tc>
          <w:tcPr>
            <w:tcW w:w="765" w:type="pct"/>
            <w:vAlign w:val="center"/>
          </w:tcPr>
          <w:p w14:paraId="6773273A">
            <w:pPr>
              <w:pStyle w:val="19"/>
              <w:bidi w:val="0"/>
              <w:rPr>
                <w:rFonts w:hint="default"/>
                <w:lang w:val="en-US"/>
              </w:rPr>
            </w:pPr>
            <w:r>
              <w:rPr>
                <w:rFonts w:hint="eastAsia"/>
                <w:lang w:val="en-US" w:eastAsia="zh-CN"/>
              </w:rPr>
              <w:t>2.26</w:t>
            </w:r>
          </w:p>
        </w:tc>
        <w:tc>
          <w:tcPr>
            <w:tcW w:w="754" w:type="pct"/>
            <w:vAlign w:val="center"/>
          </w:tcPr>
          <w:p w14:paraId="7A97A99C">
            <w:pPr>
              <w:pStyle w:val="19"/>
              <w:bidi w:val="0"/>
              <w:rPr>
                <w:rFonts w:hint="default"/>
                <w:lang w:val="en-US" w:eastAsia="zh-CN"/>
              </w:rPr>
            </w:pPr>
            <w:r>
              <w:rPr>
                <w:rFonts w:hint="default"/>
                <w:lang w:val="en-US" w:eastAsia="zh-CN"/>
              </w:rPr>
              <w:t>0</w:t>
            </w:r>
          </w:p>
        </w:tc>
        <w:tc>
          <w:tcPr>
            <w:tcW w:w="756" w:type="pct"/>
            <w:vAlign w:val="center"/>
          </w:tcPr>
          <w:p w14:paraId="0655B9F6">
            <w:pPr>
              <w:pStyle w:val="19"/>
              <w:bidi w:val="0"/>
              <w:rPr>
                <w:rFonts w:hint="default"/>
                <w:lang w:val="en-US" w:eastAsia="zh-CN"/>
              </w:rPr>
            </w:pPr>
            <w:r>
              <w:rPr>
                <w:rFonts w:hint="default"/>
                <w:lang w:val="en-US" w:eastAsia="zh-CN"/>
              </w:rPr>
              <w:t>0</w:t>
            </w:r>
          </w:p>
        </w:tc>
        <w:tc>
          <w:tcPr>
            <w:tcW w:w="779" w:type="pct"/>
            <w:vAlign w:val="center"/>
          </w:tcPr>
          <w:p w14:paraId="0B10C17A">
            <w:pPr>
              <w:pStyle w:val="19"/>
              <w:bidi w:val="0"/>
              <w:rPr>
                <w:rFonts w:hint="default"/>
                <w:lang w:val="en-US" w:eastAsia="zh-CN"/>
              </w:rPr>
            </w:pPr>
            <w:r>
              <w:rPr>
                <w:rFonts w:hint="default"/>
                <w:lang w:val="en-US" w:eastAsia="zh-CN"/>
              </w:rPr>
              <w:t>0.223</w:t>
            </w:r>
          </w:p>
        </w:tc>
      </w:tr>
      <w:tr w14:paraId="1288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2A80260C">
            <w:pPr>
              <w:pStyle w:val="19"/>
              <w:bidi w:val="0"/>
              <w:rPr>
                <w:rFonts w:hint="default"/>
              </w:rPr>
            </w:pPr>
            <w:r>
              <w:rPr>
                <w:rFonts w:hint="default"/>
                <w:lang w:val="en-US" w:eastAsia="zh-CN"/>
              </w:rPr>
              <w:t>500</w:t>
            </w:r>
          </w:p>
        </w:tc>
        <w:tc>
          <w:tcPr>
            <w:tcW w:w="754" w:type="pct"/>
            <w:vAlign w:val="center"/>
          </w:tcPr>
          <w:p w14:paraId="619819FD">
            <w:pPr>
              <w:pStyle w:val="19"/>
              <w:bidi w:val="0"/>
              <w:rPr>
                <w:rFonts w:hint="default"/>
              </w:rPr>
            </w:pPr>
            <w:r>
              <w:rPr>
                <w:rFonts w:hint="default"/>
                <w:lang w:val="en-US" w:eastAsia="zh-CN"/>
              </w:rPr>
              <w:t>0</w:t>
            </w:r>
          </w:p>
        </w:tc>
        <w:tc>
          <w:tcPr>
            <w:tcW w:w="754" w:type="pct"/>
            <w:vAlign w:val="center"/>
          </w:tcPr>
          <w:p w14:paraId="41D83238">
            <w:pPr>
              <w:pStyle w:val="19"/>
              <w:bidi w:val="0"/>
              <w:rPr>
                <w:rFonts w:hint="default"/>
              </w:rPr>
            </w:pPr>
            <w:r>
              <w:rPr>
                <w:rFonts w:hint="eastAsia"/>
                <w:lang w:val="en-US" w:eastAsia="zh-CN"/>
              </w:rPr>
              <w:t>0</w:t>
            </w:r>
          </w:p>
        </w:tc>
        <w:tc>
          <w:tcPr>
            <w:tcW w:w="765" w:type="pct"/>
            <w:vAlign w:val="center"/>
          </w:tcPr>
          <w:p w14:paraId="030E975B">
            <w:pPr>
              <w:pStyle w:val="19"/>
              <w:bidi w:val="0"/>
              <w:rPr>
                <w:rFonts w:hint="default"/>
                <w:lang w:val="en-US"/>
              </w:rPr>
            </w:pPr>
            <w:r>
              <w:rPr>
                <w:rFonts w:hint="eastAsia"/>
                <w:lang w:val="en-US" w:eastAsia="zh-CN"/>
              </w:rPr>
              <w:t>0.147</w:t>
            </w:r>
          </w:p>
        </w:tc>
        <w:tc>
          <w:tcPr>
            <w:tcW w:w="754" w:type="pct"/>
            <w:vAlign w:val="center"/>
          </w:tcPr>
          <w:p w14:paraId="3DE82C6C">
            <w:pPr>
              <w:pStyle w:val="19"/>
              <w:bidi w:val="0"/>
              <w:rPr>
                <w:rFonts w:hint="default"/>
                <w:lang w:val="en-US" w:eastAsia="zh-CN"/>
              </w:rPr>
            </w:pPr>
            <w:r>
              <w:rPr>
                <w:rFonts w:hint="default"/>
                <w:lang w:val="en-US" w:eastAsia="zh-CN"/>
              </w:rPr>
              <w:t>0</w:t>
            </w:r>
          </w:p>
        </w:tc>
        <w:tc>
          <w:tcPr>
            <w:tcW w:w="756" w:type="pct"/>
            <w:vAlign w:val="center"/>
          </w:tcPr>
          <w:p w14:paraId="133CCD31">
            <w:pPr>
              <w:pStyle w:val="19"/>
              <w:bidi w:val="0"/>
              <w:rPr>
                <w:rFonts w:hint="default"/>
                <w:lang w:val="en-US" w:eastAsia="zh-CN"/>
              </w:rPr>
            </w:pPr>
            <w:r>
              <w:rPr>
                <w:rFonts w:hint="default"/>
                <w:lang w:val="en-US" w:eastAsia="zh-CN"/>
              </w:rPr>
              <w:t>0</w:t>
            </w:r>
          </w:p>
        </w:tc>
        <w:tc>
          <w:tcPr>
            <w:tcW w:w="779" w:type="pct"/>
            <w:vAlign w:val="center"/>
          </w:tcPr>
          <w:p w14:paraId="0B19F38A">
            <w:pPr>
              <w:pStyle w:val="19"/>
              <w:bidi w:val="0"/>
              <w:rPr>
                <w:rFonts w:hint="default"/>
                <w:lang w:val="en-US" w:eastAsia="zh-CN"/>
              </w:rPr>
            </w:pPr>
            <w:r>
              <w:rPr>
                <w:rFonts w:hint="default"/>
                <w:lang w:val="en-US" w:eastAsia="zh-CN"/>
              </w:rPr>
              <w:t>0.0145</w:t>
            </w:r>
          </w:p>
        </w:tc>
      </w:tr>
      <w:tr w14:paraId="6474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0A74E66C">
            <w:pPr>
              <w:pStyle w:val="19"/>
              <w:bidi w:val="0"/>
              <w:rPr>
                <w:rFonts w:hint="default"/>
              </w:rPr>
            </w:pPr>
            <w:r>
              <w:rPr>
                <w:rFonts w:hint="default"/>
                <w:lang w:val="en-US" w:eastAsia="zh-CN"/>
              </w:rPr>
              <w:t>600</w:t>
            </w:r>
          </w:p>
        </w:tc>
        <w:tc>
          <w:tcPr>
            <w:tcW w:w="754" w:type="pct"/>
            <w:vAlign w:val="center"/>
          </w:tcPr>
          <w:p w14:paraId="46CF6FD6">
            <w:pPr>
              <w:pStyle w:val="19"/>
              <w:bidi w:val="0"/>
              <w:rPr>
                <w:rFonts w:hint="default"/>
              </w:rPr>
            </w:pPr>
            <w:r>
              <w:rPr>
                <w:rFonts w:hint="default"/>
                <w:lang w:val="en-US" w:eastAsia="zh-CN"/>
              </w:rPr>
              <w:t>0</w:t>
            </w:r>
          </w:p>
        </w:tc>
        <w:tc>
          <w:tcPr>
            <w:tcW w:w="754" w:type="pct"/>
            <w:vAlign w:val="center"/>
          </w:tcPr>
          <w:p w14:paraId="47EA90EF">
            <w:pPr>
              <w:pStyle w:val="19"/>
              <w:bidi w:val="0"/>
              <w:rPr>
                <w:rFonts w:hint="default"/>
              </w:rPr>
            </w:pPr>
            <w:r>
              <w:rPr>
                <w:rFonts w:hint="eastAsia"/>
                <w:lang w:val="en-US" w:eastAsia="zh-CN"/>
              </w:rPr>
              <w:t>0</w:t>
            </w:r>
          </w:p>
        </w:tc>
        <w:tc>
          <w:tcPr>
            <w:tcW w:w="765" w:type="pct"/>
            <w:vAlign w:val="center"/>
          </w:tcPr>
          <w:p w14:paraId="76C8A060">
            <w:pPr>
              <w:pStyle w:val="19"/>
              <w:bidi w:val="0"/>
              <w:rPr>
                <w:rFonts w:hint="default"/>
                <w:lang w:val="en-US"/>
              </w:rPr>
            </w:pPr>
            <w:r>
              <w:rPr>
                <w:rFonts w:hint="eastAsia"/>
                <w:lang w:val="en-US" w:eastAsia="zh-CN"/>
              </w:rPr>
              <w:t>1.36*10</w:t>
            </w:r>
            <w:r>
              <w:rPr>
                <w:rFonts w:hint="eastAsia"/>
                <w:vertAlign w:val="superscript"/>
                <w:lang w:val="en-US" w:eastAsia="zh-CN"/>
              </w:rPr>
              <w:t>-4</w:t>
            </w:r>
          </w:p>
        </w:tc>
        <w:tc>
          <w:tcPr>
            <w:tcW w:w="754" w:type="pct"/>
            <w:vAlign w:val="center"/>
          </w:tcPr>
          <w:p w14:paraId="3F55BC48">
            <w:pPr>
              <w:pStyle w:val="19"/>
              <w:bidi w:val="0"/>
              <w:rPr>
                <w:rFonts w:hint="default"/>
                <w:lang w:val="en-US" w:eastAsia="zh-CN"/>
              </w:rPr>
            </w:pPr>
            <w:r>
              <w:rPr>
                <w:rFonts w:hint="default"/>
                <w:lang w:val="en-US" w:eastAsia="zh-CN"/>
              </w:rPr>
              <w:t>0</w:t>
            </w:r>
          </w:p>
        </w:tc>
        <w:tc>
          <w:tcPr>
            <w:tcW w:w="756" w:type="pct"/>
            <w:vAlign w:val="center"/>
          </w:tcPr>
          <w:p w14:paraId="03430325">
            <w:pPr>
              <w:pStyle w:val="19"/>
              <w:bidi w:val="0"/>
              <w:rPr>
                <w:rFonts w:hint="default"/>
                <w:lang w:val="en-US" w:eastAsia="zh-CN"/>
              </w:rPr>
            </w:pPr>
            <w:r>
              <w:rPr>
                <w:rFonts w:hint="default"/>
                <w:lang w:val="en-US" w:eastAsia="zh-CN"/>
              </w:rPr>
              <w:t>0</w:t>
            </w:r>
          </w:p>
        </w:tc>
        <w:tc>
          <w:tcPr>
            <w:tcW w:w="779" w:type="pct"/>
            <w:vAlign w:val="center"/>
          </w:tcPr>
          <w:p w14:paraId="57630F16">
            <w:pPr>
              <w:pStyle w:val="19"/>
              <w:bidi w:val="0"/>
              <w:rPr>
                <w:rFonts w:hint="default"/>
                <w:lang w:val="en-US" w:eastAsia="zh-CN"/>
              </w:rPr>
            </w:pPr>
            <w:r>
              <w:rPr>
                <w:rFonts w:hint="eastAsia"/>
                <w:lang w:val="en-US" w:eastAsia="zh-CN"/>
              </w:rPr>
              <w:t>1.34*10</w:t>
            </w:r>
            <w:r>
              <w:rPr>
                <w:rFonts w:hint="eastAsia"/>
                <w:vertAlign w:val="superscript"/>
                <w:lang w:val="en-US" w:eastAsia="zh-CN"/>
              </w:rPr>
              <w:t>-5</w:t>
            </w:r>
          </w:p>
        </w:tc>
      </w:tr>
      <w:tr w14:paraId="5E8E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34B90788">
            <w:pPr>
              <w:pStyle w:val="19"/>
              <w:bidi w:val="0"/>
              <w:rPr>
                <w:rFonts w:hint="default"/>
              </w:rPr>
            </w:pPr>
            <w:r>
              <w:rPr>
                <w:rFonts w:hint="default"/>
                <w:lang w:val="en-US" w:eastAsia="zh-CN"/>
              </w:rPr>
              <w:t>700</w:t>
            </w:r>
          </w:p>
        </w:tc>
        <w:tc>
          <w:tcPr>
            <w:tcW w:w="754" w:type="pct"/>
            <w:vAlign w:val="center"/>
          </w:tcPr>
          <w:p w14:paraId="237AD6DB">
            <w:pPr>
              <w:pStyle w:val="19"/>
              <w:bidi w:val="0"/>
              <w:rPr>
                <w:rFonts w:hint="default"/>
              </w:rPr>
            </w:pPr>
            <w:r>
              <w:rPr>
                <w:rFonts w:hint="default"/>
                <w:lang w:val="en-US" w:eastAsia="zh-CN"/>
              </w:rPr>
              <w:t>0</w:t>
            </w:r>
          </w:p>
        </w:tc>
        <w:tc>
          <w:tcPr>
            <w:tcW w:w="754" w:type="pct"/>
            <w:vAlign w:val="center"/>
          </w:tcPr>
          <w:p w14:paraId="5B3E66E6">
            <w:pPr>
              <w:pStyle w:val="19"/>
              <w:bidi w:val="0"/>
              <w:rPr>
                <w:rFonts w:hint="default"/>
              </w:rPr>
            </w:pPr>
            <w:r>
              <w:rPr>
                <w:rFonts w:hint="eastAsia"/>
                <w:lang w:val="en-US" w:eastAsia="zh-CN"/>
              </w:rPr>
              <w:t>0</w:t>
            </w:r>
          </w:p>
        </w:tc>
        <w:tc>
          <w:tcPr>
            <w:tcW w:w="765" w:type="pct"/>
            <w:vAlign w:val="center"/>
          </w:tcPr>
          <w:p w14:paraId="1173D61A">
            <w:pPr>
              <w:pStyle w:val="19"/>
              <w:bidi w:val="0"/>
              <w:rPr>
                <w:rFonts w:hint="default"/>
              </w:rPr>
            </w:pPr>
            <w:r>
              <w:rPr>
                <w:rFonts w:hint="eastAsia"/>
                <w:lang w:val="en-US" w:eastAsia="zh-CN"/>
              </w:rPr>
              <w:t>1.61*10</w:t>
            </w:r>
            <w:r>
              <w:rPr>
                <w:rFonts w:hint="eastAsia"/>
                <w:vertAlign w:val="superscript"/>
                <w:lang w:val="en-US" w:eastAsia="zh-CN"/>
              </w:rPr>
              <w:t>-</w:t>
            </w:r>
            <w:r>
              <w:rPr>
                <w:rFonts w:hint="default"/>
                <w:vertAlign w:val="superscript"/>
                <w:lang w:val="en-US" w:eastAsia="zh-CN"/>
              </w:rPr>
              <w:t>8</w:t>
            </w:r>
          </w:p>
        </w:tc>
        <w:tc>
          <w:tcPr>
            <w:tcW w:w="754" w:type="pct"/>
            <w:vAlign w:val="center"/>
          </w:tcPr>
          <w:p w14:paraId="05F6761E">
            <w:pPr>
              <w:pStyle w:val="19"/>
              <w:bidi w:val="0"/>
              <w:rPr>
                <w:rFonts w:hint="default"/>
                <w:lang w:val="en-US" w:eastAsia="zh-CN"/>
              </w:rPr>
            </w:pPr>
            <w:r>
              <w:rPr>
                <w:rFonts w:hint="default"/>
                <w:lang w:val="en-US" w:eastAsia="zh-CN"/>
              </w:rPr>
              <w:t>0</w:t>
            </w:r>
          </w:p>
        </w:tc>
        <w:tc>
          <w:tcPr>
            <w:tcW w:w="756" w:type="pct"/>
            <w:vAlign w:val="center"/>
          </w:tcPr>
          <w:p w14:paraId="3208BBCF">
            <w:pPr>
              <w:pStyle w:val="19"/>
              <w:bidi w:val="0"/>
              <w:rPr>
                <w:rFonts w:hint="default"/>
                <w:lang w:val="en-US" w:eastAsia="zh-CN"/>
              </w:rPr>
            </w:pPr>
            <w:r>
              <w:rPr>
                <w:rFonts w:hint="default"/>
                <w:lang w:val="en-US" w:eastAsia="zh-CN"/>
              </w:rPr>
              <w:t>0</w:t>
            </w:r>
          </w:p>
        </w:tc>
        <w:tc>
          <w:tcPr>
            <w:tcW w:w="779" w:type="pct"/>
            <w:vAlign w:val="center"/>
          </w:tcPr>
          <w:p w14:paraId="3F474858">
            <w:pPr>
              <w:pStyle w:val="19"/>
              <w:bidi w:val="0"/>
              <w:rPr>
                <w:rFonts w:hint="default"/>
                <w:lang w:val="en-US" w:eastAsia="zh-CN"/>
              </w:rPr>
            </w:pPr>
            <w:r>
              <w:rPr>
                <w:rFonts w:hint="eastAsia"/>
                <w:lang w:val="en-US" w:eastAsia="zh-CN"/>
              </w:rPr>
              <w:t>1.59*10</w:t>
            </w:r>
            <w:r>
              <w:rPr>
                <w:rFonts w:hint="eastAsia"/>
                <w:vertAlign w:val="superscript"/>
                <w:lang w:val="en-US" w:eastAsia="zh-CN"/>
              </w:rPr>
              <w:t>-9</w:t>
            </w:r>
          </w:p>
        </w:tc>
      </w:tr>
      <w:tr w14:paraId="377A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4852BAFA">
            <w:pPr>
              <w:pStyle w:val="19"/>
              <w:bidi w:val="0"/>
              <w:rPr>
                <w:rFonts w:hint="default"/>
              </w:rPr>
            </w:pPr>
            <w:r>
              <w:rPr>
                <w:rFonts w:hint="default"/>
                <w:lang w:val="en-US" w:eastAsia="zh-CN"/>
              </w:rPr>
              <w:t>800</w:t>
            </w:r>
          </w:p>
        </w:tc>
        <w:tc>
          <w:tcPr>
            <w:tcW w:w="754" w:type="pct"/>
            <w:vAlign w:val="center"/>
          </w:tcPr>
          <w:p w14:paraId="5DC57D00">
            <w:pPr>
              <w:pStyle w:val="19"/>
              <w:bidi w:val="0"/>
              <w:rPr>
                <w:rFonts w:hint="default"/>
              </w:rPr>
            </w:pPr>
            <w:r>
              <w:rPr>
                <w:rFonts w:hint="default"/>
                <w:lang w:val="en-US" w:eastAsia="zh-CN"/>
              </w:rPr>
              <w:t>0</w:t>
            </w:r>
          </w:p>
        </w:tc>
        <w:tc>
          <w:tcPr>
            <w:tcW w:w="754" w:type="pct"/>
            <w:vAlign w:val="center"/>
          </w:tcPr>
          <w:p w14:paraId="44BFEF38">
            <w:pPr>
              <w:pStyle w:val="19"/>
              <w:bidi w:val="0"/>
              <w:rPr>
                <w:rFonts w:hint="default"/>
              </w:rPr>
            </w:pPr>
            <w:r>
              <w:rPr>
                <w:rFonts w:hint="eastAsia"/>
                <w:lang w:val="en-US" w:eastAsia="zh-CN"/>
              </w:rPr>
              <w:t>0</w:t>
            </w:r>
          </w:p>
        </w:tc>
        <w:tc>
          <w:tcPr>
            <w:tcW w:w="765" w:type="pct"/>
            <w:vAlign w:val="center"/>
          </w:tcPr>
          <w:p w14:paraId="49A8ADDD">
            <w:pPr>
              <w:pStyle w:val="19"/>
              <w:bidi w:val="0"/>
              <w:rPr>
                <w:rFonts w:hint="default"/>
              </w:rPr>
            </w:pPr>
            <w:r>
              <w:rPr>
                <w:rFonts w:hint="eastAsia"/>
                <w:lang w:val="en-US" w:eastAsia="zh-CN"/>
              </w:rPr>
              <w:t>2.89*10</w:t>
            </w:r>
            <w:r>
              <w:rPr>
                <w:rFonts w:hint="eastAsia"/>
                <w:vertAlign w:val="superscript"/>
                <w:lang w:val="en-US" w:eastAsia="zh-CN"/>
              </w:rPr>
              <w:t>-</w:t>
            </w:r>
            <w:r>
              <w:rPr>
                <w:rFonts w:hint="default"/>
                <w:vertAlign w:val="superscript"/>
                <w:lang w:val="en-US" w:eastAsia="zh-CN"/>
              </w:rPr>
              <w:t>13</w:t>
            </w:r>
          </w:p>
        </w:tc>
        <w:tc>
          <w:tcPr>
            <w:tcW w:w="754" w:type="pct"/>
            <w:vAlign w:val="center"/>
          </w:tcPr>
          <w:p w14:paraId="26A05D57">
            <w:pPr>
              <w:pStyle w:val="19"/>
              <w:bidi w:val="0"/>
              <w:rPr>
                <w:rFonts w:hint="default"/>
                <w:lang w:val="en-US" w:eastAsia="zh-CN"/>
              </w:rPr>
            </w:pPr>
            <w:r>
              <w:rPr>
                <w:rFonts w:hint="default"/>
                <w:lang w:val="en-US" w:eastAsia="zh-CN"/>
              </w:rPr>
              <w:t>0</w:t>
            </w:r>
          </w:p>
        </w:tc>
        <w:tc>
          <w:tcPr>
            <w:tcW w:w="756" w:type="pct"/>
            <w:vAlign w:val="center"/>
          </w:tcPr>
          <w:p w14:paraId="38F90352">
            <w:pPr>
              <w:pStyle w:val="19"/>
              <w:bidi w:val="0"/>
              <w:rPr>
                <w:rFonts w:hint="default"/>
                <w:lang w:val="en-US" w:eastAsia="zh-CN"/>
              </w:rPr>
            </w:pPr>
            <w:r>
              <w:rPr>
                <w:rFonts w:hint="default"/>
                <w:lang w:val="en-US" w:eastAsia="zh-CN"/>
              </w:rPr>
              <w:t>0</w:t>
            </w:r>
          </w:p>
        </w:tc>
        <w:tc>
          <w:tcPr>
            <w:tcW w:w="779" w:type="pct"/>
            <w:vAlign w:val="center"/>
          </w:tcPr>
          <w:p w14:paraId="53D125C9">
            <w:pPr>
              <w:pStyle w:val="19"/>
              <w:bidi w:val="0"/>
              <w:rPr>
                <w:rFonts w:hint="default"/>
                <w:lang w:val="en-US" w:eastAsia="zh-CN"/>
              </w:rPr>
            </w:pPr>
            <w:r>
              <w:rPr>
                <w:rFonts w:hint="eastAsia"/>
                <w:lang w:val="en-US" w:eastAsia="zh-CN"/>
              </w:rPr>
              <w:t>2.85*10</w:t>
            </w:r>
            <w:r>
              <w:rPr>
                <w:rFonts w:hint="eastAsia"/>
                <w:vertAlign w:val="superscript"/>
                <w:lang w:val="en-US" w:eastAsia="zh-CN"/>
              </w:rPr>
              <w:t>-14</w:t>
            </w:r>
          </w:p>
        </w:tc>
      </w:tr>
      <w:tr w14:paraId="3634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7C5879FA">
            <w:pPr>
              <w:pStyle w:val="19"/>
              <w:bidi w:val="0"/>
              <w:rPr>
                <w:rFonts w:hint="default"/>
              </w:rPr>
            </w:pPr>
            <w:r>
              <w:rPr>
                <w:rFonts w:hint="default"/>
                <w:lang w:val="en-US" w:eastAsia="zh-CN"/>
              </w:rPr>
              <w:t>900</w:t>
            </w:r>
          </w:p>
        </w:tc>
        <w:tc>
          <w:tcPr>
            <w:tcW w:w="754" w:type="pct"/>
            <w:vAlign w:val="center"/>
          </w:tcPr>
          <w:p w14:paraId="6D7B6775">
            <w:pPr>
              <w:pStyle w:val="19"/>
              <w:bidi w:val="0"/>
              <w:rPr>
                <w:rFonts w:hint="default"/>
              </w:rPr>
            </w:pPr>
            <w:r>
              <w:rPr>
                <w:rFonts w:hint="default"/>
                <w:lang w:val="en-US" w:eastAsia="zh-CN"/>
              </w:rPr>
              <w:t>0</w:t>
            </w:r>
          </w:p>
        </w:tc>
        <w:tc>
          <w:tcPr>
            <w:tcW w:w="754" w:type="pct"/>
            <w:vAlign w:val="center"/>
          </w:tcPr>
          <w:p w14:paraId="5686C920">
            <w:pPr>
              <w:pStyle w:val="19"/>
              <w:bidi w:val="0"/>
              <w:rPr>
                <w:rFonts w:hint="default"/>
              </w:rPr>
            </w:pPr>
            <w:r>
              <w:rPr>
                <w:rFonts w:hint="eastAsia"/>
                <w:lang w:val="en-US" w:eastAsia="zh-CN"/>
              </w:rPr>
              <w:t>0</w:t>
            </w:r>
          </w:p>
        </w:tc>
        <w:tc>
          <w:tcPr>
            <w:tcW w:w="765" w:type="pct"/>
            <w:vAlign w:val="center"/>
          </w:tcPr>
          <w:p w14:paraId="1D890FCB">
            <w:pPr>
              <w:pStyle w:val="19"/>
              <w:bidi w:val="0"/>
              <w:rPr>
                <w:rFonts w:hint="default"/>
              </w:rPr>
            </w:pPr>
            <w:r>
              <w:rPr>
                <w:rFonts w:hint="eastAsia"/>
                <w:lang w:val="en-US" w:eastAsia="zh-CN"/>
              </w:rPr>
              <w:t>0</w:t>
            </w:r>
          </w:p>
        </w:tc>
        <w:tc>
          <w:tcPr>
            <w:tcW w:w="754" w:type="pct"/>
            <w:vAlign w:val="center"/>
          </w:tcPr>
          <w:p w14:paraId="35B0867E">
            <w:pPr>
              <w:pStyle w:val="19"/>
              <w:bidi w:val="0"/>
              <w:rPr>
                <w:rFonts w:hint="default"/>
                <w:lang w:val="en-US" w:eastAsia="zh-CN"/>
              </w:rPr>
            </w:pPr>
            <w:r>
              <w:rPr>
                <w:rFonts w:hint="default"/>
                <w:lang w:val="en-US" w:eastAsia="zh-CN"/>
              </w:rPr>
              <w:t>0</w:t>
            </w:r>
          </w:p>
        </w:tc>
        <w:tc>
          <w:tcPr>
            <w:tcW w:w="756" w:type="pct"/>
            <w:vAlign w:val="center"/>
          </w:tcPr>
          <w:p w14:paraId="7B3DFE21">
            <w:pPr>
              <w:pStyle w:val="19"/>
              <w:bidi w:val="0"/>
              <w:rPr>
                <w:rFonts w:hint="default"/>
                <w:lang w:val="en-US" w:eastAsia="zh-CN"/>
              </w:rPr>
            </w:pPr>
            <w:r>
              <w:rPr>
                <w:rFonts w:hint="default"/>
                <w:lang w:val="en-US" w:eastAsia="zh-CN"/>
              </w:rPr>
              <w:t>0</w:t>
            </w:r>
          </w:p>
        </w:tc>
        <w:tc>
          <w:tcPr>
            <w:tcW w:w="779" w:type="pct"/>
            <w:vAlign w:val="center"/>
          </w:tcPr>
          <w:p w14:paraId="33D57167">
            <w:pPr>
              <w:pStyle w:val="19"/>
              <w:bidi w:val="0"/>
              <w:rPr>
                <w:rFonts w:hint="default"/>
                <w:lang w:val="en-US" w:eastAsia="zh-CN"/>
              </w:rPr>
            </w:pPr>
            <w:r>
              <w:rPr>
                <w:rFonts w:hint="default"/>
                <w:lang w:val="en-US" w:eastAsia="zh-CN"/>
              </w:rPr>
              <w:t>0</w:t>
            </w:r>
          </w:p>
        </w:tc>
      </w:tr>
      <w:tr w14:paraId="1936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2" w:type="pct"/>
            <w:vAlign w:val="center"/>
          </w:tcPr>
          <w:p w14:paraId="24837C99">
            <w:pPr>
              <w:pStyle w:val="19"/>
              <w:bidi w:val="0"/>
              <w:rPr>
                <w:rFonts w:hint="default"/>
              </w:rPr>
            </w:pPr>
            <w:r>
              <w:rPr>
                <w:rFonts w:hint="default"/>
                <w:lang w:val="en-US" w:eastAsia="zh-CN"/>
              </w:rPr>
              <w:t>1000</w:t>
            </w:r>
          </w:p>
        </w:tc>
        <w:tc>
          <w:tcPr>
            <w:tcW w:w="754" w:type="pct"/>
            <w:vAlign w:val="center"/>
          </w:tcPr>
          <w:p w14:paraId="137F4AAE">
            <w:pPr>
              <w:pStyle w:val="19"/>
              <w:bidi w:val="0"/>
              <w:rPr>
                <w:rFonts w:hint="default"/>
              </w:rPr>
            </w:pPr>
            <w:r>
              <w:rPr>
                <w:rFonts w:hint="default"/>
                <w:lang w:val="en-US" w:eastAsia="zh-CN"/>
              </w:rPr>
              <w:t>0</w:t>
            </w:r>
          </w:p>
        </w:tc>
        <w:tc>
          <w:tcPr>
            <w:tcW w:w="754" w:type="pct"/>
            <w:vAlign w:val="center"/>
          </w:tcPr>
          <w:p w14:paraId="25B33738">
            <w:pPr>
              <w:pStyle w:val="19"/>
              <w:bidi w:val="0"/>
              <w:rPr>
                <w:rFonts w:hint="default"/>
              </w:rPr>
            </w:pPr>
            <w:r>
              <w:rPr>
                <w:rFonts w:hint="default"/>
                <w:lang w:val="en-US" w:eastAsia="zh-CN"/>
              </w:rPr>
              <w:t>0</w:t>
            </w:r>
          </w:p>
        </w:tc>
        <w:tc>
          <w:tcPr>
            <w:tcW w:w="765" w:type="pct"/>
            <w:vAlign w:val="center"/>
          </w:tcPr>
          <w:p w14:paraId="4CCB2EBC">
            <w:pPr>
              <w:pStyle w:val="19"/>
              <w:bidi w:val="0"/>
              <w:rPr>
                <w:rFonts w:hint="default"/>
              </w:rPr>
            </w:pPr>
            <w:r>
              <w:rPr>
                <w:rFonts w:hint="eastAsia"/>
                <w:lang w:val="en-US" w:eastAsia="zh-CN"/>
              </w:rPr>
              <w:t>0</w:t>
            </w:r>
          </w:p>
        </w:tc>
        <w:tc>
          <w:tcPr>
            <w:tcW w:w="754" w:type="pct"/>
            <w:vAlign w:val="center"/>
          </w:tcPr>
          <w:p w14:paraId="751C9D2F">
            <w:pPr>
              <w:pStyle w:val="19"/>
              <w:bidi w:val="0"/>
              <w:rPr>
                <w:rFonts w:hint="default"/>
                <w:lang w:val="en-US" w:eastAsia="zh-CN"/>
              </w:rPr>
            </w:pPr>
            <w:r>
              <w:rPr>
                <w:rFonts w:hint="default"/>
                <w:lang w:val="en-US" w:eastAsia="zh-CN"/>
              </w:rPr>
              <w:t>0</w:t>
            </w:r>
          </w:p>
        </w:tc>
        <w:tc>
          <w:tcPr>
            <w:tcW w:w="756" w:type="pct"/>
            <w:vAlign w:val="center"/>
          </w:tcPr>
          <w:p w14:paraId="5BA96CC8">
            <w:pPr>
              <w:pStyle w:val="19"/>
              <w:bidi w:val="0"/>
              <w:rPr>
                <w:rFonts w:hint="default"/>
                <w:lang w:val="en-US" w:eastAsia="zh-CN"/>
              </w:rPr>
            </w:pPr>
            <w:r>
              <w:rPr>
                <w:rFonts w:hint="default"/>
                <w:lang w:val="en-US" w:eastAsia="zh-CN"/>
              </w:rPr>
              <w:t>0</w:t>
            </w:r>
          </w:p>
        </w:tc>
        <w:tc>
          <w:tcPr>
            <w:tcW w:w="779" w:type="pct"/>
            <w:vAlign w:val="center"/>
          </w:tcPr>
          <w:p w14:paraId="379AC33E">
            <w:pPr>
              <w:pStyle w:val="19"/>
              <w:bidi w:val="0"/>
              <w:rPr>
                <w:rFonts w:hint="default"/>
                <w:lang w:val="en-US" w:eastAsia="zh-CN"/>
              </w:rPr>
            </w:pPr>
            <w:r>
              <w:rPr>
                <w:rFonts w:hint="default"/>
                <w:lang w:val="en-US" w:eastAsia="zh-CN"/>
              </w:rPr>
              <w:t>0</w:t>
            </w:r>
          </w:p>
        </w:tc>
      </w:tr>
    </w:tbl>
    <w:p w14:paraId="6167D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color w:val="000000" w:themeColor="text1"/>
          <w:highlight w:val="none"/>
          <w14:textFill>
            <w14:solidFill>
              <w14:schemeClr w14:val="tx1"/>
            </w14:solidFill>
          </w14:textFill>
        </w:rPr>
        <w:drawing>
          <wp:inline distT="0" distB="0" distL="114300" distR="114300">
            <wp:extent cx="4324985" cy="2684780"/>
            <wp:effectExtent l="0" t="0" r="18415" b="127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35"/>
                    <a:stretch>
                      <a:fillRect/>
                    </a:stretch>
                  </pic:blipFill>
                  <pic:spPr>
                    <a:xfrm>
                      <a:off x="0" y="0"/>
                      <a:ext cx="4324985" cy="2684780"/>
                    </a:xfrm>
                    <a:prstGeom prst="rect">
                      <a:avLst/>
                    </a:prstGeom>
                    <a:noFill/>
                    <a:ln>
                      <a:noFill/>
                    </a:ln>
                  </pic:spPr>
                </pic:pic>
              </a:graphicData>
            </a:graphic>
          </wp:inline>
        </w:drawing>
      </w:r>
    </w:p>
    <w:p w14:paraId="4D71B617">
      <w:pPr>
        <w:pStyle w:val="31"/>
        <w:bidi w:val="0"/>
        <w:rPr>
          <w:rFonts w:hint="default"/>
          <w:lang w:val="en-US" w:eastAsia="zh-CN"/>
        </w:rPr>
      </w:pPr>
      <w:r>
        <w:rPr>
          <w:rFonts w:hint="eastAsia"/>
          <w:lang w:val="en-US" w:eastAsia="zh-CN"/>
        </w:rPr>
        <w:t>图5.2-2   泄漏后不同时间后COD浓度分布曲线图</w:t>
      </w:r>
    </w:p>
    <w:p w14:paraId="65DF89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color w:val="000000" w:themeColor="text1"/>
          <w:highlight w:val="none"/>
          <w14:textFill>
            <w14:solidFill>
              <w14:schemeClr w14:val="tx1"/>
            </w14:solidFill>
          </w14:textFill>
        </w:rPr>
        <w:drawing>
          <wp:inline distT="0" distB="0" distL="114300" distR="114300">
            <wp:extent cx="4343400" cy="2685415"/>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6"/>
                    <a:stretch>
                      <a:fillRect/>
                    </a:stretch>
                  </pic:blipFill>
                  <pic:spPr>
                    <a:xfrm>
                      <a:off x="0" y="0"/>
                      <a:ext cx="4343400" cy="2685415"/>
                    </a:xfrm>
                    <a:prstGeom prst="rect">
                      <a:avLst/>
                    </a:prstGeom>
                    <a:noFill/>
                    <a:ln>
                      <a:noFill/>
                    </a:ln>
                  </pic:spPr>
                </pic:pic>
              </a:graphicData>
            </a:graphic>
          </wp:inline>
        </w:drawing>
      </w:r>
    </w:p>
    <w:p w14:paraId="4A7F6571">
      <w:pPr>
        <w:pStyle w:val="31"/>
        <w:bidi w:val="0"/>
        <w:rPr>
          <w:rFonts w:hint="eastAsia"/>
          <w:lang w:val="en-US" w:eastAsia="zh-CN"/>
        </w:rPr>
      </w:pPr>
      <w:r>
        <w:rPr>
          <w:rFonts w:hint="eastAsia"/>
          <w:lang w:val="en-US" w:eastAsia="zh-CN"/>
        </w:rPr>
        <w:t>图5.2-3   泄漏不同时间后NH</w:t>
      </w:r>
      <w:r>
        <w:rPr>
          <w:rFonts w:hint="eastAsia"/>
          <w:vertAlign w:val="subscript"/>
          <w:lang w:val="en-US" w:eastAsia="zh-CN"/>
        </w:rPr>
        <w:t>3</w:t>
      </w:r>
      <w:r>
        <w:rPr>
          <w:rFonts w:hint="eastAsia"/>
          <w:lang w:val="en-US" w:eastAsia="zh-CN"/>
        </w:rPr>
        <w:t>-N浓度分布曲线图</w:t>
      </w:r>
    </w:p>
    <w:p w14:paraId="2AF2CF7C">
      <w:pPr>
        <w:pStyle w:val="34"/>
        <w:keepNext w:val="0"/>
        <w:keepLines w:val="0"/>
        <w:pageBreakBefore w:val="0"/>
        <w:widowControl w:val="0"/>
        <w:kinsoku/>
        <w:wordWrap/>
        <w:overflowPunct/>
        <w:topLinePunct w:val="0"/>
        <w:autoSpaceDE/>
        <w:autoSpaceDN/>
        <w:bidi w:val="0"/>
        <w:adjustRightInd/>
        <w:snapToGrid w:val="0"/>
        <w:spacing w:line="360" w:lineRule="auto"/>
        <w:ind w:firstLine="480"/>
        <w:jc w:val="both"/>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由预测结果可知：</w:t>
      </w:r>
    </w:p>
    <w:p w14:paraId="6DC268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在事故发生第100天时，预测COD超标距离为80m，影响距离为</w:t>
      </w:r>
      <w:r>
        <w:rPr>
          <w:rFonts w:hint="eastAsia" w:cs="Times New Roman"/>
          <w:snapToGrid w:val="0"/>
          <w:color w:val="000000" w:themeColor="text1"/>
          <w:highlight w:val="none"/>
          <w:lang w:val="en-US" w:eastAsia="zh-CN"/>
          <w14:textFill>
            <w14:solidFill>
              <w14:schemeClr w14:val="tx1"/>
            </w14:solidFill>
          </w14:textFill>
        </w:rPr>
        <w:t>89</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m，预测NH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-N超标距离为89m，影响距离为</w:t>
      </w:r>
      <w:r>
        <w:rPr>
          <w:rFonts w:hint="eastAsia" w:cs="Times New Roman"/>
          <w:snapToGrid w:val="0"/>
          <w:color w:val="000000" w:themeColor="text1"/>
          <w:highlight w:val="none"/>
          <w:lang w:val="en-US" w:eastAsia="zh-CN"/>
          <w14:textFill>
            <w14:solidFill>
              <w14:schemeClr w14:val="tx1"/>
            </w14:solidFill>
          </w14:textFill>
        </w:rPr>
        <w:t>107</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w:t>
      </w:r>
    </w:p>
    <w:p w14:paraId="7D0809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在事故生后第365天时，预测COD超标距离为193m，影响距离为</w:t>
      </w:r>
      <w:r>
        <w:rPr>
          <w:rFonts w:hint="eastAsia" w:cs="Times New Roman"/>
          <w:snapToGrid w:val="0"/>
          <w:color w:val="000000" w:themeColor="text1"/>
          <w:highlight w:val="none"/>
          <w:lang w:val="en-US" w:eastAsia="zh-CN"/>
          <w14:textFill>
            <w14:solidFill>
              <w14:schemeClr w14:val="tx1"/>
            </w14:solidFill>
          </w14:textFill>
        </w:rPr>
        <w:t>210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m，预测NH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-N超标距离为210m，影响距离为</w:t>
      </w:r>
      <w:r>
        <w:rPr>
          <w:rFonts w:hint="eastAsia" w:cs="Times New Roman"/>
          <w:snapToGrid w:val="0"/>
          <w:color w:val="000000" w:themeColor="text1"/>
          <w:highlight w:val="none"/>
          <w:lang w:val="en-US" w:eastAsia="zh-CN"/>
          <w14:textFill>
            <w14:solidFill>
              <w14:schemeClr w14:val="tx1"/>
            </w14:solidFill>
          </w14:textFill>
        </w:rPr>
        <w:t>244</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w:t>
      </w:r>
    </w:p>
    <w:p w14:paraId="042DBF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在事故生后第1000天时，预测COD超标距离为4</w:t>
      </w:r>
      <w:r>
        <w:rPr>
          <w:rFonts w:hint="eastAsia" w:cs="Times New Roman"/>
          <w:snapToGrid w:val="0"/>
          <w:color w:val="000000" w:themeColor="text1"/>
          <w:highlight w:val="none"/>
          <w:lang w:val="en-US" w:eastAsia="zh-CN"/>
          <w14:textFill>
            <w14:solidFill>
              <w14:schemeClr w14:val="tx1"/>
            </w14:solidFill>
          </w14:textFill>
        </w:rPr>
        <w:t>05</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m，影响距离为</w:t>
      </w:r>
      <w:r>
        <w:rPr>
          <w:rFonts w:hint="eastAsia" w:cs="Times New Roman"/>
          <w:snapToGrid w:val="0"/>
          <w:color w:val="000000" w:themeColor="text1"/>
          <w:highlight w:val="none"/>
          <w:lang w:val="en-US" w:eastAsia="zh-CN"/>
          <w14:textFill>
            <w14:solidFill>
              <w14:schemeClr w14:val="tx1"/>
            </w14:solidFill>
          </w14:textFill>
        </w:rPr>
        <w:t>433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m，预测NH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-N超标距离为43</w:t>
      </w:r>
      <w:r>
        <w:rPr>
          <w:rFonts w:hint="eastAsia" w:cs="Times New Roman"/>
          <w:snapToGrid w:val="0"/>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m，影响距离为</w:t>
      </w:r>
      <w:r>
        <w:rPr>
          <w:rFonts w:hint="eastAsia" w:cs="Times New Roman"/>
          <w:snapToGrid w:val="0"/>
          <w:color w:val="000000" w:themeColor="text1"/>
          <w:highlight w:val="none"/>
          <w:lang w:val="en-US" w:eastAsia="zh-CN"/>
          <w14:textFill>
            <w14:solidFill>
              <w14:schemeClr w14:val="tx1"/>
            </w14:solidFill>
          </w14:textFill>
        </w:rPr>
        <w:t>490</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m。</w:t>
      </w:r>
    </w:p>
    <w:p w14:paraId="61D64D9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可见如果项目区粪污处理设施发生渗漏，其周围的污染物浓度会很快升高，但向远处扩散的时间会较长。而在实际生产中使用的粪污处理设施的渗漏会很小，再加上该区域的土层对COD和NH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这种非连续性的污染物有一定的吸附和降解能力，可减少污水渗漏进入含水层的量，因此，非正常情况下，本工程的污水对下游地下水的水质影响不大。但考虑到地下水一旦受到污染，就很难恢复，评价要求必须加强运行期环境管理，严防废水长时间渗漏，采取严格防渗措施后，本工程对项目区及附近地下水环境的影响较小。</w:t>
      </w:r>
    </w:p>
    <w:p w14:paraId="75F639EE">
      <w:pPr>
        <w:keepNext w:val="0"/>
        <w:keepLines w:val="0"/>
        <w:pageBreakBefore w:val="0"/>
        <w:widowControl w:val="0"/>
        <w:kinsoku/>
        <w:wordWrap/>
        <w:overflowPunct/>
        <w:topLinePunct w:val="0"/>
        <w:autoSpaceDE/>
        <w:autoSpaceDN/>
        <w:bidi w:val="0"/>
        <w:adjustRightInd/>
        <w:textAlignment w:val="auto"/>
        <w:rPr>
          <w:rFonts w:hint="default"/>
          <w:lang w:val="en-US" w:eastAsia="zh-CN"/>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本工程在设计、施工、运行时，必须严格控制项目区粪污处理设施的无组织泄漏，杜绝长期事故性排放点源存在。严把设计、施工和质量验收关，杜绝因材质、防腐涂层，焊接缺陷及运行失误而造成泄漏。生产运行过程中，必须强化监控</w:t>
      </w:r>
      <w:r>
        <w:rPr>
          <w:rFonts w:hint="eastAsia" w:cs="Times New Roman"/>
          <w:snapToGrid w:val="0"/>
          <w:color w:val="000000" w:themeColor="text1"/>
          <w:highlight w:val="none"/>
          <w:lang w:val="en-US" w:eastAsia="zh-CN"/>
          <w14:textFill>
            <w14:solidFill>
              <w14:schemeClr w14:val="tx1"/>
            </w14:solidFill>
          </w14:textFill>
        </w:rPr>
        <w:t>手段</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，定期检查，检漏控漏，保护项目区地下水环境。</w:t>
      </w:r>
    </w:p>
    <w:p w14:paraId="3371714C">
      <w:pPr>
        <w:pStyle w:val="27"/>
        <w:bidi w:val="0"/>
      </w:pPr>
      <w:r>
        <w:t>噪声环境影响预测与评价</w:t>
      </w:r>
    </w:p>
    <w:p w14:paraId="6D3D9802">
      <w:pPr>
        <w:pStyle w:val="28"/>
        <w:bidi w:val="0"/>
        <w:rPr>
          <w:rFonts w:hint="default"/>
        </w:rPr>
      </w:pPr>
      <w:r>
        <w:rPr>
          <w:rFonts w:hint="default"/>
        </w:rPr>
        <w:t>噪声源强</w:t>
      </w:r>
    </w:p>
    <w:p w14:paraId="6EA1D111">
      <w:pPr>
        <w:snapToGrid w:val="0"/>
        <w:spacing w:line="360" w:lineRule="auto"/>
        <w:ind w:firstLine="480" w:firstLineChars="200"/>
        <w:rPr>
          <w:rFonts w:hint="default" w:ascii="Times New Roman" w:hAnsi="Times New Roman" w:cs="Times New Roman"/>
          <w:color w:val="000000" w:themeColor="text1"/>
          <w:highlight w:val="none"/>
          <w:shd w:val="clear" w:color="auto" w:fill="auto"/>
          <w14:textFill>
            <w14:solidFill>
              <w14:schemeClr w14:val="tx1"/>
            </w14:solidFill>
          </w14:textFill>
        </w:rPr>
      </w:pP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本</w:t>
      </w:r>
      <w:r>
        <w:rPr>
          <w:rFonts w:hint="default" w:ascii="Times New Roman" w:hAnsi="Times New Roman" w:cs="Times New Roman"/>
          <w:color w:val="000000" w:themeColor="text1"/>
          <w:highlight w:val="none"/>
          <w:shd w:val="clear" w:color="auto" w:fill="auto"/>
          <w14:textFill>
            <w14:solidFill>
              <w14:schemeClr w14:val="tx1"/>
            </w14:solidFill>
          </w14:textFill>
        </w:rPr>
        <w:t>项目</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建成后</w:t>
      </w:r>
      <w:r>
        <w:rPr>
          <w:rFonts w:hint="default" w:ascii="Times New Roman" w:hAnsi="Times New Roman" w:cs="Times New Roman"/>
          <w:color w:val="000000" w:themeColor="text1"/>
          <w:highlight w:val="none"/>
          <w:shd w:val="clear" w:color="auto" w:fill="auto"/>
          <w14:textFill>
            <w14:solidFill>
              <w14:schemeClr w14:val="tx1"/>
            </w14:solidFill>
          </w14:textFill>
        </w:rPr>
        <w:t>主要噪声源为</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固液分离设备、风机、水泵及猪叫声等</w:t>
      </w:r>
      <w:r>
        <w:rPr>
          <w:rFonts w:hint="default" w:ascii="Times New Roman" w:hAnsi="Times New Roman" w:cs="Times New Roman"/>
          <w:color w:val="000000" w:themeColor="text1"/>
          <w:highlight w:val="none"/>
          <w:shd w:val="clear" w:color="auto" w:fill="auto"/>
          <w14:textFill>
            <w14:solidFill>
              <w14:schemeClr w14:val="tx1"/>
            </w14:solidFill>
          </w14:textFill>
        </w:rPr>
        <w:t>，根据设计文件本项目主要产噪设备均在室内或地下布置，对噪声源采取基础减振、室内隔声、安装消声器等措施后，降噪效果为15~2</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0</w:t>
      </w:r>
      <w:r>
        <w:rPr>
          <w:rFonts w:hint="default" w:ascii="Times New Roman" w:hAnsi="Times New Roman" w:cs="Times New Roman"/>
          <w:color w:val="000000" w:themeColor="text1"/>
          <w:highlight w:val="none"/>
          <w:shd w:val="clear" w:color="auto" w:fill="auto"/>
          <w14:textFill>
            <w14:solidFill>
              <w14:schemeClr w14:val="tx1"/>
            </w14:solidFill>
          </w14:textFill>
        </w:rPr>
        <w:t>dB(A)</w:t>
      </w:r>
      <w:r>
        <w:rPr>
          <w:rFonts w:hint="eastAsia" w:ascii="Times New Roman" w:hAnsi="Times New Roman" w:cs="Times New Roman"/>
          <w:color w:val="000000" w:themeColor="text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highlight w:val="none"/>
          <w:shd w:val="clear" w:color="auto" w:fill="auto"/>
          <w14:textFill>
            <w14:solidFill>
              <w14:schemeClr w14:val="tx1"/>
            </w14:solidFill>
          </w14:textFill>
        </w:rPr>
        <w:t>各噪声源统计情况见表5.2-</w:t>
      </w:r>
      <w:r>
        <w:rPr>
          <w:rFonts w:hint="eastAsia" w:cs="Times New Roman"/>
          <w:color w:val="000000" w:themeColor="text1"/>
          <w:highlight w:val="none"/>
          <w:shd w:val="clear" w:color="auto" w:fill="auto"/>
          <w:lang w:val="en-US" w:eastAsia="zh-CN"/>
          <w14:textFill>
            <w14:solidFill>
              <w14:schemeClr w14:val="tx1"/>
            </w14:solidFill>
          </w14:textFill>
        </w:rPr>
        <w:t>17</w:t>
      </w:r>
      <w:r>
        <w:rPr>
          <w:rFonts w:hint="default" w:ascii="Times New Roman" w:hAnsi="Times New Roman" w:cs="Times New Roman"/>
          <w:color w:val="000000" w:themeColor="text1"/>
          <w:highlight w:val="none"/>
          <w:shd w:val="clear" w:color="auto" w:fill="auto"/>
          <w14:textFill>
            <w14:solidFill>
              <w14:schemeClr w14:val="tx1"/>
            </w14:solidFill>
          </w14:textFill>
        </w:rPr>
        <w:t>。</w:t>
      </w:r>
    </w:p>
    <w:p w14:paraId="6904B391">
      <w:pPr>
        <w:pStyle w:val="30"/>
        <w:bidi w:val="0"/>
        <w:rPr>
          <w:rFonts w:hint="default"/>
        </w:rPr>
      </w:pPr>
      <w:r>
        <w:rPr>
          <w:rFonts w:hint="default"/>
        </w:rPr>
        <w:t>表5.2-</w:t>
      </w:r>
      <w:r>
        <w:rPr>
          <w:rFonts w:hint="eastAsia"/>
          <w:lang w:val="en-US" w:eastAsia="zh-CN"/>
        </w:rPr>
        <w:t xml:space="preserve">17 </w:t>
      </w:r>
      <w:r>
        <w:rPr>
          <w:rFonts w:hint="default"/>
        </w:rPr>
        <w:t xml:space="preserve">  项目主要噪声源源强一览表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09"/>
        <w:gridCol w:w="1190"/>
        <w:gridCol w:w="2170"/>
        <w:gridCol w:w="1546"/>
        <w:gridCol w:w="1789"/>
      </w:tblGrid>
      <w:tr w14:paraId="58C1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14:paraId="5ECABA3F">
            <w:pPr>
              <w:pStyle w:val="19"/>
              <w:bidi w:val="0"/>
              <w:jc w:val="center"/>
            </w:pPr>
            <w:r>
              <w:t>序号</w:t>
            </w:r>
          </w:p>
        </w:tc>
        <w:tc>
          <w:tcPr>
            <w:tcW w:w="768" w:type="pct"/>
            <w:vAlign w:val="center"/>
          </w:tcPr>
          <w:p w14:paraId="49297A4F">
            <w:pPr>
              <w:pStyle w:val="19"/>
              <w:bidi w:val="0"/>
              <w:jc w:val="center"/>
            </w:pPr>
            <w:r>
              <w:t>设备名称</w:t>
            </w:r>
          </w:p>
        </w:tc>
        <w:tc>
          <w:tcPr>
            <w:tcW w:w="698" w:type="pct"/>
            <w:vAlign w:val="center"/>
          </w:tcPr>
          <w:p w14:paraId="3511FDED">
            <w:pPr>
              <w:pStyle w:val="19"/>
              <w:bidi w:val="0"/>
              <w:jc w:val="center"/>
            </w:pPr>
            <w:r>
              <w:rPr>
                <w:rFonts w:hint="eastAsia"/>
              </w:rPr>
              <w:t>位置</w:t>
            </w:r>
          </w:p>
        </w:tc>
        <w:tc>
          <w:tcPr>
            <w:tcW w:w="1273" w:type="pct"/>
            <w:vAlign w:val="center"/>
          </w:tcPr>
          <w:p w14:paraId="40B18412">
            <w:pPr>
              <w:pStyle w:val="19"/>
              <w:bidi w:val="0"/>
              <w:jc w:val="center"/>
            </w:pPr>
            <w:r>
              <w:t>防治措施</w:t>
            </w:r>
          </w:p>
        </w:tc>
        <w:tc>
          <w:tcPr>
            <w:tcW w:w="907" w:type="pct"/>
            <w:vAlign w:val="center"/>
          </w:tcPr>
          <w:p w14:paraId="42C07162">
            <w:pPr>
              <w:pStyle w:val="19"/>
              <w:bidi w:val="0"/>
              <w:jc w:val="center"/>
            </w:pPr>
            <w:r>
              <w:t>单台设备噪声强度dB(A)</w:t>
            </w:r>
          </w:p>
        </w:tc>
        <w:tc>
          <w:tcPr>
            <w:tcW w:w="1049" w:type="pct"/>
            <w:vAlign w:val="center"/>
          </w:tcPr>
          <w:p w14:paraId="4E6F92EA">
            <w:pPr>
              <w:pStyle w:val="19"/>
              <w:bidi w:val="0"/>
              <w:jc w:val="center"/>
            </w:pPr>
            <w:r>
              <w:t>单台设备噪声降噪后强度dB(A)</w:t>
            </w:r>
          </w:p>
        </w:tc>
      </w:tr>
      <w:tr w14:paraId="5BBD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14:paraId="596EFC65">
            <w:pPr>
              <w:pStyle w:val="19"/>
              <w:bidi w:val="0"/>
              <w:jc w:val="center"/>
            </w:pPr>
            <w:r>
              <w:rPr>
                <w:rFonts w:hint="eastAsia"/>
              </w:rPr>
              <w:t>1</w:t>
            </w:r>
          </w:p>
        </w:tc>
        <w:tc>
          <w:tcPr>
            <w:tcW w:w="768" w:type="pct"/>
            <w:vAlign w:val="center"/>
          </w:tcPr>
          <w:p w14:paraId="55EA3E0B">
            <w:pPr>
              <w:pStyle w:val="19"/>
              <w:bidi w:val="0"/>
              <w:jc w:val="center"/>
            </w:pPr>
            <w:r>
              <w:rPr>
                <w:rFonts w:hint="eastAsia"/>
              </w:rPr>
              <w:t>猪叫声</w:t>
            </w:r>
          </w:p>
        </w:tc>
        <w:tc>
          <w:tcPr>
            <w:tcW w:w="698" w:type="pct"/>
            <w:vMerge w:val="restart"/>
            <w:vAlign w:val="center"/>
          </w:tcPr>
          <w:p w14:paraId="6C88C31D">
            <w:pPr>
              <w:pStyle w:val="19"/>
              <w:bidi w:val="0"/>
              <w:jc w:val="center"/>
            </w:pPr>
            <w:r>
              <w:rPr>
                <w:rFonts w:hint="eastAsia"/>
              </w:rPr>
              <w:t>猪舍</w:t>
            </w:r>
          </w:p>
        </w:tc>
        <w:tc>
          <w:tcPr>
            <w:tcW w:w="1273" w:type="pct"/>
            <w:vAlign w:val="center"/>
          </w:tcPr>
          <w:p w14:paraId="08DB52FB">
            <w:pPr>
              <w:pStyle w:val="19"/>
              <w:bidi w:val="0"/>
              <w:jc w:val="center"/>
            </w:pPr>
            <w:r>
              <w:rPr>
                <w:rFonts w:hint="eastAsia"/>
              </w:rPr>
              <w:t>隔声</w:t>
            </w:r>
          </w:p>
        </w:tc>
        <w:tc>
          <w:tcPr>
            <w:tcW w:w="907" w:type="pct"/>
            <w:vAlign w:val="center"/>
          </w:tcPr>
          <w:p w14:paraId="66EAA2E7">
            <w:pPr>
              <w:pStyle w:val="19"/>
              <w:bidi w:val="0"/>
              <w:jc w:val="center"/>
            </w:pPr>
            <w:r>
              <w:rPr>
                <w:rFonts w:hint="eastAsia"/>
              </w:rPr>
              <w:t>80</w:t>
            </w:r>
          </w:p>
        </w:tc>
        <w:tc>
          <w:tcPr>
            <w:tcW w:w="1049" w:type="pct"/>
            <w:vAlign w:val="center"/>
          </w:tcPr>
          <w:p w14:paraId="54573C00">
            <w:pPr>
              <w:pStyle w:val="19"/>
              <w:bidi w:val="0"/>
              <w:jc w:val="center"/>
            </w:pPr>
            <w:r>
              <w:rPr>
                <w:rFonts w:hint="eastAsia"/>
              </w:rPr>
              <w:t>60</w:t>
            </w:r>
          </w:p>
        </w:tc>
      </w:tr>
      <w:tr w14:paraId="4BD6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2" w:type="pct"/>
            <w:vAlign w:val="center"/>
          </w:tcPr>
          <w:p w14:paraId="6FB06D40">
            <w:pPr>
              <w:pStyle w:val="19"/>
              <w:bidi w:val="0"/>
              <w:jc w:val="center"/>
            </w:pPr>
            <w:r>
              <w:rPr>
                <w:rFonts w:hint="eastAsia"/>
              </w:rPr>
              <w:t>2</w:t>
            </w:r>
          </w:p>
        </w:tc>
        <w:tc>
          <w:tcPr>
            <w:tcW w:w="768" w:type="pct"/>
            <w:vAlign w:val="center"/>
          </w:tcPr>
          <w:p w14:paraId="38C7FAAD">
            <w:pPr>
              <w:pStyle w:val="19"/>
              <w:bidi w:val="0"/>
              <w:jc w:val="center"/>
            </w:pPr>
            <w:r>
              <w:t>风机</w:t>
            </w:r>
          </w:p>
        </w:tc>
        <w:tc>
          <w:tcPr>
            <w:tcW w:w="698" w:type="pct"/>
            <w:vMerge w:val="continue"/>
            <w:vAlign w:val="center"/>
          </w:tcPr>
          <w:p w14:paraId="523694E0">
            <w:pPr>
              <w:pStyle w:val="19"/>
              <w:bidi w:val="0"/>
              <w:jc w:val="center"/>
            </w:pPr>
          </w:p>
        </w:tc>
        <w:tc>
          <w:tcPr>
            <w:tcW w:w="1273" w:type="pct"/>
            <w:vAlign w:val="center"/>
          </w:tcPr>
          <w:p w14:paraId="59225309">
            <w:pPr>
              <w:pStyle w:val="19"/>
              <w:bidi w:val="0"/>
              <w:jc w:val="center"/>
            </w:pPr>
            <w:r>
              <w:rPr>
                <w:rFonts w:hint="eastAsia"/>
              </w:rPr>
              <w:t>隔声、减震</w:t>
            </w:r>
          </w:p>
        </w:tc>
        <w:tc>
          <w:tcPr>
            <w:tcW w:w="907" w:type="pct"/>
            <w:vAlign w:val="center"/>
          </w:tcPr>
          <w:p w14:paraId="603C0E9D">
            <w:pPr>
              <w:pStyle w:val="19"/>
              <w:bidi w:val="0"/>
              <w:jc w:val="center"/>
            </w:pPr>
            <w:r>
              <w:rPr>
                <w:rFonts w:hint="eastAsia"/>
              </w:rPr>
              <w:t>75</w:t>
            </w:r>
          </w:p>
        </w:tc>
        <w:tc>
          <w:tcPr>
            <w:tcW w:w="1049" w:type="pct"/>
            <w:vAlign w:val="center"/>
          </w:tcPr>
          <w:p w14:paraId="6B70810A">
            <w:pPr>
              <w:pStyle w:val="19"/>
              <w:bidi w:val="0"/>
              <w:jc w:val="center"/>
            </w:pPr>
            <w:r>
              <w:rPr>
                <w:rFonts w:hint="eastAsia"/>
              </w:rPr>
              <w:t>55</w:t>
            </w:r>
          </w:p>
        </w:tc>
      </w:tr>
      <w:tr w14:paraId="17A2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14:paraId="164747CD">
            <w:pPr>
              <w:pStyle w:val="19"/>
              <w:bidi w:val="0"/>
              <w:jc w:val="center"/>
            </w:pPr>
            <w:r>
              <w:rPr>
                <w:rFonts w:hint="eastAsia"/>
              </w:rPr>
              <w:t>3</w:t>
            </w:r>
          </w:p>
        </w:tc>
        <w:tc>
          <w:tcPr>
            <w:tcW w:w="768" w:type="pct"/>
            <w:vAlign w:val="center"/>
          </w:tcPr>
          <w:p w14:paraId="574813E4">
            <w:pPr>
              <w:pStyle w:val="19"/>
              <w:bidi w:val="0"/>
              <w:jc w:val="center"/>
            </w:pPr>
            <w:r>
              <w:t>泵</w:t>
            </w:r>
          </w:p>
        </w:tc>
        <w:tc>
          <w:tcPr>
            <w:tcW w:w="698" w:type="pct"/>
            <w:vMerge w:val="continue"/>
            <w:vAlign w:val="center"/>
          </w:tcPr>
          <w:p w14:paraId="439E741A">
            <w:pPr>
              <w:pStyle w:val="19"/>
              <w:bidi w:val="0"/>
              <w:jc w:val="center"/>
            </w:pPr>
          </w:p>
        </w:tc>
        <w:tc>
          <w:tcPr>
            <w:tcW w:w="1273" w:type="pct"/>
            <w:vAlign w:val="center"/>
          </w:tcPr>
          <w:p w14:paraId="7F33FFCE">
            <w:pPr>
              <w:pStyle w:val="19"/>
              <w:bidi w:val="0"/>
              <w:jc w:val="center"/>
            </w:pPr>
            <w:r>
              <w:rPr>
                <w:rFonts w:hint="eastAsia"/>
              </w:rPr>
              <w:t>隔声、减震</w:t>
            </w:r>
          </w:p>
        </w:tc>
        <w:tc>
          <w:tcPr>
            <w:tcW w:w="907" w:type="pct"/>
            <w:vAlign w:val="center"/>
          </w:tcPr>
          <w:p w14:paraId="4827EB24">
            <w:pPr>
              <w:pStyle w:val="19"/>
              <w:bidi w:val="0"/>
              <w:jc w:val="center"/>
            </w:pPr>
            <w:r>
              <w:rPr>
                <w:rFonts w:hint="eastAsia"/>
              </w:rPr>
              <w:t>80</w:t>
            </w:r>
          </w:p>
        </w:tc>
        <w:tc>
          <w:tcPr>
            <w:tcW w:w="1049" w:type="pct"/>
            <w:vAlign w:val="center"/>
          </w:tcPr>
          <w:p w14:paraId="2A7581D7">
            <w:pPr>
              <w:pStyle w:val="19"/>
              <w:bidi w:val="0"/>
              <w:jc w:val="center"/>
            </w:pPr>
            <w:r>
              <w:rPr>
                <w:rFonts w:hint="eastAsia"/>
              </w:rPr>
              <w:t>60</w:t>
            </w:r>
          </w:p>
        </w:tc>
      </w:tr>
      <w:tr w14:paraId="5F28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14:paraId="793AE9B8">
            <w:pPr>
              <w:pStyle w:val="19"/>
              <w:bidi w:val="0"/>
              <w:jc w:val="center"/>
            </w:pPr>
            <w:r>
              <w:rPr>
                <w:rFonts w:hint="eastAsia"/>
              </w:rPr>
              <w:t>4</w:t>
            </w:r>
          </w:p>
        </w:tc>
        <w:tc>
          <w:tcPr>
            <w:tcW w:w="768" w:type="pct"/>
            <w:vAlign w:val="center"/>
          </w:tcPr>
          <w:p w14:paraId="27F7BC91">
            <w:pPr>
              <w:pStyle w:val="19"/>
              <w:bidi w:val="0"/>
              <w:jc w:val="center"/>
            </w:pPr>
            <w:r>
              <w:t>固液分离机</w:t>
            </w:r>
          </w:p>
        </w:tc>
        <w:tc>
          <w:tcPr>
            <w:tcW w:w="698" w:type="pct"/>
            <w:vMerge w:val="restart"/>
            <w:vAlign w:val="center"/>
          </w:tcPr>
          <w:p w14:paraId="27D3F3E8">
            <w:pPr>
              <w:pStyle w:val="19"/>
              <w:bidi w:val="0"/>
              <w:jc w:val="center"/>
            </w:pPr>
            <w:r>
              <w:rPr>
                <w:rFonts w:hint="eastAsia"/>
              </w:rPr>
              <w:t>污水处理区</w:t>
            </w:r>
          </w:p>
        </w:tc>
        <w:tc>
          <w:tcPr>
            <w:tcW w:w="1273" w:type="pct"/>
            <w:vAlign w:val="center"/>
          </w:tcPr>
          <w:p w14:paraId="117A90FB">
            <w:pPr>
              <w:pStyle w:val="19"/>
              <w:bidi w:val="0"/>
              <w:jc w:val="center"/>
            </w:pPr>
            <w:r>
              <w:rPr>
                <w:rFonts w:hint="eastAsia"/>
              </w:rPr>
              <w:t>隔声、减震</w:t>
            </w:r>
          </w:p>
        </w:tc>
        <w:tc>
          <w:tcPr>
            <w:tcW w:w="907" w:type="pct"/>
            <w:vAlign w:val="center"/>
          </w:tcPr>
          <w:p w14:paraId="18D25558">
            <w:pPr>
              <w:pStyle w:val="19"/>
              <w:bidi w:val="0"/>
              <w:jc w:val="center"/>
            </w:pPr>
            <w:r>
              <w:rPr>
                <w:rFonts w:hint="eastAsia"/>
              </w:rPr>
              <w:t>85</w:t>
            </w:r>
          </w:p>
        </w:tc>
        <w:tc>
          <w:tcPr>
            <w:tcW w:w="1049" w:type="pct"/>
            <w:vAlign w:val="center"/>
          </w:tcPr>
          <w:p w14:paraId="2FE94F36">
            <w:pPr>
              <w:pStyle w:val="19"/>
              <w:bidi w:val="0"/>
              <w:jc w:val="center"/>
            </w:pPr>
            <w:r>
              <w:rPr>
                <w:rFonts w:hint="eastAsia"/>
              </w:rPr>
              <w:t>65</w:t>
            </w:r>
          </w:p>
        </w:tc>
      </w:tr>
      <w:tr w14:paraId="02BA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Align w:val="center"/>
          </w:tcPr>
          <w:p w14:paraId="77470A14">
            <w:pPr>
              <w:pStyle w:val="19"/>
              <w:bidi w:val="0"/>
              <w:jc w:val="center"/>
            </w:pPr>
            <w:r>
              <w:rPr>
                <w:rFonts w:hint="eastAsia"/>
              </w:rPr>
              <w:t>5</w:t>
            </w:r>
          </w:p>
        </w:tc>
        <w:tc>
          <w:tcPr>
            <w:tcW w:w="768" w:type="pct"/>
            <w:vAlign w:val="center"/>
          </w:tcPr>
          <w:p w14:paraId="3109711E">
            <w:pPr>
              <w:pStyle w:val="19"/>
              <w:bidi w:val="0"/>
              <w:jc w:val="center"/>
            </w:pPr>
            <w:r>
              <w:rPr>
                <w:rFonts w:hint="eastAsia"/>
              </w:rPr>
              <w:t>各种泵类</w:t>
            </w:r>
          </w:p>
        </w:tc>
        <w:tc>
          <w:tcPr>
            <w:tcW w:w="698" w:type="pct"/>
            <w:vMerge w:val="continue"/>
            <w:vAlign w:val="center"/>
          </w:tcPr>
          <w:p w14:paraId="7AEE9441">
            <w:pPr>
              <w:pStyle w:val="19"/>
              <w:bidi w:val="0"/>
              <w:jc w:val="center"/>
            </w:pPr>
          </w:p>
        </w:tc>
        <w:tc>
          <w:tcPr>
            <w:tcW w:w="1273" w:type="pct"/>
            <w:vAlign w:val="center"/>
          </w:tcPr>
          <w:p w14:paraId="2C68AD1B">
            <w:pPr>
              <w:pStyle w:val="19"/>
              <w:bidi w:val="0"/>
              <w:jc w:val="center"/>
            </w:pPr>
            <w:r>
              <w:rPr>
                <w:rFonts w:hint="eastAsia"/>
              </w:rPr>
              <w:t>隔声、减震</w:t>
            </w:r>
          </w:p>
        </w:tc>
        <w:tc>
          <w:tcPr>
            <w:tcW w:w="907" w:type="pct"/>
            <w:vAlign w:val="center"/>
          </w:tcPr>
          <w:p w14:paraId="6CBA304E">
            <w:pPr>
              <w:pStyle w:val="19"/>
              <w:bidi w:val="0"/>
              <w:jc w:val="center"/>
            </w:pPr>
            <w:r>
              <w:rPr>
                <w:rFonts w:hint="eastAsia"/>
              </w:rPr>
              <w:t>80</w:t>
            </w:r>
          </w:p>
        </w:tc>
        <w:tc>
          <w:tcPr>
            <w:tcW w:w="1049" w:type="pct"/>
            <w:vAlign w:val="center"/>
          </w:tcPr>
          <w:p w14:paraId="39FD647C">
            <w:pPr>
              <w:pStyle w:val="19"/>
              <w:bidi w:val="0"/>
              <w:jc w:val="center"/>
            </w:pPr>
            <w:r>
              <w:rPr>
                <w:rFonts w:hint="eastAsia"/>
              </w:rPr>
              <w:t>60</w:t>
            </w:r>
          </w:p>
        </w:tc>
      </w:tr>
    </w:tbl>
    <w:p w14:paraId="0D3B9053">
      <w:pPr>
        <w:pStyle w:val="28"/>
        <w:bidi w:val="0"/>
        <w:rPr>
          <w:rFonts w:hint="default"/>
        </w:rPr>
      </w:pPr>
      <w:r>
        <w:rPr>
          <w:rFonts w:hint="default"/>
        </w:rPr>
        <w:t>预测因子、方位</w:t>
      </w:r>
    </w:p>
    <w:p w14:paraId="350B502E">
      <w:pPr>
        <w:snapToGrid w:val="0"/>
        <w:spacing w:line="360" w:lineRule="auto"/>
        <w:ind w:firstLine="480" w:firstLineChars="200"/>
        <w:rPr>
          <w:rFonts w:hint="default" w:ascii="Times New Roman" w:hAnsi="Times New Roman" w:cs="Times New Roman"/>
          <w:color w:val="000000" w:themeColor="text1"/>
          <w:highlight w:val="none"/>
          <w:shd w:val="clear" w:color="auto" w:fill="auto"/>
          <w14:textFill>
            <w14:solidFill>
              <w14:schemeClr w14:val="tx1"/>
            </w14:solidFill>
          </w14:textFill>
        </w:rPr>
      </w:pPr>
      <w:r>
        <w:rPr>
          <w:rFonts w:hint="default" w:ascii="Times New Roman" w:hAnsi="Times New Roman" w:cs="Times New Roman"/>
          <w:color w:val="000000" w:themeColor="text1"/>
          <w:highlight w:val="none"/>
          <w:shd w:val="clear" w:color="auto" w:fill="auto"/>
          <w14:textFill>
            <w14:solidFill>
              <w14:schemeClr w14:val="tx1"/>
            </w14:solidFill>
          </w14:textFill>
        </w:rPr>
        <w:t>（1）预测因子：等效连续A声级</w:t>
      </w:r>
    </w:p>
    <w:p w14:paraId="50277E71">
      <w:pPr>
        <w:snapToGrid w:val="0"/>
        <w:spacing w:line="360" w:lineRule="auto"/>
        <w:ind w:firstLine="480" w:firstLineChars="20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highlight w:val="none"/>
          <w:shd w:val="clear" w:color="auto" w:fill="auto"/>
          <w14:textFill>
            <w14:solidFill>
              <w14:schemeClr w14:val="tx1"/>
            </w14:solidFill>
          </w14:textFill>
        </w:rPr>
        <w:t>（2）预测方位：厂界</w:t>
      </w:r>
      <w:r>
        <w:rPr>
          <w:rFonts w:hint="eastAsia" w:cs="Times New Roman"/>
          <w:color w:val="000000" w:themeColor="text1"/>
          <w:highlight w:val="none"/>
          <w:shd w:val="clear" w:color="auto" w:fill="auto"/>
          <w:lang w:val="en-US" w:eastAsia="zh-CN"/>
          <w14:textFill>
            <w14:solidFill>
              <w14:schemeClr w14:val="tx1"/>
            </w14:solidFill>
          </w14:textFill>
        </w:rPr>
        <w:t>四周1m处</w:t>
      </w:r>
    </w:p>
    <w:p w14:paraId="4FD92F4E">
      <w:pPr>
        <w:pStyle w:val="28"/>
        <w:bidi w:val="0"/>
        <w:rPr>
          <w:rFonts w:hint="default"/>
        </w:rPr>
      </w:pPr>
      <w:r>
        <w:rPr>
          <w:rFonts w:hint="default"/>
        </w:rPr>
        <w:t>预测模式</w:t>
      </w:r>
      <w:r>
        <w:rPr>
          <w:rFonts w:hint="eastAsia"/>
          <w:lang w:val="en-US" w:eastAsia="zh-CN"/>
        </w:rPr>
        <w:t>及评价标准</w:t>
      </w:r>
    </w:p>
    <w:p w14:paraId="6F804C5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本评价采用噪声距离衰减模式，预测各厂界处及声环境敏感点处的噪声影响。</w:t>
      </w:r>
    </w:p>
    <w:p w14:paraId="5BD4F05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①预测模式：</w:t>
      </w:r>
    </w:p>
    <w:p w14:paraId="661DBFC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LP=LP0－20lg（r/r0）</w:t>
      </w:r>
    </w:p>
    <w:p w14:paraId="1B4E8E4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式中：LP—评价点噪声预测值，dB（A）；</w:t>
      </w:r>
    </w:p>
    <w:p w14:paraId="43E08EE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LP0—参考位置r0处的声源压级，dB（A）；</w:t>
      </w:r>
    </w:p>
    <w:p w14:paraId="04C5FB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r—为预测点距声源的距离，m；</w:t>
      </w:r>
    </w:p>
    <w:p w14:paraId="5646149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r0—为参考点距声源的距离，m。</w:t>
      </w:r>
    </w:p>
    <w:p w14:paraId="49157DD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②评价标准</w:t>
      </w:r>
    </w:p>
    <w:p w14:paraId="13D7F17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评价标准采用《工业企业厂界环境噪声排放标准》（GB12348-2008）中2类。</w:t>
      </w:r>
    </w:p>
    <w:p w14:paraId="7879EC52">
      <w:pPr>
        <w:pStyle w:val="28"/>
        <w:bidi w:val="0"/>
      </w:pPr>
      <w:r>
        <w:t>预测结果</w:t>
      </w:r>
    </w:p>
    <w:p w14:paraId="64661AB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本项目营运期厂界噪声预测结果见表5.2-</w:t>
      </w:r>
      <w:r>
        <w:rPr>
          <w:rFonts w:hint="eastAsia"/>
          <w:color w:val="000000" w:themeColor="text1"/>
          <w:highlight w:val="none"/>
          <w:lang w:val="en-US" w:eastAsia="zh-CN"/>
          <w14:textFill>
            <w14:solidFill>
              <w14:schemeClr w14:val="tx1"/>
            </w14:solidFill>
          </w14:textFill>
        </w:rPr>
        <w:t>18</w:t>
      </w:r>
      <w:r>
        <w:rPr>
          <w:color w:val="000000" w:themeColor="text1"/>
          <w:highlight w:val="none"/>
          <w14:textFill>
            <w14:solidFill>
              <w14:schemeClr w14:val="tx1"/>
            </w14:solidFill>
          </w14:textFill>
        </w:rPr>
        <w:t>。</w:t>
      </w:r>
    </w:p>
    <w:p w14:paraId="5F164A0B">
      <w:pPr>
        <w:pStyle w:val="30"/>
        <w:bidi w:val="0"/>
      </w:pPr>
      <w:r>
        <w:t>表5.2-</w:t>
      </w:r>
      <w:r>
        <w:rPr>
          <w:rFonts w:hint="eastAsia"/>
          <w:lang w:val="en-US" w:eastAsia="zh-CN"/>
        </w:rPr>
        <w:t xml:space="preserve">18  </w:t>
      </w:r>
      <w:r>
        <w:t xml:space="preserve"> 设备噪声源对厂界四周的影响值预测</w:t>
      </w:r>
    </w:p>
    <w:tbl>
      <w:tblPr>
        <w:tblStyle w:val="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88"/>
        <w:gridCol w:w="1383"/>
        <w:gridCol w:w="1383"/>
        <w:gridCol w:w="1383"/>
        <w:gridCol w:w="1383"/>
        <w:gridCol w:w="1389"/>
      </w:tblGrid>
      <w:tr w14:paraId="35DC2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67" w:type="pct"/>
            <w:gridSpan w:val="2"/>
            <w:vAlign w:val="center"/>
          </w:tcPr>
          <w:p w14:paraId="50E9BF15">
            <w:pPr>
              <w:pStyle w:val="19"/>
              <w:bidi w:val="0"/>
              <w:jc w:val="center"/>
            </w:pPr>
            <w:r>
              <w:t>预测点</w:t>
            </w:r>
          </w:p>
        </w:tc>
        <w:tc>
          <w:tcPr>
            <w:tcW w:w="832" w:type="pct"/>
            <w:vAlign w:val="center"/>
          </w:tcPr>
          <w:p w14:paraId="7E034B56">
            <w:pPr>
              <w:pStyle w:val="19"/>
              <w:bidi w:val="0"/>
              <w:jc w:val="center"/>
            </w:pPr>
            <w:r>
              <w:t>项目区北侧</w:t>
            </w:r>
          </w:p>
        </w:tc>
        <w:tc>
          <w:tcPr>
            <w:tcW w:w="832" w:type="pct"/>
            <w:vAlign w:val="center"/>
          </w:tcPr>
          <w:p w14:paraId="4823D7EA">
            <w:pPr>
              <w:pStyle w:val="19"/>
              <w:bidi w:val="0"/>
              <w:jc w:val="center"/>
            </w:pPr>
            <w:r>
              <w:t>项目区东侧</w:t>
            </w:r>
          </w:p>
        </w:tc>
        <w:tc>
          <w:tcPr>
            <w:tcW w:w="832" w:type="pct"/>
            <w:vAlign w:val="center"/>
          </w:tcPr>
          <w:p w14:paraId="6661BBBE">
            <w:pPr>
              <w:pStyle w:val="19"/>
              <w:bidi w:val="0"/>
              <w:jc w:val="center"/>
            </w:pPr>
            <w:r>
              <w:t>项目区南侧</w:t>
            </w:r>
          </w:p>
        </w:tc>
        <w:tc>
          <w:tcPr>
            <w:tcW w:w="835" w:type="pct"/>
            <w:vAlign w:val="center"/>
          </w:tcPr>
          <w:p w14:paraId="7418B4D4">
            <w:pPr>
              <w:pStyle w:val="19"/>
              <w:bidi w:val="0"/>
              <w:jc w:val="center"/>
            </w:pPr>
            <w:r>
              <w:t>项目区西侧</w:t>
            </w:r>
          </w:p>
        </w:tc>
      </w:tr>
      <w:tr w14:paraId="7DAFB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35" w:type="pct"/>
            <w:vMerge w:val="restart"/>
            <w:tcBorders>
              <w:bottom w:val="nil"/>
            </w:tcBorders>
            <w:vAlign w:val="center"/>
          </w:tcPr>
          <w:p w14:paraId="6835ABAA">
            <w:pPr>
              <w:pStyle w:val="19"/>
              <w:bidi w:val="0"/>
              <w:jc w:val="center"/>
            </w:pPr>
            <w:r>
              <w:t>预测值</w:t>
            </w:r>
          </w:p>
        </w:tc>
        <w:tc>
          <w:tcPr>
            <w:tcW w:w="832" w:type="pct"/>
            <w:vAlign w:val="center"/>
          </w:tcPr>
          <w:p w14:paraId="2AA305B7">
            <w:pPr>
              <w:pStyle w:val="19"/>
              <w:bidi w:val="0"/>
              <w:jc w:val="center"/>
            </w:pPr>
            <w:r>
              <w:t>昼间</w:t>
            </w:r>
          </w:p>
        </w:tc>
        <w:tc>
          <w:tcPr>
            <w:tcW w:w="832" w:type="pct"/>
            <w:vAlign w:val="center"/>
          </w:tcPr>
          <w:p w14:paraId="6555E182">
            <w:pPr>
              <w:pStyle w:val="19"/>
              <w:bidi w:val="0"/>
              <w:jc w:val="center"/>
            </w:pPr>
            <w:r>
              <w:t>5</w:t>
            </w:r>
            <w:r>
              <w:rPr>
                <w:rFonts w:hint="eastAsia"/>
              </w:rPr>
              <w:t>0</w:t>
            </w:r>
          </w:p>
        </w:tc>
        <w:tc>
          <w:tcPr>
            <w:tcW w:w="832" w:type="pct"/>
            <w:vAlign w:val="center"/>
          </w:tcPr>
          <w:p w14:paraId="6A2827AE">
            <w:pPr>
              <w:pStyle w:val="19"/>
              <w:bidi w:val="0"/>
              <w:jc w:val="center"/>
            </w:pPr>
            <w:r>
              <w:t>51</w:t>
            </w:r>
          </w:p>
        </w:tc>
        <w:tc>
          <w:tcPr>
            <w:tcW w:w="832" w:type="pct"/>
            <w:vAlign w:val="center"/>
          </w:tcPr>
          <w:p w14:paraId="52CE53BF">
            <w:pPr>
              <w:pStyle w:val="19"/>
              <w:bidi w:val="0"/>
              <w:jc w:val="center"/>
            </w:pPr>
            <w:r>
              <w:rPr>
                <w:rFonts w:hint="eastAsia"/>
              </w:rPr>
              <w:t>54</w:t>
            </w:r>
          </w:p>
        </w:tc>
        <w:tc>
          <w:tcPr>
            <w:tcW w:w="835" w:type="pct"/>
            <w:vAlign w:val="center"/>
          </w:tcPr>
          <w:p w14:paraId="5BC283EA">
            <w:pPr>
              <w:pStyle w:val="19"/>
              <w:bidi w:val="0"/>
              <w:jc w:val="center"/>
            </w:pPr>
            <w:r>
              <w:t>5</w:t>
            </w:r>
            <w:r>
              <w:rPr>
                <w:rFonts w:hint="eastAsia"/>
              </w:rPr>
              <w:t>2</w:t>
            </w:r>
          </w:p>
        </w:tc>
      </w:tr>
      <w:tr w14:paraId="4CBCD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5" w:type="pct"/>
            <w:vMerge w:val="continue"/>
            <w:tcBorders>
              <w:top w:val="nil"/>
            </w:tcBorders>
            <w:vAlign w:val="center"/>
          </w:tcPr>
          <w:p w14:paraId="12A1A8B7">
            <w:pPr>
              <w:pStyle w:val="19"/>
              <w:bidi w:val="0"/>
              <w:jc w:val="center"/>
            </w:pPr>
          </w:p>
        </w:tc>
        <w:tc>
          <w:tcPr>
            <w:tcW w:w="832" w:type="pct"/>
            <w:vAlign w:val="center"/>
          </w:tcPr>
          <w:p w14:paraId="11999A3C">
            <w:pPr>
              <w:pStyle w:val="19"/>
              <w:bidi w:val="0"/>
              <w:jc w:val="center"/>
            </w:pPr>
            <w:r>
              <w:t>夜间</w:t>
            </w:r>
          </w:p>
        </w:tc>
        <w:tc>
          <w:tcPr>
            <w:tcW w:w="832" w:type="pct"/>
            <w:vAlign w:val="center"/>
          </w:tcPr>
          <w:p w14:paraId="46FA3BBF">
            <w:pPr>
              <w:pStyle w:val="19"/>
              <w:bidi w:val="0"/>
              <w:jc w:val="center"/>
            </w:pPr>
            <w:r>
              <w:t>4</w:t>
            </w:r>
            <w:r>
              <w:rPr>
                <w:rFonts w:hint="eastAsia"/>
              </w:rPr>
              <w:t>1</w:t>
            </w:r>
          </w:p>
        </w:tc>
        <w:tc>
          <w:tcPr>
            <w:tcW w:w="832" w:type="pct"/>
            <w:vAlign w:val="center"/>
          </w:tcPr>
          <w:p w14:paraId="3D294C88">
            <w:pPr>
              <w:pStyle w:val="19"/>
              <w:bidi w:val="0"/>
              <w:jc w:val="center"/>
            </w:pPr>
            <w:r>
              <w:t>42</w:t>
            </w:r>
          </w:p>
        </w:tc>
        <w:tc>
          <w:tcPr>
            <w:tcW w:w="832" w:type="pct"/>
            <w:vAlign w:val="center"/>
          </w:tcPr>
          <w:p w14:paraId="12534289">
            <w:pPr>
              <w:pStyle w:val="19"/>
              <w:bidi w:val="0"/>
              <w:jc w:val="center"/>
            </w:pPr>
            <w:r>
              <w:t>4</w:t>
            </w:r>
            <w:r>
              <w:rPr>
                <w:rFonts w:hint="eastAsia"/>
              </w:rPr>
              <w:t>3</w:t>
            </w:r>
          </w:p>
        </w:tc>
        <w:tc>
          <w:tcPr>
            <w:tcW w:w="835" w:type="pct"/>
            <w:vAlign w:val="center"/>
          </w:tcPr>
          <w:p w14:paraId="6C6EBFB4">
            <w:pPr>
              <w:pStyle w:val="19"/>
              <w:bidi w:val="0"/>
              <w:jc w:val="center"/>
            </w:pPr>
            <w:r>
              <w:t>4</w:t>
            </w:r>
            <w:r>
              <w:rPr>
                <w:rFonts w:hint="eastAsia"/>
              </w:rPr>
              <w:t>2</w:t>
            </w:r>
          </w:p>
        </w:tc>
      </w:tr>
    </w:tbl>
    <w:p w14:paraId="3D6443F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预测结果可知，对产生噪声的设备采取减振、厂房屏蔽及隔声措施，并经距离衰减后，厂界噪声可达到《工业企业厂界环境噪声排放标准》（GB12348-2008）2类标准，且养殖场周边无声环境敏感点，本项目对区域声环境影响轻微。</w:t>
      </w:r>
    </w:p>
    <w:p w14:paraId="2751DD3B">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本项目声环境影响评价自查表见表</w:t>
      </w:r>
      <w:r>
        <w:rPr>
          <w:rFonts w:hint="default"/>
          <w:color w:val="000000" w:themeColor="text1"/>
          <w:highlight w:val="none"/>
          <w:lang w:val="en-US" w:eastAsia="zh-CN"/>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19。</w:t>
      </w:r>
    </w:p>
    <w:p w14:paraId="784735D9">
      <w:pPr>
        <w:pStyle w:val="2"/>
        <w:rPr>
          <w:rFonts w:hint="eastAsia"/>
          <w:color w:val="000000" w:themeColor="text1"/>
          <w:highlight w:val="none"/>
          <w:lang w:val="en-US" w:eastAsia="zh-CN"/>
          <w14:textFill>
            <w14:solidFill>
              <w14:schemeClr w14:val="tx1"/>
            </w14:solidFill>
          </w14:textFill>
        </w:rPr>
      </w:pPr>
    </w:p>
    <w:p w14:paraId="7330DC2E">
      <w:pPr>
        <w:pStyle w:val="30"/>
        <w:bidi w:val="0"/>
        <w:rPr>
          <w:rFonts w:hint="default"/>
        </w:rPr>
      </w:pPr>
      <w:r>
        <w:rPr>
          <w:rFonts w:hint="eastAsia"/>
        </w:rPr>
        <w:t>表</w:t>
      </w:r>
      <w:r>
        <w:rPr>
          <w:rFonts w:hint="default"/>
        </w:rPr>
        <w:t>5.2-</w:t>
      </w:r>
      <w:r>
        <w:rPr>
          <w:rFonts w:hint="eastAsia"/>
          <w:lang w:val="en-US" w:eastAsia="zh-CN"/>
        </w:rPr>
        <w:t xml:space="preserve">19 </w:t>
      </w:r>
      <w:r>
        <w:rPr>
          <w:rFonts w:hint="default"/>
        </w:rPr>
        <w:t xml:space="preserve">  </w:t>
      </w:r>
      <w:r>
        <w:rPr>
          <w:rFonts w:hint="eastAsia"/>
        </w:rPr>
        <w:t>声环境影响评价自查表</w:t>
      </w:r>
    </w:p>
    <w:tbl>
      <w:tblPr>
        <w:tblStyle w:val="3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7"/>
        <w:gridCol w:w="1118"/>
        <w:gridCol w:w="980"/>
        <w:gridCol w:w="535"/>
        <w:gridCol w:w="165"/>
        <w:gridCol w:w="368"/>
        <w:gridCol w:w="498"/>
        <w:gridCol w:w="571"/>
        <w:gridCol w:w="9"/>
        <w:gridCol w:w="862"/>
        <w:gridCol w:w="206"/>
        <w:gridCol w:w="535"/>
        <w:gridCol w:w="533"/>
        <w:gridCol w:w="14"/>
        <w:gridCol w:w="1071"/>
      </w:tblGrid>
      <w:tr w14:paraId="3CAE9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76" w:type="pct"/>
            <w:gridSpan w:val="2"/>
            <w:vAlign w:val="center"/>
          </w:tcPr>
          <w:p w14:paraId="6DB1731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工作内容</w:t>
            </w:r>
          </w:p>
        </w:tc>
        <w:tc>
          <w:tcPr>
            <w:tcW w:w="3723" w:type="pct"/>
            <w:gridSpan w:val="13"/>
            <w:vAlign w:val="center"/>
          </w:tcPr>
          <w:p w14:paraId="0DE74850">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自查项目</w:t>
            </w:r>
          </w:p>
        </w:tc>
      </w:tr>
      <w:tr w14:paraId="7DF8E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restart"/>
            <w:vAlign w:val="center"/>
          </w:tcPr>
          <w:p w14:paraId="32075F9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评价等级与范围</w:t>
            </w:r>
          </w:p>
        </w:tc>
        <w:tc>
          <w:tcPr>
            <w:tcW w:w="655" w:type="pct"/>
            <w:vAlign w:val="center"/>
          </w:tcPr>
          <w:p w14:paraId="2905FE0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评价等级</w:t>
            </w:r>
          </w:p>
        </w:tc>
        <w:tc>
          <w:tcPr>
            <w:tcW w:w="3723" w:type="pct"/>
            <w:gridSpan w:val="13"/>
            <w:vAlign w:val="center"/>
          </w:tcPr>
          <w:p w14:paraId="3167D41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一级□          二级</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三级</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1E2FB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44914B3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4D4ABBB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评价范围</w:t>
            </w:r>
          </w:p>
        </w:tc>
        <w:tc>
          <w:tcPr>
            <w:tcW w:w="3723" w:type="pct"/>
            <w:gridSpan w:val="13"/>
            <w:vAlign w:val="center"/>
          </w:tcPr>
          <w:p w14:paraId="6841D55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200m</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大于200m</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小于200m</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0C098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Align w:val="center"/>
          </w:tcPr>
          <w:p w14:paraId="750E60E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评价因子</w:t>
            </w:r>
          </w:p>
        </w:tc>
        <w:tc>
          <w:tcPr>
            <w:tcW w:w="655" w:type="pct"/>
            <w:vAlign w:val="center"/>
          </w:tcPr>
          <w:p w14:paraId="2AE50239">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评价因子</w:t>
            </w:r>
          </w:p>
        </w:tc>
        <w:tc>
          <w:tcPr>
            <w:tcW w:w="3723" w:type="pct"/>
            <w:gridSpan w:val="13"/>
            <w:vAlign w:val="center"/>
          </w:tcPr>
          <w:p w14:paraId="7EEB83D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等效连续A声级</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最大A声级</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计权等效连续感觉噪声级</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24F33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Align w:val="center"/>
          </w:tcPr>
          <w:p w14:paraId="317426B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评价标准</w:t>
            </w:r>
          </w:p>
        </w:tc>
        <w:tc>
          <w:tcPr>
            <w:tcW w:w="655" w:type="pct"/>
            <w:vAlign w:val="center"/>
          </w:tcPr>
          <w:p w14:paraId="3CB23E8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评价标准</w:t>
            </w:r>
          </w:p>
        </w:tc>
        <w:tc>
          <w:tcPr>
            <w:tcW w:w="3723" w:type="pct"/>
            <w:gridSpan w:val="13"/>
            <w:vAlign w:val="center"/>
          </w:tcPr>
          <w:p w14:paraId="747121C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国家标准</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地方标准</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国外标准</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7B03E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restart"/>
            <w:vAlign w:val="center"/>
          </w:tcPr>
          <w:p w14:paraId="2833757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现状</w:t>
            </w:r>
          </w:p>
          <w:p w14:paraId="4B14303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w:t>
            </w:r>
          </w:p>
        </w:tc>
        <w:tc>
          <w:tcPr>
            <w:tcW w:w="655" w:type="pct"/>
            <w:vAlign w:val="center"/>
          </w:tcPr>
          <w:p w14:paraId="453695F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环境功能区</w:t>
            </w:r>
          </w:p>
        </w:tc>
        <w:tc>
          <w:tcPr>
            <w:tcW w:w="575" w:type="pct"/>
            <w:vAlign w:val="center"/>
          </w:tcPr>
          <w:p w14:paraId="2F1F6A1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0类区</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627" w:type="pct"/>
            <w:gridSpan w:val="3"/>
            <w:vAlign w:val="center"/>
          </w:tcPr>
          <w:p w14:paraId="074E51F2">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1类区</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631" w:type="pct"/>
            <w:gridSpan w:val="3"/>
            <w:vAlign w:val="center"/>
          </w:tcPr>
          <w:p w14:paraId="24DD764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2类区</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627" w:type="pct"/>
            <w:gridSpan w:val="2"/>
            <w:vAlign w:val="center"/>
          </w:tcPr>
          <w:p w14:paraId="0E086CB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3类区</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627" w:type="pct"/>
            <w:gridSpan w:val="2"/>
            <w:vAlign w:val="center"/>
          </w:tcPr>
          <w:p w14:paraId="756841B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4a类区</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633" w:type="pct"/>
            <w:gridSpan w:val="2"/>
            <w:vAlign w:val="center"/>
          </w:tcPr>
          <w:p w14:paraId="274E246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4b类区</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7A85C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2DF6FA1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674996D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评价年度</w:t>
            </w:r>
          </w:p>
        </w:tc>
        <w:tc>
          <w:tcPr>
            <w:tcW w:w="889" w:type="pct"/>
            <w:gridSpan w:val="2"/>
            <w:vAlign w:val="center"/>
          </w:tcPr>
          <w:p w14:paraId="411711A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初期</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945" w:type="pct"/>
            <w:gridSpan w:val="5"/>
            <w:vAlign w:val="center"/>
          </w:tcPr>
          <w:p w14:paraId="61802DE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近期</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941" w:type="pct"/>
            <w:gridSpan w:val="3"/>
            <w:vAlign w:val="center"/>
          </w:tcPr>
          <w:p w14:paraId="383D1A6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中期</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946" w:type="pct"/>
            <w:gridSpan w:val="3"/>
            <w:vAlign w:val="center"/>
          </w:tcPr>
          <w:p w14:paraId="3DA3811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远期</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0F08B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67F2F67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3633710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现状调查方法</w:t>
            </w:r>
          </w:p>
        </w:tc>
        <w:tc>
          <w:tcPr>
            <w:tcW w:w="3723" w:type="pct"/>
            <w:gridSpan w:val="13"/>
            <w:vAlign w:val="center"/>
          </w:tcPr>
          <w:p w14:paraId="7438B611">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现场实测法</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现场实测加模型计算法</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收集资料</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15C58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7D06400F">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7E6D7B8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现状评价</w:t>
            </w:r>
          </w:p>
        </w:tc>
        <w:tc>
          <w:tcPr>
            <w:tcW w:w="986" w:type="pct"/>
            <w:gridSpan w:val="3"/>
            <w:vAlign w:val="center"/>
          </w:tcPr>
          <w:p w14:paraId="2EA2237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达标百分比</w:t>
            </w:r>
          </w:p>
        </w:tc>
        <w:tc>
          <w:tcPr>
            <w:tcW w:w="2737" w:type="pct"/>
            <w:gridSpan w:val="10"/>
            <w:vAlign w:val="center"/>
          </w:tcPr>
          <w:p w14:paraId="5FF7EF1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100%</w:t>
            </w:r>
          </w:p>
        </w:tc>
      </w:tr>
      <w:tr w14:paraId="2235E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Align w:val="center"/>
          </w:tcPr>
          <w:p w14:paraId="42D7C83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噪声源调查</w:t>
            </w:r>
          </w:p>
        </w:tc>
        <w:tc>
          <w:tcPr>
            <w:tcW w:w="655" w:type="pct"/>
            <w:vAlign w:val="center"/>
          </w:tcPr>
          <w:p w14:paraId="77D9138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噪声源调查方法</w:t>
            </w:r>
          </w:p>
        </w:tc>
        <w:tc>
          <w:tcPr>
            <w:tcW w:w="1494" w:type="pct"/>
            <w:gridSpan w:val="5"/>
            <w:vAlign w:val="center"/>
          </w:tcPr>
          <w:p w14:paraId="6B923D3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现场实测</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846" w:type="pct"/>
            <w:gridSpan w:val="3"/>
            <w:vAlign w:val="center"/>
          </w:tcPr>
          <w:p w14:paraId="07A0099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已有资料</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c>
          <w:tcPr>
            <w:tcW w:w="1382" w:type="pct"/>
            <w:gridSpan w:val="5"/>
            <w:vAlign w:val="center"/>
          </w:tcPr>
          <w:p w14:paraId="1C6E655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研究成果</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62F19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restart"/>
            <w:vAlign w:val="center"/>
          </w:tcPr>
          <w:p w14:paraId="09BD806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声环境影响预测与评价</w:t>
            </w:r>
          </w:p>
        </w:tc>
        <w:tc>
          <w:tcPr>
            <w:tcW w:w="655" w:type="pct"/>
            <w:vAlign w:val="center"/>
          </w:tcPr>
          <w:p w14:paraId="411879B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预测模型</w:t>
            </w:r>
          </w:p>
        </w:tc>
        <w:tc>
          <w:tcPr>
            <w:tcW w:w="3723" w:type="pct"/>
            <w:gridSpan w:val="13"/>
            <w:vAlign w:val="center"/>
          </w:tcPr>
          <w:p w14:paraId="19046F52">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导则推荐模型</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其他</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547E9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295CEE47">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04BA0591">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预测范围</w:t>
            </w:r>
          </w:p>
        </w:tc>
        <w:tc>
          <w:tcPr>
            <w:tcW w:w="3723" w:type="pct"/>
            <w:gridSpan w:val="13"/>
            <w:vAlign w:val="center"/>
          </w:tcPr>
          <w:p w14:paraId="772A39E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200m</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大于200m</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小于200m</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38102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6167A42F">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3054420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预测因子</w:t>
            </w:r>
          </w:p>
        </w:tc>
        <w:tc>
          <w:tcPr>
            <w:tcW w:w="3723" w:type="pct"/>
            <w:gridSpan w:val="13"/>
            <w:vAlign w:val="center"/>
          </w:tcPr>
          <w:p w14:paraId="5D027029">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等效连续A声级</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最大A声级</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计权等效连续感觉噪声级</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21FE9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2317641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79776CF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厂界噪声贡献值</w:t>
            </w:r>
          </w:p>
        </w:tc>
        <w:tc>
          <w:tcPr>
            <w:tcW w:w="3723" w:type="pct"/>
            <w:gridSpan w:val="13"/>
            <w:vAlign w:val="center"/>
          </w:tcPr>
          <w:p w14:paraId="73B4F12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达标</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不达标</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52C6C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1255EAD0">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355BACD0">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声环境保护目标处噪声值</w:t>
            </w:r>
          </w:p>
        </w:tc>
        <w:tc>
          <w:tcPr>
            <w:tcW w:w="3723" w:type="pct"/>
            <w:gridSpan w:val="13"/>
            <w:vAlign w:val="center"/>
          </w:tcPr>
          <w:p w14:paraId="30FCCE4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达标</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不达标</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29E66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restart"/>
            <w:vAlign w:val="center"/>
          </w:tcPr>
          <w:p w14:paraId="3EB362E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环境监测计划</w:t>
            </w:r>
          </w:p>
        </w:tc>
        <w:tc>
          <w:tcPr>
            <w:tcW w:w="655" w:type="pct"/>
            <w:vAlign w:val="center"/>
          </w:tcPr>
          <w:p w14:paraId="21619D6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排放监测</w:t>
            </w:r>
          </w:p>
        </w:tc>
        <w:tc>
          <w:tcPr>
            <w:tcW w:w="3723" w:type="pct"/>
            <w:gridSpan w:val="13"/>
            <w:vAlign w:val="center"/>
          </w:tcPr>
          <w:p w14:paraId="2016CA7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厂界监测</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固定位置监测</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自动监测</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手动监测</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无监测</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7654C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Merge w:val="continue"/>
            <w:vAlign w:val="center"/>
          </w:tcPr>
          <w:p w14:paraId="25FCC9E8">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55" w:type="pct"/>
            <w:vAlign w:val="center"/>
          </w:tcPr>
          <w:p w14:paraId="1173D49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声环境保护目标处噪声监测</w:t>
            </w:r>
          </w:p>
        </w:tc>
        <w:tc>
          <w:tcPr>
            <w:tcW w:w="1829" w:type="pct"/>
            <w:gridSpan w:val="6"/>
            <w:vAlign w:val="center"/>
          </w:tcPr>
          <w:p w14:paraId="601A0C89">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监测因子：（等效连续A声级）</w:t>
            </w:r>
          </w:p>
        </w:tc>
        <w:tc>
          <w:tcPr>
            <w:tcW w:w="1267" w:type="pct"/>
            <w:gridSpan w:val="6"/>
            <w:vAlign w:val="center"/>
          </w:tcPr>
          <w:p w14:paraId="5D4A3A0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监测点位数：（4个）</w:t>
            </w:r>
          </w:p>
        </w:tc>
        <w:tc>
          <w:tcPr>
            <w:tcW w:w="626" w:type="pct"/>
            <w:vAlign w:val="center"/>
          </w:tcPr>
          <w:p w14:paraId="4EEE3D29">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无监测</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04205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0" w:type="pct"/>
            <w:vAlign w:val="center"/>
          </w:tcPr>
          <w:p w14:paraId="524283E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评价结论</w:t>
            </w:r>
          </w:p>
        </w:tc>
        <w:tc>
          <w:tcPr>
            <w:tcW w:w="655" w:type="pct"/>
            <w:vAlign w:val="center"/>
          </w:tcPr>
          <w:p w14:paraId="7D1DC9F2">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环境影响</w:t>
            </w:r>
          </w:p>
        </w:tc>
        <w:tc>
          <w:tcPr>
            <w:tcW w:w="3723" w:type="pct"/>
            <w:gridSpan w:val="13"/>
            <w:vAlign w:val="center"/>
          </w:tcPr>
          <w:p w14:paraId="0E07E6B1">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可行</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 xml:space="preserve">                         不可行</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p>
        </w:tc>
      </w:tr>
      <w:tr w14:paraId="1CC67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5"/>
            <w:vAlign w:val="center"/>
          </w:tcPr>
          <w:p w14:paraId="133D4F3F">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注：“</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”为勾选项，可√； “（   ）”为内容填写项。</w:t>
            </w:r>
          </w:p>
        </w:tc>
      </w:tr>
    </w:tbl>
    <w:p w14:paraId="7A3CCE6B">
      <w:pPr>
        <w:pStyle w:val="27"/>
        <w:bidi w:val="0"/>
        <w:rPr>
          <w:rFonts w:hint="default"/>
          <w:lang w:val="en-US" w:eastAsia="zh-CN"/>
        </w:rPr>
      </w:pPr>
      <w:r>
        <w:rPr>
          <w:rFonts w:hint="eastAsia"/>
          <w:lang w:val="en-US" w:eastAsia="zh-CN"/>
        </w:rPr>
        <w:t>固体废物影响分析</w:t>
      </w:r>
    </w:p>
    <w:p w14:paraId="20A7EFF0">
      <w:pPr>
        <w:pStyle w:val="2"/>
        <w:rPr>
          <w:rFonts w:hint="eastAsia"/>
          <w:lang w:val="en-US" w:eastAsia="zh-CN"/>
        </w:rPr>
      </w:pPr>
      <w:r>
        <w:rPr>
          <w:rFonts w:hint="eastAsia"/>
          <w:lang w:val="en-US" w:eastAsia="zh-CN"/>
        </w:rPr>
        <w:t>本项目运营期的固体废物主要包括猪粪、病死猪、医疗废物、沼渣、污泥、废脱硫剂、锅炉灰渣、废饲料包装袋和生活垃圾，具体产生、收集及处置情况如下：</w:t>
      </w:r>
    </w:p>
    <w:p w14:paraId="1DE8972B">
      <w:pPr>
        <w:rPr>
          <w:rFonts w:hint="default"/>
          <w:lang w:val="en-US" w:eastAsia="zh-CN"/>
        </w:rPr>
      </w:pPr>
      <w:r>
        <w:rPr>
          <w:rFonts w:hint="eastAsia"/>
          <w:lang w:val="en-US" w:eastAsia="zh-CN"/>
        </w:rPr>
        <w:t>（1）猪粪</w:t>
      </w:r>
    </w:p>
    <w:p w14:paraId="48422BF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本项目猪粪便产生量为</w:t>
      </w:r>
      <w:r>
        <w:rPr>
          <w:rFonts w:hint="eastAsia" w:cs="Times New Roman"/>
          <w:b w:val="0"/>
          <w:bCs w:val="0"/>
          <w:color w:val="000000" w:themeColor="text1"/>
          <w:kern w:val="0"/>
          <w:sz w:val="24"/>
          <w:szCs w:val="24"/>
          <w:highlight w:val="none"/>
          <w:lang w:val="en-US" w:eastAsia="zh-CN"/>
          <w14:textFill>
            <w14:solidFill>
              <w14:schemeClr w14:val="tx1"/>
            </w14:solidFill>
          </w14:textFill>
        </w:rPr>
        <w:t>23287</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t/a</w:t>
      </w:r>
      <w:r>
        <w:rPr>
          <w:color w:val="000000" w:themeColor="text1"/>
          <w:highlight w:val="none"/>
          <w14:textFill>
            <w14:solidFill>
              <w14:schemeClr w14:val="tx1"/>
            </w14:solidFill>
          </w14:textFill>
        </w:rPr>
        <w:t>。粪便集中在</w:t>
      </w:r>
      <w:r>
        <w:rPr>
          <w:rFonts w:hint="eastAsia"/>
          <w:color w:val="000000" w:themeColor="text1"/>
          <w:highlight w:val="none"/>
          <w:lang w:val="en-US" w:eastAsia="zh-CN"/>
          <w14:textFill>
            <w14:solidFill>
              <w14:schemeClr w14:val="tx1"/>
            </w14:solidFill>
          </w14:textFill>
        </w:rPr>
        <w:t>堆肥</w:t>
      </w:r>
      <w:r>
        <w:rPr>
          <w:rFonts w:hint="eastAsia"/>
          <w:color w:val="000000" w:themeColor="text1"/>
          <w:highlight w:val="none"/>
          <w14:textFill>
            <w14:solidFill>
              <w14:schemeClr w14:val="tx1"/>
            </w14:solidFill>
          </w14:textFill>
        </w:rPr>
        <w:t>场</w:t>
      </w:r>
      <w:r>
        <w:rPr>
          <w:color w:val="000000" w:themeColor="text1"/>
          <w:highlight w:val="none"/>
          <w14:textFill>
            <w14:solidFill>
              <w14:schemeClr w14:val="tx1"/>
            </w14:solidFill>
          </w14:textFill>
        </w:rPr>
        <w:t>，腐熟发酵达到无害化标准后</w:t>
      </w:r>
      <w:r>
        <w:rPr>
          <w:rFonts w:hint="eastAsia"/>
          <w:lang w:val="en-US" w:eastAsia="zh-CN"/>
        </w:rPr>
        <w:t>作为粪肥还田利用</w:t>
      </w:r>
      <w:r>
        <w:rPr>
          <w:color w:val="000000" w:themeColor="text1"/>
          <w:highlight w:val="none"/>
          <w14:textFill>
            <w14:solidFill>
              <w14:schemeClr w14:val="tx1"/>
            </w14:solidFill>
          </w14:textFill>
        </w:rPr>
        <w:t>。</w:t>
      </w:r>
    </w:p>
    <w:p w14:paraId="09398B2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本项目粪便按照《畜禽养殖业污染治理工程技术规范》（HJ497-2009）、《农村小型畜禽养殖污染防治项目建设与投资指南》要求，建设规范化</w:t>
      </w:r>
      <w:r>
        <w:rPr>
          <w:rFonts w:hint="eastAsia"/>
          <w:color w:val="000000" w:themeColor="text1"/>
          <w:highlight w:val="none"/>
          <w14:textFill>
            <w14:solidFill>
              <w14:schemeClr w14:val="tx1"/>
            </w14:solidFill>
          </w14:textFill>
        </w:rPr>
        <w:t>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w:t>
      </w:r>
      <w:r>
        <w:rPr>
          <w:color w:val="000000" w:themeColor="text1"/>
          <w:highlight w:val="none"/>
          <w14:textFill>
            <w14:solidFill>
              <w14:schemeClr w14:val="tx1"/>
            </w14:solidFill>
          </w14:textFill>
        </w:rPr>
        <w:t>进行发酵处置，堆放场所地面需硬化，建设污水收集系统，必须有防渗漏、溢流、防雨措施。规范化处置猪粪，不仅实现了再生资源利用，而且不会对周围环境造成二次污染。</w:t>
      </w:r>
    </w:p>
    <w:p w14:paraId="5D801FDA">
      <w:pPr>
        <w:bidi w:val="0"/>
      </w:pPr>
      <w:r>
        <w:rPr>
          <w:rFonts w:hint="eastAsia"/>
        </w:rPr>
        <w:t>堆粪场</w:t>
      </w:r>
      <w:r>
        <w:t>采用自然堆肥及机械翻堆相结合的方式对粪污进行处理。在有氧条件下，微生物通过自身的生物代谢活动，对一部分有机物进行分解代谢，以获得生物生长、活动所需要的能量，把另一部分有机物转化合成新的细胞物质，使微生物生长繁殖，产生更多的生物体；同时好氧反应释放的热量形成高温（&gt;55℃</w:t>
      </w:r>
      <w:r>
        <w:rPr>
          <w:rFonts w:hint="eastAsia"/>
          <w:lang w:eastAsia="zh-CN"/>
        </w:rPr>
        <w:t>）</w:t>
      </w:r>
      <w:r>
        <w:t>杀死病原微生物，从而实现畜禽粪便减量化、稳定化和无害化的过程。</w:t>
      </w:r>
    </w:p>
    <w:p w14:paraId="6910C522">
      <w:pPr>
        <w:bidi w:val="0"/>
        <w:rPr>
          <w:rFonts w:hint="default"/>
          <w:lang w:val="en-US" w:eastAsia="zh-CN"/>
        </w:rPr>
      </w:pPr>
      <w:r>
        <w:t>粪污通过发酵制成有机肥料，发酵的过程中可以杀死粪便中的蛔虫卵。消除粪便对土壤、水体（包括地下水）和大气的污染，阻断病原菌的传播途径，维护环境生态平衡。同时堆肥制成的有机肥料可为发展绿色农业提供优质价廉的无公害绿色环保肥料，为农业产业结构调整创造有利的条件。</w:t>
      </w:r>
    </w:p>
    <w:p w14:paraId="55C2E64D">
      <w:pPr>
        <w:bidi w:val="0"/>
        <w:rPr>
          <w:rFonts w:hint="default"/>
          <w:lang w:val="en-US" w:eastAsia="zh-CN"/>
        </w:rPr>
      </w:pPr>
      <w:r>
        <w:rPr>
          <w:rFonts w:hint="eastAsia"/>
          <w:lang w:val="en-US" w:eastAsia="zh-CN"/>
        </w:rPr>
        <w:t>（2）沼渣、污泥</w:t>
      </w:r>
    </w:p>
    <w:p w14:paraId="5DEEBF38">
      <w:pPr>
        <w:bidi w:val="0"/>
        <w:rPr>
          <w:rFonts w:hint="default"/>
          <w:lang w:val="en-US" w:eastAsia="zh-CN"/>
        </w:rPr>
      </w:pPr>
      <w:r>
        <w:rPr>
          <w:rFonts w:hint="eastAsia"/>
          <w:lang w:val="en-US" w:eastAsia="zh-CN"/>
        </w:rPr>
        <w:t>本项目粪污在处置过程中涉及厌氧、好氧发酵，产生沼渣和污泥，产生量为7.61t/a，定期清理收集至堆肥场，与畜禽粪便一并堆肥无害化处理后还田。</w:t>
      </w:r>
    </w:p>
    <w:p w14:paraId="4D2B7DDF">
      <w:pPr>
        <w:bidi w:val="0"/>
        <w:rPr>
          <w:rFonts w:hint="default"/>
          <w:lang w:val="en-US" w:eastAsia="zh-CN"/>
        </w:rPr>
      </w:pPr>
      <w:r>
        <w:rPr>
          <w:rFonts w:hint="eastAsia"/>
          <w:lang w:val="en-US" w:eastAsia="zh-CN"/>
        </w:rPr>
        <w:t>（3）病死猪</w:t>
      </w:r>
    </w:p>
    <w:p w14:paraId="20E04D91">
      <w:pPr>
        <w:bidi w:val="0"/>
        <w:rPr>
          <w:rFonts w:hint="default"/>
          <w:lang w:val="en-US" w:eastAsia="zh-CN"/>
        </w:rPr>
      </w:pPr>
      <w:r>
        <w:rPr>
          <w:rFonts w:hint="eastAsia"/>
          <w:lang w:val="en-US" w:eastAsia="zh-CN"/>
        </w:rPr>
        <w:t>本项目病死猪产生量为35t/a，及时交由有资质单位处理（暂定为第七师123</w:t>
      </w:r>
      <w:r>
        <w:rPr>
          <w:rFonts w:hint="eastAsia"/>
        </w:rPr>
        <w:t>团病死畜禽无害化处理</w:t>
      </w:r>
      <w:r>
        <w:rPr>
          <w:rFonts w:hint="eastAsia"/>
          <w:lang w:val="en-US" w:eastAsia="zh-CN"/>
        </w:rPr>
        <w:t>中心），防止产生恶臭等二次污染，并杜绝传播疾病。</w:t>
      </w:r>
    </w:p>
    <w:p w14:paraId="67CC162E">
      <w:pPr>
        <w:bidi w:val="0"/>
        <w:rPr>
          <w:rFonts w:hint="default"/>
          <w:lang w:val="en-US" w:eastAsia="zh-CN"/>
        </w:rPr>
      </w:pPr>
      <w:r>
        <w:rPr>
          <w:rFonts w:hint="eastAsia"/>
          <w:lang w:val="en-US" w:eastAsia="zh-CN"/>
        </w:rPr>
        <w:t>（4）废饲料包装袋</w:t>
      </w:r>
    </w:p>
    <w:p w14:paraId="66505487">
      <w:pPr>
        <w:bidi w:val="0"/>
        <w:rPr>
          <w:rFonts w:hint="default"/>
          <w:lang w:val="en-US" w:eastAsia="zh-CN"/>
        </w:rPr>
      </w:pPr>
      <w:r>
        <w:rPr>
          <w:rFonts w:hint="eastAsia"/>
          <w:lang w:val="en-US" w:eastAsia="zh-CN"/>
        </w:rPr>
        <w:t>本项目外购袋装饲料后运输至厂区，将产生少量的废包装袋，根据类比估算，其产生量约为2t/a。统一收集后外卖给废品回收站。</w:t>
      </w:r>
    </w:p>
    <w:p w14:paraId="68B1B18B">
      <w:pPr>
        <w:bidi w:val="0"/>
        <w:rPr>
          <w:rFonts w:hint="default"/>
          <w:lang w:val="en-US" w:eastAsia="zh-CN"/>
        </w:rPr>
      </w:pPr>
      <w:r>
        <w:rPr>
          <w:rFonts w:hint="eastAsia"/>
          <w:lang w:val="en-US" w:eastAsia="zh-CN"/>
        </w:rPr>
        <w:t>（5）废脱硫剂</w:t>
      </w:r>
    </w:p>
    <w:p w14:paraId="243B0739">
      <w:pPr>
        <w:bidi w:val="0"/>
        <w:rPr>
          <w:rFonts w:hint="default"/>
          <w:lang w:val="en-US" w:eastAsia="zh-CN"/>
        </w:rPr>
      </w:pPr>
      <w:r>
        <w:rPr>
          <w:rFonts w:hint="eastAsia" w:ascii="宋体" w:hAnsi="宋体" w:eastAsia="宋体" w:cs="宋体"/>
          <w:color w:val="000000"/>
          <w:kern w:val="0"/>
          <w:sz w:val="24"/>
          <w:szCs w:val="24"/>
          <w:lang w:val="en-US" w:eastAsia="zh-CN" w:bidi="ar"/>
        </w:rPr>
        <w:t>沼气脱硫装置中失去活性的废脱硫剂年产生量约为</w:t>
      </w:r>
      <w:r>
        <w:rPr>
          <w:rFonts w:hint="default" w:ascii="Times New Roman" w:hAnsi="Times New Roman" w:eastAsia="宋体" w:cs="Times New Roman"/>
          <w:color w:val="000000"/>
          <w:kern w:val="0"/>
          <w:sz w:val="24"/>
          <w:szCs w:val="24"/>
          <w:lang w:val="en-US" w:eastAsia="zh-CN" w:bidi="ar"/>
        </w:rPr>
        <w:t>0.06t</w:t>
      </w:r>
      <w:r>
        <w:rPr>
          <w:rFonts w:hint="eastAsia" w:ascii="宋体" w:hAnsi="宋体" w:eastAsia="宋体" w:cs="宋体"/>
          <w:color w:val="000000"/>
          <w:kern w:val="0"/>
          <w:sz w:val="24"/>
          <w:szCs w:val="24"/>
          <w:lang w:val="en-US" w:eastAsia="zh-CN" w:bidi="ar"/>
        </w:rPr>
        <w:t>，交由生产厂家统一回收处置</w:t>
      </w:r>
      <w:r>
        <w:rPr>
          <w:rFonts w:hint="eastAsia" w:ascii="宋体" w:hAnsi="宋体" w:cs="宋体"/>
          <w:color w:val="000000"/>
          <w:kern w:val="0"/>
          <w:sz w:val="24"/>
          <w:szCs w:val="24"/>
          <w:lang w:val="en-US" w:eastAsia="zh-CN" w:bidi="ar"/>
        </w:rPr>
        <w:t>。</w:t>
      </w:r>
    </w:p>
    <w:p w14:paraId="3DC46309">
      <w:pPr>
        <w:rPr>
          <w:color w:val="000000" w:themeColor="text1"/>
          <w:highlight w:val="none"/>
          <w14:textFill>
            <w14:solidFill>
              <w14:schemeClr w14:val="tx1"/>
            </w14:solidFill>
          </w14:textFill>
        </w:rPr>
      </w:pPr>
      <w:r>
        <w:rPr>
          <w:rFonts w:hint="eastAsia"/>
          <w:lang w:val="en-US" w:eastAsia="zh-CN"/>
        </w:rPr>
        <w:t>（6）</w:t>
      </w:r>
      <w:r>
        <w:rPr>
          <w:color w:val="000000" w:themeColor="text1"/>
          <w:highlight w:val="none"/>
          <w14:textFill>
            <w14:solidFill>
              <w14:schemeClr w14:val="tx1"/>
            </w14:solidFill>
          </w14:textFill>
        </w:rPr>
        <w:t>生活垃圾</w:t>
      </w:r>
    </w:p>
    <w:p w14:paraId="0FC2AB2C">
      <w:pPr>
        <w:bidi w:val="0"/>
        <w:rPr>
          <w:rFonts w:hint="default"/>
          <w:lang w:val="en-US" w:eastAsia="zh-CN"/>
        </w:rPr>
      </w:pPr>
      <w:r>
        <w:rPr>
          <w:color w:val="000000" w:themeColor="text1"/>
          <w:highlight w:val="none"/>
          <w14:textFill>
            <w14:solidFill>
              <w14:schemeClr w14:val="tx1"/>
            </w14:solidFill>
          </w14:textFill>
        </w:rPr>
        <w:t>本项目员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人，生活垃圾产生量按0.5kg/d计，生活垃圾产生量为</w:t>
      </w:r>
      <w:r>
        <w:rPr>
          <w:rFonts w:hint="eastAsia"/>
          <w:color w:val="000000" w:themeColor="text1"/>
          <w:highlight w:val="none"/>
          <w:lang w:val="en-US" w:eastAsia="zh-CN"/>
          <w14:textFill>
            <w14:solidFill>
              <w14:schemeClr w14:val="tx1"/>
            </w14:solidFill>
          </w14:textFill>
        </w:rPr>
        <w:t>4.5</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厂区设置垃圾桶</w:t>
      </w:r>
      <w:r>
        <w:rPr>
          <w:color w:val="000000" w:themeColor="text1"/>
          <w:highlight w:val="none"/>
          <w14:textFill>
            <w14:solidFill>
              <w14:schemeClr w14:val="tx1"/>
            </w14:solidFill>
          </w14:textFill>
        </w:rPr>
        <w:t>收集后由环卫部门定期清运。</w:t>
      </w:r>
    </w:p>
    <w:p w14:paraId="7DD89747">
      <w:pPr>
        <w:bidi w:val="0"/>
        <w:rPr>
          <w:rFonts w:hint="eastAsia"/>
          <w:lang w:eastAsia="zh-CN"/>
        </w:rPr>
      </w:pPr>
      <w:r>
        <w:rPr>
          <w:rFonts w:hint="eastAsia"/>
          <w:lang w:eastAsia="zh-CN"/>
        </w:rPr>
        <w:t>（</w:t>
      </w:r>
      <w:r>
        <w:rPr>
          <w:rFonts w:hint="eastAsia"/>
          <w:lang w:val="en-US" w:eastAsia="zh-CN"/>
        </w:rPr>
        <w:t>7</w:t>
      </w:r>
      <w:r>
        <w:rPr>
          <w:rFonts w:hint="eastAsia"/>
          <w:lang w:eastAsia="zh-CN"/>
        </w:rPr>
        <w:t>）软水制备产生的废离子交换树脂</w:t>
      </w:r>
    </w:p>
    <w:p w14:paraId="36D370FD">
      <w:pPr>
        <w:bidi w:val="0"/>
        <w:rPr>
          <w:rFonts w:hint="default"/>
          <w:lang w:val="en-US" w:eastAsia="zh-CN"/>
        </w:rPr>
      </w:pPr>
      <w:r>
        <w:rPr>
          <w:rFonts w:hint="eastAsia"/>
          <w:lang w:eastAsia="zh-CN"/>
        </w:rPr>
        <w:t>本项目的离子交换器的离子交换树脂填料约为0.1t/a，每3-5年更换一次，根据《国家危险废物名录》（2021），离子交换树脂不属于危险废物（900-015-13），属于一般固废，由厂家回收再生利用。</w:t>
      </w:r>
    </w:p>
    <w:p w14:paraId="50CD17DF">
      <w:pPr>
        <w:bidi w:val="0"/>
        <w:rPr>
          <w:rFonts w:hint="default"/>
          <w:lang w:val="en-US" w:eastAsia="zh-CN"/>
        </w:rPr>
      </w:pPr>
      <w:r>
        <w:rPr>
          <w:rFonts w:hint="eastAsia"/>
          <w:lang w:eastAsia="zh-CN"/>
        </w:rPr>
        <w:t>（</w:t>
      </w:r>
      <w:r>
        <w:rPr>
          <w:rFonts w:hint="eastAsia"/>
          <w:lang w:val="en-US" w:eastAsia="zh-CN"/>
        </w:rPr>
        <w:t>8</w:t>
      </w:r>
      <w:r>
        <w:rPr>
          <w:rFonts w:hint="eastAsia"/>
          <w:lang w:eastAsia="zh-CN"/>
        </w:rPr>
        <w:t>）锅炉灰渣</w:t>
      </w:r>
    </w:p>
    <w:p w14:paraId="0BCECEC2">
      <w:pPr>
        <w:bidi w:val="0"/>
        <w:rPr>
          <w:rFonts w:hint="default"/>
          <w:lang w:val="en-US" w:eastAsia="zh-CN"/>
        </w:rPr>
      </w:pPr>
      <w:r>
        <w:rPr>
          <w:rFonts w:hint="eastAsia"/>
          <w:lang w:eastAsia="zh-CN"/>
        </w:rPr>
        <w:t>产生量约</w:t>
      </w:r>
      <w:r>
        <w:rPr>
          <w:rFonts w:hint="eastAsia"/>
          <w:lang w:val="en-US" w:eastAsia="zh-CN"/>
        </w:rPr>
        <w:t>83.09</w:t>
      </w:r>
      <w:r>
        <w:rPr>
          <w:rFonts w:hint="eastAsia"/>
          <w:lang w:eastAsia="zh-CN"/>
        </w:rPr>
        <w:t>t/a，</w:t>
      </w:r>
      <w:r>
        <w:rPr>
          <w:rFonts w:hint="eastAsia"/>
          <w:lang w:val="en-US" w:eastAsia="zh-CN"/>
        </w:rPr>
        <w:t>属于一般固体废物，</w:t>
      </w:r>
      <w:r>
        <w:rPr>
          <w:rFonts w:hint="eastAsia"/>
          <w:lang w:eastAsia="zh-CN"/>
        </w:rPr>
        <w:t>集中收集暂存</w:t>
      </w:r>
      <w:r>
        <w:rPr>
          <w:rFonts w:hint="eastAsia"/>
          <w:lang w:val="en-US" w:eastAsia="zh-CN"/>
        </w:rPr>
        <w:t>在</w:t>
      </w:r>
      <w:r>
        <w:rPr>
          <w:rFonts w:hint="eastAsia"/>
          <w:highlight w:val="none"/>
          <w:lang w:val="en-US" w:eastAsia="zh-CN"/>
        </w:rPr>
        <w:t>锅炉房内设置的</w:t>
      </w:r>
      <w:r>
        <w:rPr>
          <w:highlight w:val="none"/>
        </w:rPr>
        <w:t>5m</w:t>
      </w:r>
      <w:r>
        <w:rPr>
          <w:highlight w:val="none"/>
          <w:vertAlign w:val="superscript"/>
        </w:rPr>
        <w:t>3</w:t>
      </w:r>
      <w:r>
        <w:rPr>
          <w:rFonts w:hint="eastAsia"/>
          <w:highlight w:val="none"/>
          <w:vertAlign w:val="baseline"/>
          <w:lang w:val="en-US" w:eastAsia="zh-CN"/>
        </w:rPr>
        <w:t>容量的</w:t>
      </w:r>
      <w:r>
        <w:rPr>
          <w:rFonts w:hint="eastAsia"/>
          <w:highlight w:val="none"/>
          <w:lang w:val="en-US" w:eastAsia="zh-CN"/>
        </w:rPr>
        <w:t>收集箱</w:t>
      </w:r>
      <w:r>
        <w:rPr>
          <w:rFonts w:hint="eastAsia"/>
          <w:lang w:eastAsia="zh-CN"/>
        </w:rPr>
        <w:t>，外售。</w:t>
      </w:r>
    </w:p>
    <w:p w14:paraId="02265152">
      <w:pPr>
        <w:bidi w:val="0"/>
        <w:rPr>
          <w:rFonts w:hint="default"/>
          <w:lang w:val="en-US" w:eastAsia="zh-CN"/>
        </w:rPr>
      </w:pPr>
      <w:r>
        <w:rPr>
          <w:rFonts w:hint="eastAsia"/>
          <w:lang w:val="en-US" w:eastAsia="zh-CN"/>
        </w:rPr>
        <w:t>（9）</w:t>
      </w:r>
      <w:r>
        <w:rPr>
          <w:rFonts w:hint="eastAsia"/>
          <w:lang w:eastAsia="zh-CN"/>
        </w:rPr>
        <w:t>除尘灰</w:t>
      </w:r>
    </w:p>
    <w:p w14:paraId="53E73A64">
      <w:pPr>
        <w:bidi w:val="0"/>
        <w:rPr>
          <w:rFonts w:hint="default"/>
          <w:lang w:val="en-US" w:eastAsia="zh-CN"/>
        </w:rPr>
      </w:pPr>
      <w:r>
        <w:rPr>
          <w:rFonts w:hint="eastAsia"/>
          <w:lang w:eastAsia="zh-CN"/>
        </w:rPr>
        <w:t>产生量约为</w:t>
      </w:r>
      <w:r>
        <w:rPr>
          <w:rFonts w:hint="eastAsia"/>
          <w:highlight w:val="none"/>
          <w:lang w:val="en-US" w:eastAsia="zh-CN"/>
        </w:rPr>
        <w:t>2.82</w:t>
      </w:r>
      <w:r>
        <w:rPr>
          <w:rFonts w:hint="eastAsia"/>
          <w:highlight w:val="none"/>
          <w:lang w:eastAsia="zh-CN"/>
        </w:rPr>
        <w:t>t/a，</w:t>
      </w:r>
      <w:r>
        <w:rPr>
          <w:rFonts w:hint="eastAsia"/>
          <w:highlight w:val="none"/>
          <w:lang w:val="en-US" w:eastAsia="zh-CN"/>
        </w:rPr>
        <w:t>属于一般固体废物，</w:t>
      </w:r>
      <w:r>
        <w:rPr>
          <w:rFonts w:hint="eastAsia"/>
          <w:lang w:eastAsia="zh-CN"/>
        </w:rPr>
        <w:t>集中收集暂存</w:t>
      </w:r>
      <w:r>
        <w:rPr>
          <w:rFonts w:hint="eastAsia"/>
          <w:lang w:val="en-US" w:eastAsia="zh-CN"/>
        </w:rPr>
        <w:t>在</w:t>
      </w:r>
      <w:r>
        <w:rPr>
          <w:rFonts w:hint="eastAsia"/>
          <w:highlight w:val="none"/>
          <w:lang w:val="en-US" w:eastAsia="zh-CN"/>
        </w:rPr>
        <w:t>锅炉房内设置的</w:t>
      </w:r>
      <w:r>
        <w:rPr>
          <w:highlight w:val="none"/>
        </w:rPr>
        <w:t>5m</w:t>
      </w:r>
      <w:r>
        <w:rPr>
          <w:highlight w:val="none"/>
          <w:vertAlign w:val="superscript"/>
        </w:rPr>
        <w:t>3</w:t>
      </w:r>
      <w:r>
        <w:rPr>
          <w:rFonts w:hint="eastAsia"/>
          <w:highlight w:val="none"/>
          <w:vertAlign w:val="baseline"/>
          <w:lang w:val="en-US" w:eastAsia="zh-CN"/>
        </w:rPr>
        <w:t>容量的</w:t>
      </w:r>
      <w:r>
        <w:rPr>
          <w:rFonts w:hint="eastAsia"/>
          <w:highlight w:val="none"/>
          <w:lang w:val="en-US" w:eastAsia="zh-CN"/>
        </w:rPr>
        <w:t>收集箱</w:t>
      </w:r>
      <w:r>
        <w:rPr>
          <w:rFonts w:hint="eastAsia"/>
          <w:lang w:eastAsia="zh-CN"/>
        </w:rPr>
        <w:t>，外售。</w:t>
      </w:r>
    </w:p>
    <w:p w14:paraId="1A3E0CFA">
      <w:pPr>
        <w:bidi w:val="0"/>
        <w:rPr>
          <w:rFonts w:hint="default"/>
          <w:lang w:val="en-US" w:eastAsia="zh-CN"/>
        </w:rPr>
      </w:pPr>
      <w:r>
        <w:rPr>
          <w:rFonts w:hint="eastAsia"/>
          <w:lang w:val="en-US" w:eastAsia="zh-CN"/>
        </w:rPr>
        <w:t>（10）医疗废物</w:t>
      </w:r>
    </w:p>
    <w:p w14:paraId="3DA8E856">
      <w:pPr>
        <w:bidi w:val="0"/>
        <w:rPr>
          <w:rFonts w:hint="default"/>
          <w:lang w:val="en-US" w:eastAsia="zh-CN"/>
        </w:rPr>
      </w:pPr>
      <w:r>
        <w:rPr>
          <w:rFonts w:hint="eastAsia"/>
          <w:lang w:val="en-US" w:eastAsia="zh-CN"/>
        </w:rPr>
        <w:t>产生量为1.0t/a，主要是生猪在不同阶段防疫管理，治疗等过程产生的固体废物，属于危险废物，厂区内建设具备“三防”措施的暂存场所，并设置危险废物识别标志，委托有资质的单位处理。</w:t>
      </w:r>
    </w:p>
    <w:p w14:paraId="788514E9">
      <w:pPr>
        <w:bidi w:val="0"/>
        <w:rPr>
          <w:rFonts w:hint="eastAsia"/>
          <w:lang w:val="en-US" w:eastAsia="zh-CN"/>
        </w:rPr>
      </w:pPr>
      <w:r>
        <w:rPr>
          <w:rFonts w:hint="eastAsia"/>
          <w:lang w:val="en-US" w:eastAsia="zh-CN"/>
        </w:rPr>
        <w:t>综上所述，本项目各类固体废弃物去向明确，均得到了无害化或资源化处理，对周边环境影响不大。</w:t>
      </w:r>
    </w:p>
    <w:p w14:paraId="71B685DF">
      <w:pPr>
        <w:pStyle w:val="27"/>
        <w:bidi w:val="0"/>
        <w:rPr>
          <w:rFonts w:hint="default"/>
          <w:lang w:val="en-US" w:eastAsia="zh-CN"/>
        </w:rPr>
      </w:pPr>
      <w:r>
        <w:rPr>
          <w:rFonts w:hint="eastAsia"/>
          <w:lang w:val="en-US" w:eastAsia="zh-CN"/>
        </w:rPr>
        <w:t>土壤环境影响分析与评价</w:t>
      </w:r>
    </w:p>
    <w:p w14:paraId="09D7B4F7">
      <w:pPr>
        <w:pStyle w:val="28"/>
        <w:bidi w:val="0"/>
      </w:pPr>
      <w:r>
        <w:t>影响类型与影响途径识别</w:t>
      </w:r>
    </w:p>
    <w:p w14:paraId="4B6839A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根据工程分析相关内容，本项目属于污染影响型项目，对土壤环境影响主要分为大气沉降影响、地面漫流影响和垂直入渗影响。</w:t>
      </w:r>
    </w:p>
    <w:p w14:paraId="7F2DC526">
      <w:pPr>
        <w:ind w:firstLine="48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营运期土壤环境影响识别主要针对本项目排放的废气和废水。废气中主要污染物为氨气和硫化氢，不含重金属和多环芳烃，因此，本项目土壤环境污染类型不涉及大气沉降；废水中主要污染物为COD、氨氮、BOD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、SS、TP和TN，本项目主要废水为猪尿液、猪粪滤液、猪舍冲洗废水生活污水等，采用</w:t>
      </w:r>
      <w:r>
        <w:rPr>
          <w:rFonts w:hint="eastAsia"/>
          <w:lang w:val="en-US" w:eastAsia="zh-CN"/>
        </w:rPr>
        <w:t>《畜禽养殖业污染治理工程技术规范》（HJ497-2009）的模式Ⅲ（格栅+集水池+固液分离+水解酸化+UASB+SBR+好氧塘储存）工艺</w:t>
      </w:r>
      <w:r>
        <w:rPr>
          <w:color w:val="000000" w:themeColor="text1"/>
          <w:highlight w:val="none"/>
          <w14:textFill>
            <w14:solidFill>
              <w14:schemeClr w14:val="tx1"/>
            </w14:solidFill>
          </w14:textFill>
        </w:rPr>
        <w:t>处理后</w:t>
      </w:r>
      <w:r>
        <w:rPr>
          <w:rFonts w:hint="eastAsia"/>
          <w:color w:val="000000" w:themeColor="text1"/>
          <w:highlight w:val="none"/>
          <w:lang w:val="en-US" w:eastAsia="zh-CN"/>
          <w14:textFill>
            <w14:solidFill>
              <w14:schemeClr w14:val="tx1"/>
            </w14:solidFill>
          </w14:textFill>
        </w:rPr>
        <w:t>委托129团农业发展中心清运，厂区不设置废水排放口，废水不外排</w:t>
      </w:r>
      <w:r>
        <w:rPr>
          <w:color w:val="000000" w:themeColor="text1"/>
          <w:highlight w:val="none"/>
          <w14:textFill>
            <w14:solidFill>
              <w14:schemeClr w14:val="tx1"/>
            </w14:solidFill>
          </w14:textFill>
        </w:rPr>
        <w:t>，不会对土壤环境造成较大的影响。因此本项目土壤环境污染类型不涉及地面漫流影响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主要的土壤影响类型为垂直渗入。</w:t>
      </w:r>
    </w:p>
    <w:p w14:paraId="39FE16C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综上，本项目土壤环境影响类型与影响途径见表5.2-</w:t>
      </w:r>
      <w:r>
        <w:rPr>
          <w:rFonts w:hint="eastAsia"/>
          <w:color w:val="000000" w:themeColor="text1"/>
          <w:highlight w:val="none"/>
          <w:lang w:val="en-US" w:eastAsia="zh-CN"/>
          <w14:textFill>
            <w14:solidFill>
              <w14:schemeClr w14:val="tx1"/>
            </w14:solidFill>
          </w14:textFill>
        </w:rPr>
        <w:t>20</w:t>
      </w:r>
      <w:r>
        <w:rPr>
          <w:color w:val="000000" w:themeColor="text1"/>
          <w:highlight w:val="none"/>
          <w14:textFill>
            <w14:solidFill>
              <w14:schemeClr w14:val="tx1"/>
            </w14:solidFill>
          </w14:textFill>
        </w:rPr>
        <w:t>。</w:t>
      </w:r>
    </w:p>
    <w:p w14:paraId="1902DB21">
      <w:pPr>
        <w:pStyle w:val="30"/>
        <w:bidi w:val="0"/>
      </w:pPr>
      <w:r>
        <w:t>表5.2-</w:t>
      </w:r>
      <w:r>
        <w:rPr>
          <w:rFonts w:hint="eastAsia"/>
          <w:lang w:val="en-US" w:eastAsia="zh-CN"/>
        </w:rPr>
        <w:t xml:space="preserve">20 </w:t>
      </w:r>
      <w:r>
        <w:t xml:space="preserve">  土壤环境影响类型与影响途径</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64"/>
        <w:gridCol w:w="1659"/>
        <w:gridCol w:w="1659"/>
        <w:gridCol w:w="1661"/>
        <w:gridCol w:w="1667"/>
      </w:tblGrid>
      <w:tr w14:paraId="10F40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01" w:type="pct"/>
            <w:vMerge w:val="restart"/>
            <w:tcBorders>
              <w:bottom w:val="nil"/>
            </w:tcBorders>
            <w:vAlign w:val="center"/>
          </w:tcPr>
          <w:p w14:paraId="55929287">
            <w:pPr>
              <w:pStyle w:val="19"/>
              <w:bidi w:val="0"/>
            </w:pPr>
            <w:r>
              <w:t>不同时段</w:t>
            </w:r>
          </w:p>
        </w:tc>
        <w:tc>
          <w:tcPr>
            <w:tcW w:w="3998" w:type="pct"/>
            <w:gridSpan w:val="4"/>
            <w:vAlign w:val="center"/>
          </w:tcPr>
          <w:p w14:paraId="51FEF72A">
            <w:pPr>
              <w:pStyle w:val="19"/>
              <w:bidi w:val="0"/>
            </w:pPr>
            <w:r>
              <w:t>污染影响类型</w:t>
            </w:r>
          </w:p>
        </w:tc>
      </w:tr>
      <w:tr w14:paraId="7EB03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01" w:type="pct"/>
            <w:vMerge w:val="continue"/>
            <w:tcBorders>
              <w:top w:val="nil"/>
            </w:tcBorders>
            <w:vAlign w:val="center"/>
          </w:tcPr>
          <w:p w14:paraId="546538D1">
            <w:pPr>
              <w:pStyle w:val="19"/>
              <w:bidi w:val="0"/>
            </w:pPr>
          </w:p>
        </w:tc>
        <w:tc>
          <w:tcPr>
            <w:tcW w:w="998" w:type="pct"/>
            <w:vAlign w:val="center"/>
          </w:tcPr>
          <w:p w14:paraId="6061D762">
            <w:pPr>
              <w:pStyle w:val="19"/>
              <w:bidi w:val="0"/>
            </w:pPr>
            <w:r>
              <w:t>大气沉降</w:t>
            </w:r>
          </w:p>
        </w:tc>
        <w:tc>
          <w:tcPr>
            <w:tcW w:w="998" w:type="pct"/>
            <w:vAlign w:val="center"/>
          </w:tcPr>
          <w:p w14:paraId="69C752F3">
            <w:pPr>
              <w:pStyle w:val="19"/>
              <w:bidi w:val="0"/>
            </w:pPr>
            <w:r>
              <w:t>地面漫流</w:t>
            </w:r>
          </w:p>
        </w:tc>
        <w:tc>
          <w:tcPr>
            <w:tcW w:w="999" w:type="pct"/>
            <w:vAlign w:val="center"/>
          </w:tcPr>
          <w:p w14:paraId="64F7A237">
            <w:pPr>
              <w:pStyle w:val="19"/>
              <w:bidi w:val="0"/>
            </w:pPr>
            <w:r>
              <w:t>垂直渗入</w:t>
            </w:r>
          </w:p>
        </w:tc>
        <w:tc>
          <w:tcPr>
            <w:tcW w:w="1001" w:type="pct"/>
            <w:vAlign w:val="center"/>
          </w:tcPr>
          <w:p w14:paraId="23D8DDE3">
            <w:pPr>
              <w:pStyle w:val="19"/>
              <w:bidi w:val="0"/>
            </w:pPr>
            <w:r>
              <w:t>其他</w:t>
            </w:r>
          </w:p>
        </w:tc>
      </w:tr>
      <w:tr w14:paraId="5D3DB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01" w:type="pct"/>
            <w:vAlign w:val="center"/>
          </w:tcPr>
          <w:p w14:paraId="2C3B61A1">
            <w:pPr>
              <w:pStyle w:val="19"/>
              <w:bidi w:val="0"/>
            </w:pPr>
            <w:r>
              <w:t>建设期</w:t>
            </w:r>
          </w:p>
        </w:tc>
        <w:tc>
          <w:tcPr>
            <w:tcW w:w="998" w:type="pct"/>
            <w:vAlign w:val="center"/>
          </w:tcPr>
          <w:p w14:paraId="04C3A7FF">
            <w:pPr>
              <w:pStyle w:val="19"/>
              <w:bidi w:val="0"/>
            </w:pPr>
            <w:r>
              <w:t>/</w:t>
            </w:r>
          </w:p>
        </w:tc>
        <w:tc>
          <w:tcPr>
            <w:tcW w:w="998" w:type="pct"/>
            <w:vAlign w:val="center"/>
          </w:tcPr>
          <w:p w14:paraId="3CFFC1E2">
            <w:pPr>
              <w:pStyle w:val="19"/>
              <w:bidi w:val="0"/>
            </w:pPr>
            <w:r>
              <w:t>/</w:t>
            </w:r>
          </w:p>
        </w:tc>
        <w:tc>
          <w:tcPr>
            <w:tcW w:w="999" w:type="pct"/>
            <w:vAlign w:val="center"/>
          </w:tcPr>
          <w:p w14:paraId="17DD8EFE">
            <w:pPr>
              <w:pStyle w:val="19"/>
              <w:bidi w:val="0"/>
            </w:pPr>
            <w:r>
              <w:t>/</w:t>
            </w:r>
          </w:p>
        </w:tc>
        <w:tc>
          <w:tcPr>
            <w:tcW w:w="1001" w:type="pct"/>
            <w:vAlign w:val="center"/>
          </w:tcPr>
          <w:p w14:paraId="7C840BA5">
            <w:pPr>
              <w:pStyle w:val="19"/>
              <w:bidi w:val="0"/>
            </w:pPr>
            <w:r>
              <w:t>/</w:t>
            </w:r>
          </w:p>
        </w:tc>
      </w:tr>
      <w:tr w14:paraId="1DEB5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01" w:type="pct"/>
            <w:vAlign w:val="center"/>
          </w:tcPr>
          <w:p w14:paraId="516C5D8C">
            <w:pPr>
              <w:pStyle w:val="19"/>
              <w:bidi w:val="0"/>
            </w:pPr>
            <w:r>
              <w:t>运营期</w:t>
            </w:r>
          </w:p>
        </w:tc>
        <w:tc>
          <w:tcPr>
            <w:tcW w:w="998" w:type="pct"/>
            <w:vAlign w:val="center"/>
          </w:tcPr>
          <w:p w14:paraId="144791F3">
            <w:pPr>
              <w:pStyle w:val="19"/>
              <w:bidi w:val="0"/>
            </w:pPr>
            <w:r>
              <w:t>/</w:t>
            </w:r>
          </w:p>
        </w:tc>
        <w:tc>
          <w:tcPr>
            <w:tcW w:w="998" w:type="pct"/>
            <w:vAlign w:val="center"/>
          </w:tcPr>
          <w:p w14:paraId="103F445D">
            <w:pPr>
              <w:pStyle w:val="19"/>
              <w:bidi w:val="0"/>
            </w:pPr>
            <w:r>
              <w:t>/</w:t>
            </w:r>
          </w:p>
        </w:tc>
        <w:tc>
          <w:tcPr>
            <w:tcW w:w="999" w:type="pct"/>
            <w:vAlign w:val="center"/>
          </w:tcPr>
          <w:p w14:paraId="38127891">
            <w:pPr>
              <w:pStyle w:val="19"/>
              <w:bidi w:val="0"/>
            </w:pPr>
            <w:r>
              <w:t>√</w:t>
            </w:r>
          </w:p>
        </w:tc>
        <w:tc>
          <w:tcPr>
            <w:tcW w:w="1001" w:type="pct"/>
            <w:vAlign w:val="center"/>
          </w:tcPr>
          <w:p w14:paraId="78460D93">
            <w:pPr>
              <w:pStyle w:val="19"/>
              <w:bidi w:val="0"/>
            </w:pPr>
            <w:r>
              <w:t>/</w:t>
            </w:r>
          </w:p>
        </w:tc>
      </w:tr>
      <w:tr w14:paraId="53126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01" w:type="pct"/>
            <w:vAlign w:val="center"/>
          </w:tcPr>
          <w:p w14:paraId="6717B601">
            <w:pPr>
              <w:pStyle w:val="19"/>
              <w:bidi w:val="0"/>
            </w:pPr>
            <w:r>
              <w:rPr>
                <w:rFonts w:hint="eastAsia"/>
              </w:rPr>
              <w:t>服务期满</w:t>
            </w:r>
            <w:r>
              <w:t>后</w:t>
            </w:r>
          </w:p>
        </w:tc>
        <w:tc>
          <w:tcPr>
            <w:tcW w:w="998" w:type="pct"/>
            <w:vAlign w:val="center"/>
          </w:tcPr>
          <w:p w14:paraId="6A5D8805">
            <w:pPr>
              <w:pStyle w:val="19"/>
              <w:bidi w:val="0"/>
            </w:pPr>
            <w:r>
              <w:t>/</w:t>
            </w:r>
          </w:p>
        </w:tc>
        <w:tc>
          <w:tcPr>
            <w:tcW w:w="998" w:type="pct"/>
            <w:vAlign w:val="center"/>
          </w:tcPr>
          <w:p w14:paraId="4BCEDB4F">
            <w:pPr>
              <w:pStyle w:val="19"/>
              <w:bidi w:val="0"/>
            </w:pPr>
            <w:r>
              <w:t>/</w:t>
            </w:r>
          </w:p>
        </w:tc>
        <w:tc>
          <w:tcPr>
            <w:tcW w:w="999" w:type="pct"/>
            <w:vAlign w:val="center"/>
          </w:tcPr>
          <w:p w14:paraId="53157CB7">
            <w:pPr>
              <w:pStyle w:val="19"/>
              <w:bidi w:val="0"/>
            </w:pPr>
            <w:r>
              <w:t>/</w:t>
            </w:r>
          </w:p>
        </w:tc>
        <w:tc>
          <w:tcPr>
            <w:tcW w:w="1001" w:type="pct"/>
            <w:vAlign w:val="center"/>
          </w:tcPr>
          <w:p w14:paraId="577D27DB">
            <w:pPr>
              <w:pStyle w:val="19"/>
              <w:bidi w:val="0"/>
            </w:pPr>
            <w:r>
              <w:t>/</w:t>
            </w:r>
          </w:p>
        </w:tc>
      </w:tr>
    </w:tbl>
    <w:p w14:paraId="59AF7BC4">
      <w:pPr>
        <w:pStyle w:val="28"/>
        <w:bidi w:val="0"/>
        <w:rPr>
          <w:rFonts w:hint="default"/>
          <w:lang w:val="en-US" w:eastAsia="zh-CN"/>
        </w:rPr>
      </w:pPr>
      <w:r>
        <w:rPr>
          <w:rFonts w:hint="eastAsia"/>
          <w:lang w:val="en-US" w:eastAsia="zh-CN"/>
        </w:rPr>
        <w:t>土壤环境影响分析</w:t>
      </w:r>
    </w:p>
    <w:p w14:paraId="2D643169">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分析方法</w:t>
      </w:r>
    </w:p>
    <w:p w14:paraId="7A66648C">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土壤环境（试行）》（HJ964-2018）中的“8.7.3”章节可知，本项目土壤环境影响评价工作等级为二级，可采用附录E或进行类比分析，因此，本次评价采用类比分析的方法开展土壤环境影响分析，类比项目为选址在新疆生产建设兵团第六师103团的《年出栏5万头商品猪场建设项目》环境影响报告书，类比项目与本项目均为生猪养殖项目，粪污水质情况相似，同样采用干清粪+固液分离+厌氧发酵方式处理粪污，各类污水池体采取防渗措施，因此，具有可比性。</w:t>
      </w:r>
    </w:p>
    <w:p w14:paraId="3BB53AE9">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土壤环境影响分析</w:t>
      </w:r>
    </w:p>
    <w:p w14:paraId="32FEB2FA">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类比项目的土壤污染情景设置为育肥舍、好氧塘、粪污处理池</w:t>
      </w:r>
      <w:r>
        <w:rPr>
          <w:color w:val="000000" w:themeColor="text1"/>
          <w:highlight w:val="none"/>
          <w14:textFill>
            <w14:solidFill>
              <w14:schemeClr w14:val="tx1"/>
            </w14:solidFill>
          </w14:textFill>
        </w:rPr>
        <w:t>、危废暂存间、</w:t>
      </w:r>
      <w:r>
        <w:rPr>
          <w:rFonts w:hint="eastAsia"/>
          <w:color w:val="000000" w:themeColor="text1"/>
          <w:highlight w:val="none"/>
          <w14:textFill>
            <w14:solidFill>
              <w14:schemeClr w14:val="tx1"/>
            </w14:solidFill>
          </w14:textFill>
        </w:rPr>
        <w:t>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w:t>
      </w:r>
      <w:r>
        <w:rPr>
          <w:color w:val="000000" w:themeColor="text1"/>
          <w:highlight w:val="none"/>
          <w14:textFill>
            <w14:solidFill>
              <w14:schemeClr w14:val="tx1"/>
            </w14:solidFill>
          </w14:textFill>
        </w:rPr>
        <w:t>以及废水管道、阀门等未采取很好的防渗措施将会导致废水、猪粪等渗入地下污染土壤。</w:t>
      </w:r>
      <w:r>
        <w:rPr>
          <w:rFonts w:hint="eastAsia"/>
          <w:color w:val="000000" w:themeColor="text1"/>
          <w:highlight w:val="none"/>
          <w:lang w:val="en-US" w:eastAsia="zh-CN"/>
          <w14:textFill>
            <w14:solidFill>
              <w14:schemeClr w14:val="tx1"/>
            </w14:solidFill>
          </w14:textFill>
        </w:rPr>
        <w:t>类比项目的</w:t>
      </w:r>
      <w:r>
        <w:rPr>
          <w:color w:val="000000" w:themeColor="text1"/>
          <w:highlight w:val="none"/>
          <w14:textFill>
            <w14:solidFill>
              <w14:schemeClr w14:val="tx1"/>
            </w14:solidFill>
          </w14:textFill>
        </w:rPr>
        <w:t>建设单位</w:t>
      </w:r>
      <w:r>
        <w:rPr>
          <w:rFonts w:hint="eastAsia"/>
          <w:color w:val="000000" w:themeColor="text1"/>
          <w:highlight w:val="none"/>
          <w:lang w:val="en-US" w:eastAsia="zh-CN"/>
          <w14:textFill>
            <w14:solidFill>
              <w14:schemeClr w14:val="tx1"/>
            </w14:solidFill>
          </w14:textFill>
        </w:rPr>
        <w:t>采取的措施如下：</w:t>
      </w:r>
    </w:p>
    <w:p w14:paraId="5AC349F7">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育肥舍</w:t>
      </w:r>
      <w:r>
        <w:rPr>
          <w:color w:val="000000" w:themeColor="text1"/>
          <w:highlight w:val="none"/>
          <w14:textFill>
            <w14:solidFill>
              <w14:schemeClr w14:val="tx1"/>
            </w14:solidFill>
          </w14:textFill>
        </w:rPr>
        <w:t>、危废暂存间、</w:t>
      </w:r>
      <w:r>
        <w:rPr>
          <w:rFonts w:hint="eastAsia"/>
          <w:color w:val="000000" w:themeColor="text1"/>
          <w:highlight w:val="none"/>
          <w:lang w:val="en-US" w:eastAsia="zh-CN"/>
          <w14:textFill>
            <w14:solidFill>
              <w14:schemeClr w14:val="tx1"/>
            </w14:solidFill>
          </w14:textFill>
        </w:rPr>
        <w:t>各类污水</w:t>
      </w:r>
      <w:r>
        <w:rPr>
          <w:rFonts w:hint="eastAsia"/>
          <w:color w:val="000000" w:themeColor="text1"/>
          <w:highlight w:val="none"/>
          <w14:textFill>
            <w14:solidFill>
              <w14:schemeClr w14:val="tx1"/>
            </w14:solidFill>
          </w14:textFill>
        </w:rPr>
        <w:t>池</w:t>
      </w:r>
      <w:r>
        <w:rPr>
          <w:color w:val="000000" w:themeColor="text1"/>
          <w:highlight w:val="none"/>
          <w14:textFill>
            <w14:solidFill>
              <w14:schemeClr w14:val="tx1"/>
            </w14:solidFill>
          </w14:textFill>
        </w:rPr>
        <w:t>所采取硬化防渗措施；</w:t>
      </w:r>
    </w:p>
    <w:p w14:paraId="51BB9F26">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color w:val="000000" w:themeColor="text1"/>
          <w:highlight w:val="none"/>
          <w14:textFill>
            <w14:solidFill>
              <w14:schemeClr w14:val="tx1"/>
            </w14:solidFill>
          </w14:textFill>
        </w:rPr>
        <w:t>对污水处理系统按照《规模化畜禽养殖场沼气工程设计规范》（</w:t>
      </w:r>
      <w:r>
        <w:rPr>
          <w:rFonts w:hint="eastAsia"/>
          <w:color w:val="000000" w:themeColor="text1"/>
          <w:highlight w:val="none"/>
          <w14:textFill>
            <w14:solidFill>
              <w14:schemeClr w14:val="tx1"/>
            </w14:solidFill>
          </w14:textFill>
        </w:rPr>
        <w:t>NY/T1222-2006</w:t>
      </w:r>
      <w:r>
        <w:rPr>
          <w:color w:val="000000" w:themeColor="text1"/>
          <w:highlight w:val="none"/>
          <w14:textFill>
            <w14:solidFill>
              <w14:schemeClr w14:val="tx1"/>
            </w14:solidFill>
          </w14:textFill>
        </w:rPr>
        <w:t>）和《混凝土结构设计规范》（</w:t>
      </w:r>
      <w:r>
        <w:rPr>
          <w:rFonts w:hint="eastAsia"/>
          <w:color w:val="000000" w:themeColor="text1"/>
          <w:highlight w:val="none"/>
          <w14:textFill>
            <w14:solidFill>
              <w14:schemeClr w14:val="tx1"/>
            </w14:solidFill>
          </w14:textFill>
        </w:rPr>
        <w:t>GB50010-2010[20</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年版]</w:t>
      </w:r>
      <w:r>
        <w:rPr>
          <w:color w:val="000000" w:themeColor="text1"/>
          <w:highlight w:val="none"/>
          <w14:textFill>
            <w14:solidFill>
              <w14:schemeClr w14:val="tx1"/>
            </w14:solidFill>
          </w14:textFill>
        </w:rPr>
        <w:t>）的要求严格做好防渗措施；</w:t>
      </w:r>
    </w:p>
    <w:p w14:paraId="568986DE">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color w:val="000000" w:themeColor="text1"/>
          <w:highlight w:val="none"/>
          <w14:textFill>
            <w14:solidFill>
              <w14:schemeClr w14:val="tx1"/>
            </w14:solidFill>
          </w14:textFill>
        </w:rPr>
        <w:t>管道、阀门采用优质产品并派专人负责随时观察地上管道、阀门，如出现渗漏问题及时解决；</w:t>
      </w:r>
    </w:p>
    <w:p w14:paraId="00D0F7EA">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color w:val="000000" w:themeColor="text1"/>
          <w:highlight w:val="none"/>
          <w14:textFill>
            <w14:solidFill>
              <w14:schemeClr w14:val="tx1"/>
            </w14:solidFill>
          </w14:textFill>
        </w:rPr>
        <w:t>对工艺要求必须地下走管的管道、阀门设专用防渗管沟，管沟上设活动观察顶盖，以便出现渗漏问题及时观察、解决，管沟与污水集水井相连，并设计合理的排水坡度，便于废水排至集水井，然后由</w:t>
      </w:r>
      <w:r>
        <w:rPr>
          <w:rFonts w:hint="eastAsia"/>
          <w:color w:val="000000" w:themeColor="text1"/>
          <w:highlight w:val="none"/>
          <w:lang w:val="en-US" w:eastAsia="zh-CN"/>
          <w14:textFill>
            <w14:solidFill>
              <w14:schemeClr w14:val="tx1"/>
            </w14:solidFill>
          </w14:textFill>
        </w:rPr>
        <w:t>污水处理系统统一</w:t>
      </w:r>
      <w:r>
        <w:rPr>
          <w:color w:val="000000" w:themeColor="text1"/>
          <w:highlight w:val="none"/>
          <w14:textFill>
            <w14:solidFill>
              <w14:schemeClr w14:val="tx1"/>
            </w14:solidFill>
          </w14:textFill>
        </w:rPr>
        <w:t>处理。</w:t>
      </w:r>
    </w:p>
    <w:p w14:paraId="3F9BB04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通过采取</w:t>
      </w:r>
      <w:r>
        <w:rPr>
          <w:rFonts w:hint="eastAsia"/>
          <w:color w:val="000000" w:themeColor="text1"/>
          <w:highlight w:val="none"/>
          <w:lang w:val="en-US" w:eastAsia="zh-CN"/>
          <w14:textFill>
            <w14:solidFill>
              <w14:schemeClr w14:val="tx1"/>
            </w14:solidFill>
          </w14:textFill>
        </w:rPr>
        <w:t>上述</w:t>
      </w:r>
      <w:r>
        <w:rPr>
          <w:color w:val="000000" w:themeColor="text1"/>
          <w:highlight w:val="none"/>
          <w14:textFill>
            <w14:solidFill>
              <w14:schemeClr w14:val="tx1"/>
            </w14:solidFill>
          </w14:textFill>
        </w:rPr>
        <w:t>有效防渗措施后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类比项目</w:t>
      </w:r>
      <w:r>
        <w:rPr>
          <w:color w:val="000000" w:themeColor="text1"/>
          <w:highlight w:val="none"/>
          <w14:textFill>
            <w14:solidFill>
              <w14:schemeClr w14:val="tx1"/>
            </w14:solidFill>
          </w14:textFill>
        </w:rPr>
        <w:t>各功能区废水、固废等对土壤的影响较小。</w:t>
      </w:r>
    </w:p>
    <w:p w14:paraId="4B0F7EA5">
      <w:pPr>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本项目建设过程中同样按照</w:t>
      </w:r>
      <w:r>
        <w:rPr>
          <w:color w:val="000000" w:themeColor="text1"/>
          <w:highlight w:val="none"/>
          <w14:textFill>
            <w14:solidFill>
              <w14:schemeClr w14:val="tx1"/>
            </w14:solidFill>
          </w14:textFill>
        </w:rPr>
        <w:t>《规模化畜禽养殖场沼气工程设计规范》（</w:t>
      </w:r>
      <w:r>
        <w:rPr>
          <w:rFonts w:hint="eastAsia"/>
          <w:color w:val="000000" w:themeColor="text1"/>
          <w:highlight w:val="none"/>
          <w14:textFill>
            <w14:solidFill>
              <w14:schemeClr w14:val="tx1"/>
            </w14:solidFill>
          </w14:textFill>
        </w:rPr>
        <w:t>NY/T1222-2006</w:t>
      </w:r>
      <w:r>
        <w:rPr>
          <w:color w:val="000000" w:themeColor="text1"/>
          <w:highlight w:val="none"/>
          <w14:textFill>
            <w14:solidFill>
              <w14:schemeClr w14:val="tx1"/>
            </w14:solidFill>
          </w14:textFill>
        </w:rPr>
        <w:t>）和《混凝土结构设计规范》（</w:t>
      </w:r>
      <w:r>
        <w:rPr>
          <w:rFonts w:hint="eastAsia"/>
          <w:color w:val="000000" w:themeColor="text1"/>
          <w:highlight w:val="none"/>
          <w14:textFill>
            <w14:solidFill>
              <w14:schemeClr w14:val="tx1"/>
            </w14:solidFill>
          </w14:textFill>
        </w:rPr>
        <w:t>GB50010-2010[20</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年版]</w:t>
      </w:r>
      <w:r>
        <w:rPr>
          <w:color w:val="000000" w:themeColor="text1"/>
          <w:highlight w:val="none"/>
          <w14:textFill>
            <w14:solidFill>
              <w14:schemeClr w14:val="tx1"/>
            </w14:solidFill>
          </w14:textFill>
        </w:rPr>
        <w:t>）的要求严格做好防渗措施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并定期巡查，</w:t>
      </w:r>
      <w:r>
        <w:rPr>
          <w:color w:val="000000" w:themeColor="text1"/>
          <w:highlight w:val="none"/>
          <w14:textFill>
            <w14:solidFill>
              <w14:schemeClr w14:val="tx1"/>
            </w14:solidFill>
          </w14:textFill>
        </w:rPr>
        <w:t>出现渗漏问题及时观察、解决</w:t>
      </w:r>
      <w:r>
        <w:rPr>
          <w:rFonts w:hint="eastAsia"/>
          <w:color w:val="000000" w:themeColor="text1"/>
          <w:highlight w:val="none"/>
          <w:lang w:eastAsia="zh-CN"/>
          <w14:textFill>
            <w14:solidFill>
              <w14:schemeClr w14:val="tx1"/>
            </w14:solidFill>
          </w14:textFill>
        </w:rPr>
        <w:t>。</w:t>
      </w:r>
    </w:p>
    <w:p w14:paraId="4793D44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w:t>
      </w:r>
      <w:r>
        <w:rPr>
          <w:rFonts w:hint="eastAsia"/>
          <w:color w:val="000000" w:themeColor="text1"/>
          <w:highlight w:val="none"/>
          <w:lang w:val="en-US" w:eastAsia="zh-CN"/>
          <w14:textFill>
            <w14:solidFill>
              <w14:schemeClr w14:val="tx1"/>
            </w14:solidFill>
          </w14:textFill>
        </w:rPr>
        <w:t>通过类比，本</w:t>
      </w:r>
      <w:r>
        <w:rPr>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育肥舍、好氧塘、粪污处理池</w:t>
      </w:r>
      <w:r>
        <w:rPr>
          <w:color w:val="000000" w:themeColor="text1"/>
          <w:highlight w:val="none"/>
          <w14:textFill>
            <w14:solidFill>
              <w14:schemeClr w14:val="tx1"/>
            </w14:solidFill>
          </w14:textFill>
        </w:rPr>
        <w:t>、危废暂存间、</w:t>
      </w:r>
      <w:r>
        <w:rPr>
          <w:rFonts w:hint="eastAsia"/>
          <w:color w:val="000000" w:themeColor="text1"/>
          <w:highlight w:val="none"/>
          <w14:textFill>
            <w14:solidFill>
              <w14:schemeClr w14:val="tx1"/>
            </w14:solidFill>
          </w14:textFill>
        </w:rPr>
        <w:t>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w:t>
      </w:r>
      <w:r>
        <w:rPr>
          <w:color w:val="000000" w:themeColor="text1"/>
          <w:highlight w:val="none"/>
          <w14:textFill>
            <w14:solidFill>
              <w14:schemeClr w14:val="tx1"/>
            </w14:solidFill>
          </w14:textFill>
        </w:rPr>
        <w:t>发生污染物垂直入渗将会对区域土壤环境造成污染，但在采取完善的防渗和巡查措施，加强安全生产管理后，事故发生的概率可以得到有效控制，不会对区域土壤环境造成较大环境影响，</w:t>
      </w:r>
      <w:r>
        <w:rPr>
          <w:rFonts w:hint="eastAsia"/>
          <w:color w:val="000000" w:themeColor="text1"/>
          <w:highlight w:val="none"/>
          <w:lang w:val="en-US" w:eastAsia="zh-CN"/>
          <w14:textFill>
            <w14:solidFill>
              <w14:schemeClr w14:val="tx1"/>
            </w14:solidFill>
          </w14:textFill>
        </w:rPr>
        <w:t>因此，本</w:t>
      </w:r>
      <w:r>
        <w:rPr>
          <w:color w:val="000000" w:themeColor="text1"/>
          <w:highlight w:val="none"/>
          <w14:textFill>
            <w14:solidFill>
              <w14:schemeClr w14:val="tx1"/>
            </w14:solidFill>
          </w14:textFill>
        </w:rPr>
        <w:t>项目建设对土壤环境的影响是可以接受的。</w:t>
      </w:r>
    </w:p>
    <w:p w14:paraId="021D54BE">
      <w:pPr>
        <w:pStyle w:val="28"/>
        <w:bidi w:val="0"/>
        <w:rPr>
          <w:rFonts w:hint="default"/>
          <w:b/>
          <w:bCs/>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土壤环境影响分析</w:t>
      </w:r>
      <w:r>
        <w:rPr>
          <w:rFonts w:hint="eastAsia"/>
          <w:b/>
          <w:bCs/>
          <w:color w:val="000000" w:themeColor="text1"/>
          <w:highlight w:val="none"/>
          <w:lang w:val="en-US" w:eastAsia="zh-CN"/>
          <w14:textFill>
            <w14:solidFill>
              <w14:schemeClr w14:val="tx1"/>
            </w14:solidFill>
          </w14:textFill>
        </w:rPr>
        <w:t>自查表</w:t>
      </w:r>
    </w:p>
    <w:p w14:paraId="01B6D2E3">
      <w:pPr>
        <w:bidi w:val="0"/>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土壤环境</w:t>
      </w:r>
      <w:r>
        <w:rPr>
          <w:rFonts w:hint="eastAsia"/>
          <w:color w:val="000000" w:themeColor="text1"/>
          <w:highlight w:val="none"/>
          <w:lang w:val="en-US" w:eastAsia="zh-CN"/>
          <w14:textFill>
            <w14:solidFill>
              <w14:schemeClr w14:val="tx1"/>
            </w14:solidFill>
          </w14:textFill>
        </w:rPr>
        <w:t>自查情况见表5.2-21。</w:t>
      </w:r>
    </w:p>
    <w:p w14:paraId="62E60E75">
      <w:pPr>
        <w:pStyle w:val="30"/>
        <w:bidi w:val="0"/>
        <w:rPr>
          <w:rFonts w:hint="default"/>
          <w:lang w:val="en-US" w:eastAsia="zh-CN"/>
        </w:rPr>
      </w:pPr>
      <w:r>
        <w:rPr>
          <w:rFonts w:hint="eastAsia"/>
          <w:lang w:val="en-US" w:eastAsia="zh-CN"/>
        </w:rPr>
        <w:t>表5.2-21   土壤环境影响自查表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5"/>
        <w:gridCol w:w="1506"/>
        <w:gridCol w:w="1129"/>
        <w:gridCol w:w="1136"/>
        <w:gridCol w:w="2004"/>
        <w:gridCol w:w="1046"/>
        <w:gridCol w:w="928"/>
      </w:tblGrid>
      <w:tr w14:paraId="4BF7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6" w:type="pct"/>
            <w:gridSpan w:val="2"/>
            <w:vAlign w:val="center"/>
          </w:tcPr>
          <w:p w14:paraId="1061D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工作内容</w:t>
            </w:r>
          </w:p>
        </w:tc>
        <w:tc>
          <w:tcPr>
            <w:tcW w:w="3195" w:type="pct"/>
            <w:gridSpan w:val="4"/>
            <w:vAlign w:val="center"/>
          </w:tcPr>
          <w:p w14:paraId="6F1E12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完成情况</w:t>
            </w:r>
          </w:p>
        </w:tc>
        <w:tc>
          <w:tcPr>
            <w:tcW w:w="558" w:type="pct"/>
            <w:vAlign w:val="center"/>
          </w:tcPr>
          <w:p w14:paraId="1AFC6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备注</w:t>
            </w:r>
          </w:p>
        </w:tc>
      </w:tr>
      <w:tr w14:paraId="0F12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7E79A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影响识别</w:t>
            </w:r>
          </w:p>
        </w:tc>
        <w:tc>
          <w:tcPr>
            <w:tcW w:w="906" w:type="pct"/>
            <w:vAlign w:val="center"/>
          </w:tcPr>
          <w:p w14:paraId="2A735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影响类型</w:t>
            </w:r>
          </w:p>
        </w:tc>
        <w:tc>
          <w:tcPr>
            <w:tcW w:w="3195" w:type="pct"/>
            <w:gridSpan w:val="4"/>
            <w:vAlign w:val="center"/>
          </w:tcPr>
          <w:p w14:paraId="5FBD24F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污染影响型</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；生态影响型□；两种兼有□</w:t>
            </w:r>
          </w:p>
        </w:tc>
        <w:tc>
          <w:tcPr>
            <w:tcW w:w="558" w:type="pct"/>
            <w:vAlign w:val="center"/>
          </w:tcPr>
          <w:p w14:paraId="1F195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4FDC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0A468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3F646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土地利用类型</w:t>
            </w:r>
          </w:p>
        </w:tc>
        <w:tc>
          <w:tcPr>
            <w:tcW w:w="3195" w:type="pct"/>
            <w:gridSpan w:val="4"/>
            <w:vAlign w:val="center"/>
          </w:tcPr>
          <w:p w14:paraId="14ABADB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建设用地□；农用地</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；未利用地□</w:t>
            </w:r>
          </w:p>
        </w:tc>
        <w:tc>
          <w:tcPr>
            <w:tcW w:w="558" w:type="pct"/>
            <w:vAlign w:val="center"/>
          </w:tcPr>
          <w:p w14:paraId="6FB6F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r>
      <w:tr w14:paraId="3F87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16E99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32FF53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占地规模</w:t>
            </w:r>
          </w:p>
        </w:tc>
        <w:tc>
          <w:tcPr>
            <w:tcW w:w="3195" w:type="pct"/>
            <w:gridSpan w:val="4"/>
            <w:vAlign w:val="center"/>
          </w:tcPr>
          <w:p w14:paraId="618CAF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11.685</w:t>
            </w:r>
            <w:r>
              <w:rPr>
                <w:rFonts w:hint="default"/>
                <w:color w:val="000000" w:themeColor="text1"/>
                <w:sz w:val="21"/>
                <w:szCs w:val="21"/>
                <w:highlight w:val="none"/>
                <w14:textFill>
                  <w14:solidFill>
                    <w14:schemeClr w14:val="tx1"/>
                  </w14:solidFill>
                </w14:textFill>
              </w:rPr>
              <w:t>）hm</w:t>
            </w:r>
            <w:r>
              <w:rPr>
                <w:rFonts w:hint="default"/>
                <w:color w:val="000000" w:themeColor="text1"/>
                <w:sz w:val="21"/>
                <w:szCs w:val="21"/>
                <w:highlight w:val="none"/>
                <w:vertAlign w:val="superscript"/>
                <w14:textFill>
                  <w14:solidFill>
                    <w14:schemeClr w14:val="tx1"/>
                  </w14:solidFill>
                </w14:textFill>
              </w:rPr>
              <w:t>2</w:t>
            </w:r>
          </w:p>
        </w:tc>
        <w:tc>
          <w:tcPr>
            <w:tcW w:w="558" w:type="pct"/>
            <w:vAlign w:val="center"/>
          </w:tcPr>
          <w:p w14:paraId="6B902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1BD1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5A365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4F63D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敏感目标信息</w:t>
            </w:r>
          </w:p>
        </w:tc>
        <w:tc>
          <w:tcPr>
            <w:tcW w:w="3195" w:type="pct"/>
            <w:gridSpan w:val="4"/>
            <w:vAlign w:val="center"/>
          </w:tcPr>
          <w:p w14:paraId="1720672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敏感目标（</w:t>
            </w:r>
            <w:r>
              <w:rPr>
                <w:rFonts w:hint="eastAsia"/>
                <w:color w:val="000000" w:themeColor="text1"/>
                <w:sz w:val="21"/>
                <w:szCs w:val="21"/>
                <w:highlight w:val="none"/>
                <w:lang w:val="en-US" w:eastAsia="zh-CN"/>
                <w14:textFill>
                  <w14:solidFill>
                    <w14:schemeClr w14:val="tx1"/>
                  </w14:solidFill>
                </w14:textFill>
              </w:rPr>
              <w:t>耕地</w:t>
            </w:r>
            <w:r>
              <w:rPr>
                <w:rFonts w:hint="default"/>
                <w:color w:val="000000" w:themeColor="text1"/>
                <w:sz w:val="21"/>
                <w:szCs w:val="21"/>
                <w:highlight w:val="none"/>
                <w14:textFill>
                  <w14:solidFill>
                    <w14:schemeClr w14:val="tx1"/>
                  </w14:solidFill>
                </w14:textFill>
              </w:rPr>
              <w:t>）、方位（</w:t>
            </w:r>
            <w:r>
              <w:rPr>
                <w:rFonts w:hint="eastAsia"/>
                <w:color w:val="000000" w:themeColor="text1"/>
                <w:sz w:val="21"/>
                <w:szCs w:val="21"/>
                <w:highlight w:val="none"/>
                <w:lang w:val="en-US" w:eastAsia="zh-CN"/>
                <w14:textFill>
                  <w14:solidFill>
                    <w14:schemeClr w14:val="tx1"/>
                  </w14:solidFill>
                </w14:textFill>
              </w:rPr>
              <w:t>北侧、东北侧</w:t>
            </w:r>
            <w:r>
              <w:rPr>
                <w:rFonts w:hint="default"/>
                <w:color w:val="000000" w:themeColor="text1"/>
                <w:sz w:val="21"/>
                <w:szCs w:val="21"/>
                <w:highlight w:val="none"/>
                <w14:textFill>
                  <w14:solidFill>
                    <w14:schemeClr w14:val="tx1"/>
                  </w14:solidFill>
                </w14:textFill>
              </w:rPr>
              <w:t>）、距离（</w:t>
            </w:r>
            <w:r>
              <w:rPr>
                <w:rFonts w:hint="eastAsia"/>
                <w:color w:val="000000" w:themeColor="text1"/>
                <w:sz w:val="21"/>
                <w:szCs w:val="21"/>
                <w:highlight w:val="none"/>
                <w:lang w:val="en-US" w:eastAsia="zh-CN"/>
                <w14:textFill>
                  <w14:solidFill>
                    <w14:schemeClr w14:val="tx1"/>
                  </w14:solidFill>
                </w14:textFill>
              </w:rPr>
              <w:t>150m</w:t>
            </w:r>
            <w:r>
              <w:rPr>
                <w:rFonts w:hint="default"/>
                <w:color w:val="000000" w:themeColor="text1"/>
                <w:sz w:val="21"/>
                <w:szCs w:val="21"/>
                <w:highlight w:val="none"/>
                <w14:textFill>
                  <w14:solidFill>
                    <w14:schemeClr w14:val="tx1"/>
                  </w14:solidFill>
                </w14:textFill>
              </w:rPr>
              <w:t>）</w:t>
            </w:r>
          </w:p>
        </w:tc>
        <w:tc>
          <w:tcPr>
            <w:tcW w:w="558" w:type="pct"/>
            <w:vAlign w:val="center"/>
          </w:tcPr>
          <w:p w14:paraId="79555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67ED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67618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18F40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影响途径</w:t>
            </w:r>
          </w:p>
        </w:tc>
        <w:tc>
          <w:tcPr>
            <w:tcW w:w="3195" w:type="pct"/>
            <w:gridSpan w:val="4"/>
            <w:vAlign w:val="center"/>
          </w:tcPr>
          <w:p w14:paraId="00F89B6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大气沉降</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；地面漫流</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；垂直入渗</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；地下水位</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；其他（   ）</w:t>
            </w:r>
          </w:p>
        </w:tc>
        <w:tc>
          <w:tcPr>
            <w:tcW w:w="558" w:type="pct"/>
            <w:vAlign w:val="center"/>
          </w:tcPr>
          <w:p w14:paraId="06B0C8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3B83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67EDD52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5EF21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全部污染物</w:t>
            </w:r>
          </w:p>
        </w:tc>
        <w:tc>
          <w:tcPr>
            <w:tcW w:w="3195" w:type="pct"/>
            <w:gridSpan w:val="4"/>
            <w:vAlign w:val="center"/>
          </w:tcPr>
          <w:p w14:paraId="66AC3EF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SS、COD、BOD</w:t>
            </w:r>
            <w:r>
              <w:rPr>
                <w:rFonts w:hint="default"/>
                <w:color w:val="000000" w:themeColor="text1"/>
                <w:sz w:val="21"/>
                <w:szCs w:val="21"/>
                <w:highlight w:val="none"/>
                <w:vertAlign w:val="subscript"/>
                <w14:textFill>
                  <w14:solidFill>
                    <w14:schemeClr w14:val="tx1"/>
                  </w14:solidFill>
                </w14:textFill>
              </w:rPr>
              <w:t>5</w:t>
            </w:r>
            <w:r>
              <w:rPr>
                <w:rFonts w:hint="default"/>
                <w:color w:val="000000" w:themeColor="text1"/>
                <w:sz w:val="21"/>
                <w:szCs w:val="21"/>
                <w:highlight w:val="none"/>
                <w14:textFill>
                  <w14:solidFill>
                    <w14:schemeClr w14:val="tx1"/>
                  </w14:solidFill>
                </w14:textFill>
              </w:rPr>
              <w:t>、NH</w:t>
            </w:r>
            <w:r>
              <w:rPr>
                <w:rFonts w:hint="default"/>
                <w:color w:val="000000" w:themeColor="text1"/>
                <w:sz w:val="21"/>
                <w:szCs w:val="21"/>
                <w:highlight w:val="none"/>
                <w:vertAlign w:val="subscript"/>
                <w14:textFill>
                  <w14:solidFill>
                    <w14:schemeClr w14:val="tx1"/>
                  </w14:solidFill>
                </w14:textFill>
              </w:rPr>
              <w:t>3</w:t>
            </w:r>
            <w:r>
              <w:rPr>
                <w:rFonts w:hint="default"/>
                <w:color w:val="000000" w:themeColor="text1"/>
                <w:sz w:val="21"/>
                <w:szCs w:val="21"/>
                <w:highlight w:val="none"/>
                <w14:textFill>
                  <w14:solidFill>
                    <w14:schemeClr w14:val="tx1"/>
                  </w14:solidFill>
                </w14:textFill>
              </w:rPr>
              <w:t>-N、TP、TN</w:t>
            </w:r>
          </w:p>
        </w:tc>
        <w:tc>
          <w:tcPr>
            <w:tcW w:w="558" w:type="pct"/>
            <w:vAlign w:val="center"/>
          </w:tcPr>
          <w:p w14:paraId="13B30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6979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45C6CD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0ECA4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特征因子</w:t>
            </w:r>
          </w:p>
        </w:tc>
        <w:tc>
          <w:tcPr>
            <w:tcW w:w="3195" w:type="pct"/>
            <w:gridSpan w:val="4"/>
            <w:vAlign w:val="center"/>
          </w:tcPr>
          <w:p w14:paraId="0016FAC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w:t>
            </w:r>
          </w:p>
        </w:tc>
        <w:tc>
          <w:tcPr>
            <w:tcW w:w="558" w:type="pct"/>
            <w:vAlign w:val="center"/>
          </w:tcPr>
          <w:p w14:paraId="14138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3CF7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438B60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765DC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所属土壤环境影响评价项目类别</w:t>
            </w:r>
          </w:p>
        </w:tc>
        <w:tc>
          <w:tcPr>
            <w:tcW w:w="3195" w:type="pct"/>
            <w:gridSpan w:val="4"/>
            <w:vAlign w:val="center"/>
          </w:tcPr>
          <w:p w14:paraId="575509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Ⅰ类</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；Ⅱ类</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；Ⅲ类</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；Ⅳ类</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56D21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3F81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5A0F6B6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0DBB4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敏感程度</w:t>
            </w:r>
          </w:p>
        </w:tc>
        <w:tc>
          <w:tcPr>
            <w:tcW w:w="3195" w:type="pct"/>
            <w:gridSpan w:val="4"/>
            <w:vAlign w:val="center"/>
          </w:tcPr>
          <w:p w14:paraId="69540D4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敏感</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；较敏感</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；不敏感</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18F52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79C4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6" w:type="pct"/>
            <w:gridSpan w:val="2"/>
            <w:vAlign w:val="center"/>
          </w:tcPr>
          <w:p w14:paraId="6FFDC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评价工作等级</w:t>
            </w:r>
          </w:p>
        </w:tc>
        <w:tc>
          <w:tcPr>
            <w:tcW w:w="3195" w:type="pct"/>
            <w:gridSpan w:val="4"/>
            <w:vAlign w:val="center"/>
          </w:tcPr>
          <w:p w14:paraId="676F09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一级</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；二级</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；三级</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7352B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140D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7D05C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现状调查内容</w:t>
            </w:r>
          </w:p>
        </w:tc>
        <w:tc>
          <w:tcPr>
            <w:tcW w:w="906" w:type="pct"/>
            <w:vAlign w:val="center"/>
          </w:tcPr>
          <w:p w14:paraId="41D7D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资料收集</w:t>
            </w:r>
          </w:p>
        </w:tc>
        <w:tc>
          <w:tcPr>
            <w:tcW w:w="3195" w:type="pct"/>
            <w:gridSpan w:val="4"/>
            <w:vAlign w:val="center"/>
          </w:tcPr>
          <w:p w14:paraId="1D358F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a）</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；b）</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；c）</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；d）</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0ECF1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5FB2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2451A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38F2F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理化特性</w:t>
            </w:r>
          </w:p>
        </w:tc>
        <w:tc>
          <w:tcPr>
            <w:tcW w:w="3195" w:type="pct"/>
            <w:gridSpan w:val="4"/>
            <w:vAlign w:val="center"/>
          </w:tcPr>
          <w:p w14:paraId="4E32535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pH值</w:t>
            </w:r>
          </w:p>
        </w:tc>
        <w:tc>
          <w:tcPr>
            <w:tcW w:w="558" w:type="pct"/>
            <w:vAlign w:val="center"/>
          </w:tcPr>
          <w:p w14:paraId="2D715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同附录C</w:t>
            </w:r>
          </w:p>
        </w:tc>
      </w:tr>
      <w:tr w14:paraId="3EAA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68C0EF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Merge w:val="restart"/>
            <w:vAlign w:val="center"/>
          </w:tcPr>
          <w:p w14:paraId="6D55E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现状监测点位</w:t>
            </w:r>
          </w:p>
        </w:tc>
        <w:tc>
          <w:tcPr>
            <w:tcW w:w="679" w:type="pct"/>
            <w:vAlign w:val="center"/>
          </w:tcPr>
          <w:p w14:paraId="72ABF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683" w:type="pct"/>
            <w:vAlign w:val="center"/>
          </w:tcPr>
          <w:p w14:paraId="7E75D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占地范围内</w:t>
            </w:r>
          </w:p>
        </w:tc>
        <w:tc>
          <w:tcPr>
            <w:tcW w:w="1204" w:type="pct"/>
            <w:vAlign w:val="center"/>
          </w:tcPr>
          <w:p w14:paraId="47189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占地范围外</w:t>
            </w:r>
          </w:p>
        </w:tc>
        <w:tc>
          <w:tcPr>
            <w:tcW w:w="627" w:type="pct"/>
            <w:vAlign w:val="center"/>
          </w:tcPr>
          <w:p w14:paraId="4EA68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深度</w:t>
            </w:r>
          </w:p>
        </w:tc>
        <w:tc>
          <w:tcPr>
            <w:tcW w:w="558" w:type="pct"/>
            <w:vMerge w:val="restart"/>
            <w:vAlign w:val="center"/>
          </w:tcPr>
          <w:p w14:paraId="6DFC4D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点位布置图</w:t>
            </w:r>
          </w:p>
        </w:tc>
      </w:tr>
      <w:tr w14:paraId="7DD8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11D27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Merge w:val="continue"/>
            <w:vAlign w:val="center"/>
          </w:tcPr>
          <w:p w14:paraId="7E768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679" w:type="pct"/>
            <w:vAlign w:val="center"/>
          </w:tcPr>
          <w:p w14:paraId="4C0B1D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表层样点数</w:t>
            </w:r>
          </w:p>
        </w:tc>
        <w:tc>
          <w:tcPr>
            <w:tcW w:w="683" w:type="pct"/>
            <w:vAlign w:val="center"/>
          </w:tcPr>
          <w:p w14:paraId="5AA9A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204" w:type="pct"/>
            <w:vAlign w:val="center"/>
          </w:tcPr>
          <w:p w14:paraId="155E5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27" w:type="pct"/>
            <w:vAlign w:val="center"/>
          </w:tcPr>
          <w:p w14:paraId="3039B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0～20cm</w:t>
            </w:r>
          </w:p>
        </w:tc>
        <w:tc>
          <w:tcPr>
            <w:tcW w:w="558" w:type="pct"/>
            <w:vMerge w:val="continue"/>
            <w:vAlign w:val="center"/>
          </w:tcPr>
          <w:p w14:paraId="40E253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r>
      <w:tr w14:paraId="504E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3089D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Merge w:val="continue"/>
            <w:vAlign w:val="center"/>
          </w:tcPr>
          <w:p w14:paraId="53170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679" w:type="pct"/>
            <w:vAlign w:val="center"/>
          </w:tcPr>
          <w:p w14:paraId="381FF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柱状样点数</w:t>
            </w:r>
          </w:p>
        </w:tc>
        <w:tc>
          <w:tcPr>
            <w:tcW w:w="683" w:type="pct"/>
            <w:vAlign w:val="center"/>
          </w:tcPr>
          <w:p w14:paraId="76F0C4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04" w:type="pct"/>
            <w:vAlign w:val="center"/>
          </w:tcPr>
          <w:p w14:paraId="15359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27" w:type="pct"/>
            <w:vAlign w:val="center"/>
          </w:tcPr>
          <w:p w14:paraId="70504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558" w:type="pct"/>
            <w:vMerge w:val="continue"/>
            <w:vAlign w:val="center"/>
          </w:tcPr>
          <w:p w14:paraId="7FE34B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r>
      <w:tr w14:paraId="4E7C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32A9E8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0B4E7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现状监测因子</w:t>
            </w:r>
          </w:p>
        </w:tc>
        <w:tc>
          <w:tcPr>
            <w:tcW w:w="3195" w:type="pct"/>
            <w:gridSpan w:val="4"/>
            <w:vAlign w:val="center"/>
          </w:tcPr>
          <w:p w14:paraId="08CDF5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pH、镉、汞、砷、铜、铅、铬、锌、镍</w:t>
            </w:r>
          </w:p>
        </w:tc>
        <w:tc>
          <w:tcPr>
            <w:tcW w:w="558" w:type="pct"/>
            <w:vAlign w:val="center"/>
          </w:tcPr>
          <w:p w14:paraId="0ACB6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3F94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68DBB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现状评价</w:t>
            </w:r>
          </w:p>
        </w:tc>
        <w:tc>
          <w:tcPr>
            <w:tcW w:w="906" w:type="pct"/>
            <w:vAlign w:val="center"/>
          </w:tcPr>
          <w:p w14:paraId="65D74C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评价因子</w:t>
            </w:r>
          </w:p>
        </w:tc>
        <w:tc>
          <w:tcPr>
            <w:tcW w:w="3195" w:type="pct"/>
            <w:gridSpan w:val="4"/>
            <w:vAlign w:val="center"/>
          </w:tcPr>
          <w:p w14:paraId="4507BB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pH、镉、汞、砷、铜、铅、铬、锌、镍</w:t>
            </w:r>
          </w:p>
        </w:tc>
        <w:tc>
          <w:tcPr>
            <w:tcW w:w="558" w:type="pct"/>
            <w:vAlign w:val="center"/>
          </w:tcPr>
          <w:p w14:paraId="1B447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0553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78F07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33E06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评价标准</w:t>
            </w:r>
          </w:p>
        </w:tc>
        <w:tc>
          <w:tcPr>
            <w:tcW w:w="3195" w:type="pct"/>
            <w:gridSpan w:val="4"/>
            <w:vAlign w:val="center"/>
          </w:tcPr>
          <w:p w14:paraId="42F1B92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GB 15618</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；GB 36600</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；表D.1</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；表D.2</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；其他</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（HJ568）</w:t>
            </w:r>
          </w:p>
        </w:tc>
        <w:tc>
          <w:tcPr>
            <w:tcW w:w="558" w:type="pct"/>
            <w:vAlign w:val="center"/>
          </w:tcPr>
          <w:p w14:paraId="380D7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110D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42D9E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7DE95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现状评价结论</w:t>
            </w:r>
          </w:p>
        </w:tc>
        <w:tc>
          <w:tcPr>
            <w:tcW w:w="3195" w:type="pct"/>
            <w:gridSpan w:val="4"/>
            <w:vAlign w:val="center"/>
          </w:tcPr>
          <w:p w14:paraId="313DA7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区域土壤环境质量良好</w:t>
            </w:r>
          </w:p>
        </w:tc>
        <w:tc>
          <w:tcPr>
            <w:tcW w:w="558" w:type="pct"/>
            <w:vAlign w:val="center"/>
          </w:tcPr>
          <w:p w14:paraId="039F4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00D6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2E2D03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影响预测</w:t>
            </w:r>
          </w:p>
        </w:tc>
        <w:tc>
          <w:tcPr>
            <w:tcW w:w="906" w:type="pct"/>
            <w:vAlign w:val="center"/>
          </w:tcPr>
          <w:p w14:paraId="54BD6F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预测因子</w:t>
            </w:r>
          </w:p>
        </w:tc>
        <w:tc>
          <w:tcPr>
            <w:tcW w:w="3195" w:type="pct"/>
            <w:gridSpan w:val="4"/>
            <w:vAlign w:val="center"/>
          </w:tcPr>
          <w:p w14:paraId="4BDDF1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558" w:type="pct"/>
            <w:vAlign w:val="center"/>
          </w:tcPr>
          <w:p w14:paraId="61C30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0E9B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192504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57AB7C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预测方法</w:t>
            </w:r>
          </w:p>
        </w:tc>
        <w:tc>
          <w:tcPr>
            <w:tcW w:w="3195" w:type="pct"/>
            <w:gridSpan w:val="4"/>
            <w:vAlign w:val="center"/>
          </w:tcPr>
          <w:p w14:paraId="476494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lang w:val="en-US"/>
                <w14:textFill>
                  <w14:solidFill>
                    <w14:schemeClr w14:val="tx1"/>
                  </w14:solidFill>
                </w14:textFill>
              </w:rPr>
            </w:pPr>
            <w:r>
              <w:rPr>
                <w:rFonts w:hint="default"/>
                <w:color w:val="000000" w:themeColor="text1"/>
                <w:sz w:val="21"/>
                <w:szCs w:val="21"/>
                <w:highlight w:val="none"/>
                <w14:textFill>
                  <w14:solidFill>
                    <w14:schemeClr w14:val="tx1"/>
                  </w14:solidFill>
                </w14:textFill>
              </w:rPr>
              <w:t>附录E</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；附录F</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；其他</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类比分析</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6DE73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60C9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710A02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70ED5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预测分析内容</w:t>
            </w:r>
          </w:p>
        </w:tc>
        <w:tc>
          <w:tcPr>
            <w:tcW w:w="3195" w:type="pct"/>
            <w:gridSpan w:val="4"/>
            <w:vAlign w:val="center"/>
          </w:tcPr>
          <w:p w14:paraId="5ACD264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影响范围（</w:t>
            </w:r>
            <w:r>
              <w:rPr>
                <w:rFonts w:hint="eastAsia"/>
                <w:color w:val="000000" w:themeColor="text1"/>
                <w:sz w:val="21"/>
                <w:szCs w:val="21"/>
                <w:highlight w:val="none"/>
                <w:lang w:val="en-US" w:eastAsia="zh-CN"/>
                <w14:textFill>
                  <w14:solidFill>
                    <w14:schemeClr w14:val="tx1"/>
                  </w14:solidFill>
                </w14:textFill>
              </w:rPr>
              <w:t>）</w:t>
            </w:r>
          </w:p>
          <w:p w14:paraId="5E417A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影响程度（</w:t>
            </w:r>
            <w:r>
              <w:rPr>
                <w:rFonts w:hint="eastAsia"/>
                <w:color w:val="000000" w:themeColor="text1"/>
                <w:sz w:val="21"/>
                <w:szCs w:val="21"/>
                <w:highlight w:val="none"/>
                <w:lang w:val="en-US" w:eastAsia="zh-CN"/>
                <w14:textFill>
                  <w14:solidFill>
                    <w14:schemeClr w14:val="tx1"/>
                  </w14:solidFill>
                </w14:textFill>
              </w:rPr>
              <w:t>）</w:t>
            </w:r>
          </w:p>
        </w:tc>
        <w:tc>
          <w:tcPr>
            <w:tcW w:w="558" w:type="pct"/>
            <w:vAlign w:val="center"/>
          </w:tcPr>
          <w:p w14:paraId="2DFDD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r>
      <w:tr w14:paraId="7D6D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2989BB3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391764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预测结论</w:t>
            </w:r>
          </w:p>
        </w:tc>
        <w:tc>
          <w:tcPr>
            <w:tcW w:w="3195" w:type="pct"/>
            <w:gridSpan w:val="4"/>
            <w:vAlign w:val="center"/>
          </w:tcPr>
          <w:p w14:paraId="4FE74F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达标结论： a）</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；b）</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；c）</w:t>
            </w:r>
            <w:r>
              <w:rPr>
                <w:rFonts w:hint="eastAsia"/>
                <w:color w:val="000000" w:themeColor="text1"/>
                <w:sz w:val="21"/>
                <w:szCs w:val="21"/>
                <w:highlight w:val="none"/>
                <w:lang w:eastAsia="zh-CN"/>
                <w14:textFill>
                  <w14:solidFill>
                    <w14:schemeClr w14:val="tx1"/>
                  </w14:solidFill>
                </w14:textFill>
              </w:rPr>
              <w:t>□</w:t>
            </w:r>
          </w:p>
          <w:p w14:paraId="38268D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不达标结论： a）</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；b）</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5495C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2188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18511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防治措施</w:t>
            </w:r>
          </w:p>
        </w:tc>
        <w:tc>
          <w:tcPr>
            <w:tcW w:w="906" w:type="pct"/>
            <w:vAlign w:val="center"/>
          </w:tcPr>
          <w:p w14:paraId="282B09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防控措施</w:t>
            </w:r>
          </w:p>
        </w:tc>
        <w:tc>
          <w:tcPr>
            <w:tcW w:w="3195" w:type="pct"/>
            <w:gridSpan w:val="4"/>
            <w:vAlign w:val="center"/>
          </w:tcPr>
          <w:p w14:paraId="73B21B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土壤环境质量现状保障□；源头控制</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；过程防控</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；其他（</w:t>
            </w:r>
            <w:r>
              <w:rPr>
                <w:rFonts w:hint="eastAsia"/>
                <w:color w:val="000000" w:themeColor="text1"/>
                <w:sz w:val="21"/>
                <w:szCs w:val="21"/>
                <w:highlight w:val="none"/>
                <w:lang w:val="en-US"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w:t>
            </w:r>
          </w:p>
        </w:tc>
        <w:tc>
          <w:tcPr>
            <w:tcW w:w="558" w:type="pct"/>
            <w:vMerge w:val="restart"/>
            <w:vAlign w:val="center"/>
          </w:tcPr>
          <w:p w14:paraId="27845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6C95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5AA1D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Merge w:val="restart"/>
            <w:vAlign w:val="center"/>
          </w:tcPr>
          <w:p w14:paraId="17BB2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跟踪监测</w:t>
            </w:r>
          </w:p>
        </w:tc>
        <w:tc>
          <w:tcPr>
            <w:tcW w:w="679" w:type="pct"/>
            <w:vAlign w:val="center"/>
          </w:tcPr>
          <w:p w14:paraId="1C7B6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监测点数</w:t>
            </w:r>
          </w:p>
        </w:tc>
        <w:tc>
          <w:tcPr>
            <w:tcW w:w="1888" w:type="pct"/>
            <w:gridSpan w:val="2"/>
            <w:vAlign w:val="center"/>
          </w:tcPr>
          <w:p w14:paraId="47A1B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监测指标</w:t>
            </w:r>
          </w:p>
        </w:tc>
        <w:tc>
          <w:tcPr>
            <w:tcW w:w="627" w:type="pct"/>
            <w:vAlign w:val="center"/>
          </w:tcPr>
          <w:p w14:paraId="531B3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监测频次</w:t>
            </w:r>
          </w:p>
        </w:tc>
        <w:tc>
          <w:tcPr>
            <w:tcW w:w="558" w:type="pct"/>
            <w:vMerge w:val="continue"/>
            <w:vAlign w:val="center"/>
          </w:tcPr>
          <w:p w14:paraId="2FEE2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4E19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2E298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Merge w:val="continue"/>
            <w:vAlign w:val="center"/>
          </w:tcPr>
          <w:p w14:paraId="22FBCF3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679" w:type="pct"/>
            <w:vAlign w:val="center"/>
          </w:tcPr>
          <w:p w14:paraId="2C3FA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888" w:type="pct"/>
            <w:gridSpan w:val="2"/>
            <w:vAlign w:val="center"/>
          </w:tcPr>
          <w:p w14:paraId="1490CE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w:t>
            </w:r>
            <w:r>
              <w:rPr>
                <w:rFonts w:hint="default"/>
                <w:color w:val="000000" w:themeColor="text1"/>
                <w:sz w:val="21"/>
                <w:szCs w:val="21"/>
                <w:highlight w:val="none"/>
                <w14:textFill>
                  <w14:solidFill>
                    <w14:schemeClr w14:val="tx1"/>
                  </w14:solidFill>
                </w14:textFill>
              </w:rPr>
              <w:t>镉、铅、铬、铜、镍</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锌、砷</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汞</w:t>
            </w:r>
          </w:p>
        </w:tc>
        <w:tc>
          <w:tcPr>
            <w:tcW w:w="627" w:type="pct"/>
            <w:vAlign w:val="center"/>
          </w:tcPr>
          <w:p w14:paraId="6B63A68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必要时开展跟踪监测</w:t>
            </w:r>
          </w:p>
        </w:tc>
        <w:tc>
          <w:tcPr>
            <w:tcW w:w="558" w:type="pct"/>
            <w:vMerge w:val="continue"/>
            <w:vAlign w:val="center"/>
          </w:tcPr>
          <w:p w14:paraId="7657A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3F60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730E4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c>
          <w:tcPr>
            <w:tcW w:w="906" w:type="pct"/>
            <w:vAlign w:val="center"/>
          </w:tcPr>
          <w:p w14:paraId="4FED0E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信息公开指标</w:t>
            </w:r>
          </w:p>
        </w:tc>
        <w:tc>
          <w:tcPr>
            <w:tcW w:w="3195" w:type="pct"/>
            <w:gridSpan w:val="4"/>
            <w:vAlign w:val="center"/>
          </w:tcPr>
          <w:p w14:paraId="400EE68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p>
        </w:tc>
        <w:tc>
          <w:tcPr>
            <w:tcW w:w="558" w:type="pct"/>
            <w:vMerge w:val="continue"/>
            <w:vAlign w:val="center"/>
          </w:tcPr>
          <w:p w14:paraId="47E2A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12D0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4B5F2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评价结论</w:t>
            </w:r>
          </w:p>
        </w:tc>
        <w:tc>
          <w:tcPr>
            <w:tcW w:w="4101" w:type="pct"/>
            <w:gridSpan w:val="5"/>
            <w:vAlign w:val="center"/>
          </w:tcPr>
          <w:p w14:paraId="37BF3D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可接受</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不可接受</w:t>
            </w:r>
            <w:r>
              <w:rPr>
                <w:rFonts w:hint="eastAsia"/>
                <w:color w:val="000000" w:themeColor="text1"/>
                <w:sz w:val="21"/>
                <w:szCs w:val="21"/>
                <w:highlight w:val="none"/>
                <w:lang w:eastAsia="zh-CN"/>
                <w14:textFill>
                  <w14:solidFill>
                    <w14:schemeClr w14:val="tx1"/>
                  </w14:solidFill>
                </w14:textFill>
              </w:rPr>
              <w:t>□</w:t>
            </w:r>
          </w:p>
        </w:tc>
        <w:tc>
          <w:tcPr>
            <w:tcW w:w="558" w:type="pct"/>
            <w:vAlign w:val="center"/>
          </w:tcPr>
          <w:p w14:paraId="6B138C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14:textFill>
                  <w14:solidFill>
                    <w14:schemeClr w14:val="tx1"/>
                  </w14:solidFill>
                </w14:textFill>
              </w:rPr>
            </w:pPr>
          </w:p>
        </w:tc>
      </w:tr>
      <w:tr w14:paraId="5F56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7"/>
            <w:vAlign w:val="center"/>
          </w:tcPr>
          <w:p w14:paraId="5BC30D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注 1：“</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”为勾选项，可√；“（ ）”为内容填写项； “备注”为其他补充内容。</w:t>
            </w:r>
          </w:p>
          <w:p w14:paraId="052806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注 2：需要分别开展土壤环境影响评级工作的，分别填写自查表。</w:t>
            </w:r>
          </w:p>
        </w:tc>
      </w:tr>
    </w:tbl>
    <w:p w14:paraId="2E48C4FB">
      <w:pPr>
        <w:pStyle w:val="27"/>
        <w:bidi w:val="0"/>
        <w:rPr>
          <w:rFonts w:hint="default"/>
          <w:lang w:val="en-US" w:eastAsia="zh-CN"/>
        </w:rPr>
      </w:pPr>
      <w:r>
        <w:rPr>
          <w:rFonts w:hint="eastAsia"/>
          <w:lang w:val="en-US" w:eastAsia="zh-CN"/>
        </w:rPr>
        <w:t>生态环境影响分析</w:t>
      </w:r>
    </w:p>
    <w:p w14:paraId="275E102F">
      <w:pPr>
        <w:bidi w:val="0"/>
        <w:rPr>
          <w:rFonts w:hint="default"/>
          <w:lang w:val="en-US" w:eastAsia="zh-CN"/>
        </w:rPr>
      </w:pPr>
      <w:r>
        <w:rPr>
          <w:rFonts w:hint="eastAsia"/>
          <w:lang w:val="en-US" w:eastAsia="zh-CN"/>
        </w:rPr>
        <w:t>（1）</w:t>
      </w:r>
      <w:r>
        <w:rPr>
          <w:rFonts w:hint="default"/>
          <w:lang w:val="en-US" w:eastAsia="zh-CN"/>
        </w:rPr>
        <w:t>土地利用环境影响评价</w:t>
      </w:r>
    </w:p>
    <w:p w14:paraId="1AC13A5A">
      <w:pPr>
        <w:bidi w:val="0"/>
        <w:rPr>
          <w:rFonts w:hint="default"/>
          <w:lang w:val="en-US" w:eastAsia="zh-CN"/>
        </w:rPr>
      </w:pPr>
      <w:r>
        <w:rPr>
          <w:rFonts w:hint="eastAsia"/>
          <w:lang w:val="en-US" w:eastAsia="zh-CN"/>
        </w:rPr>
        <w:t>根据现场调查，本项目所在区域用地以耕地为主。拟建项目总占地面积218666.66m</w:t>
      </w:r>
      <w:r>
        <w:rPr>
          <w:rFonts w:hint="eastAsia"/>
          <w:vertAlign w:val="superscript"/>
          <w:lang w:val="en-US" w:eastAsia="zh-CN"/>
        </w:rPr>
        <w:t>2</w:t>
      </w:r>
      <w:r>
        <w:rPr>
          <w:rFonts w:hint="eastAsia"/>
          <w:lang w:val="en-US" w:eastAsia="zh-CN"/>
        </w:rPr>
        <w:t>，土地利用类型为未利用地，不占用耕地，周围植被以耕作植物为主，少量胡杨等，占地范围内植被主要以灌木杂树为主。项目建设将改变占地面积内土地利用情况，会永久改变土地利用现状。</w:t>
      </w:r>
    </w:p>
    <w:p w14:paraId="4F07B321">
      <w:pPr>
        <w:bidi w:val="0"/>
        <w:rPr>
          <w:rFonts w:hint="default"/>
          <w:lang w:val="en-US" w:eastAsia="zh-CN"/>
        </w:rPr>
      </w:pPr>
      <w:r>
        <w:rPr>
          <w:rFonts w:hint="eastAsia"/>
          <w:lang w:val="en-US" w:eastAsia="zh-CN"/>
        </w:rPr>
        <w:t>（2）土地利用性质影响</w:t>
      </w:r>
    </w:p>
    <w:p w14:paraId="4BA8A12B">
      <w:pPr>
        <w:bidi w:val="0"/>
        <w:rPr>
          <w:rFonts w:hint="default"/>
          <w:lang w:val="en-US" w:eastAsia="zh-CN"/>
        </w:rPr>
      </w:pPr>
      <w:r>
        <w:rPr>
          <w:rFonts w:hint="eastAsia"/>
          <w:lang w:val="en-US" w:eastAsia="zh-CN"/>
        </w:rPr>
        <w:t>本</w:t>
      </w:r>
      <w:r>
        <w:rPr>
          <w:rFonts w:hint="default"/>
          <w:lang w:val="en-US" w:eastAsia="zh-CN"/>
        </w:rPr>
        <w:t>项目的建设</w:t>
      </w:r>
      <w:r>
        <w:rPr>
          <w:rFonts w:hint="eastAsia"/>
          <w:lang w:val="en-US" w:eastAsia="zh-CN"/>
        </w:rPr>
        <w:t>，</w:t>
      </w:r>
      <w:r>
        <w:rPr>
          <w:rFonts w:hint="default"/>
          <w:lang w:val="en-US" w:eastAsia="zh-CN"/>
        </w:rPr>
        <w:t>对土壤最直接也是最明显的影响就是占地范围内道路和建构筑物等所覆盖的那部分土地资源，全部采用水泥硬化，土地类型改变为建设用地，这部分土地完全丧失原有土壤生产力。但是该场地因受到地形、耕作方式等的限制，原始土壤生产力普遍不高，而拟建项目建成后通过对传统农业的提升，以及生产方式的改善，并借现代化养殖来带动该地区以及周边地区的发展，此外项目建成后要因地适宜实施绿化，美化环境。</w:t>
      </w:r>
    </w:p>
    <w:p w14:paraId="55E54FF3">
      <w:pPr>
        <w:bidi w:val="0"/>
        <w:rPr>
          <w:rFonts w:hint="default"/>
          <w:lang w:val="en-US" w:eastAsia="zh-CN"/>
        </w:rPr>
      </w:pPr>
      <w:r>
        <w:rPr>
          <w:rFonts w:hint="eastAsia"/>
          <w:lang w:val="en-US" w:eastAsia="zh-CN"/>
        </w:rPr>
        <w:t>（3）</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动植物生态环境影响分析</w:t>
      </w:r>
    </w:p>
    <w:p w14:paraId="3FE4A550">
      <w:pPr>
        <w:pStyle w:val="34"/>
        <w:widowControl w:val="0"/>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项目区场地地形平坦、开阔，</w:t>
      </w:r>
      <w:r>
        <w:rPr>
          <w:rFonts w:hint="eastAsia" w:ascii="Times New Roman" w:hAnsi="Times New Roman" w:eastAsia="宋体" w:cs="Times New Roman"/>
          <w:color w:val="000000" w:themeColor="text1"/>
          <w:kern w:val="0"/>
          <w:highlight w:val="none"/>
          <w:shd w:val="clear" w:color="auto" w:fill="auto"/>
          <w14:textFill>
            <w14:solidFill>
              <w14:schemeClr w14:val="tx1"/>
            </w14:solidFill>
          </w14:textFill>
        </w:rPr>
        <w:t>区域内气候干旱，植物群落较为单一，</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区内植被主要以耐旱、耐碱的荒漠植被为主。</w:t>
      </w:r>
      <w:r>
        <w:rPr>
          <w:rFonts w:hint="eastAsia" w:ascii="Times New Roman" w:hAnsi="Times New Roman" w:eastAsia="宋体" w:cs="Times New Roman"/>
          <w:color w:val="000000" w:themeColor="text1"/>
          <w:kern w:val="0"/>
          <w:highlight w:val="none"/>
          <w:shd w:val="clear" w:color="auto" w:fill="auto"/>
          <w14:textFill>
            <w14:solidFill>
              <w14:schemeClr w14:val="tx1"/>
            </w14:solidFill>
          </w14:textFill>
        </w:rPr>
        <w:t>根据收集资料和现场踏勘，评价区地表主要以温性荒漠类草原为主，区域地表原生植被</w:t>
      </w:r>
      <w:r>
        <w:rPr>
          <w:rFonts w:hint="eastAsia" w:ascii="Times New Roman" w:hAnsi="Times New Roman" w:eastAsia="宋体" w:cs="Times New Roman"/>
          <w:color w:val="000000" w:themeColor="text1"/>
          <w:kern w:val="0"/>
          <w:highlight w:val="none"/>
          <w:shd w:val="clear" w:color="auto" w:fill="auto"/>
          <w:lang w:val="en-US" w:eastAsia="zh-CN"/>
          <w14:textFill>
            <w14:solidFill>
              <w14:schemeClr w14:val="tx1"/>
            </w14:solidFill>
          </w14:textFill>
        </w:rPr>
        <w:t>有</w:t>
      </w:r>
      <w:r>
        <w:rPr>
          <w:rFonts w:hint="eastAsia" w:ascii="Times New Roman" w:hAnsi="Times New Roman" w:eastAsia="宋体" w:cs="Times New Roman"/>
          <w:color w:val="000000" w:themeColor="text1"/>
          <w:kern w:val="0"/>
          <w:highlight w:val="none"/>
          <w:shd w:val="clear" w:color="auto" w:fill="auto"/>
          <w14:textFill>
            <w14:solidFill>
              <w14:schemeClr w14:val="tx1"/>
            </w14:solidFill>
          </w14:textFill>
        </w:rPr>
        <w:t>芦苇、芨芨草、</w:t>
      </w:r>
      <w:r>
        <w:rPr>
          <w:rFonts w:hint="default" w:ascii="Times New Roman" w:hAnsi="Times New Roman" w:eastAsia="宋体" w:cs="Times New Roman"/>
          <w:color w:val="000000" w:themeColor="text1"/>
          <w:kern w:val="0"/>
          <w:highlight w:val="none"/>
          <w:shd w:val="clear" w:color="auto" w:fill="auto"/>
          <w14:textFill>
            <w14:solidFill>
              <w14:schemeClr w14:val="tx1"/>
            </w14:solidFill>
          </w14:textFill>
        </w:rPr>
        <w:t>刺毛</w:t>
      </w:r>
      <w:r>
        <w:rPr>
          <w:rFonts w:hint="default" w:ascii="Times New Roman" w:hAnsi="Times New Roman" w:eastAsia="宋体" w:cs="Times New Roman"/>
          <w:color w:val="000000" w:themeColor="text1"/>
          <w:kern w:val="0"/>
          <w:highlight w:val="none"/>
          <w:shd w:val="clear" w:color="auto" w:fill="auto"/>
          <w:lang w:val="en-US" w:eastAsia="zh-CN"/>
          <w14:textFill>
            <w14:solidFill>
              <w14:schemeClr w14:val="tx1"/>
            </w14:solidFill>
          </w14:textFill>
        </w:rPr>
        <w:t>碱蓬</w:t>
      </w:r>
      <w:r>
        <w:rPr>
          <w:rFonts w:hint="eastAsia" w:ascii="Times New Roman" w:hAnsi="Times New Roman" w:eastAsia="宋体" w:cs="Times New Roman"/>
          <w:color w:val="000000" w:themeColor="text1"/>
          <w:kern w:val="0"/>
          <w:highlight w:val="none"/>
          <w:shd w:val="clear" w:color="auto" w:fill="auto"/>
          <w14:textFill>
            <w14:solidFill>
              <w14:schemeClr w14:val="tx1"/>
            </w14:solidFill>
          </w14:textFill>
        </w:rPr>
        <w:t>等，植被长势良好，覆盖度在</w:t>
      </w:r>
      <w:r>
        <w:rPr>
          <w:rFonts w:hint="eastAsia" w:ascii="Times New Roman" w:hAnsi="Times New Roman" w:eastAsia="宋体" w:cs="Times New Roman"/>
          <w:color w:val="000000" w:themeColor="text1"/>
          <w:kern w:val="0"/>
          <w:highlight w:val="none"/>
          <w:shd w:val="clear" w:color="auto" w:fill="auto"/>
          <w:lang w:val="en-US" w:eastAsia="zh-CN"/>
          <w14:textFill>
            <w14:solidFill>
              <w14:schemeClr w14:val="tx1"/>
            </w14:solidFill>
          </w14:textFill>
        </w:rPr>
        <w:t>15</w:t>
      </w:r>
      <w:r>
        <w:rPr>
          <w:rFonts w:hint="default" w:ascii="Times New Roman" w:hAnsi="Times New Roman" w:eastAsia="宋体" w:cs="Times New Roman"/>
          <w:color w:val="000000" w:themeColor="text1"/>
          <w:kern w:val="0"/>
          <w:highlight w:val="none"/>
          <w:shd w:val="clear" w:color="auto" w:fill="auto"/>
          <w14:textFill>
            <w14:solidFill>
              <w14:schemeClr w14:val="tx1"/>
            </w14:solidFill>
          </w14:textFill>
        </w:rPr>
        <w:t>%</w:t>
      </w:r>
      <w:r>
        <w:rPr>
          <w:rFonts w:hint="eastAsia" w:ascii="Times New Roman" w:hAnsi="Times New Roman" w:eastAsia="宋体" w:cs="Times New Roman"/>
          <w:color w:val="000000" w:themeColor="text1"/>
          <w:kern w:val="0"/>
          <w:highlight w:val="none"/>
          <w:shd w:val="clear" w:color="auto" w:fill="auto"/>
          <w14:textFill>
            <w14:solidFill>
              <w14:schemeClr w14:val="tx1"/>
            </w14:solidFill>
          </w14:textFill>
        </w:rPr>
        <w:t>左右。</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项目区周边多为人工植被，主要为乔灌木，项目区域内野生动物很少。</w:t>
      </w:r>
    </w:p>
    <w:p w14:paraId="1BCA7BA5">
      <w:pPr>
        <w:pStyle w:val="34"/>
        <w:widowControl w:val="0"/>
        <w:snapToGrid w:val="0"/>
        <w:spacing w:line="360" w:lineRule="auto"/>
        <w:ind w:firstLine="480"/>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本项目占地区域土地利用类型为未利用地，项目建设前为荒地，地表生长有一些常见的荒</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漠植被。占地后会造成一定的生物损失，根据查询《新疆草地植被的地上生物量》（安尼瓦尔·买买提等，</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2005</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年），新疆荒漠草原的地上生物量为77.56</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g/m</w:t>
      </w:r>
      <w:r>
        <w:rPr>
          <w:rFonts w:hint="default"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，本项目占地面积为21.8667hm</w:t>
      </w:r>
      <w:r>
        <w:rPr>
          <w:rFonts w:hint="default"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，计算得出项目生物损失量约为14.85t。本项目用地为租赁新疆生产建设兵团第七师129团13连土地，使用期限为15年。设施农用地使用期满后，根据土地复垦承诺，恢复土地使用条件，对环境影响较小。</w:t>
      </w:r>
    </w:p>
    <w:p w14:paraId="63A716DA">
      <w:pPr>
        <w:bidi w:val="0"/>
        <w:rPr>
          <w:rFonts w:hint="default"/>
          <w:lang w:val="en-US" w:eastAsia="zh-CN"/>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据现场调查，项目所在地附近没有珍稀野生动物，只有一些小型啮齿类动物和鸟类，项目建设后对该地区动物生态系统影响不大。</w:t>
      </w:r>
    </w:p>
    <w:p w14:paraId="254BCA91">
      <w:pPr>
        <w:bidi w:val="0"/>
        <w:rPr>
          <w:rFonts w:hint="default"/>
          <w:lang w:val="en-US" w:eastAsia="zh-CN"/>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综上所述，项目建设对生态环境影响较小。</w:t>
      </w:r>
    </w:p>
    <w:p w14:paraId="0B65014B">
      <w:pPr>
        <w:pStyle w:val="34"/>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本项目生态影响评价自查见表5.2-22。</w:t>
      </w:r>
    </w:p>
    <w:p w14:paraId="02774A94">
      <w:pPr>
        <w:pStyle w:val="30"/>
        <w:bidi w:val="0"/>
        <w:rPr>
          <w:rFonts w:hint="eastAsia"/>
          <w:lang w:val="en-US" w:eastAsia="zh-CN"/>
        </w:rPr>
      </w:pPr>
      <w:r>
        <w:rPr>
          <w:rFonts w:hint="eastAsia"/>
          <w:lang w:val="en-US" w:eastAsia="zh-CN"/>
        </w:rPr>
        <w:t>表5.2-22   生态影响评价自查表</w:t>
      </w:r>
    </w:p>
    <w:tbl>
      <w:tblPr>
        <w:tblStyle w:val="3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4"/>
        <w:gridCol w:w="1399"/>
        <w:gridCol w:w="6129"/>
      </w:tblGrid>
      <w:tr w14:paraId="7D719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4" w:type="pct"/>
            <w:gridSpan w:val="2"/>
            <w:vAlign w:val="center"/>
          </w:tcPr>
          <w:p w14:paraId="347B3A5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工作内容</w:t>
            </w:r>
          </w:p>
        </w:tc>
        <w:tc>
          <w:tcPr>
            <w:tcW w:w="3595" w:type="pct"/>
            <w:vAlign w:val="center"/>
          </w:tcPr>
          <w:p w14:paraId="6B82D9E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自查项目</w:t>
            </w:r>
          </w:p>
        </w:tc>
      </w:tr>
      <w:tr w14:paraId="5B65B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restart"/>
            <w:vAlign w:val="center"/>
          </w:tcPr>
          <w:p w14:paraId="79E77AE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生态影响识别</w:t>
            </w:r>
          </w:p>
        </w:tc>
        <w:tc>
          <w:tcPr>
            <w:tcW w:w="820" w:type="pct"/>
            <w:vAlign w:val="center"/>
          </w:tcPr>
          <w:p w14:paraId="05C26AD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生态保护目标</w:t>
            </w:r>
          </w:p>
        </w:tc>
        <w:tc>
          <w:tcPr>
            <w:tcW w:w="3595" w:type="pct"/>
            <w:vAlign w:val="center"/>
          </w:tcPr>
          <w:p w14:paraId="7897858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重要物种□；国家公园□；自然保护区□；自然公园□；世界自然遗产□；生态保护红线□；重要生境□；其他具有重要生态功能、对保护生物多样性具有重要意义的区域</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；其他</w:t>
            </w:r>
            <w:r>
              <w:rPr>
                <w:rFonts w:hint="eastAsia" w:cs="Times New Roman"/>
                <w:color w:val="000000" w:themeColor="text1"/>
                <w:kern w:val="0"/>
                <w:sz w:val="21"/>
                <w:szCs w:val="21"/>
                <w:highlight w:val="none"/>
                <w:lang w:eastAsia="zh-CN"/>
                <w14:textFill>
                  <w14:solidFill>
                    <w14:schemeClr w14:val="tx1"/>
                  </w14:solidFill>
                </w14:textFill>
              </w:rPr>
              <w:t>□</w:t>
            </w:r>
          </w:p>
        </w:tc>
      </w:tr>
      <w:tr w14:paraId="26F1D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7645306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1AAA0F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影响方式</w:t>
            </w:r>
          </w:p>
        </w:tc>
        <w:tc>
          <w:tcPr>
            <w:tcW w:w="3595" w:type="pct"/>
            <w:vAlign w:val="center"/>
          </w:tcPr>
          <w:p w14:paraId="695A5F8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工程占用</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；施工活动干扰</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；改变环境条件□；其他□</w:t>
            </w:r>
          </w:p>
        </w:tc>
      </w:tr>
      <w:tr w14:paraId="7C70C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418AD3C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2BD81F1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评价因子</w:t>
            </w:r>
          </w:p>
        </w:tc>
        <w:tc>
          <w:tcPr>
            <w:tcW w:w="3595" w:type="pct"/>
            <w:vAlign w:val="center"/>
          </w:tcPr>
          <w:p w14:paraId="771576B2">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物种□（</w:t>
            </w:r>
            <w:r>
              <w:rPr>
                <w:rFonts w:hint="eastAsia" w:cs="Times New Roman"/>
                <w:color w:val="000000" w:themeColor="text1"/>
                <w:kern w:val="0"/>
                <w:sz w:val="21"/>
                <w:szCs w:val="21"/>
                <w:highlight w:val="none"/>
                <w:lang w:val="en-US" w:eastAsia="zh-CN"/>
                <w14:textFill>
                  <w14:solidFill>
                    <w14:schemeClr w14:val="tx1"/>
                  </w14:solidFill>
                </w14:textFill>
              </w:rPr>
              <w:t>分布范围</w:t>
            </w:r>
            <w:r>
              <w:rPr>
                <w:rFonts w:hint="eastAsia" w:cs="Times New Roman"/>
                <w:color w:val="000000" w:themeColor="text1"/>
                <w:kern w:val="0"/>
                <w:sz w:val="21"/>
                <w:szCs w:val="21"/>
                <w:highlight w:val="none"/>
                <w14:textFill>
                  <w14:solidFill>
                    <w14:schemeClr w14:val="tx1"/>
                  </w14:solidFill>
                </w14:textFill>
              </w:rPr>
              <w:t>）</w:t>
            </w:r>
          </w:p>
          <w:p w14:paraId="4EBCC52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生境□（</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w:t>
            </w:r>
          </w:p>
          <w:p w14:paraId="4C939F5F">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生物群落□（</w:t>
            </w:r>
            <w:r>
              <w:rPr>
                <w:rFonts w:hint="eastAsia" w:cs="Times New Roman"/>
                <w:color w:val="000000" w:themeColor="text1"/>
                <w:kern w:val="0"/>
                <w:sz w:val="21"/>
                <w:szCs w:val="21"/>
                <w:highlight w:val="none"/>
                <w:lang w:val="en-US" w:eastAsia="zh-CN"/>
                <w14:textFill>
                  <w14:solidFill>
                    <w14:schemeClr w14:val="tx1"/>
                  </w14:solidFill>
                </w14:textFill>
              </w:rPr>
              <w:t>物种组成</w:t>
            </w:r>
            <w:r>
              <w:rPr>
                <w:rFonts w:hint="eastAsia" w:cs="Times New Roman"/>
                <w:color w:val="000000" w:themeColor="text1"/>
                <w:kern w:val="0"/>
                <w:sz w:val="21"/>
                <w:szCs w:val="21"/>
                <w:highlight w:val="none"/>
                <w14:textFill>
                  <w14:solidFill>
                    <w14:schemeClr w14:val="tx1"/>
                  </w14:solidFill>
                </w14:textFill>
              </w:rPr>
              <w:t>）</w:t>
            </w:r>
          </w:p>
          <w:p w14:paraId="1A84842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生态系统□（植被覆盖度、生态系统功能等）</w:t>
            </w:r>
          </w:p>
          <w:p w14:paraId="5F5783C7">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生物多样性□（</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w:t>
            </w:r>
          </w:p>
          <w:p w14:paraId="51CBDB09">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生态敏感区□（</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w:t>
            </w:r>
          </w:p>
          <w:p w14:paraId="5060C947">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自然景观□（景观多样性、完整性等）</w:t>
            </w:r>
          </w:p>
          <w:p w14:paraId="1BC25CF1">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自然遗迹□（/）</w:t>
            </w:r>
          </w:p>
          <w:p w14:paraId="562FBFB7">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其他□（/）</w:t>
            </w:r>
          </w:p>
        </w:tc>
      </w:tr>
      <w:tr w14:paraId="18ADE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4" w:type="pct"/>
            <w:gridSpan w:val="2"/>
            <w:vAlign w:val="center"/>
          </w:tcPr>
          <w:p w14:paraId="78441507">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w:t>
            </w:r>
            <w:r>
              <w:rPr>
                <w:rFonts w:hint="eastAsia" w:cs="Times New Roman"/>
                <w:color w:val="000000" w:themeColor="text1"/>
                <w:kern w:val="0"/>
                <w:sz w:val="21"/>
                <w:szCs w:val="21"/>
                <w:highlight w:val="none"/>
                <w14:textFill>
                  <w14:solidFill>
                    <w14:schemeClr w14:val="tx1"/>
                  </w14:solidFill>
                </w14:textFill>
              </w:rPr>
              <w:t>等级</w:t>
            </w:r>
          </w:p>
        </w:tc>
        <w:tc>
          <w:tcPr>
            <w:tcW w:w="3595" w:type="pct"/>
            <w:vAlign w:val="center"/>
          </w:tcPr>
          <w:p w14:paraId="45985F9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 xml:space="preserve">一级□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二级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三级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生态影响简单分析□</w:t>
            </w:r>
          </w:p>
        </w:tc>
      </w:tr>
      <w:tr w14:paraId="73304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4" w:type="pct"/>
            <w:gridSpan w:val="2"/>
            <w:vAlign w:val="center"/>
          </w:tcPr>
          <w:p w14:paraId="78B9FE7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评价范围</w:t>
            </w:r>
          </w:p>
        </w:tc>
        <w:tc>
          <w:tcPr>
            <w:tcW w:w="3595" w:type="pct"/>
            <w:vAlign w:val="center"/>
          </w:tcPr>
          <w:p w14:paraId="282918F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 xml:space="preserve">陆域面积：（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）k</w:t>
            </w:r>
            <w:r>
              <w:rPr>
                <w:rFonts w:cs="Times New Roman"/>
                <w:color w:val="000000" w:themeColor="text1"/>
                <w:kern w:val="0"/>
                <w:sz w:val="21"/>
                <w:szCs w:val="21"/>
                <w:highlight w:val="none"/>
                <w14:textFill>
                  <w14:solidFill>
                    <w14:schemeClr w14:val="tx1"/>
                  </w14:solidFill>
                </w14:textFill>
              </w:rPr>
              <w:t>m</w:t>
            </w:r>
            <w:r>
              <w:rPr>
                <w:rFonts w:cs="Times New Roman"/>
                <w:color w:val="000000" w:themeColor="text1"/>
                <w:kern w:val="0"/>
                <w:sz w:val="21"/>
                <w:szCs w:val="21"/>
                <w:highlight w:val="none"/>
                <w:vertAlign w:val="superscript"/>
                <w14:textFill>
                  <w14:solidFill>
                    <w14:schemeClr w14:val="tx1"/>
                  </w14:solidFill>
                </w14:textFill>
              </w:rPr>
              <w:t>2</w:t>
            </w:r>
            <w:r>
              <w:rPr>
                <w:rFonts w:hint="eastAsia" w:cs="Times New Roman"/>
                <w:color w:val="000000" w:themeColor="text1"/>
                <w:kern w:val="0"/>
                <w:sz w:val="21"/>
                <w:szCs w:val="21"/>
                <w:highlight w:val="none"/>
                <w14:textFill>
                  <w14:solidFill>
                    <w14:schemeClr w14:val="tx1"/>
                  </w14:solidFill>
                </w14:textFill>
              </w:rPr>
              <w:t>；水域面积：（）k</w:t>
            </w:r>
            <w:r>
              <w:rPr>
                <w:rFonts w:cs="Times New Roman"/>
                <w:color w:val="000000" w:themeColor="text1"/>
                <w:kern w:val="0"/>
                <w:sz w:val="21"/>
                <w:szCs w:val="21"/>
                <w:highlight w:val="none"/>
                <w14:textFill>
                  <w14:solidFill>
                    <w14:schemeClr w14:val="tx1"/>
                  </w14:solidFill>
                </w14:textFill>
              </w:rPr>
              <w:t>m</w:t>
            </w:r>
            <w:r>
              <w:rPr>
                <w:rFonts w:cs="Times New Roman"/>
                <w:color w:val="000000" w:themeColor="text1"/>
                <w:kern w:val="0"/>
                <w:sz w:val="21"/>
                <w:szCs w:val="21"/>
                <w:highlight w:val="none"/>
                <w:vertAlign w:val="superscript"/>
                <w14:textFill>
                  <w14:solidFill>
                    <w14:schemeClr w14:val="tx1"/>
                  </w14:solidFill>
                </w14:textFill>
              </w:rPr>
              <w:t>2</w:t>
            </w:r>
            <w:r>
              <w:rPr>
                <w:rFonts w:hint="eastAsia" w:cs="Times New Roman"/>
                <w:color w:val="000000" w:themeColor="text1"/>
                <w:kern w:val="0"/>
                <w:sz w:val="21"/>
                <w:szCs w:val="21"/>
                <w:highlight w:val="none"/>
                <w14:textFill>
                  <w14:solidFill>
                    <w14:schemeClr w14:val="tx1"/>
                  </w14:solidFill>
                </w14:textFill>
              </w:rPr>
              <w:t>；</w:t>
            </w:r>
          </w:p>
        </w:tc>
      </w:tr>
      <w:tr w14:paraId="7D256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restart"/>
            <w:vAlign w:val="center"/>
          </w:tcPr>
          <w:p w14:paraId="73CAD5B2">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w:t>
            </w:r>
            <w:r>
              <w:rPr>
                <w:rFonts w:cs="Times New Roman"/>
                <w:color w:val="000000" w:themeColor="text1"/>
                <w:kern w:val="0"/>
                <w:sz w:val="21"/>
                <w:szCs w:val="21"/>
                <w:highlight w:val="none"/>
                <w14:textFill>
                  <w14:solidFill>
                    <w14:schemeClr w14:val="tx1"/>
                  </w14:solidFill>
                </w14:textFill>
              </w:rPr>
              <w:t>现状</w:t>
            </w:r>
            <w:r>
              <w:rPr>
                <w:rFonts w:hint="eastAsia" w:cs="Times New Roman"/>
                <w:color w:val="000000" w:themeColor="text1"/>
                <w:kern w:val="0"/>
                <w:sz w:val="21"/>
                <w:szCs w:val="21"/>
                <w:highlight w:val="none"/>
                <w14:textFill>
                  <w14:solidFill>
                    <w14:schemeClr w14:val="tx1"/>
                  </w14:solidFill>
                </w14:textFill>
              </w:rPr>
              <w:t>调查与</w:t>
            </w:r>
            <w:r>
              <w:rPr>
                <w:rFonts w:cs="Times New Roman"/>
                <w:color w:val="000000" w:themeColor="text1"/>
                <w:kern w:val="0"/>
                <w:sz w:val="21"/>
                <w:szCs w:val="21"/>
                <w:highlight w:val="none"/>
                <w14:textFill>
                  <w14:solidFill>
                    <w14:schemeClr w14:val="tx1"/>
                  </w14:solidFill>
                </w14:textFill>
              </w:rPr>
              <w:t>评价</w:t>
            </w:r>
          </w:p>
        </w:tc>
        <w:tc>
          <w:tcPr>
            <w:tcW w:w="820" w:type="pct"/>
            <w:vAlign w:val="center"/>
          </w:tcPr>
          <w:p w14:paraId="256D9A9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调查方法</w:t>
            </w:r>
          </w:p>
        </w:tc>
        <w:tc>
          <w:tcPr>
            <w:tcW w:w="3595" w:type="pct"/>
            <w:vAlign w:val="center"/>
          </w:tcPr>
          <w:p w14:paraId="2622ED2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资料收集</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；遥感调查□；调查样方、样线□；调查点位、断面□；专家和公众咨询法□；其他□</w:t>
            </w:r>
          </w:p>
        </w:tc>
      </w:tr>
      <w:tr w14:paraId="4721D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33C8A0E7">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10B9CFC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调查时间</w:t>
            </w:r>
          </w:p>
        </w:tc>
        <w:tc>
          <w:tcPr>
            <w:tcW w:w="3595" w:type="pct"/>
            <w:vAlign w:val="center"/>
          </w:tcPr>
          <w:p w14:paraId="04C0B84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春季□；夏季□；秋季□；冬季□</w:t>
            </w:r>
          </w:p>
          <w:p w14:paraId="6124548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丰水期□；枯水期□；平水期□</w:t>
            </w:r>
          </w:p>
        </w:tc>
      </w:tr>
      <w:tr w14:paraId="2F518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24A94FE9">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0F7E212">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所在区域的生态问题</w:t>
            </w:r>
          </w:p>
        </w:tc>
        <w:tc>
          <w:tcPr>
            <w:tcW w:w="3595" w:type="pct"/>
            <w:vAlign w:val="center"/>
          </w:tcPr>
          <w:p w14:paraId="25ED26F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水土流失□；沙漠化□；石漠化□；盐渍化□；生物入侵□；污染危害□；其他</w:t>
            </w:r>
          </w:p>
        </w:tc>
      </w:tr>
      <w:tr w14:paraId="16CC7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03D8A940">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76B6A5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评价内容</w:t>
            </w:r>
          </w:p>
        </w:tc>
        <w:tc>
          <w:tcPr>
            <w:tcW w:w="3595" w:type="pct"/>
            <w:vAlign w:val="center"/>
          </w:tcPr>
          <w:p w14:paraId="4F296D0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植被/植物群落</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；土地利用</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；生态系统</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；生物多样性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；重要物种</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；生态敏感区</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；其他□</w:t>
            </w:r>
          </w:p>
        </w:tc>
      </w:tr>
      <w:tr w14:paraId="1A50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restart"/>
            <w:vAlign w:val="center"/>
          </w:tcPr>
          <w:p w14:paraId="2B67BD34">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w:t>
            </w:r>
            <w:r>
              <w:rPr>
                <w:rFonts w:cs="Times New Roman"/>
                <w:color w:val="000000" w:themeColor="text1"/>
                <w:kern w:val="0"/>
                <w:sz w:val="21"/>
                <w:szCs w:val="21"/>
                <w:highlight w:val="none"/>
                <w14:textFill>
                  <w14:solidFill>
                    <w14:schemeClr w14:val="tx1"/>
                  </w14:solidFill>
                </w14:textFill>
              </w:rPr>
              <w:t>影响预测与评价</w:t>
            </w:r>
          </w:p>
        </w:tc>
        <w:tc>
          <w:tcPr>
            <w:tcW w:w="820" w:type="pct"/>
            <w:vAlign w:val="center"/>
          </w:tcPr>
          <w:p w14:paraId="5542320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评价方法</w:t>
            </w:r>
          </w:p>
        </w:tc>
        <w:tc>
          <w:tcPr>
            <w:tcW w:w="3595" w:type="pct"/>
            <w:vAlign w:val="center"/>
          </w:tcPr>
          <w:p w14:paraId="527EDFC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定性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；定性和定量□</w:t>
            </w:r>
          </w:p>
        </w:tc>
      </w:tr>
      <w:tr w14:paraId="11BBF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2FC7F180">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23668A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评价内容</w:t>
            </w:r>
          </w:p>
        </w:tc>
        <w:tc>
          <w:tcPr>
            <w:tcW w:w="3595" w:type="pct"/>
            <w:vAlign w:val="center"/>
          </w:tcPr>
          <w:p w14:paraId="141DFC5D">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植被/植物群落</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；土地利用</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；生态系统□；生物多样性□；重要物种□；生物入侵风险□；其他□</w:t>
            </w:r>
          </w:p>
        </w:tc>
      </w:tr>
      <w:tr w14:paraId="4CAD4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restart"/>
            <w:vAlign w:val="center"/>
          </w:tcPr>
          <w:p w14:paraId="3EC790C1">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生态保护对策措施</w:t>
            </w:r>
          </w:p>
        </w:tc>
        <w:tc>
          <w:tcPr>
            <w:tcW w:w="820" w:type="pct"/>
            <w:vAlign w:val="center"/>
          </w:tcPr>
          <w:p w14:paraId="3A9226D1">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对策措施</w:t>
            </w:r>
          </w:p>
        </w:tc>
        <w:tc>
          <w:tcPr>
            <w:tcW w:w="3595" w:type="pct"/>
            <w:vAlign w:val="center"/>
          </w:tcPr>
          <w:p w14:paraId="000A5B2A">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避让□；减缓</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；生态修复□；生态补偿□；科研□；其他□</w:t>
            </w:r>
          </w:p>
        </w:tc>
      </w:tr>
      <w:tr w14:paraId="3157E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75921110">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776ED03E">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生态监测计划</w:t>
            </w:r>
          </w:p>
        </w:tc>
        <w:tc>
          <w:tcPr>
            <w:tcW w:w="3595" w:type="pct"/>
            <w:vAlign w:val="center"/>
          </w:tcPr>
          <w:p w14:paraId="1940C0A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全生命周期□；长期跟踪□；常规□；无□</w:t>
            </w:r>
          </w:p>
        </w:tc>
      </w:tr>
      <w:tr w14:paraId="6BC3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Merge w:val="continue"/>
            <w:vAlign w:val="center"/>
          </w:tcPr>
          <w:p w14:paraId="4C6C60B6">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08BD25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环境管理</w:t>
            </w:r>
          </w:p>
        </w:tc>
        <w:tc>
          <w:tcPr>
            <w:tcW w:w="3595" w:type="pct"/>
            <w:vAlign w:val="center"/>
          </w:tcPr>
          <w:p w14:paraId="3F7CF2A3">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环境监测□；环境影响后评价□；其他□；</w:t>
            </w:r>
          </w:p>
        </w:tc>
      </w:tr>
      <w:tr w14:paraId="77F49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pct"/>
            <w:vAlign w:val="center"/>
          </w:tcPr>
          <w:p w14:paraId="41738A35">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评价结论</w:t>
            </w:r>
          </w:p>
        </w:tc>
        <w:tc>
          <w:tcPr>
            <w:tcW w:w="820" w:type="pct"/>
            <w:vAlign w:val="center"/>
          </w:tcPr>
          <w:p w14:paraId="261085C8">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生态影响</w:t>
            </w:r>
          </w:p>
        </w:tc>
        <w:tc>
          <w:tcPr>
            <w:tcW w:w="3595" w:type="pct"/>
            <w:vAlign w:val="center"/>
          </w:tcPr>
          <w:p w14:paraId="6750F03B">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可行</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；不可行□</w:t>
            </w:r>
          </w:p>
        </w:tc>
      </w:tr>
      <w:tr w14:paraId="080D3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vAlign w:val="center"/>
          </w:tcPr>
          <w:p w14:paraId="1FFFC13C">
            <w:pPr>
              <w:pStyle w:val="19"/>
              <w:keepNext w:val="0"/>
              <w:keepLines w:val="0"/>
              <w:pageBreakBefore w:val="0"/>
              <w:widowControl w:val="0"/>
              <w:tabs>
                <w:tab w:val="left" w:pos="1119"/>
              </w:tabs>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注</w:t>
            </w:r>
            <w:r>
              <w:rPr>
                <w:rFonts w:hint="eastAsia" w:cs="Times New Roman"/>
                <w:color w:val="000000" w:themeColor="text1"/>
                <w:kern w:val="0"/>
                <w:sz w:val="21"/>
                <w:szCs w:val="21"/>
                <w:highlight w:val="none"/>
                <w14:textFill>
                  <w14:solidFill>
                    <w14:schemeClr w14:val="tx1"/>
                  </w14:solidFill>
                </w14:textFill>
              </w:rPr>
              <w:t>：“□”为勾选项，可√；“（   ）”为内容填写项。</w:t>
            </w:r>
          </w:p>
        </w:tc>
      </w:tr>
    </w:tbl>
    <w:p w14:paraId="56C260BA">
      <w:pPr>
        <w:pStyle w:val="27"/>
        <w:bidi w:val="0"/>
        <w:rPr>
          <w:rFonts w:hint="default"/>
          <w:lang w:val="en-US" w:eastAsia="zh-CN"/>
        </w:rPr>
      </w:pPr>
      <w:r>
        <w:rPr>
          <w:rFonts w:hint="default"/>
          <w:lang w:val="en-US" w:eastAsia="zh-CN"/>
        </w:rPr>
        <w:t>环境风险影响评价</w:t>
      </w:r>
    </w:p>
    <w:p w14:paraId="3D7991CD">
      <w:pPr>
        <w:bidi w:val="0"/>
        <w:rPr>
          <w:rFonts w:hint="default"/>
          <w:lang w:val="en-US" w:eastAsia="zh-CN"/>
        </w:rPr>
      </w:pPr>
      <w:r>
        <w:rPr>
          <w:rFonts w:hint="default"/>
          <w:lang w:val="en-US" w:eastAsia="zh-CN"/>
        </w:rPr>
        <w:t>根据原国家环保部《关于进一步加强环境影响评价管理防范环境风险的通知》（国家环保部环发〔2012〕77号）及生态环境部发布的《建设项目环境风险评价技术导则》（HJ169-2018）要求，对于涉及有毒有害和易燃易爆物质的生产、使用、储存（包括使用管线输运）的建设项目进行风险评价。</w:t>
      </w:r>
    </w:p>
    <w:p w14:paraId="09769F34">
      <w:pPr>
        <w:bidi w:val="0"/>
        <w:rPr>
          <w:rFonts w:hint="default"/>
          <w:lang w:val="en-US" w:eastAsia="zh-CN"/>
        </w:rPr>
      </w:pPr>
      <w:r>
        <w:rPr>
          <w:rFonts w:hint="default"/>
          <w:lang w:val="en-US" w:eastAsia="zh-CN"/>
        </w:rPr>
        <w:t>本次环境风险评价的目的在于识别物料生产、贮存、转运过程中的风险因素及可能诱发的环境问题，以突发性事故导致的危险物质环境急性损害防控为目标，对建设项目的环境风险进行分析、预测和评估，提出环境风险预防、控制、减缓措施，明确环境风险监控及应急建议要求，为建设项目环境风险防控提供科学依据，力求将建设项目的环境风险降至可防控水平。</w:t>
      </w:r>
    </w:p>
    <w:p w14:paraId="463067F1">
      <w:pPr>
        <w:pStyle w:val="28"/>
        <w:bidi w:val="0"/>
        <w:rPr>
          <w:rFonts w:hint="default"/>
          <w:lang w:val="en-US" w:eastAsia="zh-CN"/>
        </w:rPr>
      </w:pPr>
      <w:r>
        <w:rPr>
          <w:rFonts w:hint="eastAsia"/>
          <w:lang w:val="en-US" w:eastAsia="zh-CN"/>
        </w:rPr>
        <w:t>风险物质调查</w:t>
      </w:r>
    </w:p>
    <w:p w14:paraId="47EFFB75">
      <w:pPr>
        <w:bidi w:val="0"/>
        <w:rPr>
          <w:rFonts w:hint="eastAsia"/>
          <w:lang w:val="en-US" w:eastAsia="zh-CN"/>
        </w:rPr>
      </w:pPr>
      <w:r>
        <w:rPr>
          <w:rFonts w:hint="eastAsia"/>
          <w:lang w:val="en-US" w:eastAsia="zh-CN"/>
        </w:rPr>
        <w:t>根据前文工程分析内容，本项目所用到的原辅料主要为饲料、除臭剂、消毒液、医疗防疫药品等，燃料为生物质燃料均不属于</w:t>
      </w:r>
      <w:r>
        <w:rPr>
          <w:rFonts w:hint="default"/>
          <w:lang w:val="en-US" w:eastAsia="zh-CN"/>
        </w:rPr>
        <w:t>《建设项目环境风险评价技术导则》（HJ169-2018）</w:t>
      </w:r>
      <w:r>
        <w:rPr>
          <w:rFonts w:hint="eastAsia"/>
          <w:lang w:val="en-US" w:eastAsia="zh-CN"/>
        </w:rPr>
        <w:t>附录B中所列的风险物质，废气中含有的硫化氢、氨等经处理后达标排放，不属于风险物质。</w:t>
      </w:r>
    </w:p>
    <w:p w14:paraId="210F4719">
      <w:pPr>
        <w:bidi w:val="0"/>
        <w:rPr>
          <w:rFonts w:hint="eastAsia"/>
          <w:vertAlign w:val="baseline"/>
          <w:lang w:val="en-US" w:eastAsia="zh-CN"/>
        </w:rPr>
      </w:pPr>
      <w:r>
        <w:rPr>
          <w:rFonts w:hint="eastAsia"/>
          <w:lang w:val="en-US" w:eastAsia="zh-CN"/>
        </w:rPr>
        <w:t>废水厌氧发酵处置过程（UASB）中产生的沼气主要成份是甲烷，根据“表3.4-6   沼气特性参数一览表”中的数据，本项目沼气</w:t>
      </w:r>
      <w:r>
        <w:rPr>
          <w:rFonts w:hint="eastAsia"/>
          <w:vertAlign w:val="baseline"/>
          <w:lang w:val="en-US" w:eastAsia="zh-CN"/>
        </w:rPr>
        <w:t>密度为1.221kg/m</w:t>
      </w:r>
      <w:r>
        <w:rPr>
          <w:rFonts w:hint="eastAsia"/>
          <w:vertAlign w:val="superscript"/>
          <w:lang w:val="en-US" w:eastAsia="zh-CN"/>
        </w:rPr>
        <w:t>3</w:t>
      </w:r>
      <w:r>
        <w:rPr>
          <w:rFonts w:hint="eastAsia"/>
          <w:vertAlign w:val="baseline"/>
          <w:lang w:val="en-US" w:eastAsia="zh-CN"/>
        </w:rPr>
        <w:t>，甲烷含量为56%，设置的70m</w:t>
      </w:r>
      <w:r>
        <w:rPr>
          <w:rFonts w:hint="eastAsia"/>
          <w:vertAlign w:val="superscript"/>
          <w:lang w:val="en-US" w:eastAsia="zh-CN"/>
        </w:rPr>
        <w:t>3</w:t>
      </w:r>
      <w:r>
        <w:rPr>
          <w:rFonts w:hint="eastAsia"/>
          <w:vertAlign w:val="baseline"/>
          <w:lang w:val="en-US" w:eastAsia="zh-CN"/>
        </w:rPr>
        <w:t>容积的沼气缓冲罐暂存沼气，则本项目沼气的最大存在量为27.35kg。沼气的理化性质见表5.2-23。</w:t>
      </w:r>
    </w:p>
    <w:p w14:paraId="1C8E9465">
      <w:pPr>
        <w:pStyle w:val="2"/>
        <w:rPr>
          <w:rFonts w:hint="eastAsia"/>
          <w:lang w:val="en-US" w:eastAsia="zh-CN"/>
        </w:rPr>
      </w:pPr>
    </w:p>
    <w:p w14:paraId="4ACC2CCF">
      <w:pPr>
        <w:pStyle w:val="30"/>
        <w:bidi w:val="0"/>
        <w:rPr>
          <w:rFonts w:hint="eastAsia"/>
          <w:lang w:val="en-US" w:eastAsia="zh-CN"/>
        </w:rPr>
      </w:pPr>
      <w:r>
        <w:rPr>
          <w:rFonts w:hint="eastAsia"/>
          <w:lang w:val="en-US" w:eastAsia="zh-CN"/>
        </w:rPr>
        <w:t>表5.2-23   沼气理化性质及危险特性</w:t>
      </w:r>
    </w:p>
    <w:tbl>
      <w:tblPr>
        <w:tblStyle w:val="2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53"/>
        <w:gridCol w:w="1659"/>
        <w:gridCol w:w="1888"/>
        <w:gridCol w:w="4309"/>
      </w:tblGrid>
      <w:tr w14:paraId="03213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restart"/>
            <w:tcBorders>
              <w:bottom w:val="nil"/>
            </w:tcBorders>
            <w:vAlign w:val="center"/>
          </w:tcPr>
          <w:p w14:paraId="4A3D5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标识</w:t>
            </w:r>
          </w:p>
        </w:tc>
        <w:tc>
          <w:tcPr>
            <w:tcW w:w="0" w:type="auto"/>
            <w:gridSpan w:val="2"/>
            <w:vAlign w:val="center"/>
          </w:tcPr>
          <w:p w14:paraId="4250217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中文名：</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沼气</w:t>
            </w:r>
          </w:p>
        </w:tc>
        <w:tc>
          <w:tcPr>
            <w:tcW w:w="0" w:type="auto"/>
            <w:vAlign w:val="center"/>
          </w:tcPr>
          <w:p w14:paraId="4BC4B6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英文名：</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Natural gas</w:t>
            </w:r>
          </w:p>
        </w:tc>
      </w:tr>
      <w:tr w14:paraId="665C7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0EFBE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38FB16D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分子式：</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CH</w:t>
            </w:r>
            <w:r>
              <w:rPr>
                <w:rFonts w:hint="eastAsia" w:ascii="Times New Roman" w:hAnsi="Times New Roman" w:cs="宋体"/>
                <w:b w:val="0"/>
                <w:bCs w:val="0"/>
                <w:color w:val="000000" w:themeColor="text1"/>
                <w:kern w:val="0"/>
                <w:sz w:val="21"/>
                <w:szCs w:val="21"/>
                <w:highlight w:val="none"/>
                <w:vertAlign w:val="subscript"/>
                <w:lang w:val="en-US" w:eastAsia="zh-CN"/>
                <w14:textFill>
                  <w14:solidFill>
                    <w14:schemeClr w14:val="tx1"/>
                  </w14:solidFill>
                </w14:textFill>
              </w:rPr>
              <w:t>4</w:t>
            </w:r>
          </w:p>
        </w:tc>
        <w:tc>
          <w:tcPr>
            <w:tcW w:w="0" w:type="auto"/>
            <w:vAlign w:val="center"/>
          </w:tcPr>
          <w:p w14:paraId="30F378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分子量：</w:t>
            </w:r>
          </w:p>
        </w:tc>
      </w:tr>
      <w:tr w14:paraId="25079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tcBorders>
            <w:vAlign w:val="center"/>
          </w:tcPr>
          <w:p w14:paraId="6CCC1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vAlign w:val="center"/>
          </w:tcPr>
          <w:p w14:paraId="5E4C6B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危规号：</w:t>
            </w:r>
          </w:p>
        </w:tc>
        <w:tc>
          <w:tcPr>
            <w:tcW w:w="0" w:type="auto"/>
            <w:vAlign w:val="center"/>
          </w:tcPr>
          <w:p w14:paraId="6489E3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UN编号：</w:t>
            </w:r>
          </w:p>
        </w:tc>
        <w:tc>
          <w:tcPr>
            <w:tcW w:w="0" w:type="auto"/>
            <w:vAlign w:val="center"/>
          </w:tcPr>
          <w:p w14:paraId="1D5DB9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CAS号：</w:t>
            </w:r>
          </w:p>
        </w:tc>
      </w:tr>
      <w:tr w14:paraId="369DD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restart"/>
            <w:tcBorders>
              <w:bottom w:val="nil"/>
            </w:tcBorders>
            <w:vAlign w:val="center"/>
          </w:tcPr>
          <w:p w14:paraId="5C6A8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理化性质</w:t>
            </w:r>
          </w:p>
        </w:tc>
        <w:tc>
          <w:tcPr>
            <w:tcW w:w="0" w:type="auto"/>
            <w:gridSpan w:val="2"/>
            <w:vAlign w:val="center"/>
          </w:tcPr>
          <w:p w14:paraId="612D72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外观与形状：</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无色无臭气体</w:t>
            </w:r>
          </w:p>
        </w:tc>
        <w:tc>
          <w:tcPr>
            <w:tcW w:w="0" w:type="auto"/>
            <w:vAlign w:val="center"/>
          </w:tcPr>
          <w:p w14:paraId="3947C9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溶解性：</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微</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溶于水，溶于</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乙</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醇、</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乙醚</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w:t>
            </w:r>
          </w:p>
        </w:tc>
      </w:tr>
      <w:tr w14:paraId="6D649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598E5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55ECFA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熔点(℃)：</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0" w:type="auto"/>
            <w:vAlign w:val="center"/>
          </w:tcPr>
          <w:p w14:paraId="1026AD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沸点(℃)：</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-160</w:t>
            </w:r>
          </w:p>
        </w:tc>
      </w:tr>
      <w:tr w14:paraId="23A5F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41D12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64BA42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相对密度：</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约 0.45(液化，水=1）</w:t>
            </w:r>
          </w:p>
        </w:tc>
        <w:tc>
          <w:tcPr>
            <w:tcW w:w="0" w:type="auto"/>
            <w:vAlign w:val="center"/>
          </w:tcPr>
          <w:p w14:paraId="5538F0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相对密度：</w:t>
            </w:r>
            <w:r>
              <w:rPr>
                <w:rFonts w:hint="eastAsia" w:cs="宋体"/>
                <w:b w:val="0"/>
                <w:bCs w:val="0"/>
                <w:color w:val="000000" w:themeColor="text1"/>
                <w:kern w:val="0"/>
                <w:sz w:val="21"/>
                <w:szCs w:val="21"/>
                <w:highlight w:val="none"/>
                <w:lang w:val="en-US" w:eastAsia="zh-CN"/>
                <w14:textFill>
                  <w14:solidFill>
                    <w14:schemeClr w14:val="tx1"/>
                  </w14:solidFill>
                </w14:textFill>
              </w:rPr>
              <w:t>1.221</w:t>
            </w:r>
          </w:p>
        </w:tc>
      </w:tr>
      <w:tr w14:paraId="50391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22F77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4BF5B5A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饱和蒸气压（kPa）</w:t>
            </w:r>
          </w:p>
        </w:tc>
        <w:tc>
          <w:tcPr>
            <w:tcW w:w="0" w:type="auto"/>
            <w:vAlign w:val="center"/>
          </w:tcPr>
          <w:p w14:paraId="4D265C9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禁忌物：</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强氧化剂、氟、氯</w:t>
            </w:r>
          </w:p>
        </w:tc>
      </w:tr>
      <w:tr w14:paraId="20CA8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048AA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2F2FF5A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临界压力（MPa）</w:t>
            </w:r>
          </w:p>
        </w:tc>
        <w:tc>
          <w:tcPr>
            <w:tcW w:w="0" w:type="auto"/>
            <w:vAlign w:val="center"/>
          </w:tcPr>
          <w:p w14:paraId="1A3096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临界温度(℃)：</w:t>
            </w:r>
          </w:p>
        </w:tc>
      </w:tr>
      <w:tr w14:paraId="2B753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tcBorders>
            <w:vAlign w:val="center"/>
          </w:tcPr>
          <w:p w14:paraId="0475F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38FD3C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稳定性：</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 xml:space="preserve">稳定 </w:t>
            </w:r>
          </w:p>
        </w:tc>
        <w:tc>
          <w:tcPr>
            <w:tcW w:w="0" w:type="auto"/>
            <w:vAlign w:val="center"/>
          </w:tcPr>
          <w:p w14:paraId="5ACE83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聚合危害：无资料</w:t>
            </w:r>
          </w:p>
        </w:tc>
      </w:tr>
      <w:tr w14:paraId="64A93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restart"/>
            <w:tcBorders>
              <w:bottom w:val="nil"/>
            </w:tcBorders>
            <w:vAlign w:val="center"/>
          </w:tcPr>
          <w:p w14:paraId="18CAF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危险特性</w:t>
            </w:r>
          </w:p>
        </w:tc>
        <w:tc>
          <w:tcPr>
            <w:tcW w:w="0" w:type="auto"/>
            <w:gridSpan w:val="2"/>
            <w:vAlign w:val="center"/>
          </w:tcPr>
          <w:p w14:paraId="1915CB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危险性类别：第</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2.1</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类</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易燃气体</w:t>
            </w:r>
          </w:p>
        </w:tc>
        <w:tc>
          <w:tcPr>
            <w:tcW w:w="0" w:type="auto"/>
            <w:vAlign w:val="center"/>
          </w:tcPr>
          <w:p w14:paraId="49A1E50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燃烧性：</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可</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w:t>
            </w:r>
          </w:p>
        </w:tc>
      </w:tr>
      <w:tr w14:paraId="15EE6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66D2C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0CCDAF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引燃温度(℃)：</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482-632</w:t>
            </w:r>
          </w:p>
        </w:tc>
        <w:tc>
          <w:tcPr>
            <w:tcW w:w="0" w:type="auto"/>
            <w:vAlign w:val="center"/>
          </w:tcPr>
          <w:p w14:paraId="3E1E07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闪点(℃)：</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39</w:t>
            </w:r>
          </w:p>
        </w:tc>
      </w:tr>
      <w:tr w14:paraId="1C17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43786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6EF60B0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爆炸下限（%）：</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5</w:t>
            </w:r>
          </w:p>
        </w:tc>
        <w:tc>
          <w:tcPr>
            <w:tcW w:w="0" w:type="auto"/>
            <w:vAlign w:val="center"/>
          </w:tcPr>
          <w:p w14:paraId="5BF0069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爆炸上限（%）：</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14</w:t>
            </w:r>
          </w:p>
        </w:tc>
      </w:tr>
      <w:tr w14:paraId="0072B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20E11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7F585BA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最小点火能（MJ）：</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0" w:type="auto"/>
            <w:vAlign w:val="center"/>
          </w:tcPr>
          <w:p w14:paraId="04637E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最大爆炸压力（MPa）：</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r>
      <w:tr w14:paraId="68E34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01E4D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2"/>
            <w:vAlign w:val="center"/>
          </w:tcPr>
          <w:p w14:paraId="42D72AA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燃烧热：</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0" w:type="auto"/>
            <w:vAlign w:val="center"/>
          </w:tcPr>
          <w:p w14:paraId="156BE8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燃烧（分解）产物：</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一氧化碳、二氧化碳</w:t>
            </w:r>
          </w:p>
        </w:tc>
      </w:tr>
      <w:tr w14:paraId="1502F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17AE2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3"/>
            <w:vAlign w:val="center"/>
          </w:tcPr>
          <w:p w14:paraId="23CE961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危险特性：</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易燃，加热车 100C时即猛烈分解，遇火或受热、受震都可起爆。与还原剂、促进剂、有机物、可燃物等接触剧烈反应，有燃烧爆炸的危险。有强腐蚀性。</w:t>
            </w:r>
          </w:p>
        </w:tc>
      </w:tr>
      <w:tr w14:paraId="4EFE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nil"/>
            </w:tcBorders>
            <w:vAlign w:val="center"/>
          </w:tcPr>
          <w:p w14:paraId="35B41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3"/>
            <w:vAlign w:val="center"/>
          </w:tcPr>
          <w:p w14:paraId="06B31AF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灭火方法：</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切断气源。若不能切断气源，则不允许熄灭泄漏处的火焰。喷水冷却容器，可能的话将容器从火场移至空旷处。灭火剂:雾状水、泡沫、二氧化碳、干粉。</w:t>
            </w:r>
          </w:p>
        </w:tc>
      </w:tr>
      <w:tr w14:paraId="080F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top w:val="nil"/>
              <w:bottom w:val="single" w:color="auto" w:sz="4" w:space="0"/>
            </w:tcBorders>
            <w:vAlign w:val="center"/>
          </w:tcPr>
          <w:p w14:paraId="02EF9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0" w:type="auto"/>
            <w:gridSpan w:val="3"/>
            <w:tcBorders>
              <w:bottom w:val="single" w:color="auto" w:sz="4" w:space="0"/>
            </w:tcBorders>
            <w:vAlign w:val="center"/>
          </w:tcPr>
          <w:p w14:paraId="500B9E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灭火剂：雾状水、抗溶性泡沫、二氧化碳、砂土</w:t>
            </w:r>
          </w:p>
        </w:tc>
      </w:tr>
      <w:tr w14:paraId="64590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restart"/>
            <w:tcBorders>
              <w:top w:val="single" w:color="auto" w:sz="4" w:space="0"/>
              <w:left w:val="single" w:color="auto" w:sz="4" w:space="0"/>
              <w:right w:val="single" w:color="auto" w:sz="4" w:space="0"/>
            </w:tcBorders>
            <w:vAlign w:val="center"/>
          </w:tcPr>
          <w:p w14:paraId="51BDE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健康危害</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1084DF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侵入途径：吸入</w:t>
            </w:r>
          </w:p>
        </w:tc>
      </w:tr>
      <w:tr w14:paraId="027E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left w:val="single" w:color="auto" w:sz="4" w:space="0"/>
              <w:right w:val="single" w:color="auto" w:sz="4" w:space="0"/>
            </w:tcBorders>
            <w:vAlign w:val="center"/>
          </w:tcPr>
          <w:p w14:paraId="3C326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0" w:type="auto"/>
            <w:gridSpan w:val="3"/>
            <w:tcBorders>
              <w:top w:val="single" w:color="auto" w:sz="4" w:space="0"/>
              <w:left w:val="single" w:color="auto" w:sz="4" w:space="0"/>
              <w:bottom w:val="single" w:color="auto" w:sz="4" w:space="0"/>
              <w:right w:val="single" w:color="auto" w:sz="4" w:space="0"/>
            </w:tcBorders>
            <w:vAlign w:val="center"/>
          </w:tcPr>
          <w:p w14:paraId="546049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健康危害：</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急性中毒时，可有头昏、头痛、呕吐、乏力甚至昏迷。病程中尚可出现精神症状，步态不稳，昏迷过程久者，醒后可有运动性失语及偏疵。长期接触天然气者，可出现神经衰弱综合征。</w:t>
            </w:r>
          </w:p>
        </w:tc>
      </w:tr>
      <w:tr w14:paraId="64844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left w:val="single" w:color="auto" w:sz="4" w:space="0"/>
              <w:right w:val="single" w:color="auto" w:sz="4" w:space="0"/>
            </w:tcBorders>
            <w:vAlign w:val="center"/>
          </w:tcPr>
          <w:p w14:paraId="01A06F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0" w:type="auto"/>
            <w:gridSpan w:val="3"/>
            <w:tcBorders>
              <w:top w:val="single" w:color="auto" w:sz="4" w:space="0"/>
              <w:left w:val="single" w:color="auto" w:sz="4" w:space="0"/>
              <w:bottom w:val="single" w:color="auto" w:sz="4" w:space="0"/>
              <w:right w:val="single" w:color="auto" w:sz="4" w:space="0"/>
            </w:tcBorders>
            <w:vAlign w:val="center"/>
          </w:tcPr>
          <w:p w14:paraId="615712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工作场所最高允许浓度：</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；前苏联</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r>
      <w:tr w14:paraId="62F75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vMerge w:val="continue"/>
            <w:tcBorders>
              <w:left w:val="single" w:color="auto" w:sz="4" w:space="0"/>
              <w:bottom w:val="single" w:color="auto" w:sz="4" w:space="0"/>
              <w:right w:val="single" w:color="auto" w:sz="4" w:space="0"/>
            </w:tcBorders>
            <w:vAlign w:val="center"/>
          </w:tcPr>
          <w:p w14:paraId="5A316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0" w:type="auto"/>
            <w:gridSpan w:val="3"/>
            <w:tcBorders>
              <w:top w:val="single" w:color="auto" w:sz="4" w:space="0"/>
              <w:left w:val="single" w:color="auto" w:sz="4" w:space="0"/>
              <w:bottom w:val="single" w:color="auto" w:sz="4" w:space="0"/>
              <w:right w:val="single" w:color="auto" w:sz="4" w:space="0"/>
            </w:tcBorders>
            <w:vAlign w:val="center"/>
          </w:tcPr>
          <w:p w14:paraId="69E36E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LD50：</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LC50：</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r>
    </w:tbl>
    <w:p w14:paraId="476B6660">
      <w:pPr>
        <w:pStyle w:val="28"/>
        <w:bidi w:val="0"/>
        <w:rPr>
          <w:rFonts w:hint="default"/>
          <w:lang w:val="en-US" w:eastAsia="zh-CN"/>
        </w:rPr>
      </w:pPr>
      <w:r>
        <w:rPr>
          <w:rFonts w:hint="eastAsia"/>
          <w:lang w:val="en-US" w:eastAsia="zh-CN"/>
        </w:rPr>
        <w:t>环境风险评价等级判定</w:t>
      </w:r>
    </w:p>
    <w:p w14:paraId="57048F2F">
      <w:pPr>
        <w:bidi w:val="0"/>
        <w:rPr>
          <w:rFonts w:hint="default"/>
          <w:lang w:val="en-US" w:eastAsia="zh-CN"/>
        </w:rPr>
      </w:pPr>
      <w:r>
        <w:rPr>
          <w:rFonts w:hint="eastAsia"/>
          <w:lang w:val="en-US" w:eastAsia="zh-CN"/>
        </w:rPr>
        <w:t>（1）</w:t>
      </w:r>
      <w:r>
        <w:rPr>
          <w:color w:val="000000" w:themeColor="text1"/>
          <w:highlight w:val="none"/>
          <w14:textFill>
            <w14:solidFill>
              <w14:schemeClr w14:val="tx1"/>
            </w14:solidFill>
          </w14:textFill>
        </w:rPr>
        <w:t>危险物质数量与临界量比值（Q）</w:t>
      </w:r>
    </w:p>
    <w:p w14:paraId="56EDA84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项目危险物质数量与临界量比值（Q）计算结果，见表5.2-</w:t>
      </w:r>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w:t>
      </w:r>
    </w:p>
    <w:p w14:paraId="7DA3F715">
      <w:pPr>
        <w:pStyle w:val="30"/>
        <w:bidi w:val="0"/>
      </w:pPr>
      <w:r>
        <w:t>表5.2-</w:t>
      </w:r>
      <w:r>
        <w:rPr>
          <w:rFonts w:hint="eastAsia"/>
          <w:lang w:val="en-US" w:eastAsia="zh-CN"/>
        </w:rPr>
        <w:t xml:space="preserve">24 </w:t>
      </w:r>
      <w:r>
        <w:t xml:space="preserve">  项目危险物质数量与临界量比值（Q）计算结果一览表</w:t>
      </w:r>
    </w:p>
    <w:tbl>
      <w:tblPr>
        <w:tblStyle w:val="29"/>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534"/>
        <w:gridCol w:w="1159"/>
        <w:gridCol w:w="1843"/>
        <w:gridCol w:w="1276"/>
        <w:gridCol w:w="991"/>
        <w:gridCol w:w="1046"/>
      </w:tblGrid>
      <w:tr w14:paraId="64E91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78" w:type="dxa"/>
            <w:vAlign w:val="center"/>
          </w:tcPr>
          <w:p w14:paraId="48A2E36F">
            <w:pPr>
              <w:pStyle w:val="19"/>
              <w:bidi w:val="0"/>
              <w:jc w:val="center"/>
            </w:pPr>
            <w:r>
              <w:t>序号</w:t>
            </w:r>
          </w:p>
        </w:tc>
        <w:tc>
          <w:tcPr>
            <w:tcW w:w="1534" w:type="dxa"/>
            <w:vAlign w:val="center"/>
          </w:tcPr>
          <w:p w14:paraId="1320292B">
            <w:pPr>
              <w:pStyle w:val="19"/>
              <w:bidi w:val="0"/>
              <w:jc w:val="center"/>
            </w:pPr>
            <w:r>
              <w:t>危险物质名称</w:t>
            </w:r>
          </w:p>
        </w:tc>
        <w:tc>
          <w:tcPr>
            <w:tcW w:w="1159" w:type="dxa"/>
            <w:vAlign w:val="center"/>
          </w:tcPr>
          <w:p w14:paraId="7F52F1D4">
            <w:pPr>
              <w:pStyle w:val="19"/>
              <w:bidi w:val="0"/>
              <w:jc w:val="center"/>
            </w:pPr>
            <w:r>
              <w:t>CAS号</w:t>
            </w:r>
          </w:p>
        </w:tc>
        <w:tc>
          <w:tcPr>
            <w:tcW w:w="1843" w:type="dxa"/>
            <w:vAlign w:val="center"/>
          </w:tcPr>
          <w:p w14:paraId="3D62F9E5">
            <w:pPr>
              <w:pStyle w:val="19"/>
              <w:bidi w:val="0"/>
              <w:jc w:val="center"/>
            </w:pPr>
            <w:r>
              <w:t>最大存在总量qn/t</w:t>
            </w:r>
          </w:p>
        </w:tc>
        <w:tc>
          <w:tcPr>
            <w:tcW w:w="1276" w:type="dxa"/>
            <w:vAlign w:val="center"/>
          </w:tcPr>
          <w:p w14:paraId="7282A7E7">
            <w:pPr>
              <w:pStyle w:val="19"/>
              <w:bidi w:val="0"/>
              <w:jc w:val="center"/>
            </w:pPr>
            <w:r>
              <w:t>临界量Qn/t</w:t>
            </w:r>
          </w:p>
        </w:tc>
        <w:tc>
          <w:tcPr>
            <w:tcW w:w="991" w:type="dxa"/>
            <w:vAlign w:val="center"/>
          </w:tcPr>
          <w:p w14:paraId="03492CDA">
            <w:pPr>
              <w:pStyle w:val="19"/>
              <w:bidi w:val="0"/>
              <w:jc w:val="center"/>
            </w:pPr>
            <w:r>
              <w:t>qn/Qn值</w:t>
            </w:r>
          </w:p>
        </w:tc>
        <w:tc>
          <w:tcPr>
            <w:tcW w:w="1046" w:type="dxa"/>
            <w:vAlign w:val="center"/>
          </w:tcPr>
          <w:p w14:paraId="0D05C342">
            <w:pPr>
              <w:pStyle w:val="19"/>
              <w:bidi w:val="0"/>
              <w:jc w:val="center"/>
            </w:pPr>
            <w:r>
              <w:t>Q值划分</w:t>
            </w:r>
          </w:p>
        </w:tc>
      </w:tr>
      <w:tr w14:paraId="7B6AC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78" w:type="dxa"/>
            <w:vAlign w:val="center"/>
          </w:tcPr>
          <w:p w14:paraId="190CCCB4">
            <w:pPr>
              <w:pStyle w:val="19"/>
              <w:bidi w:val="0"/>
              <w:jc w:val="center"/>
              <w:rPr>
                <w:rFonts w:hint="eastAsia"/>
                <w:lang w:val="en-US" w:eastAsia="zh-CN"/>
              </w:rPr>
            </w:pPr>
            <w:r>
              <w:rPr>
                <w:rFonts w:hint="eastAsia"/>
                <w:lang w:val="en-US" w:eastAsia="zh-CN"/>
              </w:rPr>
              <w:t>1</w:t>
            </w:r>
          </w:p>
        </w:tc>
        <w:tc>
          <w:tcPr>
            <w:tcW w:w="1534" w:type="dxa"/>
            <w:shd w:val="clear" w:color="auto" w:fill="auto"/>
            <w:vAlign w:val="center"/>
          </w:tcPr>
          <w:p w14:paraId="70B86AD6">
            <w:pPr>
              <w:pStyle w:val="19"/>
              <w:bidi w:val="0"/>
              <w:jc w:val="center"/>
              <w:rPr>
                <w:rFonts w:hint="eastAsia"/>
                <w:lang w:val="en-US" w:eastAsia="zh-CN"/>
              </w:rPr>
            </w:pPr>
            <w:r>
              <w:rPr>
                <w:rFonts w:hint="eastAsia"/>
                <w:lang w:val="en-US" w:eastAsia="zh-CN"/>
              </w:rPr>
              <w:t>沼气（甲烷）</w:t>
            </w:r>
          </w:p>
        </w:tc>
        <w:tc>
          <w:tcPr>
            <w:tcW w:w="1159" w:type="dxa"/>
            <w:shd w:val="clear" w:color="auto" w:fill="auto"/>
            <w:vAlign w:val="center"/>
          </w:tcPr>
          <w:p w14:paraId="7CC18DB3">
            <w:pPr>
              <w:pStyle w:val="19"/>
              <w:bidi w:val="0"/>
              <w:jc w:val="center"/>
              <w:rPr>
                <w:rFonts w:hint="default"/>
                <w:lang w:val="en-US" w:eastAsia="zh-CN"/>
              </w:rPr>
            </w:pPr>
            <w:r>
              <w:rPr>
                <w:rFonts w:hint="eastAsia"/>
                <w:lang w:val="en-US" w:eastAsia="zh-CN"/>
              </w:rPr>
              <w:t>74-82-8</w:t>
            </w:r>
          </w:p>
        </w:tc>
        <w:tc>
          <w:tcPr>
            <w:tcW w:w="1843" w:type="dxa"/>
            <w:shd w:val="clear" w:color="auto" w:fill="auto"/>
            <w:vAlign w:val="center"/>
          </w:tcPr>
          <w:p w14:paraId="4AE38CAC">
            <w:pPr>
              <w:pStyle w:val="19"/>
              <w:bidi w:val="0"/>
              <w:jc w:val="center"/>
              <w:rPr>
                <w:rFonts w:hint="default"/>
                <w:lang w:val="en-US" w:eastAsia="zh-CN"/>
              </w:rPr>
            </w:pPr>
            <w:r>
              <w:rPr>
                <w:rFonts w:hint="eastAsia"/>
                <w:lang w:val="en-US" w:eastAsia="zh-CN"/>
              </w:rPr>
              <w:t>0.023</w:t>
            </w:r>
          </w:p>
        </w:tc>
        <w:tc>
          <w:tcPr>
            <w:tcW w:w="1276" w:type="dxa"/>
            <w:shd w:val="clear" w:color="auto" w:fill="auto"/>
            <w:vAlign w:val="center"/>
          </w:tcPr>
          <w:p w14:paraId="6FEEAC8B">
            <w:pPr>
              <w:pStyle w:val="19"/>
              <w:bidi w:val="0"/>
              <w:jc w:val="center"/>
              <w:rPr>
                <w:rFonts w:hint="default"/>
                <w:lang w:val="en-US" w:eastAsia="zh-CN"/>
              </w:rPr>
            </w:pPr>
            <w:r>
              <w:rPr>
                <w:rFonts w:hint="eastAsia"/>
                <w:lang w:val="en-US" w:eastAsia="zh-CN"/>
              </w:rPr>
              <w:t>10</w:t>
            </w:r>
          </w:p>
        </w:tc>
        <w:tc>
          <w:tcPr>
            <w:tcW w:w="991" w:type="dxa"/>
            <w:shd w:val="clear" w:color="auto" w:fill="auto"/>
            <w:vAlign w:val="center"/>
          </w:tcPr>
          <w:p w14:paraId="6AAD95F1">
            <w:pPr>
              <w:pStyle w:val="19"/>
              <w:bidi w:val="0"/>
              <w:jc w:val="center"/>
              <w:rPr>
                <w:rFonts w:hint="default"/>
                <w:lang w:val="en-US" w:eastAsia="zh-CN"/>
              </w:rPr>
            </w:pPr>
            <w:r>
              <w:rPr>
                <w:rFonts w:hint="eastAsia"/>
                <w:lang w:val="en-US" w:eastAsia="zh-CN"/>
              </w:rPr>
              <w:t>0.0023</w:t>
            </w:r>
          </w:p>
        </w:tc>
        <w:tc>
          <w:tcPr>
            <w:tcW w:w="1046" w:type="dxa"/>
            <w:shd w:val="clear" w:color="auto" w:fill="auto"/>
            <w:vAlign w:val="center"/>
          </w:tcPr>
          <w:p w14:paraId="06F31D32">
            <w:pPr>
              <w:pStyle w:val="19"/>
              <w:bidi w:val="0"/>
              <w:jc w:val="center"/>
              <w:rPr>
                <w:rFonts w:hint="eastAsia"/>
                <w:lang w:val="en-US" w:eastAsia="zh-CN"/>
              </w:rPr>
            </w:pPr>
            <w:r>
              <w:rPr>
                <w:rFonts w:hint="eastAsia"/>
                <w:lang w:val="en-US" w:eastAsia="zh-CN"/>
              </w:rPr>
              <w:t>/</w:t>
            </w:r>
          </w:p>
        </w:tc>
      </w:tr>
      <w:tr w14:paraId="25EFD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78" w:type="dxa"/>
            <w:vAlign w:val="center"/>
          </w:tcPr>
          <w:p w14:paraId="159C6E11">
            <w:pPr>
              <w:pStyle w:val="19"/>
              <w:bidi w:val="0"/>
              <w:jc w:val="center"/>
              <w:rPr>
                <w:rFonts w:hint="default"/>
                <w:lang w:val="en-US" w:eastAsia="zh-CN"/>
              </w:rPr>
            </w:pPr>
            <w:r>
              <w:rPr>
                <w:rFonts w:hint="eastAsia"/>
                <w:lang w:val="en-US" w:eastAsia="zh-CN"/>
              </w:rPr>
              <w:t>2</w:t>
            </w:r>
          </w:p>
        </w:tc>
        <w:tc>
          <w:tcPr>
            <w:tcW w:w="2693" w:type="dxa"/>
            <w:gridSpan w:val="2"/>
            <w:shd w:val="clear" w:color="auto" w:fill="auto"/>
            <w:vAlign w:val="center"/>
          </w:tcPr>
          <w:p w14:paraId="5C1E42B9">
            <w:pPr>
              <w:pStyle w:val="19"/>
              <w:bidi w:val="0"/>
              <w:jc w:val="center"/>
              <w:rPr>
                <w:rFonts w:hint="eastAsia"/>
                <w:lang w:val="en-US" w:eastAsia="zh-CN"/>
              </w:rPr>
            </w:pPr>
            <w:r>
              <w:rPr>
                <w:rFonts w:hint="eastAsia"/>
                <w:lang w:val="en-US" w:eastAsia="zh-CN"/>
              </w:rPr>
              <w:t>总计</w:t>
            </w:r>
          </w:p>
        </w:tc>
        <w:tc>
          <w:tcPr>
            <w:tcW w:w="1843" w:type="dxa"/>
            <w:shd w:val="clear" w:color="auto" w:fill="auto"/>
            <w:vAlign w:val="center"/>
          </w:tcPr>
          <w:p w14:paraId="0C73485C">
            <w:pPr>
              <w:pStyle w:val="19"/>
              <w:bidi w:val="0"/>
              <w:jc w:val="center"/>
              <w:rPr>
                <w:rFonts w:hint="default"/>
                <w:lang w:val="en-US" w:eastAsia="zh-CN"/>
              </w:rPr>
            </w:pPr>
            <w:r>
              <w:rPr>
                <w:rFonts w:hint="eastAsia"/>
                <w:lang w:val="en-US" w:eastAsia="zh-CN"/>
              </w:rPr>
              <w:t>0.023</w:t>
            </w:r>
          </w:p>
        </w:tc>
        <w:tc>
          <w:tcPr>
            <w:tcW w:w="1276" w:type="dxa"/>
            <w:shd w:val="clear" w:color="auto" w:fill="auto"/>
            <w:vAlign w:val="center"/>
          </w:tcPr>
          <w:p w14:paraId="5CC9421E">
            <w:pPr>
              <w:pStyle w:val="19"/>
              <w:bidi w:val="0"/>
              <w:jc w:val="center"/>
              <w:rPr>
                <w:rFonts w:hint="default"/>
                <w:lang w:val="en-US" w:eastAsia="zh-CN"/>
              </w:rPr>
            </w:pPr>
            <w:r>
              <w:rPr>
                <w:rFonts w:hint="eastAsia"/>
                <w:lang w:val="en-US" w:eastAsia="zh-CN"/>
              </w:rPr>
              <w:t>10</w:t>
            </w:r>
          </w:p>
        </w:tc>
        <w:tc>
          <w:tcPr>
            <w:tcW w:w="991" w:type="dxa"/>
            <w:shd w:val="clear" w:color="auto" w:fill="auto"/>
            <w:vAlign w:val="center"/>
          </w:tcPr>
          <w:p w14:paraId="700BFA93">
            <w:pPr>
              <w:pStyle w:val="19"/>
              <w:bidi w:val="0"/>
              <w:jc w:val="center"/>
              <w:rPr>
                <w:rFonts w:hint="default"/>
                <w:lang w:val="en-US" w:eastAsia="zh-CN"/>
              </w:rPr>
            </w:pPr>
            <w:r>
              <w:rPr>
                <w:rFonts w:hint="eastAsia"/>
                <w:lang w:val="en-US" w:eastAsia="zh-CN"/>
              </w:rPr>
              <w:t>0.0023</w:t>
            </w:r>
          </w:p>
        </w:tc>
        <w:tc>
          <w:tcPr>
            <w:tcW w:w="1046" w:type="dxa"/>
            <w:shd w:val="clear" w:color="auto" w:fill="auto"/>
            <w:vAlign w:val="center"/>
          </w:tcPr>
          <w:p w14:paraId="1C966BC3">
            <w:pPr>
              <w:pStyle w:val="19"/>
              <w:bidi w:val="0"/>
              <w:jc w:val="center"/>
            </w:pPr>
            <w:r>
              <w:t>Q＜1</w:t>
            </w:r>
          </w:p>
        </w:tc>
      </w:tr>
    </w:tbl>
    <w:p w14:paraId="7C60DA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根据上表可知，本项目Q值划分为Q＜1，项目环境风险潜势为Ⅰ。</w:t>
      </w:r>
    </w:p>
    <w:p w14:paraId="7D5EF655">
      <w:pPr>
        <w:bidi w:val="0"/>
        <w:rPr>
          <w:rFonts w:hint="default"/>
          <w:lang w:val="en-US" w:eastAsia="zh-CN"/>
        </w:rPr>
      </w:pPr>
      <w:r>
        <w:rPr>
          <w:rFonts w:hint="eastAsia"/>
          <w:lang w:val="en-US" w:eastAsia="zh-CN"/>
        </w:rPr>
        <w:t>（2）环境风险评价等级</w:t>
      </w:r>
    </w:p>
    <w:p w14:paraId="6BC0205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按照《建设项目环境风险评价技术导则》（HJ169-2018）要求，Q＜1时，风险潜势为I，进行简单分析。故大气、地表水、地下水评价等级为简单分析。</w:t>
      </w:r>
    </w:p>
    <w:p w14:paraId="63C1EAAD">
      <w:pPr>
        <w:bidi w:val="0"/>
        <w:rPr>
          <w:rFonts w:hint="default"/>
          <w:lang w:val="en-US" w:eastAsia="zh-CN"/>
        </w:rPr>
      </w:pPr>
      <w:r>
        <w:rPr>
          <w:color w:val="000000" w:themeColor="text1"/>
          <w:highlight w:val="none"/>
          <w14:textFill>
            <w14:solidFill>
              <w14:schemeClr w14:val="tx1"/>
            </w14:solidFill>
          </w14:textFill>
        </w:rPr>
        <w:t>根据以上分析，确定本工程大气环境风险评价等级为简单分析，地表水环境风险评价等级为简单分析，地下水环境风险评价等级为简单分析，综上所述，本项目风险评价等级为简单分析。</w:t>
      </w:r>
    </w:p>
    <w:p w14:paraId="3C08F39C">
      <w:pPr>
        <w:pStyle w:val="28"/>
        <w:bidi w:val="0"/>
        <w:rPr>
          <w:rFonts w:hint="default"/>
          <w:lang w:val="en-US" w:eastAsia="zh-CN"/>
        </w:rPr>
      </w:pPr>
      <w:r>
        <w:t>环境敏感目标概况</w:t>
      </w:r>
    </w:p>
    <w:p w14:paraId="693FE9FA">
      <w:pPr>
        <w:bidi w:val="0"/>
        <w:rPr>
          <w:rFonts w:hint="default"/>
          <w:lang w:val="en-US" w:eastAsia="zh-CN"/>
        </w:rPr>
      </w:pPr>
      <w:r>
        <w:rPr>
          <w:rFonts w:hint="default"/>
          <w:lang w:val="en-US" w:eastAsia="zh-CN"/>
        </w:rPr>
        <w:t>经调查，项目场址边界外延500m范围内，无环境敏感目标。</w:t>
      </w:r>
    </w:p>
    <w:p w14:paraId="5E890E7A">
      <w:pPr>
        <w:pStyle w:val="28"/>
        <w:bidi w:val="0"/>
        <w:rPr>
          <w:rFonts w:hint="default"/>
          <w:lang w:val="en-US" w:eastAsia="zh-CN"/>
        </w:rPr>
      </w:pPr>
      <w:r>
        <w:rPr>
          <w:rFonts w:hint="eastAsia"/>
          <w:lang w:val="en-US" w:eastAsia="zh-CN"/>
        </w:rPr>
        <w:t>环境风险识别</w:t>
      </w:r>
    </w:p>
    <w:p w14:paraId="52DA20A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（1）物质危险性识别</w:t>
      </w:r>
    </w:p>
    <w:p w14:paraId="7014ABE8">
      <w:pPr>
        <w:kinsoku/>
        <w:autoSpaceDE/>
        <w:autoSpaceDN/>
        <w:bidi w:val="0"/>
        <w:spacing w:line="360" w:lineRule="auto"/>
        <w:ind w:firstLine="480" w:firstLineChars="200"/>
        <w:jc w:val="left"/>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本项目所涉及污染物</w:t>
      </w:r>
      <w:r>
        <w:rPr>
          <w:rFonts w:hint="eastAsia" w:ascii="Times New Roman" w:hAnsi="Times New Roman"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及原辅材料</w:t>
      </w:r>
      <w:r>
        <w:rPr>
          <w:rFonts w:ascii="Times New Roman" w:hAnsi="Times New Roman" w:eastAsia="宋体" w:cs="宋体"/>
          <w:b w:val="0"/>
          <w:bCs w:val="0"/>
          <w:color w:val="000000" w:themeColor="text1"/>
          <w:kern w:val="0"/>
          <w:szCs w:val="24"/>
          <w:highlight w:val="none"/>
          <w14:textFill>
            <w14:solidFill>
              <w14:schemeClr w14:val="tx1"/>
            </w14:solidFill>
          </w14:textFill>
        </w:rPr>
        <w:t>根据危险化学品名录及HJ169-2018附录B识别出的危险物质为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沼气</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沼气</w:t>
      </w:r>
      <w:r>
        <w:rPr>
          <w:rFonts w:ascii="Times New Roman" w:hAnsi="Times New Roman" w:eastAsia="宋体" w:cs="宋体"/>
          <w:b w:val="0"/>
          <w:bCs w:val="0"/>
          <w:color w:val="000000" w:themeColor="text1"/>
          <w:kern w:val="0"/>
          <w:szCs w:val="24"/>
          <w:highlight w:val="none"/>
          <w14:textFill>
            <w14:solidFill>
              <w14:schemeClr w14:val="tx1"/>
            </w14:solidFill>
          </w14:textFill>
        </w:rPr>
        <w:t>与空气混合能形成爆炸性混合物，遇明火、高热能引起燃烧爆炸。</w:t>
      </w:r>
    </w:p>
    <w:p w14:paraId="0526FEA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（2）生产设施危险性识别</w:t>
      </w:r>
    </w:p>
    <w:p w14:paraId="42E36E89">
      <w:pPr>
        <w:bidi w:val="0"/>
        <w:rPr>
          <w:rFonts w:hint="default"/>
          <w:lang w:val="en-US" w:eastAsia="zh-CN"/>
        </w:rPr>
      </w:pPr>
      <w:r>
        <w:rPr>
          <w:color w:val="000000" w:themeColor="text1"/>
          <w:highlight w:val="none"/>
          <w14:textFill>
            <w14:solidFill>
              <w14:schemeClr w14:val="tx1"/>
            </w14:solidFill>
          </w14:textFill>
        </w:rPr>
        <w:t>生产系统危险性识别，包括主要生产装置、储运设施、公用工程和辅助生产设施，以及环境保护设施等。项目生产过程中的主要环境风险是疫情风险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生物质锅炉运行过程污染物超标排放风险</w:t>
      </w:r>
      <w:r>
        <w:rPr>
          <w:color w:val="000000" w:themeColor="text1"/>
          <w:highlight w:val="none"/>
          <w14:textFill>
            <w14:solidFill>
              <w14:schemeClr w14:val="tx1"/>
            </w14:solidFill>
          </w14:textFill>
        </w:rPr>
        <w:t>以及病死猪风险。</w:t>
      </w:r>
    </w:p>
    <w:p w14:paraId="7A119323">
      <w:pPr>
        <w:pStyle w:val="28"/>
        <w:bidi w:val="0"/>
        <w:rPr>
          <w:rFonts w:hint="default"/>
          <w:lang w:val="en-US" w:eastAsia="zh-CN"/>
        </w:rPr>
      </w:pPr>
      <w:r>
        <w:t>环境风险分析</w:t>
      </w:r>
    </w:p>
    <w:p w14:paraId="235C6573">
      <w:pPr>
        <w:bidi w:val="0"/>
        <w:rPr>
          <w:rFonts w:hint="default"/>
          <w:lang w:val="en-US" w:eastAsia="zh-CN"/>
        </w:rPr>
      </w:pPr>
      <w:r>
        <w:rPr>
          <w:rFonts w:hint="default"/>
          <w:lang w:val="en-US" w:eastAsia="zh-CN"/>
        </w:rPr>
        <w:t>1、疫情风险的分析</w:t>
      </w:r>
    </w:p>
    <w:p w14:paraId="505AB0F9">
      <w:pPr>
        <w:bidi w:val="0"/>
        <w:rPr>
          <w:rFonts w:hint="default"/>
          <w:lang w:val="en-US" w:eastAsia="zh-CN"/>
        </w:rPr>
      </w:pPr>
      <w:r>
        <w:rPr>
          <w:rFonts w:hint="default"/>
          <w:lang w:val="en-US" w:eastAsia="zh-CN"/>
        </w:rPr>
        <w:t>集约化猪场养殖规模大、密度高、传播速度快，疾病威胁严重，一旦发生很难控制，可直接导致牲畜死亡、产品低劣、产量下降，防治费用增加，经济损失巨大。这就要求我们随时具备对猪群有群防群控能力。</w:t>
      </w:r>
    </w:p>
    <w:p w14:paraId="7F67B293">
      <w:pPr>
        <w:bidi w:val="0"/>
        <w:rPr>
          <w:rFonts w:hint="default"/>
          <w:lang w:val="en-US" w:eastAsia="zh-CN"/>
        </w:rPr>
      </w:pPr>
      <w:r>
        <w:rPr>
          <w:rFonts w:hint="default"/>
          <w:lang w:val="en-US" w:eastAsia="zh-CN"/>
        </w:rPr>
        <w:t>（1）流行性疾病</w:t>
      </w:r>
    </w:p>
    <w:p w14:paraId="15933D0F">
      <w:pPr>
        <w:bidi w:val="0"/>
        <w:rPr>
          <w:rFonts w:hint="default"/>
          <w:lang w:val="en-US" w:eastAsia="zh-CN"/>
        </w:rPr>
      </w:pPr>
      <w:r>
        <w:rPr>
          <w:rFonts w:hint="default"/>
          <w:lang w:val="en-US" w:eastAsia="zh-CN"/>
        </w:rPr>
        <w:t>近年来，几种影响免疫功能的疾病困扰着我国养猪业，给养猪业造成了难以估量的损失，如猪非洲疫病毒、猪环状病毒感染、猪繁殖与呼吸综合征等疫病的发生流行，引起机体的基础免疫功能下降，导致猪群免疫失败，如猪繁殖与呼吸综合征（PRRS）、仔猪断奶后多系统衰弱综合征（PMWS）、猪呼吸道疾病综合征（PRDC）、猪皮炎肾病综合征（PDNS）等，多种病原体引起的疾病的临床病变极其严重，极易造成临床上的误诊和防治上的困难，由于这些新病的出现，有的疾病缺乏有效的防治措施，因此，猪群发病率和死亡率提高，养猪场损失惨重，给我国养猪业造成了巨大的危害，不少猪场因种猪的疫病问题造成巨大的经济损失而倒闭。</w:t>
      </w:r>
    </w:p>
    <w:p w14:paraId="02532440">
      <w:pPr>
        <w:bidi w:val="0"/>
        <w:rPr>
          <w:rFonts w:hint="default"/>
          <w:lang w:val="en-US" w:eastAsia="zh-CN"/>
        </w:rPr>
      </w:pPr>
      <w:r>
        <w:rPr>
          <w:rFonts w:hint="default"/>
          <w:lang w:val="en-US" w:eastAsia="zh-CN"/>
        </w:rPr>
        <w:t>（2）慢性疾病</w:t>
      </w:r>
    </w:p>
    <w:p w14:paraId="5A83B916">
      <w:pPr>
        <w:bidi w:val="0"/>
        <w:rPr>
          <w:rFonts w:hint="default"/>
          <w:lang w:val="en-US" w:eastAsia="zh-CN"/>
        </w:rPr>
      </w:pPr>
      <w:r>
        <w:rPr>
          <w:rFonts w:hint="default"/>
          <w:lang w:val="en-US" w:eastAsia="zh-CN"/>
        </w:rPr>
        <w:t>许多慢性疾病虽然死亡率不高，但由于造成生长速度减慢、饲料利用效率降低，并发二次感染，增加药物和治疗费用等，经济损失极大。据国外研究报道，萎缩性鼻炎可使生长速度降低5%，如果与肺炎并发，可导致生长速度降低17%；由于地方性肺炎导致肺的不同程度损坏，每损坏10%的肺组织可降低5%的生长速度；猪群由于胸膜肺炎的影响，可使销售额降低20%，并导致达100千克延长12天；某些皮肤病如猪疥癣可降低10%的生长和饲料利用率，并且可能诱发皮脂炎而严重影响胴体品质，据国内有关数据显示，病毒、细菌等混合感染引起的呼吸道疾病，除了造成直接死亡之外，可使猪日增重降低15%、饲料利用率降低18%、出栏时间推迟23天，甚至更多，增重下降或生长停滞的猪可达70%，甚至更多。</w:t>
      </w:r>
    </w:p>
    <w:p w14:paraId="28005509">
      <w:pPr>
        <w:bidi w:val="0"/>
        <w:rPr>
          <w:rFonts w:hint="default"/>
          <w:lang w:val="en-US" w:eastAsia="zh-CN"/>
        </w:rPr>
      </w:pPr>
      <w:r>
        <w:rPr>
          <w:rFonts w:hint="default"/>
          <w:lang w:val="en-US" w:eastAsia="zh-CN"/>
        </w:rPr>
        <w:t>2、土壤污染分析</w:t>
      </w:r>
    </w:p>
    <w:p w14:paraId="54F52494">
      <w:pPr>
        <w:bidi w:val="0"/>
        <w:rPr>
          <w:rFonts w:hint="default"/>
          <w:lang w:val="en-US" w:eastAsia="zh-CN"/>
        </w:rPr>
      </w:pPr>
      <w:r>
        <w:rPr>
          <w:rFonts w:hint="default"/>
          <w:lang w:val="en-US" w:eastAsia="zh-CN"/>
        </w:rPr>
        <w:t>研究表明：Zn、Cu的污染源主要为养殖场废水，项目区农田土壤没有遭受重金属污染，本项目处理后的废水全部</w:t>
      </w:r>
      <w:r>
        <w:rPr>
          <w:rFonts w:hint="eastAsia"/>
          <w:lang w:val="en-US" w:eastAsia="zh-CN"/>
        </w:rPr>
        <w:t>委托129团农业发展中心清运</w:t>
      </w:r>
      <w:r>
        <w:rPr>
          <w:rFonts w:hint="default"/>
          <w:lang w:val="en-US" w:eastAsia="zh-CN"/>
        </w:rPr>
        <w:t>，</w:t>
      </w:r>
      <w:r>
        <w:rPr>
          <w:rFonts w:hint="eastAsia"/>
          <w:lang w:val="en-US" w:eastAsia="zh-CN"/>
        </w:rPr>
        <w:t>不外排，</w:t>
      </w:r>
      <w:r>
        <w:rPr>
          <w:rFonts w:hint="default"/>
          <w:lang w:val="en-US" w:eastAsia="zh-CN"/>
        </w:rPr>
        <w:t>对土壤环境影响较小。</w:t>
      </w:r>
    </w:p>
    <w:p w14:paraId="07337A5C">
      <w:pPr>
        <w:bidi w:val="0"/>
        <w:rPr>
          <w:rFonts w:hint="default"/>
          <w:lang w:val="en-US" w:eastAsia="zh-CN"/>
        </w:rPr>
      </w:pPr>
      <w:r>
        <w:rPr>
          <w:rFonts w:hint="default"/>
          <w:lang w:val="en-US" w:eastAsia="zh-CN"/>
        </w:rPr>
        <w:t>3、病死猪风险分析</w:t>
      </w:r>
    </w:p>
    <w:p w14:paraId="17DFD2E9">
      <w:pPr>
        <w:bidi w:val="0"/>
        <w:rPr>
          <w:rFonts w:hint="default"/>
          <w:lang w:val="en-US" w:eastAsia="zh-CN"/>
        </w:rPr>
      </w:pPr>
      <w:r>
        <w:rPr>
          <w:rFonts w:hint="default"/>
          <w:lang w:val="en-US" w:eastAsia="zh-CN"/>
        </w:rPr>
        <w:t>病死的家畜多数是因患了某种传染病而死亡的。其中有一些是人畜共患的传染病，如炭疽、结核等，如食用这些病死的畜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肉，就会发生食物中毒。有些禽畜可能因吃了被污染剧毒农药的饲料而中毒死亡，人如果吃了这种死畜，同样也有可能中毒，甚至造成死亡。因此，对于病死或者死因不明的畜禽，必须按照国务院畜牧兽医行政管理部门的有关规定进行无害化处理，不得随意处置。</w:t>
      </w:r>
    </w:p>
    <w:p w14:paraId="42903EE4">
      <w:pPr>
        <w:bidi w:val="0"/>
        <w:rPr>
          <w:rFonts w:hint="default"/>
          <w:lang w:val="en-US" w:eastAsia="zh-CN"/>
        </w:rPr>
      </w:pPr>
      <w:r>
        <w:rPr>
          <w:rFonts w:hint="default"/>
          <w:lang w:val="en-US" w:eastAsia="zh-CN"/>
        </w:rPr>
        <w:t>本项目属于规模化</w:t>
      </w:r>
      <w:r>
        <w:rPr>
          <w:rFonts w:hint="eastAsia"/>
          <w:lang w:val="en-US" w:eastAsia="zh-CN"/>
        </w:rPr>
        <w:t>生</w:t>
      </w:r>
      <w:r>
        <w:rPr>
          <w:rFonts w:hint="default"/>
          <w:lang w:val="en-US" w:eastAsia="zh-CN"/>
        </w:rPr>
        <w:t>猪养殖项目，按照1%的病死率计算，每年将产生约500头病死猪。在养殖场内，专门设置有隔离猪舍和病猪舍，对可疑病猪先在隔离猪舍进行隔离观察，确诊后立即送入病猪舍，将病猪和可疑病猪与健康猪隔离开来，将疫情限制在最小范围内，同时启动相应级别疫情应急处置方案。仍然有使用价值的病猪应隔离饲养、治疗，彻底治愈后，可以归群。</w:t>
      </w:r>
    </w:p>
    <w:p w14:paraId="69D2DDE3">
      <w:pPr>
        <w:bidi w:val="0"/>
        <w:rPr>
          <w:rFonts w:hint="default"/>
          <w:lang w:val="en-US" w:eastAsia="zh-CN"/>
        </w:rPr>
      </w:pPr>
      <w:r>
        <w:rPr>
          <w:rFonts w:hint="default"/>
          <w:lang w:val="en-US" w:eastAsia="zh-CN"/>
        </w:rPr>
        <w:t>根据《畜禽养殖业污染治理工程技术规范》（HJ497-2009）中第9章和《畜禽养殖业污染防治技术规范》（HJ/T81-2001）中第9章的要求，病死畜禽尸体应及时处理，不得随意丢弃，不得出售或作为饲料再利用。</w:t>
      </w:r>
    </w:p>
    <w:p w14:paraId="023EB9E0">
      <w:pPr>
        <w:bidi w:val="0"/>
        <w:rPr>
          <w:rFonts w:hint="default"/>
          <w:lang w:val="en-US" w:eastAsia="zh-CN"/>
        </w:rPr>
      </w:pPr>
      <w:r>
        <w:rPr>
          <w:rFonts w:hint="default"/>
          <w:lang w:val="en-US" w:eastAsia="zh-CN"/>
        </w:rPr>
        <w:t>本项目病死猪尸体委托有资质单位处理</w:t>
      </w:r>
      <w:r>
        <w:rPr>
          <w:rFonts w:hint="eastAsia"/>
          <w:lang w:val="en-US" w:eastAsia="zh-CN"/>
        </w:rPr>
        <w:t>（暂定为第七师123</w:t>
      </w:r>
      <w:r>
        <w:rPr>
          <w:rFonts w:hint="eastAsia"/>
        </w:rPr>
        <w:t>团病死畜禽无害化处理</w:t>
      </w:r>
      <w:r>
        <w:rPr>
          <w:rFonts w:hint="eastAsia"/>
          <w:lang w:val="en-US" w:eastAsia="zh-CN"/>
        </w:rPr>
        <w:t>中心）</w:t>
      </w:r>
      <w:r>
        <w:rPr>
          <w:rFonts w:hint="default"/>
          <w:lang w:val="en-US" w:eastAsia="zh-CN"/>
        </w:rPr>
        <w:t>。管理员每日按要求对病死猪种类、原因、头数和体重如实进行登记记录。记录档案保存应不少于两年。</w:t>
      </w:r>
    </w:p>
    <w:p w14:paraId="50CD8835">
      <w:pPr>
        <w:bidi w:val="0"/>
        <w:rPr>
          <w:rFonts w:hint="default"/>
          <w:lang w:val="en-US" w:eastAsia="zh-CN"/>
        </w:rPr>
      </w:pPr>
      <w:r>
        <w:t>环境风险防范措施及应急要求</w:t>
      </w:r>
    </w:p>
    <w:p w14:paraId="47D51391">
      <w:pPr>
        <w:bidi w:val="0"/>
        <w:rPr>
          <w:rFonts w:hint="default"/>
          <w:lang w:val="en-US" w:eastAsia="zh-CN"/>
        </w:rPr>
      </w:pPr>
      <w:r>
        <w:rPr>
          <w:rFonts w:hint="default"/>
          <w:lang w:val="en-US" w:eastAsia="zh-CN"/>
        </w:rPr>
        <w:t>1、疫情风险的防范措施</w:t>
      </w:r>
    </w:p>
    <w:p w14:paraId="3C0AC6F2">
      <w:pPr>
        <w:bidi w:val="0"/>
        <w:rPr>
          <w:rFonts w:hint="default"/>
          <w:lang w:val="en-US" w:eastAsia="zh-CN"/>
        </w:rPr>
      </w:pPr>
      <w:r>
        <w:rPr>
          <w:rFonts w:hint="default"/>
          <w:lang w:val="en-US" w:eastAsia="zh-CN"/>
        </w:rPr>
        <w:t>卫生防疫是规模化养殖场成败的关键，必须严格按照《中华人民共和国动物防疫法》的要求，做到</w:t>
      </w:r>
      <w:r>
        <w:rPr>
          <w:rFonts w:hint="eastAsia"/>
          <w:lang w:val="en-US" w:eastAsia="zh-CN"/>
        </w:rPr>
        <w:t>“以防为主，防治结合，制度健全，责任到人”</w:t>
      </w:r>
      <w:r>
        <w:rPr>
          <w:rFonts w:hint="default"/>
          <w:lang w:val="en-US" w:eastAsia="zh-CN"/>
        </w:rPr>
        <w:t>。</w:t>
      </w:r>
    </w:p>
    <w:p w14:paraId="218F0407">
      <w:pPr>
        <w:bidi w:val="0"/>
        <w:rPr>
          <w:rFonts w:hint="default"/>
          <w:lang w:val="en-US" w:eastAsia="zh-CN"/>
        </w:rPr>
      </w:pPr>
      <w:r>
        <w:rPr>
          <w:rFonts w:hint="default"/>
          <w:lang w:val="en-US" w:eastAsia="zh-CN"/>
        </w:rPr>
        <w:t>（1）消毒制度</w:t>
      </w:r>
    </w:p>
    <w:p w14:paraId="564C221B">
      <w:pPr>
        <w:bidi w:val="0"/>
        <w:rPr>
          <w:rFonts w:hint="default"/>
          <w:lang w:val="en-US" w:eastAsia="zh-CN"/>
        </w:rPr>
      </w:pPr>
      <w:r>
        <w:rPr>
          <w:rFonts w:hint="default"/>
          <w:lang w:val="en-US" w:eastAsia="zh-CN"/>
        </w:rPr>
        <w:t>进入饲养场的人和车辆等都需要经过消毒。凡是进入饲养场的工作人员，一律更换工作服、工作鞋，并经紫外线照射5分钟进行消毒。外来人员必须进入生产区时，也应按照上述方法消毒，在场区管理人员的带领下，按照指定路线行走。</w:t>
      </w:r>
    </w:p>
    <w:p w14:paraId="594526A5">
      <w:pPr>
        <w:bidi w:val="0"/>
        <w:rPr>
          <w:rFonts w:hint="default"/>
          <w:lang w:val="en-US" w:eastAsia="zh-CN"/>
        </w:rPr>
      </w:pPr>
      <w:r>
        <w:rPr>
          <w:rFonts w:hint="default"/>
          <w:lang w:val="en-US" w:eastAsia="zh-CN"/>
        </w:rPr>
        <w:t>（2）免疫程序管理</w:t>
      </w:r>
    </w:p>
    <w:p w14:paraId="72DD0E27">
      <w:pPr>
        <w:bidi w:val="0"/>
        <w:rPr>
          <w:rFonts w:hint="default"/>
          <w:lang w:val="en-US" w:eastAsia="zh-CN"/>
        </w:rPr>
      </w:pPr>
      <w:r>
        <w:rPr>
          <w:rFonts w:hint="default"/>
          <w:lang w:val="en-US" w:eastAsia="zh-CN"/>
        </w:rPr>
        <w:t>本项目在生猪养殖过程中严格执行自治区家畜疫病防治的五个强制（免疫、疫区检疫、封锁、消毒、病畜捕杀）和两个强化（疫病报告、防疫监督）制度，定期防治传染病和寄生虫病。制定一套合理的免疫程序和实验室检测制度，一旦发生疫情，封锁疫点，禁止猪只流动，病猪及相关物品采取无害化处理。对未发病的猪，用疫苗（剂量可加大2～4倍）进行紧急预防接种，对猪舍、粪便和用具彻底消毒，饲养用具每天消毒一次。</w:t>
      </w:r>
    </w:p>
    <w:p w14:paraId="57A3F84C">
      <w:pPr>
        <w:bidi w:val="0"/>
        <w:rPr>
          <w:rFonts w:hint="default"/>
          <w:lang w:val="en-US" w:eastAsia="zh-CN"/>
        </w:rPr>
      </w:pPr>
      <w:r>
        <w:rPr>
          <w:rFonts w:hint="default"/>
          <w:lang w:val="en-US" w:eastAsia="zh-CN"/>
        </w:rPr>
        <w:t>每年口蹄疫灭活苗（亚1型+A型）免疫3次，每年春、秋季各进行一次结核病、布鲁氏菌病、副结核病的检疫。检出阳性或有可疑反应的猪及时按规定处置。</w:t>
      </w:r>
    </w:p>
    <w:p w14:paraId="6902ABFC">
      <w:pPr>
        <w:bidi w:val="0"/>
        <w:rPr>
          <w:rFonts w:hint="default"/>
          <w:lang w:val="en-US" w:eastAsia="zh-CN"/>
        </w:rPr>
      </w:pPr>
      <w:r>
        <w:rPr>
          <w:rFonts w:hint="default"/>
          <w:lang w:val="en-US" w:eastAsia="zh-CN"/>
        </w:rPr>
        <w:t>检疫结束后对猪舍内外及用具等彻底进行一次大消毒。每年春、秋各进行一次疥癣等体表寄生虫的检查，春季对犊群进行球虫的普查和驱虫工作。发生疫情时迅速隔离病猪，对病猪及封锁区内的猪实行合理的综合防治措施，包括疫苗的紧急接种、抗生素疗法、化学疗法、增强体质和生理机能的辅助疗法等。对症使用疫苗，疫苗从出厂到使用全部都要保证冷藏贮运。</w:t>
      </w:r>
    </w:p>
    <w:p w14:paraId="75158B55">
      <w:pPr>
        <w:bidi w:val="0"/>
        <w:rPr>
          <w:rFonts w:hint="default"/>
          <w:lang w:val="en-US" w:eastAsia="zh-CN"/>
        </w:rPr>
      </w:pPr>
      <w:r>
        <w:rPr>
          <w:rFonts w:hint="default"/>
          <w:lang w:val="en-US" w:eastAsia="zh-CN"/>
        </w:rPr>
        <w:t>2、诊疗程序管理</w:t>
      </w:r>
    </w:p>
    <w:p w14:paraId="05AD96B3">
      <w:pPr>
        <w:bidi w:val="0"/>
        <w:rPr>
          <w:rFonts w:hint="default"/>
          <w:lang w:val="en-US" w:eastAsia="zh-CN"/>
        </w:rPr>
      </w:pPr>
      <w:r>
        <w:rPr>
          <w:rFonts w:hint="default"/>
          <w:lang w:val="en-US" w:eastAsia="zh-CN"/>
        </w:rPr>
        <w:t>本项目设有一个值班室，值班室有专职兽医值守，兽医应每天进入各猪舍观察猪群，发现病情做好记录并向技术部门备案，一旦发现疫情，做到早、严、快，并向上级部门汇报。</w:t>
      </w:r>
    </w:p>
    <w:p w14:paraId="53A23930">
      <w:pPr>
        <w:bidi w:val="0"/>
        <w:rPr>
          <w:rFonts w:hint="default"/>
          <w:lang w:val="en-US" w:eastAsia="zh-CN"/>
        </w:rPr>
      </w:pPr>
      <w:r>
        <w:rPr>
          <w:rFonts w:hint="default"/>
          <w:lang w:val="en-US" w:eastAsia="zh-CN"/>
        </w:rPr>
        <w:t>3、保证猪舍良好的卫生环境</w:t>
      </w:r>
    </w:p>
    <w:p w14:paraId="27035C55">
      <w:pPr>
        <w:bidi w:val="0"/>
        <w:rPr>
          <w:rFonts w:hint="default"/>
          <w:lang w:val="en-US" w:eastAsia="zh-CN"/>
        </w:rPr>
      </w:pPr>
      <w:r>
        <w:rPr>
          <w:rFonts w:hint="default"/>
          <w:lang w:val="en-US" w:eastAsia="zh-CN"/>
        </w:rPr>
        <w:t>猪舍做到大环境通风和干燥，并注意猪舍的保温，减少应激反应。猪舍内应勤清扫、勤换土、勤晒和勤换垫草，不定期地用生石灰或草木灰对猪舍吸潮消毒。水槽、料槽、饲料车、饲料桶等要经常刷洗。要注意灭鼠和灭蚊蝇，应定期定点安全投放灭鼠药，及时收集死鼠和残余鼠药，并应做深埋处理。</w:t>
      </w:r>
    </w:p>
    <w:p w14:paraId="1954E6DA">
      <w:pPr>
        <w:bidi w:val="0"/>
        <w:rPr>
          <w:rFonts w:hint="default"/>
          <w:lang w:val="en-US" w:eastAsia="zh-CN"/>
        </w:rPr>
      </w:pPr>
      <w:r>
        <w:rPr>
          <w:rFonts w:hint="default"/>
          <w:lang w:val="en-US" w:eastAsia="zh-CN"/>
        </w:rPr>
        <w:t>对猪舍内消毒时要将圈舍清扫干净，传统方法一般选用30%的热草木灰水或强力消毒灵或</w:t>
      </w:r>
      <w:r>
        <w:rPr>
          <w:rFonts w:hint="eastAsia"/>
          <w:lang w:val="en-US" w:eastAsia="zh-CN"/>
        </w:rPr>
        <w:t>“安立消”</w:t>
      </w:r>
      <w:r>
        <w:rPr>
          <w:rFonts w:hint="default"/>
          <w:lang w:val="en-US" w:eastAsia="zh-CN"/>
        </w:rPr>
        <w:t>兑成：1000-1500的水剂喷雾消毒，或2%火碱溶液或石炭酸或2%福尔马林溶液或 10%-20%石灰乳液进行喷洒消毒。经济条件允许的话应选择新型、刺激性较小的酸性消毒剂：如复合醛类消毒剂。消毒时要做到细致，无死角。</w:t>
      </w:r>
    </w:p>
    <w:p w14:paraId="4EE653BE">
      <w:pPr>
        <w:bidi w:val="0"/>
        <w:rPr>
          <w:rFonts w:hint="default"/>
          <w:lang w:val="en-US" w:eastAsia="zh-CN"/>
        </w:rPr>
      </w:pPr>
      <w:r>
        <w:rPr>
          <w:rFonts w:hint="default"/>
          <w:lang w:val="en-US" w:eastAsia="zh-CN"/>
        </w:rPr>
        <w:t>猪舍周围环境定期用2%火碱或撒生石灰消毒。猪场周围及场内的污染池、排粪坑、下水道出口，每月用漂白粉消毒一次。在猪场、猪舍入口设消毒池并定期更换消毒液。</w:t>
      </w:r>
    </w:p>
    <w:p w14:paraId="51E75C13">
      <w:pPr>
        <w:bidi w:val="0"/>
        <w:rPr>
          <w:rFonts w:hint="default"/>
          <w:lang w:val="en-US" w:eastAsia="zh-CN"/>
        </w:rPr>
      </w:pPr>
      <w:r>
        <w:rPr>
          <w:rFonts w:hint="default"/>
          <w:lang w:val="en-US" w:eastAsia="zh-CN"/>
        </w:rPr>
        <w:t>猪舍配备转盘式自动药浴喷淋装置定期对猪群进行药浴消毒。</w:t>
      </w:r>
    </w:p>
    <w:p w14:paraId="46C58777">
      <w:pPr>
        <w:bidi w:val="0"/>
        <w:rPr>
          <w:rFonts w:hint="default"/>
          <w:lang w:val="en-US" w:eastAsia="zh-CN"/>
        </w:rPr>
      </w:pPr>
      <w:r>
        <w:rPr>
          <w:rFonts w:hint="default"/>
          <w:lang w:val="en-US" w:eastAsia="zh-CN"/>
        </w:rPr>
        <w:t>4、保证饲料质量</w:t>
      </w:r>
    </w:p>
    <w:p w14:paraId="551B6092">
      <w:pPr>
        <w:bidi w:val="0"/>
        <w:rPr>
          <w:rFonts w:hint="default"/>
          <w:lang w:val="en-US" w:eastAsia="zh-CN"/>
        </w:rPr>
      </w:pPr>
      <w:r>
        <w:rPr>
          <w:rFonts w:hint="default"/>
          <w:lang w:val="en-US" w:eastAsia="zh-CN"/>
        </w:rPr>
        <w:t>猪的喂养过程中保证饲料品质，防止将霉变饲料让猪食用。另外，在饲料中添加免疫增强剂，以提高猪群抵抗力。</w:t>
      </w:r>
    </w:p>
    <w:p w14:paraId="723B83B1">
      <w:pPr>
        <w:bidi w:val="0"/>
        <w:rPr>
          <w:rFonts w:hint="default"/>
          <w:lang w:val="en-US" w:eastAsia="zh-CN"/>
        </w:rPr>
      </w:pPr>
      <w:r>
        <w:rPr>
          <w:rFonts w:hint="default"/>
          <w:lang w:val="en-US" w:eastAsia="zh-CN"/>
        </w:rPr>
        <w:t>5、定期监测</w:t>
      </w:r>
    </w:p>
    <w:p w14:paraId="4C5E7B84">
      <w:pPr>
        <w:bidi w:val="0"/>
        <w:rPr>
          <w:rFonts w:hint="default"/>
          <w:lang w:val="en-US" w:eastAsia="zh-CN"/>
        </w:rPr>
      </w:pPr>
      <w:r>
        <w:rPr>
          <w:rFonts w:hint="default"/>
          <w:lang w:val="en-US" w:eastAsia="zh-CN"/>
        </w:rPr>
        <w:t>消除亚临床感染猪。亚临床感染猪长期带毒并不断排毒，是潜在的传染源，极易将其他易感猪感染，因此须加大免疫剂量，切断持续感染（亚临床感染），采取综合措施，逐渐淘汰阳性感染猪，至少每6个月监测一次。</w:t>
      </w:r>
    </w:p>
    <w:p w14:paraId="61A72B0D">
      <w:pPr>
        <w:bidi w:val="0"/>
        <w:rPr>
          <w:rFonts w:hint="default"/>
          <w:lang w:val="en-US" w:eastAsia="zh-CN"/>
        </w:rPr>
      </w:pPr>
      <w:r>
        <w:rPr>
          <w:rFonts w:hint="default"/>
          <w:lang w:val="en-US" w:eastAsia="zh-CN"/>
        </w:rPr>
        <w:t>6、隔离措施</w:t>
      </w:r>
    </w:p>
    <w:p w14:paraId="46624030">
      <w:pPr>
        <w:bidi w:val="0"/>
        <w:rPr>
          <w:rFonts w:hint="default"/>
          <w:lang w:val="en-US" w:eastAsia="zh-CN"/>
        </w:rPr>
      </w:pPr>
      <w:r>
        <w:rPr>
          <w:rFonts w:hint="default"/>
          <w:lang w:val="en-US" w:eastAsia="zh-CN"/>
        </w:rPr>
        <w:t>建设围墙、防疫沟。</w:t>
      </w:r>
    </w:p>
    <w:p w14:paraId="31CACF10">
      <w:pPr>
        <w:bidi w:val="0"/>
        <w:rPr>
          <w:rFonts w:hint="default"/>
          <w:lang w:val="en-US" w:eastAsia="zh-CN"/>
        </w:rPr>
      </w:pPr>
      <w:r>
        <w:rPr>
          <w:rFonts w:hint="default"/>
          <w:lang w:val="en-US" w:eastAsia="zh-CN"/>
        </w:rPr>
        <w:t>7、动物疫情上报</w:t>
      </w:r>
    </w:p>
    <w:p w14:paraId="6AE357AE">
      <w:pPr>
        <w:bidi w:val="0"/>
        <w:rPr>
          <w:rFonts w:hint="default"/>
          <w:lang w:val="en-US" w:eastAsia="zh-CN"/>
        </w:rPr>
      </w:pPr>
      <w:r>
        <w:rPr>
          <w:rFonts w:hint="default"/>
          <w:lang w:val="en-US" w:eastAsia="zh-CN"/>
        </w:rPr>
        <w:t>根据《动物疫情报告管理办法》（农医发〔2018〕22号）：</w:t>
      </w:r>
    </w:p>
    <w:p w14:paraId="03C975BB">
      <w:pPr>
        <w:bidi w:val="0"/>
        <w:rPr>
          <w:rFonts w:hint="default"/>
          <w:lang w:val="en-US" w:eastAsia="zh-CN"/>
        </w:rPr>
      </w:pPr>
      <w:r>
        <w:rPr>
          <w:rFonts w:hint="default"/>
          <w:lang w:val="en-US" w:eastAsia="zh-CN"/>
        </w:rPr>
        <w:t>有下列情形之一的必须快速上报：</w:t>
      </w:r>
    </w:p>
    <w:p w14:paraId="55E1F91B">
      <w:pPr>
        <w:bidi w:val="0"/>
        <w:rPr>
          <w:rFonts w:hint="default"/>
          <w:lang w:val="en-US" w:eastAsia="zh-CN"/>
        </w:rPr>
      </w:pPr>
      <w:r>
        <w:rPr>
          <w:rFonts w:hint="default"/>
          <w:lang w:val="en-US" w:eastAsia="zh-CN"/>
        </w:rPr>
        <w:t>①发生一类或者疑似一类动物疫病；</w:t>
      </w:r>
    </w:p>
    <w:p w14:paraId="4C3B8A54">
      <w:pPr>
        <w:bidi w:val="0"/>
        <w:rPr>
          <w:rFonts w:hint="default"/>
          <w:lang w:val="en-US" w:eastAsia="zh-CN"/>
        </w:rPr>
      </w:pPr>
      <w:r>
        <w:rPr>
          <w:rFonts w:hint="default"/>
          <w:lang w:val="en-US" w:eastAsia="zh-CN"/>
        </w:rPr>
        <w:t>②二类、三类或者其他动物疫病呈暴发性流行；</w:t>
      </w:r>
    </w:p>
    <w:p w14:paraId="38543850">
      <w:pPr>
        <w:bidi w:val="0"/>
        <w:rPr>
          <w:rFonts w:hint="default"/>
          <w:lang w:val="en-US" w:eastAsia="zh-CN"/>
        </w:rPr>
      </w:pPr>
      <w:r>
        <w:rPr>
          <w:rFonts w:hint="default"/>
          <w:lang w:val="en-US" w:eastAsia="zh-CN"/>
        </w:rPr>
        <w:t>③新发现的动物疫情；</w:t>
      </w:r>
    </w:p>
    <w:p w14:paraId="27C7478C">
      <w:pPr>
        <w:bidi w:val="0"/>
        <w:rPr>
          <w:rFonts w:hint="default"/>
          <w:lang w:val="en-US" w:eastAsia="zh-CN"/>
        </w:rPr>
      </w:pPr>
      <w:r>
        <w:rPr>
          <w:rFonts w:hint="default"/>
          <w:lang w:val="en-US" w:eastAsia="zh-CN"/>
        </w:rPr>
        <w:t>④已经消灭又发生的动物疫病。</w:t>
      </w:r>
    </w:p>
    <w:p w14:paraId="3853CC7C">
      <w:pPr>
        <w:bidi w:val="0"/>
        <w:rPr>
          <w:rFonts w:hint="default"/>
          <w:lang w:val="en-US" w:eastAsia="zh-CN"/>
        </w:rPr>
      </w:pPr>
      <w:r>
        <w:rPr>
          <w:rFonts w:hint="default"/>
          <w:lang w:val="en-US" w:eastAsia="zh-CN"/>
        </w:rPr>
        <w:t>县级动物防疫监督机构和国家测报点确认发现上述动物疫情后，应在24小时之内快报至全国畜牧兽医总站。全国畜牧兽医总站应在12小时内报国务院畜牧兽医行政管理部门。</w:t>
      </w:r>
    </w:p>
    <w:p w14:paraId="6AF3164C">
      <w:pPr>
        <w:bidi w:val="0"/>
        <w:rPr>
          <w:rFonts w:hint="default"/>
          <w:lang w:val="en-US" w:eastAsia="zh-CN"/>
        </w:rPr>
      </w:pPr>
      <w:r>
        <w:rPr>
          <w:rFonts w:hint="default"/>
          <w:lang w:val="en-US" w:eastAsia="zh-CN"/>
        </w:rPr>
        <w:t>从事动物饲养、经营及动物产品生产、经营和从事动物防疫科研、教学、诊疗及进出境动物检疫等单位和个人，应当建立疫情统计、登记制度，并定期向当地动物防疫监督机构报告。</w:t>
      </w:r>
    </w:p>
    <w:p w14:paraId="2A8B4715">
      <w:pPr>
        <w:pStyle w:val="28"/>
        <w:bidi w:val="0"/>
        <w:rPr>
          <w:rFonts w:hint="default"/>
          <w:lang w:val="en-US" w:eastAsia="zh-CN"/>
        </w:rPr>
      </w:pPr>
      <w:r>
        <w:t>环境风险分析结论</w:t>
      </w:r>
    </w:p>
    <w:p w14:paraId="4BD17E49">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color w:val="000000" w:themeColor="text1"/>
          <w:highlight w:val="none"/>
          <w14:textFill>
            <w14:solidFill>
              <w14:schemeClr w14:val="tx1"/>
            </w14:solidFill>
          </w14:textFill>
        </w:rPr>
        <w:t>项目具有潜在的事故风险，要从建设、生产、储运等各方面积极采取防护措施，这是确保安全的根本措施。</w:t>
      </w:r>
    </w:p>
    <w:p w14:paraId="6A76C55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为了防范事故和减少危害，需制定灾害事故的应急处理预案。当出现事故时，要采取紧急的工程应急措施，如必要，要采取社会应急措施，以控制事故和减少其造成的危害。</w:t>
      </w:r>
    </w:p>
    <w:p w14:paraId="1E52DC9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集约化养殖场疫病发生有自身的特点，只要企业加强日常管理，做好预防工作，经常消毒，并建立疫病监测制度，在疫病发生时能严格按照应急计划执行，评价认为该风险是可以接受的。</w:t>
      </w:r>
    </w:p>
    <w:p w14:paraId="6B81A933">
      <w:pPr>
        <w:pStyle w:val="30"/>
        <w:bidi w:val="0"/>
        <w:rPr>
          <w:rFonts w:hint="default"/>
        </w:rPr>
      </w:pPr>
      <w:r>
        <w:rPr>
          <w:rFonts w:hint="default"/>
        </w:rPr>
        <w:t>表5.2-</w:t>
      </w:r>
      <w:r>
        <w:rPr>
          <w:rFonts w:hint="eastAsia"/>
          <w:lang w:val="en-US" w:eastAsia="zh-CN"/>
        </w:rPr>
        <w:t xml:space="preserve">25  </w:t>
      </w:r>
      <w:r>
        <w:rPr>
          <w:rFonts w:hint="default"/>
        </w:rPr>
        <w:t xml:space="preserve"> 建设项目环境风险简单分析内容表</w:t>
      </w:r>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41"/>
        <w:gridCol w:w="1095"/>
        <w:gridCol w:w="1283"/>
        <w:gridCol w:w="1125"/>
        <w:gridCol w:w="1125"/>
        <w:gridCol w:w="1141"/>
      </w:tblGrid>
      <w:tr w14:paraId="4B045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29" w:type="pct"/>
            <w:vAlign w:val="center"/>
          </w:tcPr>
          <w:p w14:paraId="7E4C0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建设项目名称</w:t>
            </w:r>
          </w:p>
        </w:tc>
        <w:tc>
          <w:tcPr>
            <w:tcW w:w="3470" w:type="pct"/>
            <w:gridSpan w:val="5"/>
            <w:vAlign w:val="center"/>
          </w:tcPr>
          <w:p w14:paraId="3C256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胡杨河市明源农业发展有限公司年出栏10万头生猪养殖项目</w:t>
            </w:r>
          </w:p>
        </w:tc>
      </w:tr>
      <w:tr w14:paraId="39523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29" w:type="pct"/>
            <w:vAlign w:val="center"/>
          </w:tcPr>
          <w:p w14:paraId="2D2CA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建设地点</w:t>
            </w:r>
          </w:p>
        </w:tc>
        <w:tc>
          <w:tcPr>
            <w:tcW w:w="659" w:type="pct"/>
            <w:vAlign w:val="center"/>
          </w:tcPr>
          <w:p w14:paraId="4EEEE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新疆</w:t>
            </w:r>
            <w:r>
              <w:rPr>
                <w:rFonts w:hint="eastAsia" w:cs="Times New Roman"/>
                <w:b w:val="0"/>
                <w:bCs w:val="0"/>
                <w:color w:val="000000" w:themeColor="text1"/>
                <w:kern w:val="0"/>
                <w:sz w:val="21"/>
                <w:szCs w:val="21"/>
                <w:highlight w:val="none"/>
                <w:lang w:val="en-US" w:eastAsia="zh-CN"/>
                <w14:textFill>
                  <w14:solidFill>
                    <w14:schemeClr w14:val="tx1"/>
                  </w14:solidFill>
                </w14:textFill>
              </w:rPr>
              <w:t>维吾尔自治区</w:t>
            </w:r>
          </w:p>
        </w:tc>
        <w:tc>
          <w:tcPr>
            <w:tcW w:w="772" w:type="pct"/>
            <w:vAlign w:val="center"/>
          </w:tcPr>
          <w:p w14:paraId="216B6F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第七师胡杨河</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市</w:t>
            </w:r>
          </w:p>
        </w:tc>
        <w:tc>
          <w:tcPr>
            <w:tcW w:w="677" w:type="pct"/>
            <w:vAlign w:val="center"/>
          </w:tcPr>
          <w:p w14:paraId="00497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）区</w:t>
            </w:r>
          </w:p>
        </w:tc>
        <w:tc>
          <w:tcPr>
            <w:tcW w:w="677" w:type="pct"/>
            <w:vAlign w:val="center"/>
          </w:tcPr>
          <w:p w14:paraId="18931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（/）县</w:t>
            </w:r>
          </w:p>
        </w:tc>
        <w:tc>
          <w:tcPr>
            <w:tcW w:w="682" w:type="pct"/>
            <w:vAlign w:val="center"/>
          </w:tcPr>
          <w:p w14:paraId="59BA9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129</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团</w:t>
            </w:r>
          </w:p>
        </w:tc>
      </w:tr>
      <w:tr w14:paraId="54A28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529" w:type="pct"/>
            <w:vAlign w:val="center"/>
          </w:tcPr>
          <w:p w14:paraId="756AF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地理坐标</w:t>
            </w:r>
          </w:p>
        </w:tc>
        <w:tc>
          <w:tcPr>
            <w:tcW w:w="659" w:type="pct"/>
            <w:vAlign w:val="center"/>
          </w:tcPr>
          <w:p w14:paraId="62E74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经度</w:t>
            </w:r>
          </w:p>
        </w:tc>
        <w:tc>
          <w:tcPr>
            <w:tcW w:w="772" w:type="pct"/>
            <w:vAlign w:val="center"/>
          </w:tcPr>
          <w:p w14:paraId="67615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84°46'7.13"</w:t>
            </w:r>
          </w:p>
        </w:tc>
        <w:tc>
          <w:tcPr>
            <w:tcW w:w="677" w:type="pct"/>
            <w:vAlign w:val="center"/>
          </w:tcPr>
          <w:p w14:paraId="58631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纬度</w:t>
            </w:r>
          </w:p>
        </w:tc>
        <w:tc>
          <w:tcPr>
            <w:tcW w:w="1360" w:type="pct"/>
            <w:gridSpan w:val="2"/>
            <w:vAlign w:val="center"/>
          </w:tcPr>
          <w:p w14:paraId="24D11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45°0'5.18"</w:t>
            </w:r>
          </w:p>
        </w:tc>
      </w:tr>
      <w:tr w14:paraId="339C1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29" w:type="pct"/>
            <w:vAlign w:val="center"/>
          </w:tcPr>
          <w:p w14:paraId="04779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主要危险物质及分布</w:t>
            </w:r>
          </w:p>
        </w:tc>
        <w:tc>
          <w:tcPr>
            <w:tcW w:w="3470" w:type="pct"/>
            <w:gridSpan w:val="5"/>
            <w:vAlign w:val="center"/>
          </w:tcPr>
          <w:p w14:paraId="019AF8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原辅材料：用于圈舍消毒的过氧化氢、高锰酸钾属于危险化学品主要储存于场区库房。</w:t>
            </w:r>
          </w:p>
          <w:p w14:paraId="1B43A8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三废：</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项目</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废气主要为</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恶臭污染物H</w:t>
            </w:r>
            <w:r>
              <w:rPr>
                <w:rFonts w:hint="default" w:ascii="Times New Roman" w:hAnsi="Times New Roman" w:eastAsia="宋体" w:cs="Times New Roman"/>
                <w:b w:val="0"/>
                <w:bCs w:val="0"/>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S和NH</w:t>
            </w:r>
            <w:r>
              <w:rPr>
                <w:rFonts w:hint="default" w:ascii="Times New Roman" w:hAnsi="Times New Roman" w:eastAsia="宋体" w:cs="Times New Roman"/>
                <w:b w:val="0"/>
                <w:bCs w:val="0"/>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，来自猪粪、尿</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及</w:t>
            </w:r>
            <w:r>
              <w:rPr>
                <w:rFonts w:hint="eastAsia" w:cs="Times New Roman"/>
                <w:b w:val="0"/>
                <w:bCs w:val="0"/>
                <w:color w:val="000000" w:themeColor="text1"/>
                <w:kern w:val="0"/>
                <w:sz w:val="21"/>
                <w:szCs w:val="21"/>
                <w:highlight w:val="none"/>
                <w:lang w:val="en-US" w:eastAsia="zh-CN"/>
                <w14:textFill>
                  <w14:solidFill>
                    <w14:schemeClr w14:val="tx1"/>
                  </w14:solidFill>
                </w14:textFill>
              </w:rPr>
              <w:t>粪污处理池</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发出的臭气</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及厌氧发酵的产生的甲烷气体。养殖废水</w:t>
            </w:r>
            <w:r>
              <w:rPr>
                <w:rFonts w:hint="eastAsia" w:cs="Times New Roman"/>
                <w:b w:val="0"/>
                <w:bCs w:val="0"/>
                <w:color w:val="000000" w:themeColor="text1"/>
                <w:kern w:val="0"/>
                <w:sz w:val="21"/>
                <w:szCs w:val="21"/>
                <w:highlight w:val="none"/>
                <w:lang w:val="en-US" w:eastAsia="zh-CN"/>
                <w14:textFill>
                  <w14:solidFill>
                    <w14:schemeClr w14:val="tx1"/>
                  </w14:solidFill>
                </w14:textFill>
              </w:rPr>
              <w:t>经废水处理系统处理后再氧化塘储存</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固废主要为猪粪干湿分离后堆存在对粪场堆肥处理后作为粪肥还田利用，兽用医疗废物属于危险废物暂存在场内危废暂存间，定期交由有资质的单位处置。少量病死猪不在厂内暂存，拉运至有资质单位无害化处置。生活垃圾由环卫部门统一清运处置。</w:t>
            </w:r>
          </w:p>
          <w:p w14:paraId="0FC498E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（3）主要危险场所：</w:t>
            </w:r>
            <w:r>
              <w:rPr>
                <w:rFonts w:hint="eastAsia" w:cs="Times New Roman"/>
                <w:b w:val="0"/>
                <w:bCs w:val="0"/>
                <w:color w:val="000000" w:themeColor="text1"/>
                <w:kern w:val="0"/>
                <w:sz w:val="21"/>
                <w:szCs w:val="21"/>
                <w:highlight w:val="none"/>
                <w:lang w:val="en-US" w:eastAsia="zh-CN"/>
                <w14:textFill>
                  <w14:solidFill>
                    <w14:schemeClr w14:val="tx1"/>
                  </w14:solidFill>
                </w14:textFill>
              </w:rPr>
              <w:t>好氧塘</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、堆</w:t>
            </w:r>
            <w:r>
              <w:rPr>
                <w:rFonts w:hint="eastAsia" w:cs="Times New Roman"/>
                <w:b w:val="0"/>
                <w:bCs w:val="0"/>
                <w:color w:val="000000" w:themeColor="text1"/>
                <w:kern w:val="0"/>
                <w:sz w:val="21"/>
                <w:szCs w:val="21"/>
                <w:highlight w:val="none"/>
                <w:lang w:val="en-US" w:eastAsia="zh-CN"/>
                <w14:textFill>
                  <w14:solidFill>
                    <w14:schemeClr w14:val="tx1"/>
                  </w14:solidFill>
                </w14:textFill>
              </w:rPr>
              <w:t>肥</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场、干湿分离</w:t>
            </w:r>
            <w:r>
              <w:rPr>
                <w:rFonts w:hint="eastAsia" w:cs="Times New Roman"/>
                <w:b w:val="0"/>
                <w:bCs w:val="0"/>
                <w:color w:val="000000" w:themeColor="text1"/>
                <w:kern w:val="0"/>
                <w:sz w:val="21"/>
                <w:szCs w:val="21"/>
                <w:highlight w:val="none"/>
                <w:lang w:val="en-US" w:eastAsia="zh-CN"/>
                <w14:textFill>
                  <w14:solidFill>
                    <w14:schemeClr w14:val="tx1"/>
                  </w14:solidFill>
                </w14:textFill>
              </w:rPr>
              <w:t>房</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、危废暂存间、</w:t>
            </w:r>
            <w:r>
              <w:rPr>
                <w:rFonts w:hint="eastAsia" w:cs="Times New Roman"/>
                <w:b w:val="0"/>
                <w:bCs w:val="0"/>
                <w:color w:val="000000" w:themeColor="text1"/>
                <w:kern w:val="0"/>
                <w:sz w:val="21"/>
                <w:szCs w:val="21"/>
                <w:highlight w:val="none"/>
                <w:lang w:val="en-US" w:eastAsia="zh-CN"/>
                <w14:textFill>
                  <w14:solidFill>
                    <w14:schemeClr w14:val="tx1"/>
                  </w14:solidFill>
                </w14:textFill>
              </w:rPr>
              <w:t>药品间。</w:t>
            </w:r>
          </w:p>
        </w:tc>
      </w:tr>
      <w:tr w14:paraId="0ADE3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529" w:type="pct"/>
            <w:vAlign w:val="center"/>
          </w:tcPr>
          <w:p w14:paraId="5582EE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环境影响途径及危害后果（大气、地表水、地下水等）</w:t>
            </w:r>
          </w:p>
        </w:tc>
        <w:tc>
          <w:tcPr>
            <w:tcW w:w="3470" w:type="pct"/>
            <w:gridSpan w:val="5"/>
            <w:vAlign w:val="center"/>
          </w:tcPr>
          <w:p w14:paraId="494604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主要影响途径为泄露、火灾、爆炸导致的直接、次生影响。</w:t>
            </w:r>
          </w:p>
        </w:tc>
      </w:tr>
      <w:tr w14:paraId="40D90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29" w:type="pct"/>
            <w:vAlign w:val="center"/>
          </w:tcPr>
          <w:p w14:paraId="4FE85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风险防范措施要求</w:t>
            </w:r>
          </w:p>
        </w:tc>
        <w:tc>
          <w:tcPr>
            <w:tcW w:w="3470" w:type="pct"/>
            <w:gridSpan w:val="5"/>
            <w:vAlign w:val="center"/>
          </w:tcPr>
          <w:p w14:paraId="6EB1C9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对危险化学品由专人管理负责，严格按照化学品储存要求进行储存。</w:t>
            </w:r>
          </w:p>
          <w:p w14:paraId="3FFBF4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2</w:t>
            </w: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严格落实</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污染物治理措施，</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定期监测</w:t>
            </w: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保证污染防治措施正常运转。</w:t>
            </w:r>
          </w:p>
          <w:p w14:paraId="79295A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危废暂存间、</w:t>
            </w:r>
            <w:r>
              <w:rPr>
                <w:rFonts w:hint="eastAsia" w:cs="Times New Roman"/>
                <w:b w:val="0"/>
                <w:bCs w:val="0"/>
                <w:color w:val="000000" w:themeColor="text1"/>
                <w:kern w:val="0"/>
                <w:sz w:val="21"/>
                <w:szCs w:val="21"/>
                <w:highlight w:val="none"/>
                <w:lang w:val="en-US" w:eastAsia="zh-CN"/>
                <w14:textFill>
                  <w14:solidFill>
                    <w14:schemeClr w14:val="tx1"/>
                  </w14:solidFill>
                </w14:textFill>
              </w:rPr>
              <w:t>粪污处理池</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、干湿分离</w:t>
            </w:r>
            <w:r>
              <w:rPr>
                <w:rFonts w:hint="eastAsia" w:cs="Times New Roman"/>
                <w:b w:val="0"/>
                <w:bCs w:val="0"/>
                <w:color w:val="000000" w:themeColor="text1"/>
                <w:kern w:val="0"/>
                <w:sz w:val="21"/>
                <w:szCs w:val="21"/>
                <w:highlight w:val="none"/>
                <w:lang w:val="en-US" w:eastAsia="zh-CN"/>
                <w14:textFill>
                  <w14:solidFill>
                    <w14:schemeClr w14:val="tx1"/>
                  </w14:solidFill>
                </w14:textFill>
              </w:rPr>
              <w:t>房</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、堆</w:t>
            </w:r>
            <w:r>
              <w:rPr>
                <w:rFonts w:hint="eastAsia" w:cs="Times New Roman"/>
                <w:b w:val="0"/>
                <w:bCs w:val="0"/>
                <w:color w:val="000000" w:themeColor="text1"/>
                <w:kern w:val="0"/>
                <w:sz w:val="21"/>
                <w:szCs w:val="21"/>
                <w:highlight w:val="none"/>
                <w:lang w:val="en-US" w:eastAsia="zh-CN"/>
                <w14:textFill>
                  <w14:solidFill>
                    <w14:schemeClr w14:val="tx1"/>
                  </w14:solidFill>
                </w14:textFill>
              </w:rPr>
              <w:t>肥</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场做好防渗措施、防止泄露、火灾、爆炸导致的污染土壤及地下水等现象，</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按照应急预案做好事故防范措施</w:t>
            </w:r>
          </w:p>
        </w:tc>
      </w:tr>
      <w:tr w14:paraId="1A3C0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5000" w:type="pct"/>
            <w:gridSpan w:val="6"/>
            <w:vAlign w:val="center"/>
          </w:tcPr>
          <w:p w14:paraId="19683A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填表说明（列出项目相关信息及评价说明）：</w:t>
            </w:r>
          </w:p>
          <w:p w14:paraId="629220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本项目涉及的有毒有害物质主要为氨、硫化氢主要来源于圈舍、</w:t>
            </w:r>
            <w:r>
              <w:rPr>
                <w:rFonts w:hint="eastAsia" w:cs="Times New Roman"/>
                <w:b w:val="0"/>
                <w:bCs w:val="0"/>
                <w:color w:val="000000" w:themeColor="text1"/>
                <w:kern w:val="0"/>
                <w:sz w:val="21"/>
                <w:szCs w:val="21"/>
                <w:highlight w:val="none"/>
                <w:lang w:val="en-US" w:eastAsia="zh-CN"/>
                <w14:textFill>
                  <w14:solidFill>
                    <w14:schemeClr w14:val="tx1"/>
                  </w14:solidFill>
                </w14:textFill>
              </w:rPr>
              <w:t>废物处理池</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堆</w:t>
            </w:r>
            <w:r>
              <w:rPr>
                <w:rFonts w:hint="eastAsia" w:cs="Times New Roman"/>
                <w:b w:val="0"/>
                <w:bCs w:val="0"/>
                <w:color w:val="000000" w:themeColor="text1"/>
                <w:kern w:val="0"/>
                <w:sz w:val="21"/>
                <w:szCs w:val="21"/>
                <w:highlight w:val="none"/>
                <w:lang w:val="en-US" w:eastAsia="zh-CN"/>
                <w14:textFill>
                  <w14:solidFill>
                    <w14:schemeClr w14:val="tx1"/>
                  </w14:solidFill>
                </w14:textFill>
              </w:rPr>
              <w:t>肥</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场</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干湿分离</w:t>
            </w:r>
            <w:r>
              <w:rPr>
                <w:rFonts w:hint="eastAsia" w:cs="Times New Roman"/>
                <w:b w:val="0"/>
                <w:bCs w:val="0"/>
                <w:color w:val="000000" w:themeColor="text1"/>
                <w:kern w:val="0"/>
                <w:sz w:val="21"/>
                <w:szCs w:val="21"/>
                <w:highlight w:val="none"/>
                <w:lang w:val="en-US" w:eastAsia="zh-CN"/>
                <w14:textFill>
                  <w14:solidFill>
                    <w14:schemeClr w14:val="tx1"/>
                  </w14:solidFill>
                </w14:textFill>
              </w:rPr>
              <w:t>房</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排放的</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恶臭气体</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甲烷主要来源于</w:t>
            </w:r>
            <w:r>
              <w:rPr>
                <w:rFonts w:hint="eastAsia" w:cs="Times New Roman"/>
                <w:b w:val="0"/>
                <w:bCs w:val="0"/>
                <w:color w:val="000000" w:themeColor="text1"/>
                <w:kern w:val="0"/>
                <w:sz w:val="21"/>
                <w:szCs w:val="21"/>
                <w:highlight w:val="none"/>
                <w:lang w:val="en-US" w:eastAsia="zh-CN"/>
                <w14:textFill>
                  <w14:solidFill>
                    <w14:schemeClr w14:val="tx1"/>
                  </w14:solidFill>
                </w14:textFill>
              </w:rPr>
              <w:t>UASB</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厌氧发酵产生的甲烷气体。危险化学品主要为圈舍消毒用的高锰酸钾及过氧乙酸，</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其数量与临界量的比值Q</w:t>
            </w:r>
            <w:r>
              <w:rPr>
                <w:rFonts w:hint="eastAsia" w:cs="Times New Roman"/>
                <w:b w:val="0"/>
                <w:bCs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0.0</w:t>
            </w:r>
            <w:r>
              <w:rPr>
                <w:rFonts w:hint="eastAsia" w:cs="Times New Roman"/>
                <w:b w:val="0"/>
                <w:bCs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＜1，仅进行简单风险分析。</w:t>
            </w:r>
          </w:p>
        </w:tc>
      </w:tr>
    </w:tbl>
    <w:p w14:paraId="757BAE5D">
      <w:pPr>
        <w:bidi w:val="0"/>
        <w:rPr>
          <w:rFonts w:hint="default"/>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4A693573">
      <w:pPr>
        <w:pStyle w:val="25"/>
        <w:bidi w:val="0"/>
        <w:rPr>
          <w:rFonts w:hint="default"/>
          <w:lang w:val="en-US" w:eastAsia="zh-CN"/>
        </w:rPr>
      </w:pPr>
      <w:bookmarkStart w:id="30" w:name="_Toc4021"/>
      <w:r>
        <w:rPr>
          <w:rFonts w:hint="eastAsia"/>
          <w:lang w:val="en-US" w:eastAsia="zh-CN"/>
        </w:rPr>
        <w:t>环境保护措施及其可行性论证</w:t>
      </w:r>
      <w:bookmarkEnd w:id="30"/>
    </w:p>
    <w:p w14:paraId="0C172B80">
      <w:pPr>
        <w:pStyle w:val="26"/>
        <w:bidi w:val="0"/>
        <w:rPr>
          <w:rFonts w:hint="eastAsia"/>
          <w:lang w:val="en-US" w:eastAsia="zh-CN"/>
        </w:rPr>
      </w:pPr>
      <w:bookmarkStart w:id="31" w:name="_Toc14442"/>
      <w:r>
        <w:t>施工期环境保护措施</w:t>
      </w:r>
      <w:bookmarkEnd w:id="31"/>
    </w:p>
    <w:p w14:paraId="72341678">
      <w:pPr>
        <w:pStyle w:val="27"/>
        <w:bidi w:val="0"/>
        <w:rPr>
          <w:rFonts w:hint="eastAsia"/>
          <w:lang w:val="en-US" w:eastAsia="zh-CN"/>
        </w:rPr>
      </w:pPr>
      <w:r>
        <w:rPr>
          <w:color w:val="000000" w:themeColor="text1"/>
          <w:highlight w:val="none"/>
          <w14:textFill>
            <w14:solidFill>
              <w14:schemeClr w14:val="tx1"/>
            </w14:solidFill>
          </w14:textFill>
        </w:rPr>
        <w:t>施工期扬尘污染防治措施</w:t>
      </w:r>
    </w:p>
    <w:p w14:paraId="26DD7344">
      <w:pPr>
        <w:bidi w:val="0"/>
        <w:rPr>
          <w:rFonts w:hint="eastAsia"/>
          <w:lang w:val="en-US" w:eastAsia="zh-CN"/>
        </w:rPr>
      </w:pPr>
      <w:r>
        <w:rPr>
          <w:rFonts w:hint="eastAsia"/>
          <w:lang w:val="en-US" w:eastAsia="zh-CN"/>
        </w:rPr>
        <w:t>本项目施工期可能产生的扬尘影响主要为施工场地产生的风力扬尘及运输车辆行驶扬尘，有关研究资料显示，在采取加强场地管理、及时洒水抑尘、采用商品混凝土等措施，可以有效的控制施工期扬尘影响的范围及程度。为了缓解施工期产生扬尘对周边环境的影响，最大限度减少本项目施工扬尘的影响，根据《防治城市扬尘污染技术规范》（HJ/T393-2007）和《大气污染防治行动计划》等文件中的要求，本次环评提出的施工期</w:t>
      </w:r>
      <w:r>
        <w:rPr>
          <w:color w:val="000000" w:themeColor="text1"/>
          <w:highlight w:val="none"/>
          <w14:textFill>
            <w14:solidFill>
              <w14:schemeClr w14:val="tx1"/>
            </w14:solidFill>
          </w14:textFill>
        </w:rPr>
        <w:t>扬尘污染防治措施</w:t>
      </w:r>
      <w:r>
        <w:rPr>
          <w:rFonts w:hint="eastAsia"/>
          <w:lang w:val="en-US" w:eastAsia="zh-CN"/>
        </w:rPr>
        <w:t>防治措施如下：</w:t>
      </w:r>
    </w:p>
    <w:p w14:paraId="6411E025">
      <w:pPr>
        <w:bidi w:val="0"/>
        <w:rPr>
          <w:rFonts w:hint="eastAsia"/>
          <w:lang w:val="en-US" w:eastAsia="zh-CN"/>
        </w:rPr>
      </w:pPr>
      <w:r>
        <w:rPr>
          <w:rFonts w:hint="eastAsia"/>
          <w:lang w:val="en-US" w:eastAsia="zh-CN"/>
        </w:rPr>
        <w:t>（1）建设施工由建设单位指定专人负责施工现场扬尘污染措施的实施和监督。施工工地出入口必须设立环境保护监督牌。必须注明项目名称、建设单位、施工单位、防治扬尘污染现场监督员姓名和联系电话、项目工期、环保措施、举报电话等内容。</w:t>
      </w:r>
    </w:p>
    <w:p w14:paraId="2EAF5867">
      <w:pPr>
        <w:bidi w:val="0"/>
        <w:rPr>
          <w:rFonts w:hint="eastAsia"/>
          <w:lang w:val="en-US" w:eastAsia="zh-CN"/>
        </w:rPr>
      </w:pPr>
      <w:r>
        <w:rPr>
          <w:rFonts w:hint="eastAsia"/>
          <w:lang w:val="en-US" w:eastAsia="zh-CN"/>
        </w:rPr>
        <w:t>（2）施工工地周围建设围挡。施工场地周边必须设置1.8m以上的硬质围墙或围挡，严禁敞开式作业。围挡地段应设置防溢座，围挡之间以及围挡与防溢座之间无缝隙。对围挡落尘应当定期进行清洗。保证施工工地周围环境整洁；</w:t>
      </w:r>
    </w:p>
    <w:p w14:paraId="37E579BB">
      <w:pPr>
        <w:bidi w:val="0"/>
        <w:rPr>
          <w:rFonts w:hint="eastAsia"/>
          <w:lang w:val="en-US" w:eastAsia="zh-CN"/>
        </w:rPr>
      </w:pPr>
      <w:r>
        <w:rPr>
          <w:rFonts w:hint="eastAsia"/>
          <w:lang w:val="en-US" w:eastAsia="zh-CN"/>
        </w:rPr>
        <w:t>（3）物料堆放百分百覆盖。施工工地内堆放易产生扬尘污染物料的，必须密闭存放或覆盖；工程主体施工阶段必须使用密目式安全网进行封闭；</w:t>
      </w:r>
    </w:p>
    <w:p w14:paraId="55C718AF">
      <w:pPr>
        <w:bidi w:val="0"/>
        <w:rPr>
          <w:rFonts w:hint="eastAsia"/>
          <w:lang w:val="en-US" w:eastAsia="zh-CN"/>
        </w:rPr>
      </w:pPr>
      <w:r>
        <w:rPr>
          <w:rFonts w:hint="eastAsia"/>
          <w:lang w:val="en-US" w:eastAsia="zh-CN"/>
        </w:rPr>
        <w:t>（4）出入车辆百分百冲洗。施工工地现场出入地面必须硬化处理并设置车辆冲洗台以及配套的排水、泥浆沉淀设施，冲洗设施到位；车辆在驶出工地前，应将车轮、车身冲洗干净，不得带泥上路；</w:t>
      </w:r>
    </w:p>
    <w:p w14:paraId="0010C7C9">
      <w:pPr>
        <w:bidi w:val="0"/>
        <w:rPr>
          <w:rFonts w:hint="eastAsia"/>
          <w:lang w:val="en-US" w:eastAsia="zh-CN"/>
        </w:rPr>
      </w:pPr>
      <w:r>
        <w:rPr>
          <w:rFonts w:hint="eastAsia"/>
          <w:lang w:val="en-US" w:eastAsia="zh-CN"/>
        </w:rPr>
        <w:t>（5）施工现场地面硬化。施工现场的主要道路应铺设混凝土或沥青路面，场地内的其他地面进行硬化处理。土方开挖阶段，应对施工现场的车型道路进行简易硬化，并辅以洒水等降尘措施；</w:t>
      </w:r>
    </w:p>
    <w:p w14:paraId="1589D6BB">
      <w:pPr>
        <w:bidi w:val="0"/>
        <w:rPr>
          <w:rFonts w:hint="eastAsia"/>
          <w:lang w:val="en-US" w:eastAsia="zh-CN"/>
        </w:rPr>
      </w:pPr>
      <w:r>
        <w:rPr>
          <w:rFonts w:hint="eastAsia"/>
          <w:lang w:val="en-US" w:eastAsia="zh-CN"/>
        </w:rPr>
        <w:t>（6）出现五级以上大风天气时，禁止进行土方和拆除施工等易产生扬尘污染的施工作业；</w:t>
      </w:r>
    </w:p>
    <w:p w14:paraId="6E65FA69">
      <w:pPr>
        <w:bidi w:val="0"/>
        <w:rPr>
          <w:rFonts w:hint="eastAsia"/>
          <w:lang w:val="en-US" w:eastAsia="zh-CN"/>
        </w:rPr>
      </w:pPr>
      <w:r>
        <w:rPr>
          <w:rFonts w:hint="eastAsia"/>
          <w:lang w:val="en-US" w:eastAsia="zh-CN"/>
        </w:rPr>
        <w:t>（7）施工期间，工地内从建筑上层将具有粉尘逸散性的物料、渣土或废弃物输送至地面或地下楼层时，应采用密闭方式输送，不得凌空抛洒；</w:t>
      </w:r>
    </w:p>
    <w:p w14:paraId="4D870773">
      <w:pPr>
        <w:bidi w:val="0"/>
        <w:rPr>
          <w:rFonts w:hint="eastAsia"/>
          <w:lang w:val="en-US" w:eastAsia="zh-CN"/>
        </w:rPr>
      </w:pPr>
      <w:r>
        <w:rPr>
          <w:rFonts w:hint="eastAsia"/>
          <w:lang w:val="en-US" w:eastAsia="zh-CN"/>
        </w:rPr>
        <w:t>（8）在城市建成区范围内的建设工程，严禁在施工现场搅拌砂浆混凝土；</w:t>
      </w:r>
    </w:p>
    <w:p w14:paraId="41899E6E">
      <w:pPr>
        <w:bidi w:val="0"/>
        <w:rPr>
          <w:rFonts w:hint="eastAsia"/>
          <w:lang w:val="en-US" w:eastAsia="zh-CN"/>
        </w:rPr>
      </w:pPr>
      <w:r>
        <w:rPr>
          <w:rFonts w:hint="eastAsia"/>
          <w:lang w:val="en-US" w:eastAsia="zh-CN"/>
        </w:rPr>
        <w:t>（9）工程项目竣工后30日内，施工单位必须平整施工场地，并清除积土、堆物；通过洒水、硬化道路，可抑制扬尘的产生；设置围挡，可将扬尘围挡在施工场地内，大量减少向外扩散的扬尘。因此，上述大气污染防治措施可行。</w:t>
      </w:r>
    </w:p>
    <w:p w14:paraId="6F89DE21">
      <w:pPr>
        <w:bidi w:val="0"/>
        <w:rPr>
          <w:rFonts w:hint="eastAsia"/>
          <w:lang w:val="en-US" w:eastAsia="zh-CN"/>
        </w:rPr>
      </w:pPr>
      <w:r>
        <w:rPr>
          <w:rFonts w:hint="eastAsia"/>
          <w:lang w:val="en-US" w:eastAsia="zh-CN"/>
        </w:rPr>
        <w:t>施工期间，施工机械和运输车辆会排放一定数量的汽车尾气，但因排放量相对较少，不会对区域的空气环境质量产生实质性影响。</w:t>
      </w:r>
    </w:p>
    <w:p w14:paraId="1433FE3B">
      <w:pPr>
        <w:pStyle w:val="27"/>
        <w:bidi w:val="0"/>
      </w:pPr>
      <w:r>
        <w:t>施工期水污染防治措施</w:t>
      </w:r>
    </w:p>
    <w:p w14:paraId="547D2E5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为防止污水污染环境，</w:t>
      </w:r>
      <w:r>
        <w:rPr>
          <w:rFonts w:hint="eastAsia"/>
          <w:color w:val="000000" w:themeColor="text1"/>
          <w:highlight w:val="none"/>
          <w:lang w:val="en-US" w:eastAsia="zh-CN"/>
          <w14:textFill>
            <w14:solidFill>
              <w14:schemeClr w14:val="tx1"/>
            </w14:solidFill>
          </w14:textFill>
        </w:rPr>
        <w:t>施工期</w:t>
      </w:r>
      <w:r>
        <w:rPr>
          <w:color w:val="000000" w:themeColor="text1"/>
          <w:highlight w:val="none"/>
          <w14:textFill>
            <w14:solidFill>
              <w14:schemeClr w14:val="tx1"/>
            </w14:solidFill>
          </w14:textFill>
        </w:rPr>
        <w:t>必须采取相应的控制措施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具体如下</w:t>
      </w:r>
      <w:r>
        <w:rPr>
          <w:color w:val="000000" w:themeColor="text1"/>
          <w:highlight w:val="none"/>
          <w14:textFill>
            <w14:solidFill>
              <w14:schemeClr w14:val="tx1"/>
            </w14:solidFill>
          </w14:textFill>
        </w:rPr>
        <w:t>：</w:t>
      </w:r>
    </w:p>
    <w:p w14:paraId="321A32A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（1）施工期工地一切废物都要按指定地点堆放并及时组织清除，避免因暴雨径流而被冲走流入附近水体。</w:t>
      </w:r>
    </w:p>
    <w:p w14:paraId="71601A0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（2）施工场地应加强管理，尽量保持场地平整，土石方堆放坡面应平整，以减少土石方等进入堆放地附近渠道。</w:t>
      </w:r>
    </w:p>
    <w:p w14:paraId="60FA1FA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施工现场要严格规定排水去向，对建筑施工中产生的土建泥浆水以及外排淤水等在施工前期设计好排水沟和沉淀池，将建筑泥浆水和冲洗水经沉淀分离后用于施工场地洒水降尘，防止泥浆水外排，沉淀泥浆应定期及时外运。</w:t>
      </w:r>
    </w:p>
    <w:p w14:paraId="24265FA3">
      <w:pPr>
        <w:ind w:firstLine="480" w:firstLineChars="200"/>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（4）施工人员的生活污水不得随意排，</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本项目在施工期内平均每天的施工人员数量为40人，就近租用民房，不在项目区食宿</w:t>
      </w:r>
      <w:r>
        <w:rPr>
          <w:rFonts w:hint="eastAsia"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施工期生活污水依托租用房屋的现有收集处置方式处理。</w:t>
      </w:r>
    </w:p>
    <w:p w14:paraId="723C77EA">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）施工</w:t>
      </w:r>
      <w:r>
        <w:rPr>
          <w:rFonts w:hint="eastAsia"/>
          <w:color w:val="000000" w:themeColor="text1"/>
          <w:highlight w:val="none"/>
          <w:lang w:val="en-US" w:eastAsia="zh-CN"/>
          <w14:textFill>
            <w14:solidFill>
              <w14:schemeClr w14:val="tx1"/>
            </w14:solidFill>
          </w14:textFill>
        </w:rPr>
        <w:t>时</w:t>
      </w:r>
      <w:r>
        <w:rPr>
          <w:rFonts w:hint="eastAsia"/>
          <w:color w:val="000000" w:themeColor="text1"/>
          <w:highlight w:val="none"/>
          <w:lang w:eastAsia="zh-CN"/>
          <w14:textFill>
            <w14:solidFill>
              <w14:schemeClr w14:val="tx1"/>
            </w14:solidFill>
          </w14:textFill>
        </w:rPr>
        <w:t>配备监理，对工程施工过程中的质量进行监督和检查，确保工程质量符合相关标准和规范。</w:t>
      </w:r>
    </w:p>
    <w:p w14:paraId="5FC7B30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）加强环境管理，防止施工机械油料泄漏或废油料倾倒进入水体后引起水污染，建议采取接漏的方式接收施工机械等漏油。</w:t>
      </w:r>
    </w:p>
    <w:p w14:paraId="458EF0B1">
      <w:pPr>
        <w:pStyle w:val="27"/>
        <w:bidi w:val="0"/>
      </w:pPr>
      <w:bookmarkStart w:id="32" w:name="_Toc14042"/>
      <w:r>
        <w:t>施工期噪声污染防治措施</w:t>
      </w:r>
      <w:bookmarkEnd w:id="32"/>
    </w:p>
    <w:p w14:paraId="0996EF9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为了减轻本工程施工期噪声的环境影响，可采取以下控制措施：</w:t>
      </w:r>
    </w:p>
    <w:p w14:paraId="12A134F8">
      <w:pPr>
        <w:numPr>
          <w:ilvl w:val="0"/>
          <w:numId w:val="12"/>
        </w:num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采用先进的施工设备和建筑工艺技术，从源头控制噪声污染；</w:t>
      </w:r>
    </w:p>
    <w:p w14:paraId="5E81F38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（2）加强施工管理，按当地规定的时间合理进行高噪声施工作业；</w:t>
      </w:r>
    </w:p>
    <w:p w14:paraId="5054AC0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（3）施工机械应尽可能放置于对厂界外造成影响最小的地点；</w:t>
      </w:r>
    </w:p>
    <w:p w14:paraId="20EC4BD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（4）在高噪声设备周围设置声屏障；</w:t>
      </w:r>
    </w:p>
    <w:p w14:paraId="115AD3F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（5）混凝土需要连续浇灌作用前，应做好各项准备工作，将搅拌机运行时间压到最低限度；</w:t>
      </w:r>
    </w:p>
    <w:p w14:paraId="614A344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（6）加强对运输车辆的管理，严格规定运输车辆行驶路线及行驶时间，减少交通运输噪声对运输线路周边环境敏感点的影响；</w:t>
      </w:r>
    </w:p>
    <w:p w14:paraId="65B9F9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（7）提高施工人员特别是现场施工负责人员的环保意识，施工负责人应学习国家相关环保</w:t>
      </w:r>
      <w:r>
        <w:rPr>
          <w:rFonts w:hint="eastAsia"/>
          <w:color w:val="000000" w:themeColor="text1"/>
          <w:highlight w:val="none"/>
          <w14:textFill>
            <w14:solidFill>
              <w14:schemeClr w14:val="tx1"/>
            </w14:solidFill>
          </w14:textFill>
        </w:rPr>
        <w:t>法律法规</w:t>
      </w:r>
      <w:r>
        <w:rPr>
          <w:color w:val="000000" w:themeColor="text1"/>
          <w:highlight w:val="none"/>
          <w14:textFill>
            <w14:solidFill>
              <w14:schemeClr w14:val="tx1"/>
            </w14:solidFill>
          </w14:textFill>
        </w:rPr>
        <w:t>，增强环保意识，提高其自身素质，约束自己的行为，明确认识噪声对人体的危害，接触高噪声的人员，要采取必要的个人防护措施，如耳塞、耳罩等，保护身心健康。</w:t>
      </w:r>
    </w:p>
    <w:p w14:paraId="45FE3298">
      <w:pPr>
        <w:pStyle w:val="27"/>
        <w:bidi w:val="0"/>
      </w:pPr>
      <w:r>
        <w:t>施工期固体废物污染防治措施</w:t>
      </w:r>
    </w:p>
    <w:p w14:paraId="66E8C72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本项目施工期除基础开挖、场地平整产生的土石方外，也将有一定数量废弃的建筑材料如砂石、石灰、混凝土、木材及施工队伍生活垃圾等。</w:t>
      </w:r>
    </w:p>
    <w:p w14:paraId="161BB7F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建筑垃圾中可回收利用的废物应进行回收利用，减少浪费，节约资源；对无利用价值的建筑垃圾要及时清运、防止其因长期堆放而产生扬尘污染，严禁置于项目区周围影响环境。因此，在施工前应向城建、环卫部门申请建筑垃圾处置场所，随时把施工垃圾运往城市垃圾填埋场。</w:t>
      </w:r>
    </w:p>
    <w:p w14:paraId="0B7F6E2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在施工期必须制定废弃物管理计划。该计划应包括抛弃方案的执行计划、废弃物控制的报告程序和报告格式、维护程序等。施工单位必须按规定办理好废渣土排放的手续，获得批准后方可在指定的</w:t>
      </w:r>
      <w:r>
        <w:rPr>
          <w:rFonts w:hint="eastAsia"/>
          <w:color w:val="000000" w:themeColor="text1"/>
          <w:highlight w:val="none"/>
          <w14:textFill>
            <w14:solidFill>
              <w14:schemeClr w14:val="tx1"/>
            </w14:solidFill>
          </w14:textFill>
        </w:rPr>
        <w:t>收纳</w:t>
      </w:r>
      <w:r>
        <w:rPr>
          <w:color w:val="000000" w:themeColor="text1"/>
          <w:highlight w:val="none"/>
          <w14:textFill>
            <w14:solidFill>
              <w14:schemeClr w14:val="tx1"/>
            </w14:solidFill>
          </w14:textFill>
        </w:rPr>
        <w:t>地点弃土。车辆运输散体</w:t>
      </w:r>
      <w:r>
        <w:rPr>
          <w:rFonts w:hint="eastAsia"/>
          <w:color w:val="000000" w:themeColor="text1"/>
          <w:highlight w:val="none"/>
          <w14:textFill>
            <w14:solidFill>
              <w14:schemeClr w14:val="tx1"/>
            </w14:solidFill>
          </w14:textFill>
        </w:rPr>
        <w:t>物料</w:t>
      </w:r>
      <w:r>
        <w:rPr>
          <w:color w:val="000000" w:themeColor="text1"/>
          <w:highlight w:val="none"/>
          <w14:textFill>
            <w14:solidFill>
              <w14:schemeClr w14:val="tx1"/>
            </w14:solidFill>
          </w14:textFill>
        </w:rPr>
        <w:t>和废弃物时，必须密封、包扎、覆盖，不得沿途撒漏；运载土方的车辆必须在规定的时间内，按指定路段行驶。</w:t>
      </w:r>
    </w:p>
    <w:p w14:paraId="53DEDFE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土石方利用优先顺序如下：</w:t>
      </w:r>
    </w:p>
    <w:p w14:paraId="0AE962E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（1）尽量把土石方用于施工作业带的基础工程、加固工程、水土保持工程等；</w:t>
      </w:r>
    </w:p>
    <w:p w14:paraId="5034C75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（2）用于施工区土地的平整，平铺在施工作业带或其他允许的地方上；</w:t>
      </w:r>
    </w:p>
    <w:p w14:paraId="513BA9D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（3）可以运送给需要的第三方；</w:t>
      </w:r>
    </w:p>
    <w:p w14:paraId="4A6AA18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（4）确实多余的土石方应运到城市建筑垃圾场。</w:t>
      </w:r>
    </w:p>
    <w:p w14:paraId="6F318890">
      <w:pPr>
        <w:bidi w:val="0"/>
        <w:rPr>
          <w:rFonts w:hint="eastAsia"/>
          <w:lang w:val="en-US" w:eastAsia="zh-CN"/>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施工期生活垃圾经收集后交由环卫部门处置。</w:t>
      </w:r>
    </w:p>
    <w:p w14:paraId="1379465E">
      <w:pPr>
        <w:bidi w:val="0"/>
        <w:rPr>
          <w:rFonts w:hint="eastAsia"/>
          <w:lang w:val="en-US" w:eastAsia="zh-CN"/>
        </w:rPr>
      </w:pPr>
      <w:r>
        <w:rPr>
          <w:color w:val="000000" w:themeColor="text1"/>
          <w:highlight w:val="none"/>
          <w14:textFill>
            <w14:solidFill>
              <w14:schemeClr w14:val="tx1"/>
            </w14:solidFill>
          </w14:textFill>
        </w:rPr>
        <w:t>通过加强施工期间的卫生管理，严禁乱堆、乱倒垃圾，可以减轻施工期固体废弃物对环境的影响。只要加强管理，采取切实可</w:t>
      </w:r>
      <w:r>
        <w:rPr>
          <w:color w:val="000000" w:themeColor="text1"/>
          <w:spacing w:val="-1"/>
          <w:highlight w:val="none"/>
          <w14:textFill>
            <w14:solidFill>
              <w14:schemeClr w14:val="tx1"/>
            </w14:solidFill>
          </w14:textFill>
        </w:rPr>
        <w:t>行的措施，施工废弃物不会对周围环境带来严重危害。</w:t>
      </w:r>
    </w:p>
    <w:p w14:paraId="4072DB88">
      <w:pPr>
        <w:pStyle w:val="27"/>
        <w:bidi w:val="0"/>
        <w:rPr>
          <w:rFonts w:hint="eastAsia"/>
          <w:lang w:val="en-US" w:eastAsia="zh-CN"/>
        </w:rPr>
      </w:pPr>
      <w:r>
        <w:rPr>
          <w:rFonts w:hint="eastAsia"/>
          <w:lang w:val="en-US" w:eastAsia="zh-CN"/>
        </w:rPr>
        <w:t>生态环境保护措施</w:t>
      </w:r>
    </w:p>
    <w:p w14:paraId="1ED1506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根据施工活动对项目区生态环境的影响方面，为有效控制施工活动的不良影响，维护区域生态环境，在施工期间应保证下列措施的实施：</w:t>
      </w:r>
    </w:p>
    <w:p w14:paraId="18FFE77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（1）施工进场道路修建要严格施工机械活动范围，控制在永久占地范围内；严禁破坏道路两侧植被，严禁在道路两侧取弃土。施工期间应规范施工行为，避免大风天和雨天施工，减少土壤侵蚀源的暴露时间。</w:t>
      </w:r>
    </w:p>
    <w:p w14:paraId="377BECB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（2）本环评要求施工方在开挖土石方时，对项目区适宜植被生长的表层土壤进行保护性堆存，堆放时注意表层土和深层土层分开放置，在回填时</w:t>
      </w:r>
      <w:r>
        <w:rPr>
          <w:rFonts w:hint="eastAsia"/>
          <w:color w:val="000000" w:themeColor="text1"/>
          <w:highlight w:val="none"/>
          <w:lang w:val="en-US" w:eastAsia="zh-CN"/>
          <w14:textFill>
            <w14:solidFill>
              <w14:schemeClr w14:val="tx1"/>
            </w14:solidFill>
          </w14:textFill>
        </w:rPr>
        <w:t>分别回填</w:t>
      </w:r>
      <w:r>
        <w:rPr>
          <w:color w:val="000000" w:themeColor="text1"/>
          <w:highlight w:val="none"/>
          <w14:textFill>
            <w14:solidFill>
              <w14:schemeClr w14:val="tx1"/>
            </w14:solidFill>
          </w14:textFill>
        </w:rPr>
        <w:t>，减少余方量。</w:t>
      </w:r>
    </w:p>
    <w:p w14:paraId="475514C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（3）工程挖方应尽可能用于场地回填及道路建设，无永久弃土产生。</w:t>
      </w:r>
    </w:p>
    <w:p w14:paraId="2405E67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（4）在道路路边设置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保护生态环境、保护野生动植物</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等警示牌，并从管理上对工作人员加强宣传教育，切实</w:t>
      </w:r>
      <w:r>
        <w:rPr>
          <w:rFonts w:hint="eastAsia"/>
          <w:color w:val="000000" w:themeColor="text1"/>
          <w:highlight w:val="none"/>
          <w14:textFill>
            <w14:solidFill>
              <w14:schemeClr w14:val="tx1"/>
            </w14:solidFill>
          </w14:textFill>
        </w:rPr>
        <w:t>增强</w:t>
      </w:r>
      <w:r>
        <w:rPr>
          <w:color w:val="000000" w:themeColor="text1"/>
          <w:highlight w:val="none"/>
          <w14:textFill>
            <w14:solidFill>
              <w14:schemeClr w14:val="tx1"/>
            </w14:solidFill>
          </w14:textFill>
        </w:rPr>
        <w:t>生态环境的意识。</w:t>
      </w:r>
    </w:p>
    <w:p w14:paraId="308D42B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（5）划定施工作业范围和路线，严格控制和管理运输车辆及重型机械施工作业范围，采用拉设彩条方式限定运输车辆行驶范围。</w:t>
      </w:r>
    </w:p>
    <w:p w14:paraId="7E3AD844">
      <w:pPr>
        <w:bidi w:val="0"/>
        <w:rPr>
          <w:rFonts w:hint="eastAsia"/>
          <w:lang w:val="en-US" w:eastAsia="zh-CN"/>
        </w:rPr>
      </w:pPr>
      <w:r>
        <w:rPr>
          <w:color w:val="000000" w:themeColor="text1"/>
          <w:highlight w:val="none"/>
          <w14:textFill>
            <w14:solidFill>
              <w14:schemeClr w14:val="tx1"/>
            </w14:solidFill>
          </w14:textFill>
        </w:rPr>
        <w:t>（6）施工方若按本环评要求加强施工管理、合理安排施工进度，避免发生水土流失。随着施工期结束，建设场地被水泥、建筑覆盖，改变了项目区植被稀疏，分布零乱，裸露土壤较多的现状，有利于消除水土流失的不利影响。</w:t>
      </w:r>
    </w:p>
    <w:p w14:paraId="3F71FEE1">
      <w:pPr>
        <w:pStyle w:val="27"/>
        <w:bidi w:val="0"/>
        <w:rPr>
          <w:rFonts w:hint="eastAsia"/>
          <w:lang w:val="en-US" w:eastAsia="zh-CN"/>
        </w:rPr>
      </w:pPr>
      <w:r>
        <w:rPr>
          <w:rFonts w:hint="eastAsia"/>
          <w:lang w:val="en-US" w:eastAsia="zh-CN"/>
        </w:rPr>
        <w:t>水土流失防治措施</w:t>
      </w:r>
    </w:p>
    <w:p w14:paraId="05037923">
      <w:pPr>
        <w:bidi w:val="0"/>
        <w:rPr>
          <w:rFonts w:hint="eastAsia"/>
          <w:lang w:val="en-US" w:eastAsia="zh-CN"/>
        </w:rPr>
      </w:pPr>
      <w:r>
        <w:rPr>
          <w:rFonts w:hint="eastAsia"/>
          <w:lang w:val="en-US" w:eastAsia="zh-CN"/>
        </w:rPr>
        <w:t>工程施工期间，由于地表开挖量大，有部分弃土产生，且会在一定程度上破坏植被，若不采取妥善措施将使拟建项目所在地的土壤流失量出现成倍增长的趋势，因此，应采取严格的环保措施，以有效地控制水土流失的发生：</w:t>
      </w:r>
    </w:p>
    <w:p w14:paraId="0707B849">
      <w:pPr>
        <w:bidi w:val="0"/>
        <w:rPr>
          <w:rFonts w:hint="eastAsia"/>
          <w:lang w:val="en-US" w:eastAsia="zh-CN"/>
        </w:rPr>
      </w:pPr>
      <w:r>
        <w:rPr>
          <w:rFonts w:hint="eastAsia"/>
          <w:lang w:val="en-US" w:eastAsia="zh-CN"/>
        </w:rPr>
        <w:t>（1）在开挖建设中，应尽量避开雨天；</w:t>
      </w:r>
    </w:p>
    <w:p w14:paraId="12C46EB5">
      <w:pPr>
        <w:bidi w:val="0"/>
        <w:rPr>
          <w:rFonts w:hint="eastAsia"/>
          <w:lang w:val="en-US" w:eastAsia="zh-CN"/>
        </w:rPr>
      </w:pPr>
      <w:r>
        <w:rPr>
          <w:rFonts w:hint="eastAsia"/>
          <w:lang w:val="en-US" w:eastAsia="zh-CN"/>
        </w:rPr>
        <w:t>（2）工程施工中做好土石方平衡工作，开挖的土方尽量作为施工场地平整回填之用；污水处理厂建设产生的弃土在回填后多余部分及时运送至其它建筑施工场地用于施工的填方，或送垃圾填埋场；</w:t>
      </w:r>
    </w:p>
    <w:p w14:paraId="103BBB69">
      <w:pPr>
        <w:bidi w:val="0"/>
        <w:rPr>
          <w:rFonts w:hint="eastAsia"/>
          <w:lang w:val="en-US" w:eastAsia="zh-CN"/>
        </w:rPr>
      </w:pPr>
      <w:r>
        <w:rPr>
          <w:rFonts w:hint="eastAsia"/>
          <w:lang w:val="en-US" w:eastAsia="zh-CN"/>
        </w:rPr>
        <w:t>（3）临时堆放场应选择较平整的场地，且场地使用后尽快恢复植被；</w:t>
      </w:r>
    </w:p>
    <w:p w14:paraId="15A81520">
      <w:pPr>
        <w:bidi w:val="0"/>
        <w:rPr>
          <w:rFonts w:hint="eastAsia"/>
          <w:lang w:val="en-US" w:eastAsia="zh-CN"/>
        </w:rPr>
      </w:pPr>
      <w:r>
        <w:rPr>
          <w:rFonts w:hint="eastAsia"/>
          <w:lang w:val="en-US" w:eastAsia="zh-CN"/>
        </w:rPr>
        <w:t>（4）工程施工应分期分区进行，不要全面铺开以缩短单项工期，尤其是管线铺设工程。开挖的裸露面要有防治措施，尽量缩短暴露时间，减少水土流失；</w:t>
      </w:r>
    </w:p>
    <w:p w14:paraId="56635750">
      <w:pPr>
        <w:bidi w:val="0"/>
        <w:rPr>
          <w:rFonts w:hint="eastAsia"/>
          <w:lang w:val="en-US" w:eastAsia="zh-CN"/>
        </w:rPr>
      </w:pPr>
      <w:r>
        <w:rPr>
          <w:rFonts w:hint="eastAsia"/>
          <w:lang w:val="en-US" w:eastAsia="zh-CN"/>
        </w:rPr>
        <w:t>（5）施工场地应注意土方的合理堆置；在砂石料场地周围堆置草包挡砂，场地四周可开挖简单的排水沟引走场地上的积水。</w:t>
      </w:r>
    </w:p>
    <w:p w14:paraId="578FAC0F">
      <w:pPr>
        <w:bidi w:val="0"/>
        <w:rPr>
          <w:rFonts w:hint="eastAsia"/>
          <w:lang w:val="en-US" w:eastAsia="zh-CN"/>
        </w:rPr>
      </w:pPr>
      <w:r>
        <w:rPr>
          <w:rFonts w:hint="eastAsia"/>
          <w:lang w:val="en-US" w:eastAsia="zh-CN"/>
        </w:rPr>
        <w:t>项目施工期对环境产生的上述影响，均为可逆的、短期的，项目建成后，影响自行消除。建设单位和施工单位在施工过程中只要切实落实对施工产生的土石方、固体废物以及由此产生的扬尘的管理和控制措施，施工期的水土流失影响将得到有效控制。</w:t>
      </w:r>
    </w:p>
    <w:p w14:paraId="55B5396C">
      <w:pPr>
        <w:pStyle w:val="26"/>
        <w:bidi w:val="0"/>
      </w:pPr>
      <w:bookmarkStart w:id="33" w:name="_Toc28974"/>
      <w:r>
        <w:t>运营期污染防治措施</w:t>
      </w:r>
      <w:bookmarkEnd w:id="33"/>
    </w:p>
    <w:p w14:paraId="10DBAAAC">
      <w:pPr>
        <w:rPr>
          <w:rFonts w:hint="default" w:eastAsia="宋体"/>
          <w:lang w:val="en-US" w:eastAsia="zh-CN"/>
        </w:rPr>
      </w:pPr>
      <w:r>
        <w:rPr>
          <w:rFonts w:hint="eastAsia"/>
          <w:lang w:val="en-US" w:eastAsia="zh-CN"/>
        </w:rPr>
        <w:t>本项目运营期废气、废水、噪声及固体废物均有产生和排放，采取相应措施控制后需要满足相应的排放标准，本次污染防治措施及其可行性分析主要从治理措施的工艺可行性和污染物排放达标方面进行分析。</w:t>
      </w:r>
    </w:p>
    <w:p w14:paraId="65686F35">
      <w:pPr>
        <w:pStyle w:val="27"/>
        <w:bidi w:val="0"/>
        <w:rPr>
          <w:rFonts w:hint="eastAsia"/>
          <w:lang w:val="en-US" w:eastAsia="zh-CN"/>
        </w:rPr>
      </w:pPr>
      <w:bookmarkStart w:id="34" w:name="_Toc27381"/>
      <w:r>
        <w:t>废气污染防治措施</w:t>
      </w:r>
      <w:r>
        <w:rPr>
          <w:rFonts w:hint="eastAsia"/>
          <w:lang w:val="en-US" w:eastAsia="zh-CN"/>
        </w:rPr>
        <w:t>及其</w:t>
      </w:r>
      <w:r>
        <w:t>可行性论证</w:t>
      </w:r>
      <w:bookmarkEnd w:id="34"/>
    </w:p>
    <w:p w14:paraId="1E887181">
      <w:pPr>
        <w:bidi w:val="0"/>
        <w:rPr>
          <w:rFonts w:hint="default"/>
          <w:lang w:val="en-US" w:eastAsia="zh-CN"/>
        </w:rPr>
      </w:pPr>
      <w:r>
        <w:rPr>
          <w:rFonts w:hint="eastAsia"/>
          <w:lang w:val="en-US" w:eastAsia="zh-CN"/>
        </w:rPr>
        <w:t>本项目的废气主要包括锅炉房和生物除臭装置的有组织废气排放，以及厂界范围内的育肥舍、污水池、堆肥场等处的无组织恶臭气体排放。针对上述几类主要废气，拟采取的废气污染防治措施及可行性分析具体如下：</w:t>
      </w:r>
    </w:p>
    <w:p w14:paraId="62CB78AD">
      <w:pPr>
        <w:pStyle w:val="28"/>
        <w:bidi w:val="0"/>
        <w:rPr>
          <w:rFonts w:hint="default"/>
          <w:lang w:val="en-US" w:eastAsia="zh-CN"/>
        </w:rPr>
      </w:pPr>
      <w:r>
        <w:rPr>
          <w:rFonts w:hint="eastAsia"/>
          <w:lang w:val="en-US" w:eastAsia="zh-CN"/>
        </w:rPr>
        <w:t>锅炉烟气治理措施</w:t>
      </w:r>
    </w:p>
    <w:p w14:paraId="55FD4393">
      <w:pPr>
        <w:bidi w:val="0"/>
        <w:rPr>
          <w:rFonts w:hint="default"/>
          <w:lang w:val="en-US" w:eastAsia="zh-CN"/>
        </w:rPr>
      </w:pPr>
      <w:r>
        <w:rPr>
          <w:rFonts w:hint="eastAsia"/>
          <w:lang w:val="en-US" w:eastAsia="zh-CN"/>
        </w:rPr>
        <w:t>本项目选址位于第七师129团13连东北偏北方向3.5km处的未利用地，由于距离集中供暖区域较远，故本项目设置3座锅炉房用于冬季（181d）供暖，每座锅炉房中安装3t/h的生物质锅炉1台，并采用低氮燃烧技术，配备布袋除尘器设备对锅炉烟气处理后经15m排气筒排放。</w:t>
      </w:r>
    </w:p>
    <w:p w14:paraId="0F41A8D5">
      <w:pPr>
        <w:bidi w:val="0"/>
        <w:rPr>
          <w:rFonts w:hint="eastAsia"/>
          <w:lang w:val="en-US" w:eastAsia="zh-CN"/>
        </w:rPr>
      </w:pPr>
      <w:r>
        <w:rPr>
          <w:rFonts w:hint="eastAsia"/>
          <w:lang w:val="en-US" w:eastAsia="zh-CN"/>
        </w:rPr>
        <w:t>经查阅《排污许可证申请与核发技术规范 锅炉》（HJ953—2018）中的相关内容可知，锅炉烟气污染防治可行技术如下：</w:t>
      </w:r>
    </w:p>
    <w:p w14:paraId="3BB5297F">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5268595" cy="3310890"/>
            <wp:effectExtent l="0" t="0" r="8255" b="381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7"/>
                    <a:stretch>
                      <a:fillRect/>
                    </a:stretch>
                  </pic:blipFill>
                  <pic:spPr>
                    <a:xfrm>
                      <a:off x="0" y="0"/>
                      <a:ext cx="5268595" cy="3310890"/>
                    </a:xfrm>
                    <a:prstGeom prst="rect">
                      <a:avLst/>
                    </a:prstGeom>
                    <a:noFill/>
                    <a:ln>
                      <a:noFill/>
                    </a:ln>
                  </pic:spPr>
                </pic:pic>
              </a:graphicData>
            </a:graphic>
          </wp:inline>
        </w:drawing>
      </w:r>
    </w:p>
    <w:p w14:paraId="47FFB17F">
      <w:pPr>
        <w:bidi w:val="0"/>
        <w:rPr>
          <w:rFonts w:hint="eastAsia"/>
          <w:lang w:val="en-US" w:eastAsia="zh-CN"/>
        </w:rPr>
      </w:pPr>
      <w:r>
        <w:rPr>
          <w:rFonts w:hint="eastAsia"/>
          <w:lang w:val="en-US" w:eastAsia="zh-CN"/>
        </w:rPr>
        <w:t>本项目设置的3台锅炉均属于生物质锅炉，建设地点位于一般地区，因此所采用的低氮燃烧技术+布袋除尘器治理方式属于上述《排污许可证申请与核发技术规范 锅炉》（HJ953—2018）中已列明的可行技术。</w:t>
      </w:r>
    </w:p>
    <w:p w14:paraId="1404991C">
      <w:pPr>
        <w:pStyle w:val="2"/>
        <w:rPr>
          <w:rFonts w:hint="eastAsia" w:cs="宋体"/>
          <w:b w:val="0"/>
          <w:bCs w:val="0"/>
          <w:color w:val="000000"/>
          <w:kern w:val="0"/>
          <w:szCs w:val="24"/>
          <w:highlight w:val="none"/>
          <w:vertAlign w:val="baseline"/>
          <w:lang w:val="en-US" w:eastAsia="zh-CN"/>
        </w:rPr>
      </w:pPr>
      <w:r>
        <w:rPr>
          <w:rFonts w:hint="eastAsia"/>
          <w:lang w:val="en-US" w:eastAsia="zh-CN"/>
        </w:rPr>
        <w:t>参照《排放源统计调查产排污核算方法和系数手册》中“4430 工业锅炉（热力生产和供应行业）产污系数表-生物质工业锅炉”以及《排污许可证申请与核发技术规范 锅炉》（HJ953—2018）中的表F.2所列出的排污系数，本项目生物质锅炉污染物排放情况为：颗粒物0.81mg/m</w:t>
      </w:r>
      <w:r>
        <w:rPr>
          <w:rFonts w:hint="eastAsia"/>
          <w:vertAlign w:val="superscript"/>
          <w:lang w:val="en-US" w:eastAsia="zh-CN"/>
        </w:rPr>
        <w:t>3</w:t>
      </w:r>
      <w:r>
        <w:rPr>
          <w:rFonts w:hint="eastAsia"/>
          <w:vertAlign w:val="baseline"/>
          <w:lang w:val="en-US" w:eastAsia="zh-CN"/>
        </w:rPr>
        <w:t>、二氧化硫273</w:t>
      </w:r>
      <w:r>
        <w:rPr>
          <w:rFonts w:hint="eastAsia"/>
          <w:lang w:val="en-US" w:eastAsia="zh-CN"/>
        </w:rPr>
        <w:t>mg/m</w:t>
      </w:r>
      <w:r>
        <w:rPr>
          <w:rFonts w:hint="eastAsia"/>
          <w:vertAlign w:val="superscript"/>
          <w:lang w:val="en-US" w:eastAsia="zh-CN"/>
        </w:rPr>
        <w:t>3</w:t>
      </w:r>
      <w:r>
        <w:rPr>
          <w:rFonts w:hint="eastAsia"/>
          <w:vertAlign w:val="baseline"/>
          <w:lang w:val="en-US" w:eastAsia="zh-CN"/>
        </w:rPr>
        <w:t>、氮氧化物114.4</w:t>
      </w:r>
      <w:r>
        <w:rPr>
          <w:rFonts w:hint="eastAsia"/>
          <w:lang w:val="en-US" w:eastAsia="zh-CN"/>
        </w:rPr>
        <w:t>mg/m</w:t>
      </w:r>
      <w:r>
        <w:rPr>
          <w:rFonts w:hint="eastAsia"/>
          <w:vertAlign w:val="superscript"/>
          <w:lang w:val="en-US" w:eastAsia="zh-CN"/>
        </w:rPr>
        <w:t>3</w:t>
      </w:r>
      <w:r>
        <w:rPr>
          <w:rFonts w:hint="eastAsia"/>
          <w:vertAlign w:val="baseline"/>
          <w:lang w:val="en-US" w:eastAsia="zh-CN"/>
        </w:rPr>
        <w:t>，满足</w:t>
      </w:r>
      <w:r>
        <w:rPr>
          <w:rFonts w:hint="eastAsia" w:ascii="Times New Roman" w:hAnsi="Times New Roman" w:eastAsia="宋体" w:cs="宋体"/>
          <w:b w:val="0"/>
          <w:bCs w:val="0"/>
          <w:color w:val="000000"/>
          <w:kern w:val="0"/>
          <w:szCs w:val="24"/>
          <w:highlight w:val="none"/>
          <w:vertAlign w:val="baseline"/>
          <w:lang w:val="en-US" w:eastAsia="zh-CN"/>
        </w:rPr>
        <w:t>《锅炉</w:t>
      </w:r>
      <w:r>
        <w:rPr>
          <w:rFonts w:hint="eastAsia" w:cs="宋体"/>
          <w:b w:val="0"/>
          <w:bCs w:val="0"/>
          <w:color w:val="000000"/>
          <w:kern w:val="0"/>
          <w:szCs w:val="24"/>
          <w:highlight w:val="none"/>
          <w:vertAlign w:val="baseline"/>
          <w:lang w:val="en-US" w:eastAsia="zh-CN"/>
        </w:rPr>
        <w:t>大气</w:t>
      </w:r>
      <w:r>
        <w:rPr>
          <w:rFonts w:hint="eastAsia" w:ascii="Times New Roman" w:hAnsi="Times New Roman" w:eastAsia="宋体" w:cs="宋体"/>
          <w:b w:val="0"/>
          <w:bCs w:val="0"/>
          <w:color w:val="000000"/>
          <w:kern w:val="0"/>
          <w:szCs w:val="24"/>
          <w:highlight w:val="none"/>
          <w:vertAlign w:val="baseline"/>
          <w:lang w:val="en-US" w:eastAsia="zh-CN"/>
        </w:rPr>
        <w:t>污染物排放标准》（GB13271-2014）表2中的燃煤锅炉标准限值</w:t>
      </w:r>
      <w:r>
        <w:rPr>
          <w:rFonts w:hint="eastAsia" w:cs="宋体"/>
          <w:b w:val="0"/>
          <w:bCs w:val="0"/>
          <w:color w:val="000000"/>
          <w:kern w:val="0"/>
          <w:szCs w:val="24"/>
          <w:highlight w:val="none"/>
          <w:vertAlign w:val="baseline"/>
          <w:lang w:val="en-US" w:eastAsia="zh-CN"/>
        </w:rPr>
        <w:t>（</w:t>
      </w:r>
      <w:r>
        <w:rPr>
          <w:rFonts w:hint="eastAsia"/>
          <w:lang w:val="en-US" w:eastAsia="zh-CN"/>
        </w:rPr>
        <w:t>颗粒物50mg/m</w:t>
      </w:r>
      <w:r>
        <w:rPr>
          <w:rFonts w:hint="eastAsia"/>
          <w:vertAlign w:val="superscript"/>
          <w:lang w:val="en-US" w:eastAsia="zh-CN"/>
        </w:rPr>
        <w:t>3</w:t>
      </w:r>
      <w:r>
        <w:rPr>
          <w:rFonts w:hint="eastAsia"/>
          <w:vertAlign w:val="baseline"/>
          <w:lang w:val="en-US" w:eastAsia="zh-CN"/>
        </w:rPr>
        <w:t>、二氧化硫300</w:t>
      </w:r>
      <w:r>
        <w:rPr>
          <w:rFonts w:hint="eastAsia"/>
          <w:lang w:val="en-US" w:eastAsia="zh-CN"/>
        </w:rPr>
        <w:t>mg/m</w:t>
      </w:r>
      <w:r>
        <w:rPr>
          <w:rFonts w:hint="eastAsia"/>
          <w:vertAlign w:val="superscript"/>
          <w:lang w:val="en-US" w:eastAsia="zh-CN"/>
        </w:rPr>
        <w:t>3</w:t>
      </w:r>
      <w:r>
        <w:rPr>
          <w:rFonts w:hint="eastAsia"/>
          <w:vertAlign w:val="baseline"/>
          <w:lang w:val="en-US" w:eastAsia="zh-CN"/>
        </w:rPr>
        <w:t>、氮氧化物300</w:t>
      </w:r>
      <w:r>
        <w:rPr>
          <w:rFonts w:hint="eastAsia"/>
          <w:lang w:val="en-US" w:eastAsia="zh-CN"/>
        </w:rPr>
        <w:t>mg/m</w:t>
      </w:r>
      <w:r>
        <w:rPr>
          <w:rFonts w:hint="eastAsia"/>
          <w:vertAlign w:val="superscript"/>
          <w:lang w:val="en-US" w:eastAsia="zh-CN"/>
        </w:rPr>
        <w:t>3</w:t>
      </w:r>
      <w:r>
        <w:rPr>
          <w:rFonts w:hint="eastAsia" w:cs="宋体"/>
          <w:b w:val="0"/>
          <w:bCs w:val="0"/>
          <w:color w:val="000000"/>
          <w:kern w:val="0"/>
          <w:szCs w:val="24"/>
          <w:highlight w:val="none"/>
          <w:vertAlign w:val="baseline"/>
          <w:lang w:val="en-US" w:eastAsia="zh-CN"/>
        </w:rPr>
        <w:t>）。</w:t>
      </w:r>
    </w:p>
    <w:p w14:paraId="6A891D11">
      <w:pPr>
        <w:rPr>
          <w:rFonts w:hint="default"/>
          <w:lang w:val="en-US" w:eastAsia="zh-CN"/>
        </w:rPr>
      </w:pPr>
      <w:r>
        <w:rPr>
          <w:rFonts w:hint="eastAsia" w:cs="宋体"/>
          <w:b w:val="0"/>
          <w:bCs w:val="0"/>
          <w:color w:val="000000"/>
          <w:kern w:val="0"/>
          <w:szCs w:val="24"/>
          <w:highlight w:val="none"/>
          <w:vertAlign w:val="baseline"/>
          <w:lang w:val="en-US" w:eastAsia="zh-CN"/>
        </w:rPr>
        <w:t>综上所述，本项目生物质锅炉烟气治理措施属于可行技术，废气排放满足相应排放标准，因此，治理措施可行。</w:t>
      </w:r>
    </w:p>
    <w:p w14:paraId="0CF22DB8">
      <w:pPr>
        <w:pStyle w:val="28"/>
        <w:bidi w:val="0"/>
        <w:rPr>
          <w:rFonts w:hint="default"/>
          <w:lang w:val="en-US" w:eastAsia="zh-CN"/>
        </w:rPr>
      </w:pPr>
      <w:r>
        <w:rPr>
          <w:rFonts w:hint="eastAsia"/>
          <w:lang w:val="en-US" w:eastAsia="zh-CN"/>
        </w:rPr>
        <w:t>生物除臭治理措施</w:t>
      </w:r>
    </w:p>
    <w:p w14:paraId="33222EDB">
      <w:pPr>
        <w:bidi w:val="0"/>
        <w:rPr>
          <w:rFonts w:hint="default" w:eastAsia="宋体"/>
          <w:lang w:val="en-US" w:eastAsia="zh-CN"/>
        </w:rPr>
      </w:pPr>
      <w:r>
        <w:rPr>
          <w:rFonts w:hint="eastAsia"/>
          <w:lang w:val="en-US" w:eastAsia="zh-CN"/>
        </w:rPr>
        <w:t>本项目堆肥场采用的是好氧堆肥法，</w:t>
      </w:r>
      <w:r>
        <w:rPr>
          <w:rFonts w:hint="eastAsia"/>
          <w:color w:val="000000" w:themeColor="text1"/>
          <w:highlight w:val="none"/>
          <w14:textFill>
            <w14:solidFill>
              <w14:schemeClr w14:val="tx1"/>
            </w14:solidFill>
          </w14:textFill>
        </w:rPr>
        <w:t>在堆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和翻堆的过程中会释放</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等</w:t>
      </w:r>
      <w:r>
        <w:rPr>
          <w:rFonts w:hint="eastAsia"/>
          <w:color w:val="000000" w:themeColor="text1"/>
          <w:highlight w:val="none"/>
          <w:lang w:val="en-US" w:eastAsia="zh-CN"/>
          <w14:textFill>
            <w14:solidFill>
              <w14:schemeClr w14:val="tx1"/>
            </w14:solidFill>
          </w14:textFill>
        </w:rPr>
        <w:t>恶臭</w:t>
      </w:r>
      <w:r>
        <w:rPr>
          <w:rFonts w:hint="eastAsia"/>
          <w:color w:val="000000" w:themeColor="text1"/>
          <w:highlight w:val="none"/>
          <w14:textFill>
            <w14:solidFill>
              <w14:schemeClr w14:val="tx1"/>
            </w14:solidFill>
          </w14:textFill>
        </w:rPr>
        <w:t>气体</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通过对堆肥场进行密闭，设置风机将恶臭气体抽风收集后通过生物除臭装置处理后经15m高的排气筒排放，生物除臭采用生物过滤法。有组织排放速率满足《恶臭污染物排放标准》（GB14554-93）中恶臭污染物场界标准值中的二级标准，可以实现达标排放。</w:t>
      </w:r>
    </w:p>
    <w:p w14:paraId="4D5F1203">
      <w:pPr>
        <w:bidi w:val="0"/>
        <w:rPr>
          <w:rFonts w:hint="default"/>
          <w:lang w:val="en-US" w:eastAsia="zh-CN"/>
        </w:rPr>
      </w:pPr>
      <w:r>
        <w:rPr>
          <w:rFonts w:hint="eastAsia"/>
          <w:lang w:val="en-US" w:eastAsia="zh-CN"/>
        </w:rPr>
        <w:t>国内常用的恶臭气体处理方法一般有天然植物提取液除臭、活性炭吸附除臭、洗涤除臭、离子除臭、生物除臭、光氧催化除臭等技术，各类处理方式具体优缺点对比情况见表6.2-1。</w:t>
      </w:r>
    </w:p>
    <w:p w14:paraId="40570AB7">
      <w:pPr>
        <w:pStyle w:val="30"/>
        <w:bidi w:val="0"/>
        <w:rPr>
          <w:rFonts w:hint="default"/>
          <w:lang w:val="en-US" w:eastAsia="zh-CN"/>
        </w:rPr>
      </w:pPr>
      <w:r>
        <w:rPr>
          <w:rFonts w:hint="eastAsia"/>
          <w:lang w:val="en-US" w:eastAsia="zh-CN"/>
        </w:rPr>
        <w:t>表6.2-1   常用除臭技术对比情况</w:t>
      </w:r>
    </w:p>
    <w:tbl>
      <w:tblPr>
        <w:tblStyle w:val="29"/>
        <w:tblW w:w="505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5"/>
        <w:gridCol w:w="901"/>
        <w:gridCol w:w="1528"/>
        <w:gridCol w:w="1577"/>
        <w:gridCol w:w="1172"/>
        <w:gridCol w:w="1427"/>
        <w:gridCol w:w="821"/>
      </w:tblGrid>
      <w:tr w14:paraId="04798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1BC62CF6">
            <w:pPr>
              <w:pStyle w:val="19"/>
              <w:bidi w:val="0"/>
              <w:rPr>
                <w:b/>
                <w:bCs/>
              </w:rPr>
            </w:pPr>
            <w:r>
              <w:rPr>
                <w:b/>
                <w:bCs/>
              </w:rPr>
              <w:t>比较项目</w:t>
            </w:r>
          </w:p>
        </w:tc>
        <w:tc>
          <w:tcPr>
            <w:tcW w:w="536" w:type="pct"/>
            <w:tcBorders>
              <w:tl2br w:val="nil"/>
              <w:tr2bl w:val="nil"/>
            </w:tcBorders>
            <w:vAlign w:val="center"/>
          </w:tcPr>
          <w:p w14:paraId="260EF95C">
            <w:pPr>
              <w:pStyle w:val="19"/>
              <w:bidi w:val="0"/>
            </w:pPr>
            <w:r>
              <w:t>植物提取液除臭</w:t>
            </w:r>
          </w:p>
        </w:tc>
        <w:tc>
          <w:tcPr>
            <w:tcW w:w="909" w:type="pct"/>
            <w:tcBorders>
              <w:tl2br w:val="nil"/>
              <w:tr2bl w:val="nil"/>
            </w:tcBorders>
            <w:vAlign w:val="center"/>
          </w:tcPr>
          <w:p w14:paraId="0565E53B">
            <w:pPr>
              <w:pStyle w:val="19"/>
              <w:bidi w:val="0"/>
            </w:pPr>
            <w:r>
              <w:t>活性炭除臭</w:t>
            </w:r>
          </w:p>
        </w:tc>
        <w:tc>
          <w:tcPr>
            <w:tcW w:w="938" w:type="pct"/>
            <w:tcBorders>
              <w:tl2br w:val="nil"/>
              <w:tr2bl w:val="nil"/>
            </w:tcBorders>
            <w:vAlign w:val="center"/>
          </w:tcPr>
          <w:p w14:paraId="7C05030A">
            <w:pPr>
              <w:pStyle w:val="19"/>
              <w:bidi w:val="0"/>
            </w:pPr>
            <w:r>
              <w:t>洗涤除臭</w:t>
            </w:r>
          </w:p>
        </w:tc>
        <w:tc>
          <w:tcPr>
            <w:tcW w:w="697" w:type="pct"/>
            <w:tcBorders>
              <w:tl2br w:val="nil"/>
              <w:tr2bl w:val="nil"/>
            </w:tcBorders>
            <w:vAlign w:val="center"/>
          </w:tcPr>
          <w:p w14:paraId="51D7D63D">
            <w:pPr>
              <w:pStyle w:val="19"/>
              <w:bidi w:val="0"/>
            </w:pPr>
            <w:r>
              <w:t>离子除臭</w:t>
            </w:r>
          </w:p>
        </w:tc>
        <w:tc>
          <w:tcPr>
            <w:tcW w:w="849" w:type="pct"/>
            <w:tcBorders>
              <w:tl2br w:val="nil"/>
              <w:tr2bl w:val="nil"/>
            </w:tcBorders>
            <w:vAlign w:val="center"/>
          </w:tcPr>
          <w:p w14:paraId="370BFF05">
            <w:pPr>
              <w:pStyle w:val="19"/>
              <w:bidi w:val="0"/>
            </w:pPr>
            <w:r>
              <w:t>生物除臭</w:t>
            </w:r>
          </w:p>
        </w:tc>
        <w:tc>
          <w:tcPr>
            <w:tcW w:w="488" w:type="pct"/>
            <w:tcBorders>
              <w:tl2br w:val="nil"/>
              <w:tr2bl w:val="nil"/>
            </w:tcBorders>
            <w:vAlign w:val="center"/>
          </w:tcPr>
          <w:p w14:paraId="3672FD14">
            <w:pPr>
              <w:pStyle w:val="19"/>
              <w:bidi w:val="0"/>
            </w:pPr>
            <w:r>
              <w:t>光氧催化除臭</w:t>
            </w:r>
          </w:p>
        </w:tc>
      </w:tr>
      <w:tr w14:paraId="3C81E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4D6898D3">
            <w:pPr>
              <w:pStyle w:val="19"/>
              <w:bidi w:val="0"/>
              <w:rPr>
                <w:b/>
                <w:bCs/>
              </w:rPr>
            </w:pPr>
            <w:r>
              <w:rPr>
                <w:b/>
                <w:bCs/>
              </w:rPr>
              <w:t>适用场合</w:t>
            </w:r>
          </w:p>
        </w:tc>
        <w:tc>
          <w:tcPr>
            <w:tcW w:w="536" w:type="pct"/>
            <w:tcBorders>
              <w:tl2br w:val="nil"/>
              <w:tr2bl w:val="nil"/>
            </w:tcBorders>
            <w:vAlign w:val="center"/>
          </w:tcPr>
          <w:p w14:paraId="2EDD2B64">
            <w:pPr>
              <w:pStyle w:val="19"/>
              <w:bidi w:val="0"/>
            </w:pPr>
            <w:r>
              <w:t>前端除臭 末端除臭</w:t>
            </w:r>
          </w:p>
        </w:tc>
        <w:tc>
          <w:tcPr>
            <w:tcW w:w="909" w:type="pct"/>
            <w:tcBorders>
              <w:tl2br w:val="nil"/>
              <w:tr2bl w:val="nil"/>
            </w:tcBorders>
            <w:vAlign w:val="center"/>
          </w:tcPr>
          <w:p w14:paraId="2B0BA338">
            <w:pPr>
              <w:pStyle w:val="19"/>
              <w:bidi w:val="0"/>
            </w:pPr>
            <w:r>
              <w:t>末端除臭</w:t>
            </w:r>
          </w:p>
        </w:tc>
        <w:tc>
          <w:tcPr>
            <w:tcW w:w="938" w:type="pct"/>
            <w:tcBorders>
              <w:tl2br w:val="nil"/>
              <w:tr2bl w:val="nil"/>
            </w:tcBorders>
            <w:vAlign w:val="center"/>
          </w:tcPr>
          <w:p w14:paraId="5D0F1788">
            <w:pPr>
              <w:pStyle w:val="19"/>
              <w:bidi w:val="0"/>
            </w:pPr>
            <w:r>
              <w:t>末端除臭</w:t>
            </w:r>
          </w:p>
        </w:tc>
        <w:tc>
          <w:tcPr>
            <w:tcW w:w="697" w:type="pct"/>
            <w:tcBorders>
              <w:tl2br w:val="nil"/>
              <w:tr2bl w:val="nil"/>
            </w:tcBorders>
            <w:vAlign w:val="center"/>
          </w:tcPr>
          <w:p w14:paraId="2AF7F9E7">
            <w:pPr>
              <w:pStyle w:val="19"/>
              <w:bidi w:val="0"/>
            </w:pPr>
            <w:r>
              <w:t>末端除臭</w:t>
            </w:r>
          </w:p>
        </w:tc>
        <w:tc>
          <w:tcPr>
            <w:tcW w:w="849" w:type="pct"/>
            <w:tcBorders>
              <w:tl2br w:val="nil"/>
              <w:tr2bl w:val="nil"/>
            </w:tcBorders>
            <w:vAlign w:val="center"/>
          </w:tcPr>
          <w:p w14:paraId="5764AB8E">
            <w:pPr>
              <w:pStyle w:val="19"/>
              <w:bidi w:val="0"/>
            </w:pPr>
            <w:r>
              <w:t>末端除臭</w:t>
            </w:r>
          </w:p>
        </w:tc>
        <w:tc>
          <w:tcPr>
            <w:tcW w:w="488" w:type="pct"/>
            <w:tcBorders>
              <w:tl2br w:val="nil"/>
              <w:tr2bl w:val="nil"/>
            </w:tcBorders>
            <w:vAlign w:val="center"/>
          </w:tcPr>
          <w:p w14:paraId="5F61D27E">
            <w:pPr>
              <w:pStyle w:val="19"/>
              <w:bidi w:val="0"/>
            </w:pPr>
            <w:r>
              <w:t>末端除臭</w:t>
            </w:r>
          </w:p>
        </w:tc>
      </w:tr>
      <w:tr w14:paraId="244BE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4AF3156E">
            <w:pPr>
              <w:pStyle w:val="19"/>
              <w:bidi w:val="0"/>
              <w:rPr>
                <w:b/>
                <w:bCs/>
              </w:rPr>
            </w:pPr>
            <w:r>
              <w:rPr>
                <w:b/>
                <w:bCs/>
              </w:rPr>
              <w:t>使用范围</w:t>
            </w:r>
          </w:p>
        </w:tc>
        <w:tc>
          <w:tcPr>
            <w:tcW w:w="536" w:type="pct"/>
            <w:tcBorders>
              <w:tl2br w:val="nil"/>
              <w:tr2bl w:val="nil"/>
            </w:tcBorders>
            <w:vAlign w:val="center"/>
          </w:tcPr>
          <w:p w14:paraId="38C9F57A">
            <w:pPr>
              <w:pStyle w:val="19"/>
              <w:bidi w:val="0"/>
            </w:pPr>
            <w:r>
              <w:t>中低浓度臭气</w:t>
            </w:r>
          </w:p>
        </w:tc>
        <w:tc>
          <w:tcPr>
            <w:tcW w:w="909" w:type="pct"/>
            <w:tcBorders>
              <w:tl2br w:val="nil"/>
              <w:tr2bl w:val="nil"/>
            </w:tcBorders>
            <w:vAlign w:val="center"/>
          </w:tcPr>
          <w:p w14:paraId="1CAFC1A4">
            <w:pPr>
              <w:pStyle w:val="19"/>
              <w:bidi w:val="0"/>
            </w:pPr>
            <w:r>
              <w:t>低浓度臭气或作为其他除臭工艺的补充环节</w:t>
            </w:r>
          </w:p>
        </w:tc>
        <w:tc>
          <w:tcPr>
            <w:tcW w:w="938" w:type="pct"/>
            <w:tcBorders>
              <w:tl2br w:val="nil"/>
              <w:tr2bl w:val="nil"/>
            </w:tcBorders>
            <w:vAlign w:val="center"/>
          </w:tcPr>
          <w:p w14:paraId="3B98EF2F">
            <w:pPr>
              <w:pStyle w:val="19"/>
              <w:bidi w:val="0"/>
            </w:pPr>
            <w:r>
              <w:t>中高浓度、臭气量较大的臭气</w:t>
            </w:r>
          </w:p>
        </w:tc>
        <w:tc>
          <w:tcPr>
            <w:tcW w:w="697" w:type="pct"/>
            <w:tcBorders>
              <w:tl2br w:val="nil"/>
              <w:tr2bl w:val="nil"/>
            </w:tcBorders>
            <w:vAlign w:val="center"/>
          </w:tcPr>
          <w:p w14:paraId="4A83C3AA">
            <w:pPr>
              <w:pStyle w:val="19"/>
              <w:bidi w:val="0"/>
            </w:pPr>
            <w:r>
              <w:t>中低浓度臭气</w:t>
            </w:r>
          </w:p>
        </w:tc>
        <w:tc>
          <w:tcPr>
            <w:tcW w:w="849" w:type="pct"/>
            <w:tcBorders>
              <w:tl2br w:val="nil"/>
              <w:tr2bl w:val="nil"/>
            </w:tcBorders>
            <w:vAlign w:val="center"/>
          </w:tcPr>
          <w:p w14:paraId="05B49FBA">
            <w:pPr>
              <w:pStyle w:val="19"/>
              <w:bidi w:val="0"/>
            </w:pPr>
            <w:r>
              <w:t>各种臭气</w:t>
            </w:r>
          </w:p>
        </w:tc>
        <w:tc>
          <w:tcPr>
            <w:tcW w:w="488" w:type="pct"/>
            <w:tcBorders>
              <w:tl2br w:val="nil"/>
              <w:tr2bl w:val="nil"/>
            </w:tcBorders>
            <w:vAlign w:val="center"/>
          </w:tcPr>
          <w:p w14:paraId="31C8212D">
            <w:pPr>
              <w:pStyle w:val="19"/>
              <w:bidi w:val="0"/>
            </w:pPr>
            <w:r>
              <w:t>中低浓度臭气</w:t>
            </w:r>
          </w:p>
        </w:tc>
      </w:tr>
      <w:tr w14:paraId="57CB3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7E8A477F">
            <w:pPr>
              <w:pStyle w:val="19"/>
              <w:bidi w:val="0"/>
              <w:rPr>
                <w:b/>
                <w:bCs/>
              </w:rPr>
            </w:pPr>
            <w:r>
              <w:rPr>
                <w:b/>
                <w:bCs/>
              </w:rPr>
              <w:t>除臭效果及稳定性</w:t>
            </w:r>
          </w:p>
        </w:tc>
        <w:tc>
          <w:tcPr>
            <w:tcW w:w="536" w:type="pct"/>
            <w:tcBorders>
              <w:tl2br w:val="nil"/>
              <w:tr2bl w:val="nil"/>
            </w:tcBorders>
            <w:vAlign w:val="center"/>
          </w:tcPr>
          <w:p w14:paraId="568D24DE">
            <w:pPr>
              <w:pStyle w:val="19"/>
              <w:bidi w:val="0"/>
            </w:pPr>
            <w:r>
              <w:t>较好，稳定</w:t>
            </w:r>
          </w:p>
        </w:tc>
        <w:tc>
          <w:tcPr>
            <w:tcW w:w="909" w:type="pct"/>
            <w:tcBorders>
              <w:tl2br w:val="nil"/>
              <w:tr2bl w:val="nil"/>
            </w:tcBorders>
            <w:vAlign w:val="center"/>
          </w:tcPr>
          <w:p w14:paraId="7770A4E1">
            <w:pPr>
              <w:pStyle w:val="19"/>
              <w:bidi w:val="0"/>
            </w:pPr>
            <w:r>
              <w:t>较好，相对稳 定</w:t>
            </w:r>
          </w:p>
        </w:tc>
        <w:tc>
          <w:tcPr>
            <w:tcW w:w="938" w:type="pct"/>
            <w:tcBorders>
              <w:tl2br w:val="nil"/>
              <w:tr2bl w:val="nil"/>
            </w:tcBorders>
            <w:vAlign w:val="center"/>
          </w:tcPr>
          <w:p w14:paraId="13BBC93A">
            <w:pPr>
              <w:pStyle w:val="19"/>
              <w:bidi w:val="0"/>
            </w:pPr>
            <w:r>
              <w:t>对特定污染物处理效果好；与洗涤液不反应的臭气较难去除</w:t>
            </w:r>
          </w:p>
        </w:tc>
        <w:tc>
          <w:tcPr>
            <w:tcW w:w="697" w:type="pct"/>
            <w:tcBorders>
              <w:tl2br w:val="nil"/>
              <w:tr2bl w:val="nil"/>
            </w:tcBorders>
            <w:vAlign w:val="center"/>
          </w:tcPr>
          <w:p w14:paraId="4835829A">
            <w:pPr>
              <w:pStyle w:val="19"/>
              <w:bidi w:val="0"/>
            </w:pPr>
            <w:r>
              <w:t>较好，但对成分较复杂的臭气处理效率不高</w:t>
            </w:r>
          </w:p>
        </w:tc>
        <w:tc>
          <w:tcPr>
            <w:tcW w:w="849" w:type="pct"/>
            <w:tcBorders>
              <w:tl2br w:val="nil"/>
              <w:tr2bl w:val="nil"/>
            </w:tcBorders>
            <w:vAlign w:val="center"/>
          </w:tcPr>
          <w:p w14:paraId="36E5B680">
            <w:pPr>
              <w:pStyle w:val="19"/>
              <w:bidi w:val="0"/>
            </w:pPr>
            <w:r>
              <w:t>较好，但臭气成分中水溶性或生物降解性较差时效率不高</w:t>
            </w:r>
          </w:p>
        </w:tc>
        <w:tc>
          <w:tcPr>
            <w:tcW w:w="488" w:type="pct"/>
            <w:tcBorders>
              <w:tl2br w:val="nil"/>
              <w:tr2bl w:val="nil"/>
            </w:tcBorders>
            <w:vAlign w:val="center"/>
          </w:tcPr>
          <w:p w14:paraId="29D7A5CC">
            <w:pPr>
              <w:pStyle w:val="19"/>
              <w:bidi w:val="0"/>
            </w:pPr>
            <w:r>
              <w:t>好，且处理效果稳定</w:t>
            </w:r>
          </w:p>
        </w:tc>
      </w:tr>
      <w:tr w14:paraId="1E1E8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75C2FE3A">
            <w:pPr>
              <w:pStyle w:val="19"/>
              <w:bidi w:val="0"/>
              <w:rPr>
                <w:b/>
                <w:bCs/>
              </w:rPr>
            </w:pPr>
            <w:r>
              <w:rPr>
                <w:b/>
                <w:bCs/>
              </w:rPr>
              <w:t>抗冲击载荷性能</w:t>
            </w:r>
          </w:p>
        </w:tc>
        <w:tc>
          <w:tcPr>
            <w:tcW w:w="536" w:type="pct"/>
            <w:tcBorders>
              <w:tl2br w:val="nil"/>
              <w:tr2bl w:val="nil"/>
            </w:tcBorders>
            <w:vAlign w:val="center"/>
          </w:tcPr>
          <w:p w14:paraId="7F536DBD">
            <w:pPr>
              <w:pStyle w:val="19"/>
              <w:bidi w:val="0"/>
            </w:pPr>
            <w:r>
              <w:t>较好</w:t>
            </w:r>
          </w:p>
        </w:tc>
        <w:tc>
          <w:tcPr>
            <w:tcW w:w="909" w:type="pct"/>
            <w:tcBorders>
              <w:tl2br w:val="nil"/>
              <w:tr2bl w:val="nil"/>
            </w:tcBorders>
            <w:vAlign w:val="center"/>
          </w:tcPr>
          <w:p w14:paraId="537F893A">
            <w:pPr>
              <w:pStyle w:val="19"/>
              <w:bidi w:val="0"/>
            </w:pPr>
            <w:r>
              <w:t>一般</w:t>
            </w:r>
          </w:p>
        </w:tc>
        <w:tc>
          <w:tcPr>
            <w:tcW w:w="938" w:type="pct"/>
            <w:tcBorders>
              <w:tl2br w:val="nil"/>
              <w:tr2bl w:val="nil"/>
            </w:tcBorders>
            <w:vAlign w:val="center"/>
          </w:tcPr>
          <w:p w14:paraId="3B6593AF">
            <w:pPr>
              <w:pStyle w:val="19"/>
              <w:bidi w:val="0"/>
            </w:pPr>
            <w:r>
              <w:t>一般</w:t>
            </w:r>
          </w:p>
        </w:tc>
        <w:tc>
          <w:tcPr>
            <w:tcW w:w="697" w:type="pct"/>
            <w:tcBorders>
              <w:tl2br w:val="nil"/>
              <w:tr2bl w:val="nil"/>
            </w:tcBorders>
            <w:vAlign w:val="center"/>
          </w:tcPr>
          <w:p w14:paraId="5C077796">
            <w:pPr>
              <w:pStyle w:val="19"/>
              <w:bidi w:val="0"/>
            </w:pPr>
            <w:r>
              <w:t>较好</w:t>
            </w:r>
          </w:p>
        </w:tc>
        <w:tc>
          <w:tcPr>
            <w:tcW w:w="849" w:type="pct"/>
            <w:tcBorders>
              <w:tl2br w:val="nil"/>
              <w:tr2bl w:val="nil"/>
            </w:tcBorders>
            <w:vAlign w:val="center"/>
          </w:tcPr>
          <w:p w14:paraId="5DD0CB3A">
            <w:pPr>
              <w:pStyle w:val="19"/>
              <w:bidi w:val="0"/>
            </w:pPr>
            <w:r>
              <w:t>一般</w:t>
            </w:r>
          </w:p>
        </w:tc>
        <w:tc>
          <w:tcPr>
            <w:tcW w:w="488" w:type="pct"/>
            <w:tcBorders>
              <w:tl2br w:val="nil"/>
              <w:tr2bl w:val="nil"/>
            </w:tcBorders>
            <w:vAlign w:val="center"/>
          </w:tcPr>
          <w:p w14:paraId="4E13BAD8">
            <w:pPr>
              <w:pStyle w:val="19"/>
              <w:bidi w:val="0"/>
            </w:pPr>
            <w:r>
              <w:t>好</w:t>
            </w:r>
          </w:p>
        </w:tc>
      </w:tr>
      <w:tr w14:paraId="5A95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12B4809C">
            <w:pPr>
              <w:pStyle w:val="19"/>
              <w:bidi w:val="0"/>
              <w:rPr>
                <w:b/>
                <w:bCs/>
              </w:rPr>
            </w:pPr>
            <w:r>
              <w:rPr>
                <w:b/>
                <w:bCs/>
              </w:rPr>
              <w:t>运行管理要求</w:t>
            </w:r>
          </w:p>
        </w:tc>
        <w:tc>
          <w:tcPr>
            <w:tcW w:w="536" w:type="pct"/>
            <w:tcBorders>
              <w:tl2br w:val="nil"/>
              <w:tr2bl w:val="nil"/>
            </w:tcBorders>
            <w:vAlign w:val="center"/>
          </w:tcPr>
          <w:p w14:paraId="02DD4590">
            <w:pPr>
              <w:pStyle w:val="19"/>
              <w:bidi w:val="0"/>
            </w:pPr>
            <w:r>
              <w:t>方便，无特殊要求</w:t>
            </w:r>
          </w:p>
        </w:tc>
        <w:tc>
          <w:tcPr>
            <w:tcW w:w="909" w:type="pct"/>
            <w:tcBorders>
              <w:tl2br w:val="nil"/>
              <w:tr2bl w:val="nil"/>
            </w:tcBorders>
            <w:vAlign w:val="center"/>
          </w:tcPr>
          <w:p w14:paraId="11BC8641">
            <w:pPr>
              <w:pStyle w:val="19"/>
              <w:bidi w:val="0"/>
            </w:pPr>
            <w:r>
              <w:t>臭气成本及浓度的变化对吸附设备参数有响；更 换较为麻烦</w:t>
            </w:r>
          </w:p>
        </w:tc>
        <w:tc>
          <w:tcPr>
            <w:tcW w:w="938" w:type="pct"/>
            <w:tcBorders>
              <w:tl2br w:val="nil"/>
              <w:tr2bl w:val="nil"/>
            </w:tcBorders>
            <w:vAlign w:val="center"/>
          </w:tcPr>
          <w:p w14:paraId="2E6DFE1C">
            <w:pPr>
              <w:pStyle w:val="19"/>
              <w:bidi w:val="0"/>
            </w:pPr>
            <w:r>
              <w:t>需定期补充洗涤液；对操作人员要求较高</w:t>
            </w:r>
          </w:p>
        </w:tc>
        <w:tc>
          <w:tcPr>
            <w:tcW w:w="697" w:type="pct"/>
            <w:tcBorders>
              <w:tl2br w:val="nil"/>
              <w:tr2bl w:val="nil"/>
            </w:tcBorders>
            <w:vAlign w:val="center"/>
          </w:tcPr>
          <w:p w14:paraId="73EEB47E">
            <w:pPr>
              <w:pStyle w:val="19"/>
              <w:bidi w:val="0"/>
            </w:pPr>
            <w:r>
              <w:t>方便，无特殊要求</w:t>
            </w:r>
          </w:p>
        </w:tc>
        <w:tc>
          <w:tcPr>
            <w:tcW w:w="849" w:type="pct"/>
            <w:tcBorders>
              <w:tl2br w:val="nil"/>
              <w:tr2bl w:val="nil"/>
            </w:tcBorders>
            <w:vAlign w:val="center"/>
          </w:tcPr>
          <w:p w14:paraId="161A05C1">
            <w:pPr>
              <w:pStyle w:val="19"/>
              <w:bidi w:val="0"/>
            </w:pPr>
            <w:r>
              <w:t>要保持微生物生长需要的pH、温度等条件</w:t>
            </w:r>
          </w:p>
        </w:tc>
        <w:tc>
          <w:tcPr>
            <w:tcW w:w="488" w:type="pct"/>
            <w:tcBorders>
              <w:tl2br w:val="nil"/>
              <w:tr2bl w:val="nil"/>
            </w:tcBorders>
            <w:vAlign w:val="center"/>
          </w:tcPr>
          <w:p w14:paraId="0CFED170">
            <w:pPr>
              <w:pStyle w:val="19"/>
              <w:bidi w:val="0"/>
            </w:pPr>
            <w:r>
              <w:t>方便，无特殊要求</w:t>
            </w:r>
          </w:p>
        </w:tc>
      </w:tr>
      <w:tr w14:paraId="7DF87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23501AD2">
            <w:pPr>
              <w:pStyle w:val="19"/>
              <w:bidi w:val="0"/>
              <w:rPr>
                <w:b/>
                <w:bCs/>
              </w:rPr>
            </w:pPr>
            <w:r>
              <w:rPr>
                <w:b/>
                <w:bCs/>
              </w:rPr>
              <w:t>投资水平</w:t>
            </w:r>
          </w:p>
        </w:tc>
        <w:tc>
          <w:tcPr>
            <w:tcW w:w="536" w:type="pct"/>
            <w:tcBorders>
              <w:tl2br w:val="nil"/>
              <w:tr2bl w:val="nil"/>
            </w:tcBorders>
            <w:vAlign w:val="center"/>
          </w:tcPr>
          <w:p w14:paraId="395FB060">
            <w:pPr>
              <w:pStyle w:val="19"/>
              <w:bidi w:val="0"/>
            </w:pPr>
            <w:r>
              <w:t>较低</w:t>
            </w:r>
          </w:p>
        </w:tc>
        <w:tc>
          <w:tcPr>
            <w:tcW w:w="909" w:type="pct"/>
            <w:tcBorders>
              <w:tl2br w:val="nil"/>
              <w:tr2bl w:val="nil"/>
            </w:tcBorders>
            <w:vAlign w:val="center"/>
          </w:tcPr>
          <w:p w14:paraId="4048BA69">
            <w:pPr>
              <w:pStyle w:val="19"/>
              <w:bidi w:val="0"/>
            </w:pPr>
            <w:r>
              <w:t>较小</w:t>
            </w:r>
          </w:p>
        </w:tc>
        <w:tc>
          <w:tcPr>
            <w:tcW w:w="938" w:type="pct"/>
            <w:tcBorders>
              <w:tl2br w:val="nil"/>
              <w:tr2bl w:val="nil"/>
            </w:tcBorders>
            <w:vAlign w:val="center"/>
          </w:tcPr>
          <w:p w14:paraId="097E44E1">
            <w:pPr>
              <w:pStyle w:val="19"/>
              <w:bidi w:val="0"/>
            </w:pPr>
            <w:r>
              <w:t>中等</w:t>
            </w:r>
          </w:p>
        </w:tc>
        <w:tc>
          <w:tcPr>
            <w:tcW w:w="697" w:type="pct"/>
            <w:tcBorders>
              <w:tl2br w:val="nil"/>
              <w:tr2bl w:val="nil"/>
            </w:tcBorders>
            <w:vAlign w:val="center"/>
          </w:tcPr>
          <w:p w14:paraId="18A21282">
            <w:pPr>
              <w:pStyle w:val="19"/>
              <w:bidi w:val="0"/>
            </w:pPr>
            <w:r>
              <w:t>中等</w:t>
            </w:r>
          </w:p>
        </w:tc>
        <w:tc>
          <w:tcPr>
            <w:tcW w:w="849" w:type="pct"/>
            <w:tcBorders>
              <w:tl2br w:val="nil"/>
              <w:tr2bl w:val="nil"/>
            </w:tcBorders>
            <w:vAlign w:val="center"/>
          </w:tcPr>
          <w:p w14:paraId="28F03D7C">
            <w:pPr>
              <w:pStyle w:val="19"/>
              <w:bidi w:val="0"/>
            </w:pPr>
            <w:r>
              <w:t>中等</w:t>
            </w:r>
          </w:p>
        </w:tc>
        <w:tc>
          <w:tcPr>
            <w:tcW w:w="488" w:type="pct"/>
            <w:tcBorders>
              <w:tl2br w:val="nil"/>
              <w:tr2bl w:val="nil"/>
            </w:tcBorders>
            <w:vAlign w:val="center"/>
          </w:tcPr>
          <w:p w14:paraId="4331E3EC">
            <w:pPr>
              <w:pStyle w:val="19"/>
              <w:bidi w:val="0"/>
            </w:pPr>
            <w:r>
              <w:t>中等</w:t>
            </w:r>
          </w:p>
        </w:tc>
      </w:tr>
      <w:tr w14:paraId="7BA7A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5F05B16C">
            <w:pPr>
              <w:pStyle w:val="19"/>
              <w:bidi w:val="0"/>
              <w:rPr>
                <w:b/>
                <w:bCs/>
              </w:rPr>
            </w:pPr>
            <w:r>
              <w:rPr>
                <w:b/>
                <w:bCs/>
              </w:rPr>
              <w:t>运行成本</w:t>
            </w:r>
          </w:p>
        </w:tc>
        <w:tc>
          <w:tcPr>
            <w:tcW w:w="536" w:type="pct"/>
            <w:tcBorders>
              <w:tl2br w:val="nil"/>
              <w:tr2bl w:val="nil"/>
            </w:tcBorders>
            <w:vAlign w:val="center"/>
          </w:tcPr>
          <w:p w14:paraId="377E7BFB">
            <w:pPr>
              <w:pStyle w:val="19"/>
              <w:bidi w:val="0"/>
            </w:pPr>
            <w:r>
              <w:t>中等</w:t>
            </w:r>
          </w:p>
        </w:tc>
        <w:tc>
          <w:tcPr>
            <w:tcW w:w="909" w:type="pct"/>
            <w:tcBorders>
              <w:tl2br w:val="nil"/>
              <w:tr2bl w:val="nil"/>
            </w:tcBorders>
            <w:vAlign w:val="center"/>
          </w:tcPr>
          <w:p w14:paraId="7295B70A">
            <w:pPr>
              <w:pStyle w:val="19"/>
              <w:bidi w:val="0"/>
            </w:pPr>
            <w:r>
              <w:t>较高</w:t>
            </w:r>
          </w:p>
        </w:tc>
        <w:tc>
          <w:tcPr>
            <w:tcW w:w="938" w:type="pct"/>
            <w:tcBorders>
              <w:tl2br w:val="nil"/>
              <w:tr2bl w:val="nil"/>
            </w:tcBorders>
            <w:vAlign w:val="center"/>
          </w:tcPr>
          <w:p w14:paraId="545EA68A">
            <w:pPr>
              <w:pStyle w:val="19"/>
              <w:bidi w:val="0"/>
            </w:pPr>
            <w:r>
              <w:t>较高</w:t>
            </w:r>
          </w:p>
        </w:tc>
        <w:tc>
          <w:tcPr>
            <w:tcW w:w="697" w:type="pct"/>
            <w:tcBorders>
              <w:tl2br w:val="nil"/>
              <w:tr2bl w:val="nil"/>
            </w:tcBorders>
            <w:vAlign w:val="center"/>
          </w:tcPr>
          <w:p w14:paraId="705A3832">
            <w:pPr>
              <w:pStyle w:val="19"/>
              <w:bidi w:val="0"/>
            </w:pPr>
            <w:r>
              <w:t>中等</w:t>
            </w:r>
          </w:p>
        </w:tc>
        <w:tc>
          <w:tcPr>
            <w:tcW w:w="849" w:type="pct"/>
            <w:tcBorders>
              <w:tl2br w:val="nil"/>
              <w:tr2bl w:val="nil"/>
            </w:tcBorders>
            <w:vAlign w:val="center"/>
          </w:tcPr>
          <w:p w14:paraId="58290046">
            <w:pPr>
              <w:pStyle w:val="19"/>
              <w:bidi w:val="0"/>
            </w:pPr>
            <w:r>
              <w:t>较低</w:t>
            </w:r>
          </w:p>
        </w:tc>
        <w:tc>
          <w:tcPr>
            <w:tcW w:w="488" w:type="pct"/>
            <w:tcBorders>
              <w:tl2br w:val="nil"/>
              <w:tr2bl w:val="nil"/>
            </w:tcBorders>
            <w:vAlign w:val="center"/>
          </w:tcPr>
          <w:p w14:paraId="7FAE5818">
            <w:pPr>
              <w:pStyle w:val="19"/>
              <w:bidi w:val="0"/>
            </w:pPr>
            <w:r>
              <w:t>中等</w:t>
            </w:r>
          </w:p>
        </w:tc>
      </w:tr>
      <w:tr w14:paraId="2F496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pct"/>
            <w:tcBorders>
              <w:tl2br w:val="nil"/>
              <w:tr2bl w:val="nil"/>
            </w:tcBorders>
            <w:vAlign w:val="center"/>
          </w:tcPr>
          <w:p w14:paraId="4DB38B76">
            <w:pPr>
              <w:pStyle w:val="19"/>
              <w:bidi w:val="0"/>
              <w:rPr>
                <w:b/>
                <w:bCs/>
              </w:rPr>
            </w:pPr>
            <w:r>
              <w:rPr>
                <w:b/>
                <w:bCs/>
              </w:rPr>
              <w:t>占地面积</w:t>
            </w:r>
          </w:p>
        </w:tc>
        <w:tc>
          <w:tcPr>
            <w:tcW w:w="536" w:type="pct"/>
            <w:tcBorders>
              <w:tl2br w:val="nil"/>
              <w:tr2bl w:val="nil"/>
            </w:tcBorders>
            <w:vAlign w:val="center"/>
          </w:tcPr>
          <w:p w14:paraId="3C1CA6E5">
            <w:pPr>
              <w:pStyle w:val="19"/>
              <w:bidi w:val="0"/>
            </w:pPr>
            <w:r>
              <w:t>小</w:t>
            </w:r>
          </w:p>
        </w:tc>
        <w:tc>
          <w:tcPr>
            <w:tcW w:w="909" w:type="pct"/>
            <w:tcBorders>
              <w:tl2br w:val="nil"/>
              <w:tr2bl w:val="nil"/>
            </w:tcBorders>
            <w:vAlign w:val="center"/>
          </w:tcPr>
          <w:p w14:paraId="44E45367">
            <w:pPr>
              <w:pStyle w:val="19"/>
              <w:bidi w:val="0"/>
            </w:pPr>
            <w:r>
              <w:t>较大</w:t>
            </w:r>
          </w:p>
        </w:tc>
        <w:tc>
          <w:tcPr>
            <w:tcW w:w="938" w:type="pct"/>
            <w:tcBorders>
              <w:tl2br w:val="nil"/>
              <w:tr2bl w:val="nil"/>
            </w:tcBorders>
            <w:vAlign w:val="center"/>
          </w:tcPr>
          <w:p w14:paraId="32890E1F">
            <w:pPr>
              <w:pStyle w:val="19"/>
              <w:bidi w:val="0"/>
            </w:pPr>
            <w:r>
              <w:t>较大</w:t>
            </w:r>
          </w:p>
        </w:tc>
        <w:tc>
          <w:tcPr>
            <w:tcW w:w="697" w:type="pct"/>
            <w:tcBorders>
              <w:tl2br w:val="nil"/>
              <w:tr2bl w:val="nil"/>
            </w:tcBorders>
            <w:vAlign w:val="center"/>
          </w:tcPr>
          <w:p w14:paraId="711188C6">
            <w:pPr>
              <w:pStyle w:val="19"/>
              <w:bidi w:val="0"/>
            </w:pPr>
            <w:r>
              <w:t>小</w:t>
            </w:r>
          </w:p>
        </w:tc>
        <w:tc>
          <w:tcPr>
            <w:tcW w:w="849" w:type="pct"/>
            <w:tcBorders>
              <w:tl2br w:val="nil"/>
              <w:tr2bl w:val="nil"/>
            </w:tcBorders>
            <w:vAlign w:val="center"/>
          </w:tcPr>
          <w:p w14:paraId="32127E74">
            <w:pPr>
              <w:pStyle w:val="19"/>
              <w:bidi w:val="0"/>
            </w:pPr>
            <w:r>
              <w:t>小</w:t>
            </w:r>
          </w:p>
        </w:tc>
        <w:tc>
          <w:tcPr>
            <w:tcW w:w="488" w:type="pct"/>
            <w:tcBorders>
              <w:tl2br w:val="nil"/>
              <w:tr2bl w:val="nil"/>
            </w:tcBorders>
            <w:vAlign w:val="center"/>
          </w:tcPr>
          <w:p w14:paraId="461C9492">
            <w:pPr>
              <w:pStyle w:val="19"/>
              <w:bidi w:val="0"/>
            </w:pPr>
            <w:r>
              <w:t>小</w:t>
            </w:r>
          </w:p>
        </w:tc>
      </w:tr>
    </w:tbl>
    <w:p w14:paraId="64FA079F">
      <w:pPr>
        <w:bidi w:val="0"/>
        <w:rPr>
          <w:rFonts w:hint="eastAsia"/>
          <w:lang w:val="en-US" w:eastAsia="zh-CN"/>
        </w:rPr>
      </w:pPr>
      <w:r>
        <w:rPr>
          <w:rFonts w:hint="eastAsia"/>
          <w:lang w:val="en-US" w:eastAsia="zh-CN"/>
        </w:rPr>
        <w:t>通过比较可知，上述几种除臭技术各有优缺点，适用于不同风量、浓度的恶臭气体。由于本项目恶臭污染物浓度较低，综合考虑经济性、实用性和可靠性，本次环评推荐采用生物除臭。</w:t>
      </w:r>
    </w:p>
    <w:p w14:paraId="1A0A85A6">
      <w:pPr>
        <w:pStyle w:val="28"/>
        <w:bidi w:val="0"/>
        <w:rPr>
          <w:rFonts w:hint="default"/>
          <w:lang w:val="en-US" w:eastAsia="zh-CN"/>
        </w:rPr>
      </w:pPr>
      <w:r>
        <w:rPr>
          <w:rFonts w:hint="eastAsia"/>
          <w:lang w:val="en-US" w:eastAsia="zh-CN"/>
        </w:rPr>
        <w:t>厂区无组织恶臭气体治理措施</w:t>
      </w:r>
    </w:p>
    <w:p w14:paraId="642CFDE3">
      <w:pPr>
        <w:bidi w:val="0"/>
        <w:rPr>
          <w:rFonts w:hint="eastAsia"/>
          <w:lang w:val="en-US" w:eastAsia="zh-CN"/>
        </w:rPr>
      </w:pPr>
      <w:r>
        <w:rPr>
          <w:rFonts w:hint="eastAsia"/>
          <w:lang w:val="en-US" w:eastAsia="zh-CN"/>
        </w:rPr>
        <w:t>查阅《畜禽养殖业污染治理工程技术规范》（HJ497-2009）可知，该文件中对恶臭控制提出了相应的要求，具体如下：</w:t>
      </w:r>
    </w:p>
    <w:p w14:paraId="2068F8BD">
      <w:pPr>
        <w:bidi w:val="0"/>
        <w:rPr>
          <w:rFonts w:hint="eastAsia"/>
          <w:lang w:val="en-US" w:eastAsia="zh-CN"/>
        </w:rPr>
      </w:pPr>
      <w:r>
        <w:rPr>
          <w:rFonts w:hint="eastAsia"/>
          <w:lang w:val="en-US" w:eastAsia="zh-CN"/>
        </w:rPr>
        <w:t>（1）粪污处理各工艺单元宜设计为密闭形式，减少恶臭对周围环境的污染。</w:t>
      </w:r>
    </w:p>
    <w:p w14:paraId="74299778">
      <w:pPr>
        <w:bidi w:val="0"/>
        <w:rPr>
          <w:rFonts w:hint="eastAsia"/>
          <w:lang w:val="en-US" w:eastAsia="zh-CN"/>
        </w:rPr>
      </w:pPr>
      <w:r>
        <w:rPr>
          <w:rFonts w:hint="eastAsia"/>
          <w:lang w:val="en-US" w:eastAsia="zh-CN"/>
        </w:rPr>
        <w:t>（2）在集中式粪污处理厂的泄粪口及固液分离设备等位置宜喷淋生化除臭剂。</w:t>
      </w:r>
    </w:p>
    <w:p w14:paraId="7EB98761">
      <w:pPr>
        <w:bidi w:val="0"/>
        <w:rPr>
          <w:rFonts w:hint="eastAsia"/>
          <w:lang w:val="en-US" w:eastAsia="zh-CN"/>
        </w:rPr>
      </w:pPr>
      <w:r>
        <w:rPr>
          <w:rFonts w:hint="eastAsia"/>
          <w:lang w:val="en-US" w:eastAsia="zh-CN"/>
        </w:rPr>
        <w:t>根据上述要求，为了使项目恶臭对周边环境影响降到最低，针对本项目，环评建议项目增加的恶臭污染防治措施如下：</w:t>
      </w:r>
    </w:p>
    <w:p w14:paraId="794A6453">
      <w:pPr>
        <w:bidi w:val="0"/>
        <w:rPr>
          <w:rFonts w:hint="eastAsia"/>
          <w:lang w:val="en-US" w:eastAsia="zh-CN"/>
        </w:rPr>
      </w:pPr>
      <w:r>
        <w:rPr>
          <w:rFonts w:hint="eastAsia"/>
          <w:lang w:val="en-US" w:eastAsia="zh-CN"/>
        </w:rPr>
        <w:t>（1）控制饲养密度，并保持舍内通风，减少舍内微生物的产生。</w:t>
      </w:r>
    </w:p>
    <w:p w14:paraId="34E91957">
      <w:pPr>
        <w:bidi w:val="0"/>
        <w:rPr>
          <w:rFonts w:hint="eastAsia"/>
          <w:lang w:val="en-US" w:eastAsia="zh-CN"/>
        </w:rPr>
      </w:pPr>
      <w:r>
        <w:rPr>
          <w:rFonts w:hint="eastAsia"/>
          <w:lang w:val="en-US" w:eastAsia="zh-CN"/>
        </w:rPr>
        <w:t>（2）设计日粮组成提高饲料利用率，适量降低日粮中氮和磷的浓度，以减少氮和磷的排放。</w:t>
      </w:r>
    </w:p>
    <w:p w14:paraId="58DBAAA5">
      <w:pPr>
        <w:bidi w:val="0"/>
        <w:rPr>
          <w:rFonts w:hint="eastAsia"/>
          <w:lang w:val="en-US" w:eastAsia="zh-CN"/>
        </w:rPr>
      </w:pPr>
      <w:r>
        <w:rPr>
          <w:rFonts w:hint="eastAsia"/>
          <w:lang w:val="en-US" w:eastAsia="zh-CN"/>
        </w:rPr>
        <w:t>（3）调节池内pH值创造不利于厌氧菌活动的条件以减少恶臭气体的产生；使用环保新产品，沸石是一种具有微孔和可交换离子的硅酸盐矿石，表面对NH3、H2S、CO2、水分等有很强的吸附力，能抑制氨的产生和挥发，可使氨含量降低90%；应用磷酸钙减少舍内氨浓度效果良好，其去除氨的效果可达97%；向粪便或猪舍内投放吸附剂减少臭气的散发，将硫酸亚铁撒在粪便中，可以抑制粪便发酵分解，减少有害气体产生。</w:t>
      </w:r>
    </w:p>
    <w:p w14:paraId="56EA20CC">
      <w:pPr>
        <w:bidi w:val="0"/>
        <w:rPr>
          <w:rFonts w:hint="eastAsia"/>
          <w:lang w:val="en-US" w:eastAsia="zh-CN"/>
        </w:rPr>
      </w:pPr>
      <w:r>
        <w:rPr>
          <w:rFonts w:hint="eastAsia"/>
          <w:lang w:val="en-US" w:eastAsia="zh-CN"/>
        </w:rPr>
        <w:t>（4）项目堆粪场做好防渗。</w:t>
      </w:r>
    </w:p>
    <w:p w14:paraId="6E2D8292">
      <w:pPr>
        <w:bidi w:val="0"/>
        <w:rPr>
          <w:rFonts w:hint="eastAsia"/>
          <w:lang w:val="en-US" w:eastAsia="zh-CN"/>
        </w:rPr>
      </w:pPr>
      <w:r>
        <w:rPr>
          <w:rFonts w:hint="eastAsia"/>
          <w:lang w:val="en-US" w:eastAsia="zh-CN"/>
        </w:rPr>
        <w:t>（5）项目猪粪堆肥过程，可向粪便投放沸石、锯末、秸秆、泥炭等含纤维素和木质素较多的吸附剂以减少猪粪处理过程产生的臭气。</w:t>
      </w:r>
    </w:p>
    <w:p w14:paraId="2EA20E26">
      <w:pPr>
        <w:bidi w:val="0"/>
        <w:rPr>
          <w:rFonts w:hint="eastAsia"/>
          <w:lang w:val="en-US" w:eastAsia="zh-CN"/>
        </w:rPr>
      </w:pPr>
      <w:r>
        <w:rPr>
          <w:rFonts w:hint="eastAsia"/>
          <w:lang w:val="en-US" w:eastAsia="zh-CN"/>
        </w:rPr>
        <w:t>（6）定期使用养殖场专用植物性除臭剂对猪舍进行除臭。堆粪场卸粪口位置喷淋生化除臭剂。</w:t>
      </w:r>
    </w:p>
    <w:p w14:paraId="7EA416C6">
      <w:pPr>
        <w:bidi w:val="0"/>
        <w:rPr>
          <w:rFonts w:hint="eastAsia"/>
          <w:lang w:val="en-US" w:eastAsia="zh-CN"/>
        </w:rPr>
      </w:pPr>
      <w:r>
        <w:rPr>
          <w:rFonts w:hint="eastAsia"/>
          <w:lang w:val="en-US" w:eastAsia="zh-CN"/>
        </w:rPr>
        <w:t>（7）项目设置100m卫生防护距离，在该卫生防护距离内禁止建设居民区、学校等其他敏感点。</w:t>
      </w:r>
    </w:p>
    <w:p w14:paraId="64D5DCA5">
      <w:pPr>
        <w:bidi w:val="0"/>
        <w:rPr>
          <w:rFonts w:hint="eastAsia"/>
          <w:lang w:val="en-US" w:eastAsia="zh-CN"/>
        </w:rPr>
      </w:pPr>
      <w:r>
        <w:rPr>
          <w:rFonts w:hint="eastAsia"/>
          <w:lang w:val="en-US" w:eastAsia="zh-CN"/>
        </w:rPr>
        <w:t>（8）蚊蝇滋生季节喷洒虫卵消灭液，杜绝蚊蝇的生长，避免对附近居民的影响。</w:t>
      </w:r>
    </w:p>
    <w:p w14:paraId="5EE2DC25">
      <w:pPr>
        <w:bidi w:val="0"/>
        <w:rPr>
          <w:rFonts w:hint="eastAsia"/>
          <w:lang w:val="en-US" w:eastAsia="zh-CN"/>
        </w:rPr>
      </w:pPr>
      <w:r>
        <w:rPr>
          <w:rFonts w:hint="eastAsia"/>
          <w:lang w:val="en-US" w:eastAsia="zh-CN"/>
        </w:rPr>
        <w:t>本项目大气污染物主要来自育肥舍粪便、堆肥场、粪污处理池、好氧塘、干湿分离房等，根据项目设计，拟采取污染防治措施如下：</w:t>
      </w:r>
    </w:p>
    <w:p w14:paraId="74D316A3">
      <w:pPr>
        <w:bidi w:val="0"/>
        <w:rPr>
          <w:rFonts w:hint="eastAsia"/>
          <w:lang w:val="en-US" w:eastAsia="zh-CN"/>
        </w:rPr>
      </w:pPr>
      <w:r>
        <w:rPr>
          <w:rFonts w:hint="eastAsia"/>
          <w:lang w:val="en-US" w:eastAsia="zh-CN"/>
        </w:rPr>
        <w:t>（1）育肥舍采用全漏缝地板免水冲工艺，在猪饲养期间粪便均排入猪舍下粪尿储存池，在猪饲养期间不对水进行搅动起到封存的作用，恶臭废气散发量较小。</w:t>
      </w:r>
    </w:p>
    <w:p w14:paraId="2EB4F727">
      <w:pPr>
        <w:bidi w:val="0"/>
        <w:rPr>
          <w:rFonts w:hint="eastAsia"/>
          <w:lang w:val="en-US" w:eastAsia="zh-CN"/>
        </w:rPr>
      </w:pPr>
      <w:r>
        <w:rPr>
          <w:rFonts w:hint="eastAsia"/>
          <w:lang w:val="en-US" w:eastAsia="zh-CN"/>
        </w:rPr>
        <w:t>（2）本项目通过选择优质的饲料原料、改进饲料配方，在饲料中添加益生素、酶制剂、酸化剂等，猪饮食后可从消化源上减少猪只粪便中各种臭气源（氨气、硫化氢等）的产生。通过在饲料中添加丝兰素植物、活性炭、沙皂素等除臭剂，也可以从源头上减少硫化氢、氨等恶臭气体的排放。</w:t>
      </w:r>
    </w:p>
    <w:p w14:paraId="0D68170B">
      <w:pPr>
        <w:bidi w:val="0"/>
        <w:rPr>
          <w:rFonts w:hint="eastAsia"/>
          <w:lang w:val="en-US" w:eastAsia="zh-CN"/>
        </w:rPr>
      </w:pPr>
      <w:r>
        <w:rPr>
          <w:rFonts w:hint="eastAsia"/>
          <w:lang w:val="en-US" w:eastAsia="zh-CN"/>
        </w:rPr>
        <w:t>（3）及时清理猪舍，保持猪舍卫生，通过加强猪舍的通风、改善饲养管理（湿拌料、及时清除粪便）等措施改善猪舍的空气质量。</w:t>
      </w:r>
    </w:p>
    <w:p w14:paraId="6320A659">
      <w:pPr>
        <w:bidi w:val="0"/>
        <w:rPr>
          <w:rFonts w:hint="eastAsia"/>
          <w:lang w:val="en-US" w:eastAsia="zh-CN"/>
        </w:rPr>
      </w:pPr>
      <w:r>
        <w:rPr>
          <w:rFonts w:hint="eastAsia"/>
          <w:lang w:val="en-US" w:eastAsia="zh-CN"/>
        </w:rPr>
        <w:t>（4）堆肥场设置生物除臭装置，并定期喷洒植物型除臭剂，所用除臭剂，是以多种天然植物提取物精制而成的。天然植物除臭液雾化到空间，形成颗粒很小的雾状颗粒，雾状颗粒具有很大的比表面积，可以高效的吸收空气中的恶臭分子，被吸附的恶臭分子能够与植物液中的有效成分发生反应，生成无味、无毒的物质。植物性除臭剂通过4种物理化学作用力将臭气分子捕捉：范德华力、耦合力、化学反应力、吸附力，植物型除臭剂可以有效去除硫化氢、氨气、二氧化硫、甲硫醇、胺等多种常见的恶臭气体。</w:t>
      </w:r>
    </w:p>
    <w:p w14:paraId="789196E7">
      <w:pPr>
        <w:bidi w:val="0"/>
        <w:rPr>
          <w:rFonts w:hint="eastAsia"/>
          <w:lang w:val="en-US" w:eastAsia="zh-CN"/>
        </w:rPr>
      </w:pPr>
      <w:r>
        <w:rPr>
          <w:rFonts w:hint="eastAsia"/>
          <w:lang w:val="en-US" w:eastAsia="zh-CN"/>
        </w:rPr>
        <w:t>因防止疾病传染等原因，本项目不设置绿化带。</w:t>
      </w:r>
    </w:p>
    <w:p w14:paraId="5F1185E7">
      <w:pPr>
        <w:bidi w:val="0"/>
        <w:rPr>
          <w:rFonts w:hint="eastAsia"/>
          <w:lang w:val="en-US" w:eastAsia="zh-CN"/>
        </w:rPr>
      </w:pPr>
      <w:r>
        <w:rPr>
          <w:rFonts w:hint="eastAsia"/>
          <w:lang w:val="en-US" w:eastAsia="zh-CN"/>
        </w:rPr>
        <w:t>综上所述，在落实上述恶臭气体防治措施的基础上，能够满足达标排放的要求。所以，在本项目严格规范操作的基础上，上述废气处理措施可行。</w:t>
      </w:r>
    </w:p>
    <w:p w14:paraId="600685F7">
      <w:pPr>
        <w:pStyle w:val="27"/>
        <w:bidi w:val="0"/>
        <w:rPr>
          <w:rFonts w:hint="default"/>
          <w:lang w:val="en-US" w:eastAsia="zh-CN"/>
        </w:rPr>
      </w:pPr>
      <w:r>
        <w:rPr>
          <w:rFonts w:hint="eastAsia"/>
          <w:lang w:val="en-US" w:eastAsia="zh-CN"/>
        </w:rPr>
        <w:t>废水污染防治措施及其可行性分析</w:t>
      </w:r>
    </w:p>
    <w:p w14:paraId="2177B4D5">
      <w:pPr>
        <w:pStyle w:val="28"/>
        <w:bidi w:val="0"/>
        <w:rPr>
          <w:rFonts w:hint="default"/>
          <w:lang w:val="en-US" w:eastAsia="zh-CN"/>
        </w:rPr>
      </w:pPr>
      <w:r>
        <w:rPr>
          <w:rFonts w:hint="eastAsia"/>
          <w:lang w:val="en-US" w:eastAsia="zh-CN"/>
        </w:rPr>
        <w:t>废水处理系统工艺可行性</w:t>
      </w:r>
    </w:p>
    <w:p w14:paraId="36E7C498">
      <w:pPr>
        <w:bidi w:val="0"/>
        <w:rPr>
          <w:rFonts w:hint="eastAsia"/>
          <w:lang w:val="en-US" w:eastAsia="zh-CN"/>
        </w:rPr>
      </w:pPr>
      <w:r>
        <w:rPr>
          <w:rFonts w:hint="eastAsia"/>
          <w:lang w:val="en-US" w:eastAsia="zh-CN"/>
        </w:rPr>
        <w:t>根据前文工程分析内容可知，本项目运营期的产生的废水主要包括养殖废水、生活污水及生物质锅炉排污水，具体产排量及水质情况见表3.4-15。</w:t>
      </w:r>
    </w:p>
    <w:p w14:paraId="0D78B50C">
      <w:pPr>
        <w:pStyle w:val="2"/>
        <w:rPr>
          <w:rFonts w:hint="default"/>
          <w:lang w:val="en-US" w:eastAsia="zh-CN"/>
        </w:rPr>
      </w:pPr>
      <w:r>
        <w:rPr>
          <w:rFonts w:hint="eastAsia"/>
          <w:lang w:val="en-US" w:eastAsia="zh-CN"/>
        </w:rPr>
        <w:t>养殖废水包括猪尿、猪粪滤液和育肥舍冲洗废水；生物质锅炉排污水主要是锅炉软化水过程的清净下水等，养殖废水、生活污水与生物质锅炉排污水经过各自产生处的管道收集后全部送入本次厂区新建的污水处理系统进行处理，经处理后的污水在氧化塘中储存，委托129团农业发展中心定期用吸污车清运，厂区不设置废水排放口。新建的污水处理系统所用工艺为：格栅+集水池（沉砂）+固液分离+水解酸化+UASB+SBR+好氧塘储存，具体工艺流程叙述见“3.2.3.2本项目废水处理工艺”章节。</w:t>
      </w:r>
    </w:p>
    <w:p w14:paraId="46A40103">
      <w:pPr>
        <w:bidi w:val="0"/>
        <w:rPr>
          <w:rFonts w:hint="eastAsia"/>
          <w:lang w:val="en-US" w:eastAsia="zh-CN"/>
        </w:rPr>
      </w:pPr>
      <w:r>
        <w:rPr>
          <w:rFonts w:hint="eastAsia"/>
          <w:lang w:val="en-US" w:eastAsia="zh-CN"/>
        </w:rPr>
        <w:t>上述污水处理系统所采用的工艺属于《畜禽养殖业污染治理工程技术规范》（HJ497-2009）中列明的处理模式，且符合该文件中对于模式Ⅲ选择的原则；同时，此工艺还属于《排污许可证申请与核发技术规范 畜禽养殖行业》（HJ1029-2019）中“表6 畜禽养殖行业排污单位废水污染防治可行技术参考表”列明的可行技术，具体对比见表6.2-2。</w:t>
      </w:r>
    </w:p>
    <w:p w14:paraId="1EB22F98">
      <w:pPr>
        <w:bidi w:val="0"/>
        <w:rPr>
          <w:rFonts w:hint="eastAsia"/>
          <w:lang w:val="en-US" w:eastAsia="zh-CN"/>
        </w:rPr>
      </w:pPr>
    </w:p>
    <w:p w14:paraId="7C886E50">
      <w:pPr>
        <w:bidi w:val="0"/>
        <w:rPr>
          <w:rFonts w:hint="eastAsia"/>
          <w:lang w:val="en-US" w:eastAsia="zh-CN"/>
        </w:rPr>
      </w:pPr>
    </w:p>
    <w:p w14:paraId="27AEA263">
      <w:pPr>
        <w:pStyle w:val="30"/>
        <w:bidi w:val="0"/>
        <w:rPr>
          <w:rFonts w:hint="default"/>
          <w:lang w:val="en-US" w:eastAsia="zh-CN"/>
        </w:rPr>
      </w:pPr>
      <w:r>
        <w:rPr>
          <w:rFonts w:hint="eastAsia"/>
          <w:lang w:val="en-US" w:eastAsia="zh-CN"/>
        </w:rPr>
        <w:t>表6.2-2   本项目污水处理工艺可行性对比分析一览表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846"/>
        <w:gridCol w:w="980"/>
        <w:gridCol w:w="2503"/>
        <w:gridCol w:w="1093"/>
        <w:gridCol w:w="1529"/>
        <w:gridCol w:w="870"/>
      </w:tblGrid>
      <w:tr w14:paraId="651D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vAlign w:val="center"/>
          </w:tcPr>
          <w:p w14:paraId="562AC2CD">
            <w:pPr>
              <w:pStyle w:val="19"/>
              <w:bidi w:val="0"/>
              <w:jc w:val="center"/>
              <w:rPr>
                <w:rFonts w:hint="default"/>
                <w:b/>
                <w:bCs/>
                <w:lang w:val="en-US" w:eastAsia="zh-CN"/>
              </w:rPr>
            </w:pPr>
            <w:r>
              <w:rPr>
                <w:rFonts w:hint="eastAsia"/>
                <w:b/>
                <w:bCs/>
                <w:lang w:val="en-US" w:eastAsia="zh-CN"/>
              </w:rPr>
              <w:t>序号</w:t>
            </w:r>
          </w:p>
        </w:tc>
        <w:tc>
          <w:tcPr>
            <w:tcW w:w="2539" w:type="pct"/>
            <w:gridSpan w:val="3"/>
            <w:vAlign w:val="center"/>
          </w:tcPr>
          <w:p w14:paraId="20CDE5CB">
            <w:pPr>
              <w:pStyle w:val="19"/>
              <w:bidi w:val="0"/>
              <w:jc w:val="center"/>
              <w:rPr>
                <w:rFonts w:hint="default"/>
                <w:b/>
                <w:bCs/>
                <w:lang w:val="en-US" w:eastAsia="zh-CN"/>
              </w:rPr>
            </w:pPr>
            <w:r>
              <w:rPr>
                <w:rFonts w:hint="eastAsia"/>
                <w:b/>
                <w:bCs/>
                <w:lang w:val="en-US" w:eastAsia="zh-CN"/>
              </w:rPr>
              <w:t>文件及要求内容</w:t>
            </w:r>
          </w:p>
        </w:tc>
        <w:tc>
          <w:tcPr>
            <w:tcW w:w="1538" w:type="pct"/>
            <w:gridSpan w:val="2"/>
            <w:vMerge w:val="restart"/>
            <w:vAlign w:val="center"/>
          </w:tcPr>
          <w:p w14:paraId="618DEA14">
            <w:pPr>
              <w:pStyle w:val="19"/>
              <w:bidi w:val="0"/>
              <w:jc w:val="center"/>
              <w:rPr>
                <w:rFonts w:hint="default"/>
                <w:b/>
                <w:bCs/>
                <w:lang w:val="en-US" w:eastAsia="zh-CN"/>
              </w:rPr>
            </w:pPr>
            <w:r>
              <w:rPr>
                <w:rFonts w:hint="eastAsia"/>
                <w:b/>
                <w:bCs/>
                <w:lang w:val="en-US" w:eastAsia="zh-CN"/>
              </w:rPr>
              <w:t>本项目情况</w:t>
            </w:r>
          </w:p>
        </w:tc>
        <w:tc>
          <w:tcPr>
            <w:tcW w:w="510" w:type="pct"/>
            <w:vMerge w:val="restart"/>
            <w:vAlign w:val="center"/>
          </w:tcPr>
          <w:p w14:paraId="47F7FC98">
            <w:pPr>
              <w:pStyle w:val="19"/>
              <w:bidi w:val="0"/>
              <w:jc w:val="center"/>
              <w:rPr>
                <w:rFonts w:hint="default"/>
                <w:b/>
                <w:bCs/>
                <w:lang w:val="en-US" w:eastAsia="zh-CN"/>
              </w:rPr>
            </w:pPr>
            <w:r>
              <w:rPr>
                <w:rFonts w:hint="eastAsia"/>
                <w:b/>
                <w:bCs/>
                <w:lang w:val="en-US" w:eastAsia="zh-CN"/>
              </w:rPr>
              <w:t>符合性</w:t>
            </w:r>
          </w:p>
        </w:tc>
      </w:tr>
      <w:tr w14:paraId="4FE0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20ACF8CE">
            <w:pPr>
              <w:pStyle w:val="19"/>
              <w:bidi w:val="0"/>
              <w:jc w:val="center"/>
              <w:rPr>
                <w:rFonts w:hint="eastAsia"/>
                <w:lang w:val="en-US" w:eastAsia="zh-CN"/>
              </w:rPr>
            </w:pPr>
          </w:p>
        </w:tc>
        <w:tc>
          <w:tcPr>
            <w:tcW w:w="2539" w:type="pct"/>
            <w:gridSpan w:val="3"/>
            <w:vAlign w:val="center"/>
          </w:tcPr>
          <w:p w14:paraId="0CB56CFC">
            <w:pPr>
              <w:pStyle w:val="19"/>
              <w:bidi w:val="0"/>
              <w:jc w:val="center"/>
              <w:rPr>
                <w:rFonts w:hint="eastAsia"/>
                <w:lang w:val="en-US" w:eastAsia="zh-CN"/>
              </w:rPr>
            </w:pPr>
            <w:r>
              <w:rPr>
                <w:rFonts w:hint="eastAsia"/>
                <w:b/>
                <w:bCs/>
                <w:lang w:val="en-US" w:eastAsia="zh-CN"/>
              </w:rPr>
              <w:t>《畜禽养殖业污染治理工程技术规范》（HJ497-2009）</w:t>
            </w:r>
          </w:p>
        </w:tc>
        <w:tc>
          <w:tcPr>
            <w:tcW w:w="1538" w:type="pct"/>
            <w:gridSpan w:val="2"/>
            <w:vMerge w:val="continue"/>
            <w:vAlign w:val="center"/>
          </w:tcPr>
          <w:p w14:paraId="74234020">
            <w:pPr>
              <w:pStyle w:val="19"/>
              <w:bidi w:val="0"/>
              <w:jc w:val="center"/>
              <w:rPr>
                <w:rFonts w:hint="eastAsia"/>
                <w:lang w:val="en-US" w:eastAsia="zh-CN"/>
              </w:rPr>
            </w:pPr>
          </w:p>
        </w:tc>
        <w:tc>
          <w:tcPr>
            <w:tcW w:w="510" w:type="pct"/>
            <w:vMerge w:val="continue"/>
            <w:vAlign w:val="center"/>
          </w:tcPr>
          <w:p w14:paraId="6E7FF145">
            <w:pPr>
              <w:pStyle w:val="19"/>
              <w:bidi w:val="0"/>
              <w:jc w:val="center"/>
              <w:rPr>
                <w:rFonts w:hint="eastAsia"/>
                <w:lang w:val="en-US" w:eastAsia="zh-CN"/>
              </w:rPr>
            </w:pPr>
          </w:p>
        </w:tc>
      </w:tr>
      <w:tr w14:paraId="754D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4C49695F">
            <w:pPr>
              <w:pStyle w:val="19"/>
              <w:bidi w:val="0"/>
              <w:jc w:val="center"/>
              <w:rPr>
                <w:rFonts w:hint="default"/>
                <w:lang w:val="en-US" w:eastAsia="zh-CN"/>
              </w:rPr>
            </w:pPr>
            <w:r>
              <w:rPr>
                <w:rFonts w:hint="eastAsia"/>
                <w:lang w:val="en-US" w:eastAsia="zh-CN"/>
              </w:rPr>
              <w:t>1</w:t>
            </w:r>
          </w:p>
        </w:tc>
        <w:tc>
          <w:tcPr>
            <w:tcW w:w="2539" w:type="pct"/>
            <w:gridSpan w:val="3"/>
            <w:vAlign w:val="center"/>
          </w:tcPr>
          <w:p w14:paraId="6A27AE02">
            <w:pPr>
              <w:pStyle w:val="19"/>
              <w:bidi w:val="0"/>
              <w:jc w:val="center"/>
              <w:rPr>
                <w:rFonts w:hint="eastAsia"/>
                <w:lang w:val="en-US" w:eastAsia="zh-CN"/>
              </w:rPr>
            </w:pPr>
            <w:r>
              <w:rPr>
                <w:rFonts w:hint="eastAsia"/>
                <w:lang w:val="en-US" w:eastAsia="zh-CN"/>
              </w:rPr>
              <w:t>6.1.1.1 新建、改建、扩建的畜禽养殖场宜采用干清粪工艺。现有采用水冲粪、水泡粪清粪工艺的养殖场，应逐步改为干清粪工艺。</w:t>
            </w:r>
          </w:p>
        </w:tc>
        <w:tc>
          <w:tcPr>
            <w:tcW w:w="1538" w:type="pct"/>
            <w:gridSpan w:val="2"/>
            <w:vAlign w:val="center"/>
          </w:tcPr>
          <w:p w14:paraId="52A5A5BE">
            <w:pPr>
              <w:pStyle w:val="19"/>
              <w:bidi w:val="0"/>
              <w:jc w:val="center"/>
              <w:rPr>
                <w:rFonts w:hint="default"/>
                <w:lang w:val="en-US" w:eastAsia="zh-CN"/>
              </w:rPr>
            </w:pPr>
            <w:r>
              <w:rPr>
                <w:rFonts w:hint="eastAsia"/>
                <w:lang w:val="en-US" w:eastAsia="zh-CN"/>
              </w:rPr>
              <w:t>本项目采用干清粪工艺</w:t>
            </w:r>
          </w:p>
        </w:tc>
        <w:tc>
          <w:tcPr>
            <w:tcW w:w="510" w:type="pct"/>
            <w:vAlign w:val="center"/>
          </w:tcPr>
          <w:p w14:paraId="218DA8F0">
            <w:pPr>
              <w:pStyle w:val="19"/>
              <w:bidi w:val="0"/>
              <w:jc w:val="center"/>
              <w:rPr>
                <w:rFonts w:hint="default"/>
                <w:lang w:val="en-US" w:eastAsia="zh-CN"/>
              </w:rPr>
            </w:pPr>
            <w:r>
              <w:rPr>
                <w:rFonts w:hint="eastAsia"/>
                <w:lang w:val="en-US" w:eastAsia="zh-CN"/>
              </w:rPr>
              <w:t>符合</w:t>
            </w:r>
          </w:p>
        </w:tc>
      </w:tr>
      <w:tr w14:paraId="4C08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19E5E4E0">
            <w:pPr>
              <w:pStyle w:val="19"/>
              <w:bidi w:val="0"/>
              <w:jc w:val="center"/>
              <w:rPr>
                <w:rFonts w:hint="default"/>
                <w:lang w:val="en-US" w:eastAsia="zh-CN"/>
              </w:rPr>
            </w:pPr>
            <w:r>
              <w:rPr>
                <w:rFonts w:hint="eastAsia"/>
                <w:lang w:val="en-US" w:eastAsia="zh-CN"/>
              </w:rPr>
              <w:t>2</w:t>
            </w:r>
          </w:p>
        </w:tc>
        <w:tc>
          <w:tcPr>
            <w:tcW w:w="2539" w:type="pct"/>
            <w:gridSpan w:val="3"/>
            <w:vAlign w:val="center"/>
          </w:tcPr>
          <w:p w14:paraId="34660EB4">
            <w:pPr>
              <w:pStyle w:val="19"/>
              <w:bidi w:val="0"/>
              <w:jc w:val="center"/>
              <w:rPr>
                <w:rFonts w:hint="default"/>
                <w:lang w:val="en-US" w:eastAsia="zh-CN"/>
              </w:rPr>
            </w:pPr>
            <w:r>
              <w:rPr>
                <w:rFonts w:hint="eastAsia"/>
                <w:lang w:val="en-US" w:eastAsia="zh-CN"/>
              </w:rPr>
              <w:t>6.2.1.2 养殖规模在存栏(以猪计)2000头及以下的应尽可能采用 6.2.2模式I或 6.2.3 模式</w:t>
            </w:r>
            <w:r>
              <w:rPr>
                <w:rFonts w:hint="default" w:ascii="Times New Roman" w:hAnsi="Times New Roman" w:cs="Times New Roman"/>
                <w:lang w:val="en-US" w:eastAsia="zh-CN"/>
              </w:rPr>
              <w:t>Ⅱ</w:t>
            </w:r>
            <w:r>
              <w:rPr>
                <w:rFonts w:hint="eastAsia"/>
                <w:lang w:val="en-US" w:eastAsia="zh-CN"/>
              </w:rPr>
              <w:t>处理工艺；存栏(以猪计)10000头及以上的，宜采用6.2.4 模式</w:t>
            </w:r>
            <w:r>
              <w:rPr>
                <w:rFonts w:hint="default" w:ascii="Times New Roman" w:hAnsi="Times New Roman" w:cs="Times New Roman"/>
                <w:lang w:val="en-US" w:eastAsia="zh-CN"/>
              </w:rPr>
              <w:t>Ⅲ</w:t>
            </w:r>
            <w:r>
              <w:rPr>
                <w:rFonts w:hint="eastAsia"/>
                <w:lang w:val="en-US" w:eastAsia="zh-CN"/>
              </w:rPr>
              <w:t>处理工艺。</w:t>
            </w:r>
          </w:p>
        </w:tc>
        <w:tc>
          <w:tcPr>
            <w:tcW w:w="1538" w:type="pct"/>
            <w:gridSpan w:val="2"/>
            <w:vAlign w:val="center"/>
          </w:tcPr>
          <w:p w14:paraId="480E6E15">
            <w:pPr>
              <w:pStyle w:val="19"/>
              <w:bidi w:val="0"/>
              <w:jc w:val="center"/>
              <w:rPr>
                <w:rFonts w:hint="default"/>
                <w:lang w:val="en-US" w:eastAsia="zh-CN"/>
              </w:rPr>
            </w:pPr>
            <w:r>
              <w:rPr>
                <w:rFonts w:hint="eastAsia"/>
                <w:lang w:val="en-US" w:eastAsia="zh-CN"/>
              </w:rPr>
              <w:t>本项目存栏量为50000＞10000头，则选用模式</w:t>
            </w:r>
            <w:r>
              <w:rPr>
                <w:rFonts w:hint="default" w:ascii="Times New Roman" w:hAnsi="Times New Roman" w:cs="Times New Roman"/>
                <w:lang w:val="en-US" w:eastAsia="zh-CN"/>
              </w:rPr>
              <w:t>Ⅲ</w:t>
            </w:r>
            <w:r>
              <w:rPr>
                <w:rFonts w:hint="eastAsia"/>
                <w:lang w:val="en-US" w:eastAsia="zh-CN"/>
              </w:rPr>
              <w:t>处理工艺。</w:t>
            </w:r>
          </w:p>
        </w:tc>
        <w:tc>
          <w:tcPr>
            <w:tcW w:w="510" w:type="pct"/>
            <w:vAlign w:val="center"/>
          </w:tcPr>
          <w:p w14:paraId="3EF97656">
            <w:pPr>
              <w:pStyle w:val="19"/>
              <w:bidi w:val="0"/>
              <w:jc w:val="center"/>
              <w:rPr>
                <w:rFonts w:hint="eastAsia"/>
                <w:lang w:val="en-US" w:eastAsia="zh-CN"/>
              </w:rPr>
            </w:pPr>
            <w:r>
              <w:rPr>
                <w:rFonts w:hint="eastAsia"/>
                <w:lang w:val="en-US" w:eastAsia="zh-CN"/>
              </w:rPr>
              <w:t>符合</w:t>
            </w:r>
          </w:p>
        </w:tc>
      </w:tr>
      <w:tr w14:paraId="0D99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vAlign w:val="center"/>
          </w:tcPr>
          <w:p w14:paraId="42A2E602">
            <w:pPr>
              <w:pStyle w:val="19"/>
              <w:bidi w:val="0"/>
              <w:ind w:firstLine="0" w:firstLineChars="0"/>
              <w:jc w:val="center"/>
              <w:rPr>
                <w:rFonts w:hint="default"/>
                <w:lang w:val="en-US" w:eastAsia="zh-CN"/>
              </w:rPr>
            </w:pPr>
            <w:r>
              <w:rPr>
                <w:rFonts w:hint="eastAsia"/>
                <w:b/>
                <w:bCs/>
                <w:lang w:val="en-US" w:eastAsia="zh-CN"/>
              </w:rPr>
              <w:t>废水类别</w:t>
            </w:r>
          </w:p>
        </w:tc>
        <w:tc>
          <w:tcPr>
            <w:tcW w:w="3180" w:type="pct"/>
            <w:gridSpan w:val="4"/>
            <w:vAlign w:val="center"/>
          </w:tcPr>
          <w:p w14:paraId="4F327434">
            <w:pPr>
              <w:pStyle w:val="19"/>
              <w:bidi w:val="0"/>
              <w:ind w:firstLine="0" w:firstLineChars="0"/>
              <w:jc w:val="center"/>
              <w:rPr>
                <w:rFonts w:hint="eastAsia" w:ascii="Times New Roman" w:hAnsi="Times New Roman" w:eastAsia="宋体" w:cs="Times New Roman"/>
                <w:b/>
                <w:bCs/>
                <w:kern w:val="2"/>
                <w:sz w:val="21"/>
                <w:szCs w:val="22"/>
                <w:lang w:val="en-US" w:eastAsia="zh-CN" w:bidi="ar-SA"/>
              </w:rPr>
            </w:pPr>
            <w:r>
              <w:rPr>
                <w:rFonts w:hint="eastAsia"/>
                <w:b/>
                <w:bCs/>
                <w:lang w:val="en-US" w:eastAsia="zh-CN"/>
              </w:rPr>
              <w:t>文件及要求内容</w:t>
            </w:r>
          </w:p>
        </w:tc>
        <w:tc>
          <w:tcPr>
            <w:tcW w:w="897" w:type="pct"/>
            <w:vMerge w:val="restart"/>
            <w:vAlign w:val="center"/>
          </w:tcPr>
          <w:p w14:paraId="7065957E">
            <w:pPr>
              <w:pStyle w:val="19"/>
              <w:bidi w:val="0"/>
              <w:ind w:firstLine="0" w:firstLineChars="0"/>
              <w:jc w:val="center"/>
              <w:rPr>
                <w:rFonts w:hint="eastAsia" w:ascii="Times New Roman" w:hAnsi="Times New Roman" w:eastAsia="宋体" w:cs="Times New Roman"/>
                <w:b/>
                <w:bCs/>
                <w:kern w:val="2"/>
                <w:sz w:val="21"/>
                <w:szCs w:val="22"/>
                <w:lang w:val="en-US" w:eastAsia="zh-CN" w:bidi="ar-SA"/>
              </w:rPr>
            </w:pPr>
            <w:r>
              <w:rPr>
                <w:rFonts w:hint="eastAsia"/>
                <w:b/>
                <w:bCs/>
                <w:lang w:val="en-US" w:eastAsia="zh-CN"/>
              </w:rPr>
              <w:t>本项目情况</w:t>
            </w:r>
          </w:p>
        </w:tc>
        <w:tc>
          <w:tcPr>
            <w:tcW w:w="510" w:type="pct"/>
            <w:vMerge w:val="restart"/>
            <w:vAlign w:val="center"/>
          </w:tcPr>
          <w:p w14:paraId="02B79BA2">
            <w:pPr>
              <w:pStyle w:val="19"/>
              <w:bidi w:val="0"/>
              <w:ind w:firstLine="0" w:firstLineChars="0"/>
              <w:jc w:val="center"/>
              <w:rPr>
                <w:rFonts w:hint="eastAsia" w:ascii="Times New Roman" w:hAnsi="Times New Roman" w:eastAsia="宋体" w:cs="Times New Roman"/>
                <w:b/>
                <w:bCs/>
                <w:kern w:val="2"/>
                <w:sz w:val="21"/>
                <w:szCs w:val="22"/>
                <w:lang w:val="en-US" w:eastAsia="zh-CN" w:bidi="ar-SA"/>
              </w:rPr>
            </w:pPr>
            <w:r>
              <w:rPr>
                <w:rFonts w:hint="eastAsia"/>
                <w:b/>
                <w:bCs/>
                <w:lang w:val="en-US" w:eastAsia="zh-CN"/>
              </w:rPr>
              <w:t>符合性</w:t>
            </w:r>
          </w:p>
        </w:tc>
      </w:tr>
      <w:tr w14:paraId="25C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63347484">
            <w:pPr>
              <w:pStyle w:val="19"/>
              <w:bidi w:val="0"/>
              <w:jc w:val="center"/>
              <w:rPr>
                <w:rFonts w:hint="eastAsia"/>
                <w:lang w:val="en-US" w:eastAsia="zh-CN"/>
              </w:rPr>
            </w:pPr>
          </w:p>
        </w:tc>
        <w:tc>
          <w:tcPr>
            <w:tcW w:w="3180" w:type="pct"/>
            <w:gridSpan w:val="4"/>
            <w:vAlign w:val="center"/>
          </w:tcPr>
          <w:p w14:paraId="134D041D">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《排污许可证申请与核发技术规范 畜禽养殖行业》（HJ1029-2019）</w:t>
            </w:r>
          </w:p>
        </w:tc>
        <w:tc>
          <w:tcPr>
            <w:tcW w:w="897" w:type="pct"/>
            <w:vMerge w:val="continue"/>
            <w:vAlign w:val="center"/>
          </w:tcPr>
          <w:p w14:paraId="08AC2CA0">
            <w:pPr>
              <w:pStyle w:val="19"/>
              <w:bidi w:val="0"/>
              <w:jc w:val="center"/>
              <w:rPr>
                <w:rFonts w:hint="eastAsia"/>
                <w:lang w:val="en-US" w:eastAsia="zh-CN"/>
              </w:rPr>
            </w:pPr>
          </w:p>
        </w:tc>
        <w:tc>
          <w:tcPr>
            <w:tcW w:w="510" w:type="pct"/>
            <w:vMerge w:val="continue"/>
            <w:vAlign w:val="center"/>
          </w:tcPr>
          <w:p w14:paraId="53F7C7AD">
            <w:pPr>
              <w:pStyle w:val="19"/>
              <w:bidi w:val="0"/>
              <w:jc w:val="center"/>
              <w:rPr>
                <w:rFonts w:hint="eastAsia"/>
                <w:lang w:val="en-US" w:eastAsia="zh-CN"/>
              </w:rPr>
            </w:pPr>
          </w:p>
        </w:tc>
      </w:tr>
      <w:tr w14:paraId="2B03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vAlign w:val="center"/>
          </w:tcPr>
          <w:p w14:paraId="7C771545">
            <w:pPr>
              <w:pStyle w:val="19"/>
              <w:bidi w:val="0"/>
              <w:jc w:val="center"/>
              <w:rPr>
                <w:rFonts w:hint="default"/>
                <w:lang w:val="en-US" w:eastAsia="zh-CN"/>
              </w:rPr>
            </w:pPr>
            <w:r>
              <w:rPr>
                <w:rFonts w:hint="default"/>
                <w:lang w:val="en-US" w:eastAsia="zh-CN"/>
              </w:rPr>
              <w:t>场内综合污水处理站的综合污水</w:t>
            </w:r>
            <w:r>
              <w:rPr>
                <w:rFonts w:hint="eastAsia"/>
                <w:lang w:val="en-US" w:eastAsia="zh-CN"/>
              </w:rPr>
              <w:t>（</w:t>
            </w:r>
            <w:r>
              <w:rPr>
                <w:rFonts w:hint="default"/>
                <w:lang w:val="en-US" w:eastAsia="zh-CN"/>
              </w:rPr>
              <w:t>养殖废水、生活污水等</w:t>
            </w:r>
            <w:r>
              <w:rPr>
                <w:rFonts w:hint="eastAsia"/>
                <w:lang w:val="en-US" w:eastAsia="zh-CN"/>
              </w:rPr>
              <w:t>）</w:t>
            </w:r>
          </w:p>
        </w:tc>
        <w:tc>
          <w:tcPr>
            <w:tcW w:w="496" w:type="pct"/>
            <w:vAlign w:val="center"/>
          </w:tcPr>
          <w:p w14:paraId="57F85EAB">
            <w:pPr>
              <w:pStyle w:val="19"/>
              <w:bidi w:val="0"/>
              <w:jc w:val="center"/>
              <w:rPr>
                <w:rFonts w:hint="default"/>
                <w:lang w:val="en-US" w:eastAsia="zh-CN"/>
              </w:rPr>
            </w:pPr>
            <w:r>
              <w:rPr>
                <w:rFonts w:hint="eastAsia"/>
                <w:lang w:val="en-US" w:eastAsia="zh-CN"/>
              </w:rPr>
              <w:t>排放去向</w:t>
            </w:r>
          </w:p>
        </w:tc>
        <w:tc>
          <w:tcPr>
            <w:tcW w:w="575" w:type="pct"/>
            <w:vAlign w:val="center"/>
          </w:tcPr>
          <w:p w14:paraId="3C9E8D13">
            <w:pPr>
              <w:pStyle w:val="19"/>
              <w:bidi w:val="0"/>
              <w:jc w:val="center"/>
              <w:rPr>
                <w:rFonts w:hint="default"/>
                <w:lang w:val="en-US" w:eastAsia="zh-CN"/>
              </w:rPr>
            </w:pPr>
            <w:r>
              <w:rPr>
                <w:rFonts w:hint="eastAsia"/>
                <w:lang w:val="en-US" w:eastAsia="zh-CN"/>
              </w:rPr>
              <w:t>养殖规模</w:t>
            </w:r>
          </w:p>
        </w:tc>
        <w:tc>
          <w:tcPr>
            <w:tcW w:w="2108" w:type="pct"/>
            <w:gridSpan w:val="2"/>
            <w:vAlign w:val="center"/>
          </w:tcPr>
          <w:p w14:paraId="2D859154">
            <w:pPr>
              <w:pStyle w:val="19"/>
              <w:bidi w:val="0"/>
              <w:jc w:val="center"/>
              <w:rPr>
                <w:rFonts w:hint="default"/>
                <w:lang w:val="en-US" w:eastAsia="zh-CN"/>
              </w:rPr>
            </w:pPr>
            <w:r>
              <w:rPr>
                <w:rFonts w:hint="eastAsia"/>
                <w:lang w:val="en-US" w:eastAsia="zh-CN"/>
              </w:rPr>
              <w:t>可行技术</w:t>
            </w:r>
          </w:p>
        </w:tc>
        <w:tc>
          <w:tcPr>
            <w:tcW w:w="897" w:type="pct"/>
            <w:vMerge w:val="continue"/>
            <w:vAlign w:val="center"/>
          </w:tcPr>
          <w:p w14:paraId="0A7A0160">
            <w:pPr>
              <w:pStyle w:val="19"/>
              <w:bidi w:val="0"/>
              <w:jc w:val="center"/>
              <w:rPr>
                <w:rFonts w:hint="eastAsia"/>
                <w:lang w:val="en-US" w:eastAsia="zh-CN"/>
              </w:rPr>
            </w:pPr>
          </w:p>
        </w:tc>
        <w:tc>
          <w:tcPr>
            <w:tcW w:w="510" w:type="pct"/>
            <w:vMerge w:val="continue"/>
            <w:vAlign w:val="center"/>
          </w:tcPr>
          <w:p w14:paraId="350C8EBB">
            <w:pPr>
              <w:pStyle w:val="19"/>
              <w:bidi w:val="0"/>
              <w:jc w:val="center"/>
              <w:rPr>
                <w:rFonts w:hint="eastAsia"/>
                <w:lang w:val="en-US" w:eastAsia="zh-CN"/>
              </w:rPr>
            </w:pPr>
          </w:p>
        </w:tc>
      </w:tr>
      <w:tr w14:paraId="40BE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71ECD877">
            <w:pPr>
              <w:pStyle w:val="19"/>
              <w:bidi w:val="0"/>
              <w:jc w:val="center"/>
              <w:rPr>
                <w:rFonts w:hint="default"/>
                <w:lang w:val="en-US" w:eastAsia="zh-CN"/>
              </w:rPr>
            </w:pPr>
          </w:p>
        </w:tc>
        <w:tc>
          <w:tcPr>
            <w:tcW w:w="496" w:type="pct"/>
            <w:vMerge w:val="restart"/>
            <w:vAlign w:val="center"/>
          </w:tcPr>
          <w:p w14:paraId="002CB39D">
            <w:pPr>
              <w:pStyle w:val="19"/>
              <w:bidi w:val="0"/>
              <w:jc w:val="center"/>
              <w:rPr>
                <w:rFonts w:hint="default"/>
                <w:lang w:val="en-US" w:eastAsia="zh-CN"/>
              </w:rPr>
            </w:pPr>
            <w:r>
              <w:rPr>
                <w:rFonts w:hint="eastAsia"/>
                <w:lang w:val="en-US" w:eastAsia="zh-CN"/>
              </w:rPr>
              <w:t>间接排放</w:t>
            </w:r>
          </w:p>
        </w:tc>
        <w:tc>
          <w:tcPr>
            <w:tcW w:w="575" w:type="pct"/>
            <w:vAlign w:val="center"/>
          </w:tcPr>
          <w:p w14:paraId="69D1A511">
            <w:pPr>
              <w:pStyle w:val="19"/>
              <w:bidi w:val="0"/>
              <w:jc w:val="center"/>
              <w:rPr>
                <w:rFonts w:hint="default"/>
                <w:lang w:val="en-US" w:eastAsia="zh-CN"/>
              </w:rPr>
            </w:pPr>
            <w:r>
              <w:rPr>
                <w:rFonts w:hint="eastAsia"/>
                <w:lang w:val="en-US" w:eastAsia="zh-CN"/>
              </w:rPr>
              <w:t>大型</w:t>
            </w:r>
          </w:p>
        </w:tc>
        <w:tc>
          <w:tcPr>
            <w:tcW w:w="2108" w:type="pct"/>
            <w:gridSpan w:val="2"/>
            <w:vAlign w:val="center"/>
          </w:tcPr>
          <w:p w14:paraId="14796187">
            <w:pPr>
              <w:pStyle w:val="19"/>
              <w:bidi w:val="0"/>
              <w:jc w:val="center"/>
              <w:rPr>
                <w:rFonts w:hint="eastAsia"/>
                <w:lang w:val="en-US" w:eastAsia="zh-CN"/>
              </w:rPr>
            </w:pPr>
            <w:r>
              <w:rPr>
                <w:rFonts w:hint="eastAsia"/>
                <w:lang w:val="en-US" w:eastAsia="zh-CN"/>
              </w:rPr>
              <w:t>干清粪+固液分离+厌氧(UASB、CSTR)+好氧(SBR、接触氧化、MBR)</w:t>
            </w:r>
          </w:p>
        </w:tc>
        <w:tc>
          <w:tcPr>
            <w:tcW w:w="897" w:type="pct"/>
            <w:vMerge w:val="restart"/>
            <w:vAlign w:val="center"/>
          </w:tcPr>
          <w:p w14:paraId="211CB6DD">
            <w:pPr>
              <w:pStyle w:val="19"/>
              <w:bidi w:val="0"/>
              <w:jc w:val="center"/>
              <w:rPr>
                <w:rFonts w:hint="eastAsia"/>
                <w:lang w:val="en-US" w:eastAsia="zh-CN"/>
              </w:rPr>
            </w:pPr>
            <w:r>
              <w:rPr>
                <w:rFonts w:hint="eastAsia"/>
                <w:lang w:val="en-US" w:eastAsia="zh-CN"/>
              </w:rPr>
              <w:t>格栅+集水池（沉砂）+固液分离+水解酸化+UASB+SBR+好氧塘储存</w:t>
            </w:r>
          </w:p>
        </w:tc>
        <w:tc>
          <w:tcPr>
            <w:tcW w:w="510" w:type="pct"/>
            <w:vMerge w:val="restart"/>
            <w:vAlign w:val="center"/>
          </w:tcPr>
          <w:p w14:paraId="4A14CE41">
            <w:pPr>
              <w:pStyle w:val="19"/>
              <w:bidi w:val="0"/>
              <w:jc w:val="center"/>
              <w:rPr>
                <w:rFonts w:hint="default"/>
                <w:lang w:val="en-US" w:eastAsia="zh-CN"/>
              </w:rPr>
            </w:pPr>
            <w:r>
              <w:rPr>
                <w:rFonts w:hint="eastAsia"/>
                <w:lang w:val="en-US" w:eastAsia="zh-CN"/>
              </w:rPr>
              <w:t>按照HJ1029中的规定，本项目应属于间接排放-大型，所采用的污水处理工艺属于可行技术。</w:t>
            </w:r>
          </w:p>
        </w:tc>
      </w:tr>
      <w:tr w14:paraId="3747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40CF7E61">
            <w:pPr>
              <w:pStyle w:val="19"/>
              <w:bidi w:val="0"/>
              <w:jc w:val="center"/>
              <w:rPr>
                <w:rFonts w:hint="default"/>
                <w:lang w:val="en-US" w:eastAsia="zh-CN"/>
              </w:rPr>
            </w:pPr>
          </w:p>
        </w:tc>
        <w:tc>
          <w:tcPr>
            <w:tcW w:w="496" w:type="pct"/>
            <w:vMerge w:val="continue"/>
            <w:vAlign w:val="center"/>
          </w:tcPr>
          <w:p w14:paraId="2FB3C447">
            <w:pPr>
              <w:pStyle w:val="19"/>
              <w:bidi w:val="0"/>
              <w:jc w:val="center"/>
              <w:rPr>
                <w:rFonts w:hint="eastAsia"/>
                <w:lang w:val="en-US" w:eastAsia="zh-CN"/>
              </w:rPr>
            </w:pPr>
          </w:p>
        </w:tc>
        <w:tc>
          <w:tcPr>
            <w:tcW w:w="575" w:type="pct"/>
            <w:vAlign w:val="center"/>
          </w:tcPr>
          <w:p w14:paraId="0B29224C">
            <w:pPr>
              <w:pStyle w:val="19"/>
              <w:bidi w:val="0"/>
              <w:jc w:val="center"/>
              <w:rPr>
                <w:rFonts w:hint="default"/>
                <w:lang w:val="en-US" w:eastAsia="zh-CN"/>
              </w:rPr>
            </w:pPr>
            <w:r>
              <w:rPr>
                <w:rFonts w:hint="eastAsia"/>
                <w:lang w:val="en-US" w:eastAsia="zh-CN"/>
              </w:rPr>
              <w:t>中型</w:t>
            </w:r>
          </w:p>
        </w:tc>
        <w:tc>
          <w:tcPr>
            <w:tcW w:w="2108" w:type="pct"/>
            <w:gridSpan w:val="2"/>
            <w:vAlign w:val="center"/>
          </w:tcPr>
          <w:p w14:paraId="2EACF47A">
            <w:pPr>
              <w:pStyle w:val="19"/>
              <w:bidi w:val="0"/>
              <w:jc w:val="center"/>
              <w:rPr>
                <w:rFonts w:hint="eastAsia"/>
                <w:lang w:val="en-US" w:eastAsia="zh-CN"/>
              </w:rPr>
            </w:pPr>
            <w:r>
              <w:rPr>
                <w:rFonts w:hint="eastAsia"/>
                <w:lang w:val="en-US" w:eastAsia="zh-CN"/>
              </w:rPr>
              <w:t>干清粪+固液分离+厌氧(USR、UASB)+好氧(完全混合活性污泥法、SBR、接触氧化、MBR)</w:t>
            </w:r>
          </w:p>
        </w:tc>
        <w:tc>
          <w:tcPr>
            <w:tcW w:w="897" w:type="pct"/>
            <w:vMerge w:val="continue"/>
            <w:vAlign w:val="center"/>
          </w:tcPr>
          <w:p w14:paraId="0CA5FEE3">
            <w:pPr>
              <w:pStyle w:val="19"/>
              <w:bidi w:val="0"/>
              <w:jc w:val="center"/>
              <w:rPr>
                <w:rFonts w:hint="eastAsia"/>
                <w:lang w:val="en-US" w:eastAsia="zh-CN"/>
              </w:rPr>
            </w:pPr>
          </w:p>
        </w:tc>
        <w:tc>
          <w:tcPr>
            <w:tcW w:w="510" w:type="pct"/>
            <w:vMerge w:val="continue"/>
            <w:vAlign w:val="center"/>
          </w:tcPr>
          <w:p w14:paraId="79408394">
            <w:pPr>
              <w:pStyle w:val="19"/>
              <w:bidi w:val="0"/>
              <w:jc w:val="center"/>
              <w:rPr>
                <w:rFonts w:hint="eastAsia"/>
                <w:lang w:val="en-US" w:eastAsia="zh-CN"/>
              </w:rPr>
            </w:pPr>
          </w:p>
        </w:tc>
      </w:tr>
      <w:tr w14:paraId="3D25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5EDED52D">
            <w:pPr>
              <w:pStyle w:val="19"/>
              <w:bidi w:val="0"/>
              <w:jc w:val="center"/>
              <w:rPr>
                <w:rFonts w:hint="default"/>
                <w:lang w:val="en-US" w:eastAsia="zh-CN"/>
              </w:rPr>
            </w:pPr>
          </w:p>
        </w:tc>
        <w:tc>
          <w:tcPr>
            <w:tcW w:w="496" w:type="pct"/>
            <w:vMerge w:val="continue"/>
            <w:vAlign w:val="center"/>
          </w:tcPr>
          <w:p w14:paraId="28F8B170">
            <w:pPr>
              <w:pStyle w:val="19"/>
              <w:bidi w:val="0"/>
              <w:jc w:val="center"/>
              <w:rPr>
                <w:rFonts w:hint="eastAsia"/>
                <w:lang w:val="en-US" w:eastAsia="zh-CN"/>
              </w:rPr>
            </w:pPr>
          </w:p>
        </w:tc>
        <w:tc>
          <w:tcPr>
            <w:tcW w:w="575" w:type="pct"/>
            <w:vAlign w:val="center"/>
          </w:tcPr>
          <w:p w14:paraId="7D538A37">
            <w:pPr>
              <w:pStyle w:val="19"/>
              <w:bidi w:val="0"/>
              <w:jc w:val="center"/>
              <w:rPr>
                <w:rFonts w:hint="default"/>
                <w:lang w:val="en-US" w:eastAsia="zh-CN"/>
              </w:rPr>
            </w:pPr>
            <w:r>
              <w:rPr>
                <w:rFonts w:hint="eastAsia"/>
                <w:lang w:val="en-US" w:eastAsia="zh-CN"/>
              </w:rPr>
              <w:t>小型</w:t>
            </w:r>
          </w:p>
        </w:tc>
        <w:tc>
          <w:tcPr>
            <w:tcW w:w="2108" w:type="pct"/>
            <w:gridSpan w:val="2"/>
            <w:vAlign w:val="center"/>
          </w:tcPr>
          <w:p w14:paraId="4F5FFF3C">
            <w:pPr>
              <w:pStyle w:val="19"/>
              <w:bidi w:val="0"/>
              <w:jc w:val="center"/>
              <w:rPr>
                <w:rFonts w:hint="eastAsia"/>
                <w:lang w:val="en-US" w:eastAsia="zh-CN"/>
              </w:rPr>
            </w:pPr>
            <w:r>
              <w:rPr>
                <w:rFonts w:hint="eastAsia"/>
                <w:lang w:val="en-US" w:eastAsia="zh-CN"/>
              </w:rPr>
              <w:t>干清粪+固液分离+厌氧(USR)+好氧(完全混合活性污泥法、MBR)</w:t>
            </w:r>
          </w:p>
        </w:tc>
        <w:tc>
          <w:tcPr>
            <w:tcW w:w="897" w:type="pct"/>
            <w:vMerge w:val="continue"/>
            <w:vAlign w:val="center"/>
          </w:tcPr>
          <w:p w14:paraId="30494D73">
            <w:pPr>
              <w:pStyle w:val="19"/>
              <w:bidi w:val="0"/>
              <w:jc w:val="center"/>
              <w:rPr>
                <w:rFonts w:hint="eastAsia"/>
                <w:lang w:val="en-US" w:eastAsia="zh-CN"/>
              </w:rPr>
            </w:pPr>
          </w:p>
        </w:tc>
        <w:tc>
          <w:tcPr>
            <w:tcW w:w="510" w:type="pct"/>
            <w:vMerge w:val="continue"/>
            <w:vAlign w:val="center"/>
          </w:tcPr>
          <w:p w14:paraId="2072D503">
            <w:pPr>
              <w:pStyle w:val="19"/>
              <w:bidi w:val="0"/>
              <w:jc w:val="center"/>
              <w:rPr>
                <w:rFonts w:hint="eastAsia"/>
                <w:lang w:val="en-US" w:eastAsia="zh-CN"/>
              </w:rPr>
            </w:pPr>
          </w:p>
        </w:tc>
      </w:tr>
      <w:tr w14:paraId="2A90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31D2946C">
            <w:pPr>
              <w:pStyle w:val="19"/>
              <w:bidi w:val="0"/>
              <w:jc w:val="center"/>
              <w:rPr>
                <w:rFonts w:hint="default"/>
                <w:lang w:val="en-US" w:eastAsia="zh-CN"/>
              </w:rPr>
            </w:pPr>
          </w:p>
        </w:tc>
        <w:tc>
          <w:tcPr>
            <w:tcW w:w="496" w:type="pct"/>
            <w:vMerge w:val="restart"/>
            <w:vAlign w:val="center"/>
          </w:tcPr>
          <w:p w14:paraId="010A303B">
            <w:pPr>
              <w:pStyle w:val="19"/>
              <w:bidi w:val="0"/>
              <w:jc w:val="center"/>
              <w:rPr>
                <w:rFonts w:hint="default"/>
                <w:lang w:val="en-US" w:eastAsia="zh-CN"/>
              </w:rPr>
            </w:pPr>
            <w:r>
              <w:rPr>
                <w:rFonts w:hint="eastAsia"/>
                <w:lang w:val="en-US" w:eastAsia="zh-CN"/>
              </w:rPr>
              <w:t>直接排放</w:t>
            </w:r>
          </w:p>
        </w:tc>
        <w:tc>
          <w:tcPr>
            <w:tcW w:w="575" w:type="pct"/>
            <w:vAlign w:val="center"/>
          </w:tcPr>
          <w:p w14:paraId="17693C7B">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大型</w:t>
            </w:r>
          </w:p>
        </w:tc>
        <w:tc>
          <w:tcPr>
            <w:tcW w:w="2108" w:type="pct"/>
            <w:gridSpan w:val="2"/>
            <w:vAlign w:val="center"/>
          </w:tcPr>
          <w:p w14:paraId="0F50FABE">
            <w:pPr>
              <w:pStyle w:val="19"/>
              <w:bidi w:val="0"/>
              <w:jc w:val="center"/>
              <w:rPr>
                <w:rFonts w:hint="eastAsia"/>
                <w:lang w:val="en-US" w:eastAsia="zh-CN"/>
              </w:rPr>
            </w:pPr>
            <w:r>
              <w:rPr>
                <w:rFonts w:hint="eastAsia"/>
                <w:lang w:val="en-US" w:eastAsia="zh-CN"/>
              </w:rPr>
              <w:t>干清粪+固液分离+厌氧(UASB、CSTR)+好氧(SBR、接触氧化、MBR)+自然处理(人工湿地、氧化塘)</w:t>
            </w:r>
          </w:p>
        </w:tc>
        <w:tc>
          <w:tcPr>
            <w:tcW w:w="897" w:type="pct"/>
            <w:vMerge w:val="continue"/>
            <w:vAlign w:val="center"/>
          </w:tcPr>
          <w:p w14:paraId="4707798A">
            <w:pPr>
              <w:pStyle w:val="19"/>
              <w:bidi w:val="0"/>
              <w:jc w:val="center"/>
              <w:rPr>
                <w:rFonts w:hint="eastAsia"/>
                <w:lang w:val="en-US" w:eastAsia="zh-CN"/>
              </w:rPr>
            </w:pPr>
          </w:p>
        </w:tc>
        <w:tc>
          <w:tcPr>
            <w:tcW w:w="510" w:type="pct"/>
            <w:vMerge w:val="continue"/>
            <w:vAlign w:val="center"/>
          </w:tcPr>
          <w:p w14:paraId="0B83ADF6">
            <w:pPr>
              <w:pStyle w:val="19"/>
              <w:bidi w:val="0"/>
              <w:jc w:val="center"/>
              <w:rPr>
                <w:rFonts w:hint="eastAsia"/>
                <w:lang w:val="en-US" w:eastAsia="zh-CN"/>
              </w:rPr>
            </w:pPr>
          </w:p>
        </w:tc>
      </w:tr>
      <w:tr w14:paraId="2E16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213BDEC7">
            <w:pPr>
              <w:pStyle w:val="19"/>
              <w:bidi w:val="0"/>
              <w:jc w:val="center"/>
              <w:rPr>
                <w:rFonts w:hint="default"/>
                <w:lang w:val="en-US" w:eastAsia="zh-CN"/>
              </w:rPr>
            </w:pPr>
          </w:p>
        </w:tc>
        <w:tc>
          <w:tcPr>
            <w:tcW w:w="496" w:type="pct"/>
            <w:vMerge w:val="continue"/>
            <w:vAlign w:val="center"/>
          </w:tcPr>
          <w:p w14:paraId="65A25755">
            <w:pPr>
              <w:pStyle w:val="19"/>
              <w:bidi w:val="0"/>
              <w:jc w:val="center"/>
              <w:rPr>
                <w:rFonts w:hint="eastAsia"/>
                <w:lang w:val="en-US" w:eastAsia="zh-CN"/>
              </w:rPr>
            </w:pPr>
          </w:p>
        </w:tc>
        <w:tc>
          <w:tcPr>
            <w:tcW w:w="575" w:type="pct"/>
            <w:vAlign w:val="center"/>
          </w:tcPr>
          <w:p w14:paraId="674F98FE">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中型</w:t>
            </w:r>
          </w:p>
        </w:tc>
        <w:tc>
          <w:tcPr>
            <w:tcW w:w="2108" w:type="pct"/>
            <w:gridSpan w:val="2"/>
            <w:vAlign w:val="center"/>
          </w:tcPr>
          <w:p w14:paraId="688F1081">
            <w:pPr>
              <w:pStyle w:val="19"/>
              <w:bidi w:val="0"/>
              <w:jc w:val="center"/>
              <w:rPr>
                <w:rFonts w:hint="eastAsia"/>
                <w:lang w:val="en-US" w:eastAsia="zh-CN"/>
              </w:rPr>
            </w:pPr>
            <w:r>
              <w:rPr>
                <w:rFonts w:hint="eastAsia"/>
                <w:lang w:val="en-US" w:eastAsia="zh-CN"/>
              </w:rPr>
              <w:t>干清粪+固液分离+厌氧(USR、UASB)+好氧(完全混合活性污泥法、SBR、接触氧化、MBR)+自然处理(人工湿地、氧化塘)</w:t>
            </w:r>
          </w:p>
        </w:tc>
        <w:tc>
          <w:tcPr>
            <w:tcW w:w="897" w:type="pct"/>
            <w:vMerge w:val="continue"/>
            <w:vAlign w:val="center"/>
          </w:tcPr>
          <w:p w14:paraId="6C52DA22">
            <w:pPr>
              <w:pStyle w:val="19"/>
              <w:bidi w:val="0"/>
              <w:jc w:val="center"/>
              <w:rPr>
                <w:rFonts w:hint="eastAsia"/>
                <w:lang w:val="en-US" w:eastAsia="zh-CN"/>
              </w:rPr>
            </w:pPr>
          </w:p>
        </w:tc>
        <w:tc>
          <w:tcPr>
            <w:tcW w:w="510" w:type="pct"/>
            <w:vMerge w:val="continue"/>
            <w:vAlign w:val="center"/>
          </w:tcPr>
          <w:p w14:paraId="1EA18A0D">
            <w:pPr>
              <w:pStyle w:val="19"/>
              <w:bidi w:val="0"/>
              <w:jc w:val="center"/>
              <w:rPr>
                <w:rFonts w:hint="eastAsia"/>
                <w:lang w:val="en-US" w:eastAsia="zh-CN"/>
              </w:rPr>
            </w:pPr>
          </w:p>
        </w:tc>
      </w:tr>
      <w:tr w14:paraId="7326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14:paraId="6F4226AA">
            <w:pPr>
              <w:pStyle w:val="19"/>
              <w:bidi w:val="0"/>
              <w:jc w:val="center"/>
              <w:rPr>
                <w:rFonts w:hint="default"/>
                <w:lang w:val="en-US" w:eastAsia="zh-CN"/>
              </w:rPr>
            </w:pPr>
          </w:p>
        </w:tc>
        <w:tc>
          <w:tcPr>
            <w:tcW w:w="496" w:type="pct"/>
            <w:vMerge w:val="continue"/>
            <w:vAlign w:val="center"/>
          </w:tcPr>
          <w:p w14:paraId="03196C4C">
            <w:pPr>
              <w:pStyle w:val="19"/>
              <w:bidi w:val="0"/>
              <w:jc w:val="center"/>
              <w:rPr>
                <w:rFonts w:hint="eastAsia"/>
                <w:lang w:val="en-US" w:eastAsia="zh-CN"/>
              </w:rPr>
            </w:pPr>
          </w:p>
        </w:tc>
        <w:tc>
          <w:tcPr>
            <w:tcW w:w="575" w:type="pct"/>
            <w:vAlign w:val="center"/>
          </w:tcPr>
          <w:p w14:paraId="48F58A86">
            <w:pPr>
              <w:pStyle w:val="19"/>
              <w:bidi w:val="0"/>
              <w:ind w:firstLine="0" w:firstLineChars="0"/>
              <w:jc w:val="center"/>
              <w:rPr>
                <w:rFonts w:hint="eastAsia" w:ascii="Times New Roman" w:hAnsi="Times New Roman" w:eastAsia="宋体" w:cs="Times New Roman"/>
                <w:kern w:val="2"/>
                <w:sz w:val="21"/>
                <w:szCs w:val="22"/>
                <w:lang w:val="en-US" w:eastAsia="zh-CN" w:bidi="ar-SA"/>
              </w:rPr>
            </w:pPr>
            <w:r>
              <w:rPr>
                <w:rFonts w:hint="eastAsia"/>
                <w:lang w:val="en-US" w:eastAsia="zh-CN"/>
              </w:rPr>
              <w:t>小型</w:t>
            </w:r>
          </w:p>
        </w:tc>
        <w:tc>
          <w:tcPr>
            <w:tcW w:w="2108" w:type="pct"/>
            <w:gridSpan w:val="2"/>
            <w:vAlign w:val="center"/>
          </w:tcPr>
          <w:p w14:paraId="22567B3A">
            <w:pPr>
              <w:pStyle w:val="19"/>
              <w:bidi w:val="0"/>
              <w:jc w:val="center"/>
              <w:rPr>
                <w:rFonts w:hint="eastAsia"/>
                <w:lang w:val="en-US" w:eastAsia="zh-CN"/>
              </w:rPr>
            </w:pPr>
            <w:r>
              <w:rPr>
                <w:rFonts w:hint="eastAsia"/>
                <w:lang w:val="en-US" w:eastAsia="zh-CN"/>
              </w:rPr>
              <w:t>干清粪+固液分离+厌氧(USR)+好氧(完全混合活性污泥法、MBR)+自然处理(人工湿地、氧化塘)</w:t>
            </w:r>
          </w:p>
        </w:tc>
        <w:tc>
          <w:tcPr>
            <w:tcW w:w="897" w:type="pct"/>
            <w:vMerge w:val="continue"/>
            <w:vAlign w:val="center"/>
          </w:tcPr>
          <w:p w14:paraId="21980402">
            <w:pPr>
              <w:pStyle w:val="19"/>
              <w:bidi w:val="0"/>
              <w:jc w:val="center"/>
              <w:rPr>
                <w:rFonts w:hint="eastAsia"/>
                <w:lang w:val="en-US" w:eastAsia="zh-CN"/>
              </w:rPr>
            </w:pPr>
          </w:p>
        </w:tc>
        <w:tc>
          <w:tcPr>
            <w:tcW w:w="510" w:type="pct"/>
            <w:vMerge w:val="continue"/>
            <w:vAlign w:val="center"/>
          </w:tcPr>
          <w:p w14:paraId="05BB6409">
            <w:pPr>
              <w:pStyle w:val="19"/>
              <w:bidi w:val="0"/>
              <w:jc w:val="center"/>
              <w:rPr>
                <w:rFonts w:hint="eastAsia"/>
                <w:lang w:val="en-US" w:eastAsia="zh-CN"/>
              </w:rPr>
            </w:pPr>
          </w:p>
        </w:tc>
      </w:tr>
    </w:tbl>
    <w:p w14:paraId="655EC908">
      <w:pPr>
        <w:bidi w:val="0"/>
        <w:rPr>
          <w:rFonts w:hint="default"/>
          <w:lang w:val="en-US" w:eastAsia="zh-CN"/>
        </w:rPr>
      </w:pPr>
      <w:r>
        <w:rPr>
          <w:rFonts w:hint="eastAsia"/>
          <w:lang w:val="en-US" w:eastAsia="zh-CN"/>
        </w:rPr>
        <w:t>综上所述，本项目污水处理工艺属于《畜禽养殖业污染治理工程技术规范》（HJ497-2009）中列明的处理模式，属于《排污许可证申请与核发技术规范 畜禽养殖行业》（HJ1029-2019）中已列明的可行技术。</w:t>
      </w:r>
    </w:p>
    <w:p w14:paraId="59D33CC1">
      <w:pPr>
        <w:pStyle w:val="28"/>
        <w:bidi w:val="0"/>
      </w:pPr>
      <w:r>
        <w:rPr>
          <w:rFonts w:hint="eastAsia"/>
          <w:lang w:val="en-US" w:eastAsia="zh-CN"/>
        </w:rPr>
        <w:t>污水处理达标可行性分析</w:t>
      </w:r>
    </w:p>
    <w:p w14:paraId="23759346">
      <w:pPr>
        <w:bidi w:val="0"/>
        <w:rPr>
          <w:rFonts w:hint="eastAsia"/>
          <w:lang w:val="en-US" w:eastAsia="zh-CN"/>
        </w:rPr>
      </w:pPr>
      <w:r>
        <w:rPr>
          <w:rFonts w:hint="eastAsia"/>
          <w:lang w:val="en-US" w:eastAsia="zh-CN"/>
        </w:rPr>
        <w:t>本项目污水处理系统工艺最终确定为：格栅+集水池（沉砂）+固液分离+水解酸化+UASB+SBR+好氧塘储存，工艺中各处理单元的处理效率及出水水质情况见表6.2-3。</w:t>
      </w:r>
    </w:p>
    <w:p w14:paraId="7842EB89">
      <w:pPr>
        <w:pStyle w:val="30"/>
        <w:bidi w:val="0"/>
        <w:rPr>
          <w:rFonts w:hint="default"/>
          <w:lang w:val="en-US" w:eastAsia="zh-CN"/>
        </w:rPr>
      </w:pPr>
      <w:r>
        <w:rPr>
          <w:rFonts w:hint="eastAsia"/>
          <w:lang w:val="en-US" w:eastAsia="zh-CN"/>
        </w:rPr>
        <w:t>表6.2-3   污水处理系统各单元处理效率及出水水质一览表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2158"/>
        <w:gridCol w:w="1317"/>
        <w:gridCol w:w="1317"/>
        <w:gridCol w:w="1317"/>
        <w:gridCol w:w="1317"/>
      </w:tblGrid>
      <w:tr w14:paraId="5C95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14:paraId="4A48DE82">
            <w:pPr>
              <w:pStyle w:val="19"/>
              <w:bidi w:val="0"/>
              <w:jc w:val="center"/>
              <w:rPr>
                <w:rFonts w:hint="default"/>
                <w:lang w:val="en-US" w:eastAsia="zh-CN"/>
              </w:rPr>
            </w:pPr>
            <w:r>
              <w:rPr>
                <w:rFonts w:hint="eastAsia"/>
                <w:lang w:val="en-US" w:eastAsia="zh-CN"/>
              </w:rPr>
              <w:t>处理单元</w:t>
            </w:r>
          </w:p>
        </w:tc>
        <w:tc>
          <w:tcPr>
            <w:tcW w:w="1266" w:type="pct"/>
            <w:vAlign w:val="center"/>
          </w:tcPr>
          <w:p w14:paraId="0A291F50">
            <w:pPr>
              <w:pStyle w:val="19"/>
              <w:bidi w:val="0"/>
              <w:jc w:val="center"/>
              <w:rPr>
                <w:rFonts w:hint="default"/>
                <w:lang w:val="en-US" w:eastAsia="zh-CN"/>
              </w:rPr>
            </w:pPr>
            <w:r>
              <w:rPr>
                <w:rFonts w:hint="eastAsia"/>
                <w:lang w:val="en-US" w:eastAsia="zh-CN"/>
              </w:rPr>
              <w:t>指标</w:t>
            </w:r>
          </w:p>
        </w:tc>
        <w:tc>
          <w:tcPr>
            <w:tcW w:w="772" w:type="pct"/>
            <w:vAlign w:val="center"/>
          </w:tcPr>
          <w:p w14:paraId="01103733">
            <w:pPr>
              <w:pStyle w:val="19"/>
              <w:bidi w:val="0"/>
              <w:jc w:val="center"/>
              <w:rPr>
                <w:rFonts w:hint="default"/>
                <w:vertAlign w:val="subscript"/>
                <w:lang w:val="en-US" w:eastAsia="zh-CN"/>
              </w:rPr>
            </w:pPr>
            <w:r>
              <w:rPr>
                <w:rFonts w:hint="eastAsia"/>
                <w:lang w:val="en-US" w:eastAsia="zh-CN"/>
              </w:rPr>
              <w:t>COD</w:t>
            </w:r>
            <w:r>
              <w:rPr>
                <w:rFonts w:hint="eastAsia"/>
                <w:vertAlign w:val="subscript"/>
                <w:lang w:val="en-US" w:eastAsia="zh-CN"/>
              </w:rPr>
              <w:t>Cr</w:t>
            </w:r>
          </w:p>
        </w:tc>
        <w:tc>
          <w:tcPr>
            <w:tcW w:w="772" w:type="pct"/>
            <w:vAlign w:val="center"/>
          </w:tcPr>
          <w:p w14:paraId="5863DD22">
            <w:pPr>
              <w:pStyle w:val="19"/>
              <w:bidi w:val="0"/>
              <w:jc w:val="center"/>
              <w:rPr>
                <w:rFonts w:hint="default"/>
                <w:vertAlign w:val="baseline"/>
                <w:lang w:val="en-US" w:eastAsia="zh-CN"/>
              </w:rPr>
            </w:pPr>
            <w:r>
              <w:rPr>
                <w:rFonts w:hint="eastAsia"/>
                <w:lang w:val="en-US" w:eastAsia="zh-CN"/>
              </w:rPr>
              <w:t>BOD</w:t>
            </w:r>
            <w:r>
              <w:rPr>
                <w:rFonts w:hint="eastAsia"/>
                <w:vertAlign w:val="subscript"/>
                <w:lang w:val="en-US" w:eastAsia="zh-CN"/>
              </w:rPr>
              <w:t>5</w:t>
            </w:r>
          </w:p>
        </w:tc>
        <w:tc>
          <w:tcPr>
            <w:tcW w:w="772" w:type="pct"/>
            <w:vAlign w:val="center"/>
          </w:tcPr>
          <w:p w14:paraId="67D7F754">
            <w:pPr>
              <w:pStyle w:val="19"/>
              <w:bidi w:val="0"/>
              <w:jc w:val="center"/>
              <w:rPr>
                <w:rFonts w:hint="default"/>
                <w:lang w:val="en-US" w:eastAsia="zh-CN"/>
              </w:rPr>
            </w:pPr>
            <w:r>
              <w:rPr>
                <w:rFonts w:hint="eastAsia"/>
                <w:lang w:val="en-US" w:eastAsia="zh-CN"/>
              </w:rPr>
              <w:t>SS</w:t>
            </w:r>
          </w:p>
        </w:tc>
        <w:tc>
          <w:tcPr>
            <w:tcW w:w="772" w:type="pct"/>
            <w:vAlign w:val="center"/>
          </w:tcPr>
          <w:p w14:paraId="405505FC">
            <w:pPr>
              <w:pStyle w:val="19"/>
              <w:bidi w:val="0"/>
              <w:jc w:val="center"/>
              <w:rPr>
                <w:rFonts w:hint="default"/>
                <w:lang w:val="en-US" w:eastAsia="zh-CN"/>
              </w:rPr>
            </w:pPr>
            <w:r>
              <w:rPr>
                <w:rFonts w:hint="eastAsia"/>
                <w:lang w:val="en-US" w:eastAsia="zh-CN"/>
              </w:rPr>
              <w:t>氨氮</w:t>
            </w:r>
          </w:p>
        </w:tc>
      </w:tr>
      <w:tr w14:paraId="7857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5E43D1B5">
            <w:pPr>
              <w:pStyle w:val="19"/>
              <w:bidi w:val="0"/>
              <w:jc w:val="center"/>
              <w:rPr>
                <w:rFonts w:hint="default"/>
                <w:lang w:val="en-US" w:eastAsia="zh-CN"/>
              </w:rPr>
            </w:pPr>
            <w:r>
              <w:rPr>
                <w:rFonts w:hint="eastAsia"/>
                <w:lang w:val="en-US" w:eastAsia="zh-CN"/>
              </w:rPr>
              <w:t>格栅</w:t>
            </w:r>
          </w:p>
        </w:tc>
        <w:tc>
          <w:tcPr>
            <w:tcW w:w="1266" w:type="pct"/>
            <w:vAlign w:val="center"/>
          </w:tcPr>
          <w:p w14:paraId="3A60CF2A">
            <w:pPr>
              <w:pStyle w:val="19"/>
              <w:bidi w:val="0"/>
              <w:jc w:val="center"/>
              <w:rPr>
                <w:rFonts w:hint="default"/>
                <w:lang w:val="en-US" w:eastAsia="zh-CN"/>
              </w:rPr>
            </w:pPr>
            <w:r>
              <w:rPr>
                <w:rFonts w:hint="eastAsia"/>
                <w:lang w:val="en-US" w:eastAsia="zh-CN"/>
              </w:rPr>
              <w:t>进水（mg/L）</w:t>
            </w:r>
          </w:p>
        </w:tc>
        <w:tc>
          <w:tcPr>
            <w:tcW w:w="772" w:type="pct"/>
            <w:vAlign w:val="center"/>
          </w:tcPr>
          <w:p w14:paraId="3A18662F">
            <w:pPr>
              <w:pStyle w:val="19"/>
              <w:bidi w:val="0"/>
              <w:jc w:val="center"/>
              <w:rPr>
                <w:rFonts w:hint="default"/>
                <w:lang w:val="en-US" w:eastAsia="zh-CN"/>
              </w:rPr>
            </w:pPr>
            <w:r>
              <w:rPr>
                <w:rFonts w:hint="eastAsia"/>
                <w:lang w:val="en-US" w:eastAsia="zh-CN"/>
              </w:rPr>
              <w:t>2520.95</w:t>
            </w:r>
          </w:p>
        </w:tc>
        <w:tc>
          <w:tcPr>
            <w:tcW w:w="772" w:type="pct"/>
            <w:vAlign w:val="center"/>
          </w:tcPr>
          <w:p w14:paraId="0FD767EF">
            <w:pPr>
              <w:pStyle w:val="19"/>
              <w:bidi w:val="0"/>
              <w:jc w:val="center"/>
              <w:rPr>
                <w:rFonts w:hint="default"/>
                <w:lang w:val="en-US" w:eastAsia="zh-CN"/>
              </w:rPr>
            </w:pPr>
            <w:r>
              <w:rPr>
                <w:rFonts w:hint="eastAsia"/>
                <w:lang w:val="en-US" w:eastAsia="zh-CN"/>
              </w:rPr>
              <w:t>764.44</w:t>
            </w:r>
          </w:p>
        </w:tc>
        <w:tc>
          <w:tcPr>
            <w:tcW w:w="772" w:type="pct"/>
            <w:vAlign w:val="center"/>
          </w:tcPr>
          <w:p w14:paraId="75D0E86A">
            <w:pPr>
              <w:pStyle w:val="19"/>
              <w:bidi w:val="0"/>
              <w:jc w:val="center"/>
              <w:rPr>
                <w:rFonts w:hint="default"/>
                <w:lang w:val="en-US" w:eastAsia="zh-CN"/>
              </w:rPr>
            </w:pPr>
            <w:r>
              <w:rPr>
                <w:rFonts w:hint="eastAsia"/>
                <w:lang w:val="en-US" w:eastAsia="zh-CN"/>
              </w:rPr>
              <w:t>765.06</w:t>
            </w:r>
          </w:p>
        </w:tc>
        <w:tc>
          <w:tcPr>
            <w:tcW w:w="772" w:type="pct"/>
            <w:vAlign w:val="center"/>
          </w:tcPr>
          <w:p w14:paraId="1BFC38B0">
            <w:pPr>
              <w:pStyle w:val="19"/>
              <w:bidi w:val="0"/>
              <w:jc w:val="center"/>
              <w:rPr>
                <w:rFonts w:hint="default"/>
                <w:lang w:val="en-US" w:eastAsia="zh-CN"/>
              </w:rPr>
            </w:pPr>
            <w:r>
              <w:rPr>
                <w:rFonts w:hint="eastAsia"/>
                <w:lang w:val="en-US" w:eastAsia="zh-CN"/>
              </w:rPr>
              <w:t>249.02</w:t>
            </w:r>
          </w:p>
        </w:tc>
      </w:tr>
      <w:tr w14:paraId="65BB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4860AF53">
            <w:pPr>
              <w:pStyle w:val="19"/>
              <w:bidi w:val="0"/>
              <w:jc w:val="center"/>
              <w:rPr>
                <w:rFonts w:hint="default"/>
                <w:lang w:val="en-US" w:eastAsia="zh-CN"/>
              </w:rPr>
            </w:pPr>
          </w:p>
        </w:tc>
        <w:tc>
          <w:tcPr>
            <w:tcW w:w="1266" w:type="pct"/>
            <w:vAlign w:val="center"/>
          </w:tcPr>
          <w:p w14:paraId="7F283D3D">
            <w:pPr>
              <w:pStyle w:val="19"/>
              <w:bidi w:val="0"/>
              <w:jc w:val="center"/>
              <w:rPr>
                <w:rFonts w:hint="default"/>
                <w:lang w:val="en-US" w:eastAsia="zh-CN"/>
              </w:rPr>
            </w:pPr>
            <w:r>
              <w:rPr>
                <w:rFonts w:hint="eastAsia"/>
                <w:lang w:val="en-US" w:eastAsia="zh-CN"/>
              </w:rPr>
              <w:t>出水（mg/L）</w:t>
            </w:r>
          </w:p>
        </w:tc>
        <w:tc>
          <w:tcPr>
            <w:tcW w:w="772" w:type="pct"/>
            <w:vAlign w:val="center"/>
          </w:tcPr>
          <w:p w14:paraId="1985ECC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2520.95</w:t>
            </w:r>
          </w:p>
        </w:tc>
        <w:tc>
          <w:tcPr>
            <w:tcW w:w="772" w:type="pct"/>
            <w:vAlign w:val="center"/>
          </w:tcPr>
          <w:p w14:paraId="3D096FC2">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764.44</w:t>
            </w:r>
          </w:p>
        </w:tc>
        <w:tc>
          <w:tcPr>
            <w:tcW w:w="772" w:type="pct"/>
            <w:vAlign w:val="center"/>
          </w:tcPr>
          <w:p w14:paraId="5008D822">
            <w:pPr>
              <w:pStyle w:val="19"/>
              <w:bidi w:val="0"/>
              <w:jc w:val="center"/>
              <w:rPr>
                <w:rFonts w:hint="default"/>
                <w:lang w:val="en-US" w:eastAsia="zh-CN"/>
              </w:rPr>
            </w:pPr>
            <w:r>
              <w:rPr>
                <w:rFonts w:hint="eastAsia"/>
                <w:lang w:val="en-US" w:eastAsia="zh-CN"/>
              </w:rPr>
              <w:t>688.56</w:t>
            </w:r>
          </w:p>
        </w:tc>
        <w:tc>
          <w:tcPr>
            <w:tcW w:w="772" w:type="pct"/>
            <w:vAlign w:val="center"/>
          </w:tcPr>
          <w:p w14:paraId="3CB04189">
            <w:pPr>
              <w:pStyle w:val="19"/>
              <w:bidi w:val="0"/>
              <w:jc w:val="center"/>
              <w:rPr>
                <w:rFonts w:hint="default"/>
                <w:lang w:val="en-US" w:eastAsia="zh-CN"/>
              </w:rPr>
            </w:pPr>
            <w:r>
              <w:rPr>
                <w:rFonts w:hint="eastAsia"/>
                <w:lang w:val="en-US" w:eastAsia="zh-CN"/>
              </w:rPr>
              <w:t>249.02</w:t>
            </w:r>
          </w:p>
        </w:tc>
      </w:tr>
      <w:tr w14:paraId="7C44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0F4E1E7C">
            <w:pPr>
              <w:pStyle w:val="19"/>
              <w:bidi w:val="0"/>
              <w:jc w:val="center"/>
              <w:rPr>
                <w:rFonts w:hint="default"/>
                <w:lang w:val="en-US" w:eastAsia="zh-CN"/>
              </w:rPr>
            </w:pPr>
          </w:p>
        </w:tc>
        <w:tc>
          <w:tcPr>
            <w:tcW w:w="1266" w:type="pct"/>
            <w:vAlign w:val="center"/>
          </w:tcPr>
          <w:p w14:paraId="3F6A389E">
            <w:pPr>
              <w:pStyle w:val="19"/>
              <w:bidi w:val="0"/>
              <w:jc w:val="center"/>
              <w:rPr>
                <w:rFonts w:hint="default"/>
                <w:lang w:val="en-US" w:eastAsia="zh-CN"/>
              </w:rPr>
            </w:pPr>
            <w:r>
              <w:rPr>
                <w:rFonts w:hint="eastAsia"/>
                <w:lang w:val="en-US" w:eastAsia="zh-CN"/>
              </w:rPr>
              <w:t>去除率/%</w:t>
            </w:r>
          </w:p>
        </w:tc>
        <w:tc>
          <w:tcPr>
            <w:tcW w:w="772" w:type="pct"/>
            <w:vAlign w:val="center"/>
          </w:tcPr>
          <w:p w14:paraId="070F009B">
            <w:pPr>
              <w:pStyle w:val="19"/>
              <w:bidi w:val="0"/>
              <w:jc w:val="center"/>
              <w:rPr>
                <w:rFonts w:hint="default"/>
                <w:lang w:val="en-US" w:eastAsia="zh-CN"/>
              </w:rPr>
            </w:pPr>
            <w:r>
              <w:rPr>
                <w:rFonts w:hint="eastAsia"/>
                <w:lang w:val="en-US" w:eastAsia="zh-CN"/>
              </w:rPr>
              <w:t>/</w:t>
            </w:r>
          </w:p>
        </w:tc>
        <w:tc>
          <w:tcPr>
            <w:tcW w:w="772" w:type="pct"/>
            <w:vAlign w:val="center"/>
          </w:tcPr>
          <w:p w14:paraId="352A3043">
            <w:pPr>
              <w:pStyle w:val="19"/>
              <w:bidi w:val="0"/>
              <w:jc w:val="center"/>
              <w:rPr>
                <w:rFonts w:hint="default"/>
                <w:lang w:val="en-US" w:eastAsia="zh-CN"/>
              </w:rPr>
            </w:pPr>
            <w:r>
              <w:rPr>
                <w:rFonts w:hint="eastAsia"/>
                <w:lang w:val="en-US" w:eastAsia="zh-CN"/>
              </w:rPr>
              <w:t>/</w:t>
            </w:r>
          </w:p>
        </w:tc>
        <w:tc>
          <w:tcPr>
            <w:tcW w:w="772" w:type="pct"/>
            <w:vAlign w:val="center"/>
          </w:tcPr>
          <w:p w14:paraId="18869CF8">
            <w:pPr>
              <w:pStyle w:val="19"/>
              <w:bidi w:val="0"/>
              <w:jc w:val="center"/>
              <w:rPr>
                <w:rFonts w:hint="default"/>
                <w:lang w:val="en-US" w:eastAsia="zh-CN"/>
              </w:rPr>
            </w:pPr>
            <w:r>
              <w:rPr>
                <w:rFonts w:hint="eastAsia"/>
                <w:lang w:val="en-US" w:eastAsia="zh-CN"/>
              </w:rPr>
              <w:t>10%</w:t>
            </w:r>
          </w:p>
        </w:tc>
        <w:tc>
          <w:tcPr>
            <w:tcW w:w="772" w:type="pct"/>
            <w:vAlign w:val="center"/>
          </w:tcPr>
          <w:p w14:paraId="6C7977E5">
            <w:pPr>
              <w:pStyle w:val="19"/>
              <w:bidi w:val="0"/>
              <w:jc w:val="center"/>
              <w:rPr>
                <w:rFonts w:hint="default"/>
                <w:lang w:val="en-US" w:eastAsia="zh-CN"/>
              </w:rPr>
            </w:pPr>
            <w:r>
              <w:rPr>
                <w:rFonts w:hint="eastAsia"/>
                <w:lang w:val="en-US" w:eastAsia="zh-CN"/>
              </w:rPr>
              <w:t>/</w:t>
            </w:r>
          </w:p>
        </w:tc>
      </w:tr>
      <w:tr w14:paraId="32B0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5A23A34C">
            <w:pPr>
              <w:pStyle w:val="19"/>
              <w:bidi w:val="0"/>
              <w:jc w:val="center"/>
              <w:rPr>
                <w:rFonts w:hint="default"/>
                <w:lang w:val="en-US" w:eastAsia="zh-CN"/>
              </w:rPr>
            </w:pPr>
            <w:r>
              <w:rPr>
                <w:rFonts w:hint="eastAsia"/>
                <w:lang w:val="en-US" w:eastAsia="zh-CN"/>
              </w:rPr>
              <w:t>集水池（沉砂）</w:t>
            </w:r>
          </w:p>
        </w:tc>
        <w:tc>
          <w:tcPr>
            <w:tcW w:w="1266" w:type="pct"/>
            <w:vAlign w:val="center"/>
          </w:tcPr>
          <w:p w14:paraId="4B623D0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进水（mg/L）</w:t>
            </w:r>
          </w:p>
        </w:tc>
        <w:tc>
          <w:tcPr>
            <w:tcW w:w="772" w:type="pct"/>
            <w:vAlign w:val="center"/>
          </w:tcPr>
          <w:p w14:paraId="0FAF285E">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2520.95</w:t>
            </w:r>
          </w:p>
        </w:tc>
        <w:tc>
          <w:tcPr>
            <w:tcW w:w="772" w:type="pct"/>
            <w:vAlign w:val="center"/>
          </w:tcPr>
          <w:p w14:paraId="776D053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764.44</w:t>
            </w:r>
          </w:p>
        </w:tc>
        <w:tc>
          <w:tcPr>
            <w:tcW w:w="772" w:type="pct"/>
            <w:vAlign w:val="center"/>
          </w:tcPr>
          <w:p w14:paraId="5390F891">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688.56</w:t>
            </w:r>
          </w:p>
        </w:tc>
        <w:tc>
          <w:tcPr>
            <w:tcW w:w="772" w:type="pct"/>
            <w:vAlign w:val="center"/>
          </w:tcPr>
          <w:p w14:paraId="4BB5D67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249.02</w:t>
            </w:r>
          </w:p>
        </w:tc>
      </w:tr>
      <w:tr w14:paraId="1969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32585BE9">
            <w:pPr>
              <w:pStyle w:val="19"/>
              <w:bidi w:val="0"/>
              <w:jc w:val="center"/>
              <w:rPr>
                <w:rFonts w:hint="default"/>
                <w:lang w:val="en-US" w:eastAsia="zh-CN"/>
              </w:rPr>
            </w:pPr>
          </w:p>
        </w:tc>
        <w:tc>
          <w:tcPr>
            <w:tcW w:w="1266" w:type="pct"/>
            <w:vAlign w:val="center"/>
          </w:tcPr>
          <w:p w14:paraId="24B8D5E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出水（mg/L）</w:t>
            </w:r>
          </w:p>
        </w:tc>
        <w:tc>
          <w:tcPr>
            <w:tcW w:w="772" w:type="pct"/>
            <w:vAlign w:val="center"/>
          </w:tcPr>
          <w:p w14:paraId="5A21164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2520.95</w:t>
            </w:r>
          </w:p>
        </w:tc>
        <w:tc>
          <w:tcPr>
            <w:tcW w:w="772" w:type="pct"/>
            <w:vAlign w:val="center"/>
          </w:tcPr>
          <w:p w14:paraId="0F025D9C">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764.44</w:t>
            </w:r>
          </w:p>
        </w:tc>
        <w:tc>
          <w:tcPr>
            <w:tcW w:w="772" w:type="pct"/>
            <w:vAlign w:val="center"/>
          </w:tcPr>
          <w:p w14:paraId="53447E76">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654.13</w:t>
            </w:r>
          </w:p>
        </w:tc>
        <w:tc>
          <w:tcPr>
            <w:tcW w:w="772" w:type="pct"/>
            <w:vAlign w:val="center"/>
          </w:tcPr>
          <w:p w14:paraId="0062F3A3">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249.02</w:t>
            </w:r>
          </w:p>
        </w:tc>
      </w:tr>
      <w:tr w14:paraId="2B3A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1C5E616D">
            <w:pPr>
              <w:pStyle w:val="19"/>
              <w:bidi w:val="0"/>
              <w:jc w:val="center"/>
              <w:rPr>
                <w:rFonts w:hint="default"/>
                <w:lang w:val="en-US" w:eastAsia="zh-CN"/>
              </w:rPr>
            </w:pPr>
          </w:p>
        </w:tc>
        <w:tc>
          <w:tcPr>
            <w:tcW w:w="1266" w:type="pct"/>
            <w:vAlign w:val="center"/>
          </w:tcPr>
          <w:p w14:paraId="1E5C411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去除率/%</w:t>
            </w:r>
          </w:p>
        </w:tc>
        <w:tc>
          <w:tcPr>
            <w:tcW w:w="772" w:type="pct"/>
            <w:vAlign w:val="center"/>
          </w:tcPr>
          <w:p w14:paraId="7E430C0F">
            <w:pPr>
              <w:pStyle w:val="19"/>
              <w:bidi w:val="0"/>
              <w:jc w:val="center"/>
              <w:rPr>
                <w:rFonts w:hint="default"/>
                <w:lang w:val="en-US" w:eastAsia="zh-CN"/>
              </w:rPr>
            </w:pPr>
            <w:r>
              <w:rPr>
                <w:rFonts w:hint="eastAsia"/>
                <w:lang w:val="en-US" w:eastAsia="zh-CN"/>
              </w:rPr>
              <w:t>/</w:t>
            </w:r>
          </w:p>
        </w:tc>
        <w:tc>
          <w:tcPr>
            <w:tcW w:w="772" w:type="pct"/>
            <w:vAlign w:val="center"/>
          </w:tcPr>
          <w:p w14:paraId="1CD535C0">
            <w:pPr>
              <w:pStyle w:val="19"/>
              <w:bidi w:val="0"/>
              <w:jc w:val="center"/>
              <w:rPr>
                <w:rFonts w:hint="default"/>
                <w:lang w:val="en-US" w:eastAsia="zh-CN"/>
              </w:rPr>
            </w:pPr>
            <w:r>
              <w:rPr>
                <w:rFonts w:hint="eastAsia"/>
                <w:lang w:val="en-US" w:eastAsia="zh-CN"/>
              </w:rPr>
              <w:t>/</w:t>
            </w:r>
          </w:p>
        </w:tc>
        <w:tc>
          <w:tcPr>
            <w:tcW w:w="772" w:type="pct"/>
            <w:vAlign w:val="center"/>
          </w:tcPr>
          <w:p w14:paraId="5C643D1A">
            <w:pPr>
              <w:pStyle w:val="19"/>
              <w:bidi w:val="0"/>
              <w:jc w:val="center"/>
              <w:rPr>
                <w:rFonts w:hint="default"/>
                <w:lang w:val="en-US" w:eastAsia="zh-CN"/>
              </w:rPr>
            </w:pPr>
            <w:r>
              <w:rPr>
                <w:rFonts w:hint="eastAsia"/>
                <w:lang w:val="en-US" w:eastAsia="zh-CN"/>
              </w:rPr>
              <w:t>5%</w:t>
            </w:r>
          </w:p>
        </w:tc>
        <w:tc>
          <w:tcPr>
            <w:tcW w:w="772" w:type="pct"/>
            <w:vAlign w:val="center"/>
          </w:tcPr>
          <w:p w14:paraId="3655B00C">
            <w:pPr>
              <w:pStyle w:val="19"/>
              <w:bidi w:val="0"/>
              <w:jc w:val="center"/>
              <w:rPr>
                <w:rFonts w:hint="default"/>
                <w:lang w:val="en-US" w:eastAsia="zh-CN"/>
              </w:rPr>
            </w:pPr>
            <w:r>
              <w:rPr>
                <w:rFonts w:hint="eastAsia"/>
                <w:lang w:val="en-US" w:eastAsia="zh-CN"/>
              </w:rPr>
              <w:t>/</w:t>
            </w:r>
          </w:p>
        </w:tc>
      </w:tr>
      <w:tr w14:paraId="2137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678C9726">
            <w:pPr>
              <w:pStyle w:val="19"/>
              <w:bidi w:val="0"/>
              <w:jc w:val="center"/>
              <w:rPr>
                <w:rFonts w:hint="default"/>
                <w:lang w:val="en-US" w:eastAsia="zh-CN"/>
              </w:rPr>
            </w:pPr>
            <w:r>
              <w:rPr>
                <w:rFonts w:hint="default"/>
                <w:lang w:val="en-US" w:eastAsia="zh-CN"/>
              </w:rPr>
              <w:t>固液分离</w:t>
            </w:r>
          </w:p>
        </w:tc>
        <w:tc>
          <w:tcPr>
            <w:tcW w:w="1266" w:type="pct"/>
            <w:vAlign w:val="center"/>
          </w:tcPr>
          <w:p w14:paraId="10F30FAC">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进水（mg/L）</w:t>
            </w:r>
          </w:p>
        </w:tc>
        <w:tc>
          <w:tcPr>
            <w:tcW w:w="772" w:type="pct"/>
            <w:vAlign w:val="center"/>
          </w:tcPr>
          <w:p w14:paraId="7C52B614">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2520.95</w:t>
            </w:r>
          </w:p>
        </w:tc>
        <w:tc>
          <w:tcPr>
            <w:tcW w:w="772" w:type="pct"/>
            <w:vAlign w:val="center"/>
          </w:tcPr>
          <w:p w14:paraId="05914BC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764.44</w:t>
            </w:r>
          </w:p>
        </w:tc>
        <w:tc>
          <w:tcPr>
            <w:tcW w:w="772" w:type="pct"/>
            <w:vAlign w:val="center"/>
          </w:tcPr>
          <w:p w14:paraId="24DA4CE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654.13</w:t>
            </w:r>
          </w:p>
        </w:tc>
        <w:tc>
          <w:tcPr>
            <w:tcW w:w="772" w:type="pct"/>
            <w:vAlign w:val="center"/>
          </w:tcPr>
          <w:p w14:paraId="392902D5">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249.02</w:t>
            </w:r>
          </w:p>
        </w:tc>
      </w:tr>
      <w:tr w14:paraId="124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4EF34C1C">
            <w:pPr>
              <w:pStyle w:val="19"/>
              <w:bidi w:val="0"/>
              <w:jc w:val="center"/>
              <w:rPr>
                <w:rFonts w:hint="default"/>
                <w:lang w:val="en-US" w:eastAsia="zh-CN"/>
              </w:rPr>
            </w:pPr>
          </w:p>
        </w:tc>
        <w:tc>
          <w:tcPr>
            <w:tcW w:w="1266" w:type="pct"/>
            <w:vAlign w:val="center"/>
          </w:tcPr>
          <w:p w14:paraId="1DF6C27A">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出水（mg/L）</w:t>
            </w:r>
          </w:p>
        </w:tc>
        <w:tc>
          <w:tcPr>
            <w:tcW w:w="772" w:type="pct"/>
            <w:vAlign w:val="center"/>
          </w:tcPr>
          <w:p w14:paraId="02F112E6">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2520.95</w:t>
            </w:r>
          </w:p>
        </w:tc>
        <w:tc>
          <w:tcPr>
            <w:tcW w:w="772" w:type="pct"/>
            <w:vAlign w:val="center"/>
          </w:tcPr>
          <w:p w14:paraId="0210734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764.44</w:t>
            </w:r>
          </w:p>
        </w:tc>
        <w:tc>
          <w:tcPr>
            <w:tcW w:w="772" w:type="pct"/>
            <w:vAlign w:val="center"/>
          </w:tcPr>
          <w:p w14:paraId="01EC3316">
            <w:pPr>
              <w:pStyle w:val="19"/>
              <w:bidi w:val="0"/>
              <w:jc w:val="center"/>
              <w:rPr>
                <w:rFonts w:hint="default"/>
                <w:lang w:val="en-US" w:eastAsia="zh-CN"/>
              </w:rPr>
            </w:pPr>
            <w:r>
              <w:rPr>
                <w:rFonts w:hint="eastAsia"/>
                <w:lang w:val="en-US" w:eastAsia="zh-CN"/>
              </w:rPr>
              <w:t>523.3</w:t>
            </w:r>
          </w:p>
        </w:tc>
        <w:tc>
          <w:tcPr>
            <w:tcW w:w="772" w:type="pct"/>
            <w:vAlign w:val="center"/>
          </w:tcPr>
          <w:p w14:paraId="326D31C4">
            <w:pPr>
              <w:pStyle w:val="19"/>
              <w:bidi w:val="0"/>
              <w:jc w:val="center"/>
              <w:rPr>
                <w:rFonts w:hint="default"/>
                <w:lang w:val="en-US" w:eastAsia="zh-CN"/>
              </w:rPr>
            </w:pPr>
            <w:r>
              <w:rPr>
                <w:rFonts w:hint="eastAsia"/>
                <w:lang w:val="en-US" w:eastAsia="zh-CN"/>
              </w:rPr>
              <w:t>249.02</w:t>
            </w:r>
          </w:p>
        </w:tc>
      </w:tr>
      <w:tr w14:paraId="6013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525EBF7D">
            <w:pPr>
              <w:pStyle w:val="19"/>
              <w:bidi w:val="0"/>
              <w:jc w:val="center"/>
              <w:rPr>
                <w:rFonts w:hint="default"/>
                <w:lang w:val="en-US" w:eastAsia="zh-CN"/>
              </w:rPr>
            </w:pPr>
          </w:p>
        </w:tc>
        <w:tc>
          <w:tcPr>
            <w:tcW w:w="1266" w:type="pct"/>
            <w:vAlign w:val="center"/>
          </w:tcPr>
          <w:p w14:paraId="26CFE5F6">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去除率/%</w:t>
            </w:r>
          </w:p>
        </w:tc>
        <w:tc>
          <w:tcPr>
            <w:tcW w:w="772" w:type="pct"/>
            <w:vAlign w:val="center"/>
          </w:tcPr>
          <w:p w14:paraId="51B53E2D">
            <w:pPr>
              <w:pStyle w:val="19"/>
              <w:bidi w:val="0"/>
              <w:jc w:val="center"/>
              <w:rPr>
                <w:rFonts w:hint="default"/>
                <w:lang w:val="en-US" w:eastAsia="zh-CN"/>
              </w:rPr>
            </w:pPr>
            <w:r>
              <w:rPr>
                <w:rFonts w:hint="eastAsia"/>
                <w:lang w:val="en-US" w:eastAsia="zh-CN"/>
              </w:rPr>
              <w:t>/</w:t>
            </w:r>
          </w:p>
        </w:tc>
        <w:tc>
          <w:tcPr>
            <w:tcW w:w="772" w:type="pct"/>
            <w:vAlign w:val="center"/>
          </w:tcPr>
          <w:p w14:paraId="27369598">
            <w:pPr>
              <w:pStyle w:val="19"/>
              <w:bidi w:val="0"/>
              <w:jc w:val="center"/>
              <w:rPr>
                <w:rFonts w:hint="default"/>
                <w:lang w:val="en-US" w:eastAsia="zh-CN"/>
              </w:rPr>
            </w:pPr>
            <w:r>
              <w:rPr>
                <w:rFonts w:hint="eastAsia"/>
                <w:lang w:val="en-US" w:eastAsia="zh-CN"/>
              </w:rPr>
              <w:t>/</w:t>
            </w:r>
          </w:p>
        </w:tc>
        <w:tc>
          <w:tcPr>
            <w:tcW w:w="772" w:type="pct"/>
            <w:vAlign w:val="center"/>
          </w:tcPr>
          <w:p w14:paraId="2EFA0256">
            <w:pPr>
              <w:pStyle w:val="19"/>
              <w:bidi w:val="0"/>
              <w:jc w:val="center"/>
              <w:rPr>
                <w:rFonts w:hint="default"/>
                <w:lang w:val="en-US" w:eastAsia="zh-CN"/>
              </w:rPr>
            </w:pPr>
            <w:r>
              <w:rPr>
                <w:rFonts w:hint="eastAsia"/>
                <w:lang w:val="en-US" w:eastAsia="zh-CN"/>
              </w:rPr>
              <w:t>20%</w:t>
            </w:r>
          </w:p>
        </w:tc>
        <w:tc>
          <w:tcPr>
            <w:tcW w:w="772" w:type="pct"/>
            <w:vAlign w:val="center"/>
          </w:tcPr>
          <w:p w14:paraId="55D1F364">
            <w:pPr>
              <w:pStyle w:val="19"/>
              <w:bidi w:val="0"/>
              <w:jc w:val="center"/>
              <w:rPr>
                <w:rFonts w:hint="default"/>
                <w:lang w:val="en-US" w:eastAsia="zh-CN"/>
              </w:rPr>
            </w:pPr>
            <w:r>
              <w:rPr>
                <w:rFonts w:hint="eastAsia"/>
                <w:lang w:val="en-US" w:eastAsia="zh-CN"/>
              </w:rPr>
              <w:t>/</w:t>
            </w:r>
          </w:p>
        </w:tc>
      </w:tr>
      <w:tr w14:paraId="17B4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3D2FF0DC">
            <w:pPr>
              <w:pStyle w:val="19"/>
              <w:bidi w:val="0"/>
              <w:jc w:val="center"/>
              <w:rPr>
                <w:rFonts w:hint="default"/>
                <w:lang w:val="en-US" w:eastAsia="zh-CN"/>
              </w:rPr>
            </w:pPr>
            <w:r>
              <w:rPr>
                <w:rFonts w:hint="default"/>
                <w:lang w:val="en-US" w:eastAsia="zh-CN"/>
              </w:rPr>
              <w:t>水解酸化</w:t>
            </w:r>
          </w:p>
        </w:tc>
        <w:tc>
          <w:tcPr>
            <w:tcW w:w="1266" w:type="pct"/>
            <w:vAlign w:val="center"/>
          </w:tcPr>
          <w:p w14:paraId="5BCA806B">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进水（mg/L）</w:t>
            </w:r>
          </w:p>
        </w:tc>
        <w:tc>
          <w:tcPr>
            <w:tcW w:w="772" w:type="pct"/>
            <w:vAlign w:val="center"/>
          </w:tcPr>
          <w:p w14:paraId="077E2BB9">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2520.95</w:t>
            </w:r>
          </w:p>
        </w:tc>
        <w:tc>
          <w:tcPr>
            <w:tcW w:w="772" w:type="pct"/>
            <w:vAlign w:val="center"/>
          </w:tcPr>
          <w:p w14:paraId="200259A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764.44</w:t>
            </w:r>
          </w:p>
        </w:tc>
        <w:tc>
          <w:tcPr>
            <w:tcW w:w="772" w:type="pct"/>
            <w:vAlign w:val="center"/>
          </w:tcPr>
          <w:p w14:paraId="4D6EB07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523.3</w:t>
            </w:r>
          </w:p>
        </w:tc>
        <w:tc>
          <w:tcPr>
            <w:tcW w:w="772" w:type="pct"/>
            <w:vAlign w:val="center"/>
          </w:tcPr>
          <w:p w14:paraId="31CD9AD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249.02</w:t>
            </w:r>
          </w:p>
        </w:tc>
      </w:tr>
      <w:tr w14:paraId="2AD8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4AE897DA">
            <w:pPr>
              <w:pStyle w:val="19"/>
              <w:bidi w:val="0"/>
              <w:jc w:val="center"/>
              <w:rPr>
                <w:rFonts w:hint="default"/>
                <w:lang w:val="en-US" w:eastAsia="zh-CN"/>
              </w:rPr>
            </w:pPr>
          </w:p>
        </w:tc>
        <w:tc>
          <w:tcPr>
            <w:tcW w:w="1266" w:type="pct"/>
            <w:vAlign w:val="center"/>
          </w:tcPr>
          <w:p w14:paraId="72D8B42B">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出水（mg/L）</w:t>
            </w:r>
          </w:p>
        </w:tc>
        <w:tc>
          <w:tcPr>
            <w:tcW w:w="772" w:type="pct"/>
            <w:vAlign w:val="center"/>
          </w:tcPr>
          <w:p w14:paraId="0A9860B4">
            <w:pPr>
              <w:pStyle w:val="19"/>
              <w:bidi w:val="0"/>
              <w:jc w:val="center"/>
              <w:rPr>
                <w:rFonts w:hint="default"/>
                <w:lang w:val="en-US" w:eastAsia="zh-CN"/>
              </w:rPr>
            </w:pPr>
            <w:r>
              <w:rPr>
                <w:rFonts w:hint="eastAsia"/>
                <w:lang w:val="en-US" w:eastAsia="zh-CN"/>
              </w:rPr>
              <w:t>1764.67</w:t>
            </w:r>
          </w:p>
        </w:tc>
        <w:tc>
          <w:tcPr>
            <w:tcW w:w="772" w:type="pct"/>
            <w:vAlign w:val="center"/>
          </w:tcPr>
          <w:p w14:paraId="07AB6F40">
            <w:pPr>
              <w:pStyle w:val="19"/>
              <w:bidi w:val="0"/>
              <w:jc w:val="center"/>
              <w:rPr>
                <w:rFonts w:hint="default"/>
                <w:lang w:val="en-US" w:eastAsia="zh-CN"/>
              </w:rPr>
            </w:pPr>
            <w:r>
              <w:rPr>
                <w:rFonts w:hint="eastAsia"/>
                <w:lang w:val="en-US" w:eastAsia="zh-CN"/>
              </w:rPr>
              <w:t>611.55</w:t>
            </w:r>
          </w:p>
        </w:tc>
        <w:tc>
          <w:tcPr>
            <w:tcW w:w="772" w:type="pct"/>
            <w:vAlign w:val="center"/>
          </w:tcPr>
          <w:p w14:paraId="57D63FC8">
            <w:pPr>
              <w:pStyle w:val="19"/>
              <w:bidi w:val="0"/>
              <w:jc w:val="center"/>
              <w:rPr>
                <w:rFonts w:hint="default"/>
                <w:lang w:val="en-US" w:eastAsia="zh-CN"/>
              </w:rPr>
            </w:pPr>
            <w:r>
              <w:rPr>
                <w:rFonts w:hint="eastAsia"/>
                <w:lang w:val="en-US" w:eastAsia="zh-CN"/>
              </w:rPr>
              <w:t>261.65</w:t>
            </w:r>
          </w:p>
        </w:tc>
        <w:tc>
          <w:tcPr>
            <w:tcW w:w="772" w:type="pct"/>
            <w:vAlign w:val="center"/>
          </w:tcPr>
          <w:p w14:paraId="3F90874A">
            <w:pPr>
              <w:pStyle w:val="19"/>
              <w:bidi w:val="0"/>
              <w:jc w:val="center"/>
              <w:rPr>
                <w:rFonts w:hint="default"/>
                <w:lang w:val="en-US" w:eastAsia="zh-CN"/>
              </w:rPr>
            </w:pPr>
            <w:r>
              <w:rPr>
                <w:rFonts w:hint="eastAsia"/>
                <w:lang w:val="en-US" w:eastAsia="zh-CN"/>
              </w:rPr>
              <w:t>249.02</w:t>
            </w:r>
          </w:p>
        </w:tc>
      </w:tr>
      <w:tr w14:paraId="0563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3A644345">
            <w:pPr>
              <w:pStyle w:val="19"/>
              <w:bidi w:val="0"/>
              <w:jc w:val="center"/>
              <w:rPr>
                <w:rFonts w:hint="default"/>
                <w:lang w:val="en-US" w:eastAsia="zh-CN"/>
              </w:rPr>
            </w:pPr>
          </w:p>
        </w:tc>
        <w:tc>
          <w:tcPr>
            <w:tcW w:w="1266" w:type="pct"/>
            <w:vAlign w:val="center"/>
          </w:tcPr>
          <w:p w14:paraId="52EDB7D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去除率/%</w:t>
            </w:r>
          </w:p>
        </w:tc>
        <w:tc>
          <w:tcPr>
            <w:tcW w:w="772" w:type="pct"/>
            <w:vAlign w:val="center"/>
          </w:tcPr>
          <w:p w14:paraId="0E99296D">
            <w:pPr>
              <w:pStyle w:val="19"/>
              <w:bidi w:val="0"/>
              <w:jc w:val="center"/>
              <w:rPr>
                <w:rFonts w:hint="default"/>
                <w:lang w:val="en-US" w:eastAsia="zh-CN"/>
              </w:rPr>
            </w:pPr>
            <w:r>
              <w:rPr>
                <w:rFonts w:hint="eastAsia"/>
                <w:lang w:val="en-US" w:eastAsia="zh-CN"/>
              </w:rPr>
              <w:t>30%</w:t>
            </w:r>
          </w:p>
        </w:tc>
        <w:tc>
          <w:tcPr>
            <w:tcW w:w="772" w:type="pct"/>
            <w:vAlign w:val="center"/>
          </w:tcPr>
          <w:p w14:paraId="56E3FC84">
            <w:pPr>
              <w:pStyle w:val="19"/>
              <w:bidi w:val="0"/>
              <w:jc w:val="center"/>
              <w:rPr>
                <w:rFonts w:hint="default"/>
                <w:lang w:val="en-US" w:eastAsia="zh-CN"/>
              </w:rPr>
            </w:pPr>
            <w:r>
              <w:rPr>
                <w:rFonts w:hint="eastAsia"/>
                <w:lang w:val="en-US" w:eastAsia="zh-CN"/>
              </w:rPr>
              <w:t>20%</w:t>
            </w:r>
          </w:p>
        </w:tc>
        <w:tc>
          <w:tcPr>
            <w:tcW w:w="772" w:type="pct"/>
            <w:vAlign w:val="center"/>
          </w:tcPr>
          <w:p w14:paraId="3B5EDCC5">
            <w:pPr>
              <w:pStyle w:val="19"/>
              <w:bidi w:val="0"/>
              <w:jc w:val="center"/>
              <w:rPr>
                <w:rFonts w:hint="default"/>
                <w:lang w:val="en-US" w:eastAsia="zh-CN"/>
              </w:rPr>
            </w:pPr>
            <w:r>
              <w:rPr>
                <w:rFonts w:hint="eastAsia"/>
                <w:lang w:val="en-US" w:eastAsia="zh-CN"/>
              </w:rPr>
              <w:t>50%</w:t>
            </w:r>
          </w:p>
        </w:tc>
        <w:tc>
          <w:tcPr>
            <w:tcW w:w="772" w:type="pct"/>
            <w:vAlign w:val="center"/>
          </w:tcPr>
          <w:p w14:paraId="2C07A934">
            <w:pPr>
              <w:pStyle w:val="19"/>
              <w:bidi w:val="0"/>
              <w:jc w:val="center"/>
              <w:rPr>
                <w:rFonts w:hint="default"/>
                <w:lang w:val="en-US" w:eastAsia="zh-CN"/>
              </w:rPr>
            </w:pPr>
            <w:r>
              <w:rPr>
                <w:rFonts w:hint="eastAsia"/>
                <w:lang w:val="en-US" w:eastAsia="zh-CN"/>
              </w:rPr>
              <w:t>/</w:t>
            </w:r>
          </w:p>
        </w:tc>
      </w:tr>
      <w:tr w14:paraId="2B4C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58C0794D">
            <w:pPr>
              <w:pStyle w:val="19"/>
              <w:bidi w:val="0"/>
              <w:jc w:val="center"/>
              <w:rPr>
                <w:rFonts w:hint="default"/>
                <w:lang w:val="en-US" w:eastAsia="zh-CN"/>
              </w:rPr>
            </w:pPr>
            <w:r>
              <w:rPr>
                <w:rFonts w:hint="eastAsia"/>
                <w:lang w:val="en-US" w:eastAsia="zh-CN"/>
              </w:rPr>
              <w:t>UASB</w:t>
            </w:r>
          </w:p>
        </w:tc>
        <w:tc>
          <w:tcPr>
            <w:tcW w:w="1266" w:type="pct"/>
            <w:vAlign w:val="center"/>
          </w:tcPr>
          <w:p w14:paraId="5F0763AD">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进水（mg/L）</w:t>
            </w:r>
          </w:p>
        </w:tc>
        <w:tc>
          <w:tcPr>
            <w:tcW w:w="772" w:type="pct"/>
            <w:vAlign w:val="center"/>
          </w:tcPr>
          <w:p w14:paraId="06F428B7">
            <w:pPr>
              <w:pStyle w:val="19"/>
              <w:bidi w:val="0"/>
              <w:jc w:val="center"/>
              <w:rPr>
                <w:rFonts w:hint="default"/>
                <w:lang w:val="en-US" w:eastAsia="zh-CN"/>
              </w:rPr>
            </w:pPr>
            <w:r>
              <w:rPr>
                <w:rFonts w:hint="eastAsia"/>
                <w:lang w:val="en-US" w:eastAsia="zh-CN"/>
              </w:rPr>
              <w:t>1764.67</w:t>
            </w:r>
          </w:p>
        </w:tc>
        <w:tc>
          <w:tcPr>
            <w:tcW w:w="772" w:type="pct"/>
            <w:vAlign w:val="center"/>
          </w:tcPr>
          <w:p w14:paraId="48C5DABC">
            <w:pPr>
              <w:pStyle w:val="19"/>
              <w:bidi w:val="0"/>
              <w:jc w:val="center"/>
              <w:rPr>
                <w:rFonts w:hint="default"/>
                <w:lang w:val="en-US" w:eastAsia="zh-CN"/>
              </w:rPr>
            </w:pPr>
            <w:r>
              <w:rPr>
                <w:rFonts w:hint="eastAsia"/>
                <w:lang w:val="en-US" w:eastAsia="zh-CN"/>
              </w:rPr>
              <w:t>611.55</w:t>
            </w:r>
          </w:p>
        </w:tc>
        <w:tc>
          <w:tcPr>
            <w:tcW w:w="772" w:type="pct"/>
            <w:vAlign w:val="center"/>
          </w:tcPr>
          <w:p w14:paraId="705329CD">
            <w:pPr>
              <w:pStyle w:val="19"/>
              <w:bidi w:val="0"/>
              <w:jc w:val="center"/>
              <w:rPr>
                <w:rFonts w:hint="default"/>
                <w:lang w:val="en-US" w:eastAsia="zh-CN"/>
              </w:rPr>
            </w:pPr>
            <w:r>
              <w:rPr>
                <w:rFonts w:hint="eastAsia"/>
                <w:lang w:val="en-US" w:eastAsia="zh-CN"/>
              </w:rPr>
              <w:t>261.65</w:t>
            </w:r>
          </w:p>
        </w:tc>
        <w:tc>
          <w:tcPr>
            <w:tcW w:w="772" w:type="pct"/>
            <w:vAlign w:val="center"/>
          </w:tcPr>
          <w:p w14:paraId="650AB5FC">
            <w:pPr>
              <w:pStyle w:val="19"/>
              <w:bidi w:val="0"/>
              <w:jc w:val="center"/>
              <w:rPr>
                <w:rFonts w:hint="default"/>
                <w:lang w:val="en-US" w:eastAsia="zh-CN"/>
              </w:rPr>
            </w:pPr>
            <w:r>
              <w:rPr>
                <w:rFonts w:hint="eastAsia"/>
                <w:lang w:val="en-US" w:eastAsia="zh-CN"/>
              </w:rPr>
              <w:t>249.02</w:t>
            </w:r>
          </w:p>
        </w:tc>
      </w:tr>
      <w:tr w14:paraId="59E7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300C3A71">
            <w:pPr>
              <w:pStyle w:val="19"/>
              <w:bidi w:val="0"/>
              <w:jc w:val="center"/>
              <w:rPr>
                <w:rFonts w:hint="default"/>
                <w:lang w:val="en-US" w:eastAsia="zh-CN"/>
              </w:rPr>
            </w:pPr>
          </w:p>
        </w:tc>
        <w:tc>
          <w:tcPr>
            <w:tcW w:w="1266" w:type="pct"/>
            <w:vAlign w:val="center"/>
          </w:tcPr>
          <w:p w14:paraId="09722F68">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出水（mg/L）</w:t>
            </w:r>
          </w:p>
        </w:tc>
        <w:tc>
          <w:tcPr>
            <w:tcW w:w="772" w:type="pct"/>
            <w:vAlign w:val="center"/>
          </w:tcPr>
          <w:p w14:paraId="757FDE7A">
            <w:pPr>
              <w:pStyle w:val="19"/>
              <w:bidi w:val="0"/>
              <w:jc w:val="center"/>
              <w:rPr>
                <w:rFonts w:hint="default"/>
                <w:lang w:val="en-US" w:eastAsia="zh-CN"/>
              </w:rPr>
            </w:pPr>
            <w:r>
              <w:rPr>
                <w:rFonts w:hint="eastAsia"/>
                <w:lang w:val="en-US" w:eastAsia="zh-CN"/>
              </w:rPr>
              <w:t>352.94</w:t>
            </w:r>
          </w:p>
        </w:tc>
        <w:tc>
          <w:tcPr>
            <w:tcW w:w="772" w:type="pct"/>
            <w:vAlign w:val="center"/>
          </w:tcPr>
          <w:p w14:paraId="2139DA2E">
            <w:pPr>
              <w:pStyle w:val="19"/>
              <w:bidi w:val="0"/>
              <w:jc w:val="center"/>
              <w:rPr>
                <w:rFonts w:hint="default"/>
                <w:lang w:val="en-US" w:eastAsia="zh-CN"/>
              </w:rPr>
            </w:pPr>
            <w:r>
              <w:rPr>
                <w:rFonts w:hint="eastAsia"/>
                <w:lang w:val="en-US" w:eastAsia="zh-CN"/>
              </w:rPr>
              <w:t>152.89</w:t>
            </w:r>
          </w:p>
        </w:tc>
        <w:tc>
          <w:tcPr>
            <w:tcW w:w="772" w:type="pct"/>
            <w:vAlign w:val="center"/>
          </w:tcPr>
          <w:p w14:paraId="0174FB6C">
            <w:pPr>
              <w:pStyle w:val="19"/>
              <w:bidi w:val="0"/>
              <w:jc w:val="center"/>
              <w:rPr>
                <w:rFonts w:hint="default"/>
                <w:lang w:val="en-US" w:eastAsia="zh-CN"/>
              </w:rPr>
            </w:pPr>
            <w:r>
              <w:rPr>
                <w:rFonts w:hint="eastAsia"/>
                <w:lang w:val="en-US" w:eastAsia="zh-CN"/>
              </w:rPr>
              <w:t>130.83</w:t>
            </w:r>
          </w:p>
        </w:tc>
        <w:tc>
          <w:tcPr>
            <w:tcW w:w="772" w:type="pct"/>
            <w:vAlign w:val="center"/>
          </w:tcPr>
          <w:p w14:paraId="7FC58BFF">
            <w:pPr>
              <w:pStyle w:val="19"/>
              <w:bidi w:val="0"/>
              <w:jc w:val="center"/>
              <w:rPr>
                <w:rFonts w:hint="default"/>
                <w:lang w:val="en-US" w:eastAsia="zh-CN"/>
              </w:rPr>
            </w:pPr>
            <w:r>
              <w:rPr>
                <w:rFonts w:hint="eastAsia"/>
                <w:lang w:val="en-US" w:eastAsia="zh-CN"/>
              </w:rPr>
              <w:t>249.02</w:t>
            </w:r>
          </w:p>
        </w:tc>
      </w:tr>
      <w:tr w14:paraId="4F0D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4797DECE">
            <w:pPr>
              <w:pStyle w:val="19"/>
              <w:bidi w:val="0"/>
              <w:jc w:val="center"/>
              <w:rPr>
                <w:rFonts w:hint="default"/>
                <w:lang w:val="en-US" w:eastAsia="zh-CN"/>
              </w:rPr>
            </w:pPr>
          </w:p>
        </w:tc>
        <w:tc>
          <w:tcPr>
            <w:tcW w:w="1266" w:type="pct"/>
            <w:vAlign w:val="center"/>
          </w:tcPr>
          <w:p w14:paraId="39243704">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去除率/%</w:t>
            </w:r>
          </w:p>
        </w:tc>
        <w:tc>
          <w:tcPr>
            <w:tcW w:w="772" w:type="pct"/>
            <w:vAlign w:val="center"/>
          </w:tcPr>
          <w:p w14:paraId="72189B09">
            <w:pPr>
              <w:pStyle w:val="19"/>
              <w:bidi w:val="0"/>
              <w:jc w:val="center"/>
              <w:rPr>
                <w:rFonts w:hint="default"/>
                <w:lang w:val="en-US" w:eastAsia="zh-CN"/>
              </w:rPr>
            </w:pPr>
            <w:r>
              <w:rPr>
                <w:rFonts w:hint="eastAsia"/>
                <w:lang w:val="en-US" w:eastAsia="zh-CN"/>
              </w:rPr>
              <w:t>80%</w:t>
            </w:r>
          </w:p>
        </w:tc>
        <w:tc>
          <w:tcPr>
            <w:tcW w:w="772" w:type="pct"/>
            <w:vAlign w:val="center"/>
          </w:tcPr>
          <w:p w14:paraId="51893A29">
            <w:pPr>
              <w:pStyle w:val="19"/>
              <w:bidi w:val="0"/>
              <w:jc w:val="center"/>
              <w:rPr>
                <w:rFonts w:hint="default"/>
                <w:lang w:val="en-US" w:eastAsia="zh-CN"/>
              </w:rPr>
            </w:pPr>
            <w:r>
              <w:rPr>
                <w:rFonts w:hint="eastAsia"/>
                <w:lang w:val="en-US" w:eastAsia="zh-CN"/>
              </w:rPr>
              <w:t>75%</w:t>
            </w:r>
          </w:p>
        </w:tc>
        <w:tc>
          <w:tcPr>
            <w:tcW w:w="772" w:type="pct"/>
            <w:vAlign w:val="center"/>
          </w:tcPr>
          <w:p w14:paraId="522B044A">
            <w:pPr>
              <w:pStyle w:val="19"/>
              <w:bidi w:val="0"/>
              <w:jc w:val="center"/>
              <w:rPr>
                <w:rFonts w:hint="default"/>
                <w:lang w:val="en-US" w:eastAsia="zh-CN"/>
              </w:rPr>
            </w:pPr>
            <w:r>
              <w:rPr>
                <w:rFonts w:hint="eastAsia"/>
                <w:lang w:val="en-US" w:eastAsia="zh-CN"/>
              </w:rPr>
              <w:t>30%</w:t>
            </w:r>
          </w:p>
        </w:tc>
        <w:tc>
          <w:tcPr>
            <w:tcW w:w="772" w:type="pct"/>
            <w:vAlign w:val="center"/>
          </w:tcPr>
          <w:p w14:paraId="4E15A033">
            <w:pPr>
              <w:pStyle w:val="19"/>
              <w:bidi w:val="0"/>
              <w:jc w:val="center"/>
              <w:rPr>
                <w:rFonts w:hint="default"/>
                <w:lang w:val="en-US" w:eastAsia="zh-CN"/>
              </w:rPr>
            </w:pPr>
            <w:r>
              <w:rPr>
                <w:rFonts w:hint="eastAsia"/>
                <w:lang w:val="en-US" w:eastAsia="zh-CN"/>
              </w:rPr>
              <w:t>/</w:t>
            </w:r>
          </w:p>
        </w:tc>
      </w:tr>
      <w:tr w14:paraId="36AC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17EBC3D8">
            <w:pPr>
              <w:pStyle w:val="19"/>
              <w:bidi w:val="0"/>
              <w:jc w:val="center"/>
              <w:rPr>
                <w:rFonts w:hint="default"/>
                <w:lang w:val="en-US" w:eastAsia="zh-CN"/>
              </w:rPr>
            </w:pPr>
            <w:r>
              <w:rPr>
                <w:rFonts w:hint="eastAsia"/>
                <w:lang w:val="en-US" w:eastAsia="zh-CN"/>
              </w:rPr>
              <w:t>SBR</w:t>
            </w:r>
          </w:p>
        </w:tc>
        <w:tc>
          <w:tcPr>
            <w:tcW w:w="1266" w:type="pct"/>
            <w:vAlign w:val="center"/>
          </w:tcPr>
          <w:p w14:paraId="410B7AFC">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进水（mg/L）</w:t>
            </w:r>
          </w:p>
        </w:tc>
        <w:tc>
          <w:tcPr>
            <w:tcW w:w="772" w:type="pct"/>
            <w:vAlign w:val="center"/>
          </w:tcPr>
          <w:p w14:paraId="7CF3461E">
            <w:pPr>
              <w:pStyle w:val="19"/>
              <w:bidi w:val="0"/>
              <w:jc w:val="center"/>
              <w:rPr>
                <w:rFonts w:hint="default"/>
                <w:lang w:val="en-US" w:eastAsia="zh-CN"/>
              </w:rPr>
            </w:pPr>
            <w:r>
              <w:rPr>
                <w:rFonts w:hint="eastAsia"/>
                <w:lang w:val="en-US" w:eastAsia="zh-CN"/>
              </w:rPr>
              <w:t>352.94</w:t>
            </w:r>
          </w:p>
        </w:tc>
        <w:tc>
          <w:tcPr>
            <w:tcW w:w="772" w:type="pct"/>
            <w:vAlign w:val="center"/>
          </w:tcPr>
          <w:p w14:paraId="5FF0773A">
            <w:pPr>
              <w:pStyle w:val="19"/>
              <w:bidi w:val="0"/>
              <w:jc w:val="center"/>
              <w:rPr>
                <w:rFonts w:hint="default"/>
                <w:lang w:val="en-US" w:eastAsia="zh-CN"/>
              </w:rPr>
            </w:pPr>
            <w:r>
              <w:rPr>
                <w:rFonts w:hint="eastAsia"/>
                <w:lang w:val="en-US" w:eastAsia="zh-CN"/>
              </w:rPr>
              <w:t>152.89</w:t>
            </w:r>
          </w:p>
        </w:tc>
        <w:tc>
          <w:tcPr>
            <w:tcW w:w="772" w:type="pct"/>
            <w:vAlign w:val="center"/>
          </w:tcPr>
          <w:p w14:paraId="2EE804DD">
            <w:pPr>
              <w:pStyle w:val="19"/>
              <w:bidi w:val="0"/>
              <w:jc w:val="center"/>
              <w:rPr>
                <w:rFonts w:hint="default"/>
                <w:lang w:val="en-US" w:eastAsia="zh-CN"/>
              </w:rPr>
            </w:pPr>
            <w:r>
              <w:rPr>
                <w:rFonts w:hint="eastAsia"/>
                <w:lang w:val="en-US" w:eastAsia="zh-CN"/>
              </w:rPr>
              <w:t>130.83</w:t>
            </w:r>
          </w:p>
        </w:tc>
        <w:tc>
          <w:tcPr>
            <w:tcW w:w="772" w:type="pct"/>
            <w:vAlign w:val="center"/>
          </w:tcPr>
          <w:p w14:paraId="4E26779E">
            <w:pPr>
              <w:pStyle w:val="19"/>
              <w:bidi w:val="0"/>
              <w:jc w:val="center"/>
              <w:rPr>
                <w:rFonts w:hint="default"/>
                <w:lang w:val="en-US" w:eastAsia="zh-CN"/>
              </w:rPr>
            </w:pPr>
            <w:r>
              <w:rPr>
                <w:rFonts w:hint="eastAsia"/>
                <w:lang w:val="en-US" w:eastAsia="zh-CN"/>
              </w:rPr>
              <w:t>249.02</w:t>
            </w:r>
          </w:p>
        </w:tc>
      </w:tr>
      <w:tr w14:paraId="41AF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5BDBBA1B">
            <w:pPr>
              <w:pStyle w:val="19"/>
              <w:bidi w:val="0"/>
              <w:jc w:val="center"/>
              <w:rPr>
                <w:rFonts w:hint="default"/>
                <w:lang w:val="en-US" w:eastAsia="zh-CN"/>
              </w:rPr>
            </w:pPr>
          </w:p>
        </w:tc>
        <w:tc>
          <w:tcPr>
            <w:tcW w:w="1266" w:type="pct"/>
            <w:vAlign w:val="center"/>
          </w:tcPr>
          <w:p w14:paraId="611E9D80">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出水（mg/L）</w:t>
            </w:r>
          </w:p>
        </w:tc>
        <w:tc>
          <w:tcPr>
            <w:tcW w:w="772" w:type="pct"/>
            <w:vAlign w:val="center"/>
          </w:tcPr>
          <w:p w14:paraId="09FB50DC">
            <w:pPr>
              <w:pStyle w:val="19"/>
              <w:bidi w:val="0"/>
              <w:jc w:val="center"/>
              <w:rPr>
                <w:rFonts w:hint="default"/>
                <w:lang w:val="en-US" w:eastAsia="zh-CN"/>
              </w:rPr>
            </w:pPr>
            <w:r>
              <w:rPr>
                <w:rFonts w:hint="eastAsia"/>
                <w:lang w:val="en-US" w:eastAsia="zh-CN"/>
              </w:rPr>
              <w:t>105.88</w:t>
            </w:r>
          </w:p>
        </w:tc>
        <w:tc>
          <w:tcPr>
            <w:tcW w:w="772" w:type="pct"/>
            <w:vAlign w:val="center"/>
          </w:tcPr>
          <w:p w14:paraId="0756DDBD">
            <w:pPr>
              <w:pStyle w:val="19"/>
              <w:bidi w:val="0"/>
              <w:jc w:val="center"/>
              <w:rPr>
                <w:rFonts w:hint="default"/>
                <w:lang w:val="en-US" w:eastAsia="zh-CN"/>
              </w:rPr>
            </w:pPr>
            <w:r>
              <w:rPr>
                <w:rFonts w:hint="eastAsia"/>
                <w:lang w:val="en-US" w:eastAsia="zh-CN"/>
              </w:rPr>
              <w:t>45.87</w:t>
            </w:r>
          </w:p>
        </w:tc>
        <w:tc>
          <w:tcPr>
            <w:tcW w:w="772" w:type="pct"/>
            <w:vAlign w:val="center"/>
          </w:tcPr>
          <w:p w14:paraId="5F210CE4">
            <w:pPr>
              <w:pStyle w:val="19"/>
              <w:bidi w:val="0"/>
              <w:jc w:val="center"/>
              <w:rPr>
                <w:rFonts w:hint="default"/>
                <w:lang w:val="en-US" w:eastAsia="zh-CN"/>
              </w:rPr>
            </w:pPr>
            <w:r>
              <w:rPr>
                <w:rFonts w:hint="eastAsia"/>
                <w:lang w:val="en-US" w:eastAsia="zh-CN"/>
              </w:rPr>
              <w:t>39.25</w:t>
            </w:r>
          </w:p>
        </w:tc>
        <w:tc>
          <w:tcPr>
            <w:tcW w:w="772" w:type="pct"/>
            <w:vAlign w:val="center"/>
          </w:tcPr>
          <w:p w14:paraId="0D188BC1">
            <w:pPr>
              <w:pStyle w:val="19"/>
              <w:bidi w:val="0"/>
              <w:jc w:val="center"/>
              <w:rPr>
                <w:rFonts w:hint="default"/>
                <w:lang w:val="en-US" w:eastAsia="zh-CN"/>
              </w:rPr>
            </w:pPr>
            <w:r>
              <w:rPr>
                <w:rFonts w:hint="eastAsia"/>
                <w:lang w:val="en-US" w:eastAsia="zh-CN"/>
              </w:rPr>
              <w:t>37.35</w:t>
            </w:r>
          </w:p>
        </w:tc>
      </w:tr>
      <w:tr w14:paraId="75B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5443767A">
            <w:pPr>
              <w:pStyle w:val="19"/>
              <w:bidi w:val="0"/>
              <w:jc w:val="center"/>
              <w:rPr>
                <w:rFonts w:hint="default"/>
                <w:lang w:val="en-US" w:eastAsia="zh-CN"/>
              </w:rPr>
            </w:pPr>
          </w:p>
        </w:tc>
        <w:tc>
          <w:tcPr>
            <w:tcW w:w="1266" w:type="pct"/>
            <w:vAlign w:val="center"/>
          </w:tcPr>
          <w:p w14:paraId="7D608B9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去除率/%</w:t>
            </w:r>
          </w:p>
        </w:tc>
        <w:tc>
          <w:tcPr>
            <w:tcW w:w="772" w:type="pct"/>
            <w:vAlign w:val="center"/>
          </w:tcPr>
          <w:p w14:paraId="57F56EFB">
            <w:pPr>
              <w:pStyle w:val="19"/>
              <w:bidi w:val="0"/>
              <w:jc w:val="center"/>
              <w:rPr>
                <w:rFonts w:hint="default"/>
                <w:lang w:val="en-US" w:eastAsia="zh-CN"/>
              </w:rPr>
            </w:pPr>
            <w:r>
              <w:rPr>
                <w:rFonts w:hint="eastAsia"/>
                <w:lang w:val="en-US" w:eastAsia="zh-CN"/>
              </w:rPr>
              <w:t>70%</w:t>
            </w:r>
          </w:p>
        </w:tc>
        <w:tc>
          <w:tcPr>
            <w:tcW w:w="772" w:type="pct"/>
            <w:vAlign w:val="center"/>
          </w:tcPr>
          <w:p w14:paraId="600F0D55">
            <w:pPr>
              <w:pStyle w:val="19"/>
              <w:bidi w:val="0"/>
              <w:jc w:val="center"/>
              <w:rPr>
                <w:rFonts w:hint="default"/>
                <w:lang w:val="en-US" w:eastAsia="zh-CN"/>
              </w:rPr>
            </w:pPr>
            <w:r>
              <w:rPr>
                <w:rFonts w:hint="eastAsia"/>
                <w:lang w:val="en-US" w:eastAsia="zh-CN"/>
              </w:rPr>
              <w:t>70%</w:t>
            </w:r>
          </w:p>
        </w:tc>
        <w:tc>
          <w:tcPr>
            <w:tcW w:w="772" w:type="pct"/>
            <w:vAlign w:val="center"/>
          </w:tcPr>
          <w:p w14:paraId="7217DF01">
            <w:pPr>
              <w:pStyle w:val="19"/>
              <w:bidi w:val="0"/>
              <w:jc w:val="center"/>
              <w:rPr>
                <w:rFonts w:hint="default"/>
                <w:lang w:val="en-US" w:eastAsia="zh-CN"/>
              </w:rPr>
            </w:pPr>
            <w:r>
              <w:rPr>
                <w:rFonts w:hint="eastAsia"/>
                <w:lang w:val="en-US" w:eastAsia="zh-CN"/>
              </w:rPr>
              <w:t>70%</w:t>
            </w:r>
          </w:p>
        </w:tc>
        <w:tc>
          <w:tcPr>
            <w:tcW w:w="772" w:type="pct"/>
            <w:vAlign w:val="center"/>
          </w:tcPr>
          <w:p w14:paraId="0FE0CB78">
            <w:pPr>
              <w:pStyle w:val="19"/>
              <w:bidi w:val="0"/>
              <w:jc w:val="center"/>
              <w:rPr>
                <w:rFonts w:hint="default"/>
                <w:lang w:val="en-US" w:eastAsia="zh-CN"/>
              </w:rPr>
            </w:pPr>
            <w:r>
              <w:rPr>
                <w:rFonts w:hint="eastAsia"/>
                <w:lang w:val="en-US" w:eastAsia="zh-CN"/>
              </w:rPr>
              <w:t>85%</w:t>
            </w:r>
          </w:p>
        </w:tc>
      </w:tr>
      <w:tr w14:paraId="34AD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14:paraId="7315697D">
            <w:pPr>
              <w:pStyle w:val="19"/>
              <w:bidi w:val="0"/>
              <w:jc w:val="center"/>
              <w:rPr>
                <w:rFonts w:hint="default"/>
                <w:lang w:val="en-US" w:eastAsia="zh-CN"/>
              </w:rPr>
            </w:pPr>
            <w:r>
              <w:rPr>
                <w:rFonts w:hint="eastAsia"/>
                <w:lang w:val="en-US" w:eastAsia="zh-CN"/>
              </w:rPr>
              <w:t>好氧塘储存</w:t>
            </w:r>
          </w:p>
        </w:tc>
        <w:tc>
          <w:tcPr>
            <w:tcW w:w="1266" w:type="pct"/>
            <w:vAlign w:val="center"/>
          </w:tcPr>
          <w:p w14:paraId="6825A0FF">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进水（mg/L）</w:t>
            </w:r>
          </w:p>
        </w:tc>
        <w:tc>
          <w:tcPr>
            <w:tcW w:w="772" w:type="pct"/>
            <w:vAlign w:val="center"/>
          </w:tcPr>
          <w:p w14:paraId="747BFB28">
            <w:pPr>
              <w:pStyle w:val="19"/>
              <w:bidi w:val="0"/>
              <w:jc w:val="center"/>
              <w:rPr>
                <w:rFonts w:hint="default"/>
                <w:lang w:val="en-US" w:eastAsia="zh-CN"/>
              </w:rPr>
            </w:pPr>
            <w:r>
              <w:rPr>
                <w:rFonts w:hint="eastAsia"/>
                <w:lang w:val="en-US" w:eastAsia="zh-CN"/>
              </w:rPr>
              <w:t>105.88</w:t>
            </w:r>
          </w:p>
        </w:tc>
        <w:tc>
          <w:tcPr>
            <w:tcW w:w="772" w:type="pct"/>
            <w:vAlign w:val="center"/>
          </w:tcPr>
          <w:p w14:paraId="17592987">
            <w:pPr>
              <w:pStyle w:val="19"/>
              <w:bidi w:val="0"/>
              <w:jc w:val="center"/>
              <w:rPr>
                <w:rFonts w:hint="default"/>
                <w:lang w:val="en-US" w:eastAsia="zh-CN"/>
              </w:rPr>
            </w:pPr>
            <w:r>
              <w:rPr>
                <w:rFonts w:hint="eastAsia"/>
                <w:lang w:val="en-US" w:eastAsia="zh-CN"/>
              </w:rPr>
              <w:t>45.87</w:t>
            </w:r>
          </w:p>
        </w:tc>
        <w:tc>
          <w:tcPr>
            <w:tcW w:w="772" w:type="pct"/>
            <w:vAlign w:val="center"/>
          </w:tcPr>
          <w:p w14:paraId="31E39779">
            <w:pPr>
              <w:pStyle w:val="19"/>
              <w:bidi w:val="0"/>
              <w:jc w:val="center"/>
              <w:rPr>
                <w:rFonts w:hint="default"/>
                <w:lang w:val="en-US" w:eastAsia="zh-CN"/>
              </w:rPr>
            </w:pPr>
            <w:r>
              <w:rPr>
                <w:rFonts w:hint="eastAsia"/>
                <w:lang w:val="en-US" w:eastAsia="zh-CN"/>
              </w:rPr>
              <w:t>39.25</w:t>
            </w:r>
          </w:p>
        </w:tc>
        <w:tc>
          <w:tcPr>
            <w:tcW w:w="772" w:type="pct"/>
            <w:vAlign w:val="center"/>
          </w:tcPr>
          <w:p w14:paraId="5ADFAAEA">
            <w:pPr>
              <w:pStyle w:val="19"/>
              <w:bidi w:val="0"/>
              <w:jc w:val="center"/>
              <w:rPr>
                <w:rFonts w:hint="default"/>
                <w:lang w:val="en-US" w:eastAsia="zh-CN"/>
              </w:rPr>
            </w:pPr>
            <w:r>
              <w:rPr>
                <w:rFonts w:hint="eastAsia"/>
                <w:lang w:val="en-US" w:eastAsia="zh-CN"/>
              </w:rPr>
              <w:t>37.35</w:t>
            </w:r>
          </w:p>
        </w:tc>
      </w:tr>
      <w:tr w14:paraId="4C11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2144955B">
            <w:pPr>
              <w:pStyle w:val="19"/>
              <w:bidi w:val="0"/>
              <w:jc w:val="center"/>
              <w:rPr>
                <w:rFonts w:hint="default"/>
                <w:lang w:val="en-US" w:eastAsia="zh-CN"/>
              </w:rPr>
            </w:pPr>
          </w:p>
        </w:tc>
        <w:tc>
          <w:tcPr>
            <w:tcW w:w="1266" w:type="pct"/>
            <w:vAlign w:val="center"/>
          </w:tcPr>
          <w:p w14:paraId="57D3F83B">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出水（mg/L）</w:t>
            </w:r>
          </w:p>
        </w:tc>
        <w:tc>
          <w:tcPr>
            <w:tcW w:w="772" w:type="pct"/>
            <w:vAlign w:val="center"/>
          </w:tcPr>
          <w:p w14:paraId="754A5C68">
            <w:pPr>
              <w:pStyle w:val="19"/>
              <w:bidi w:val="0"/>
              <w:jc w:val="center"/>
              <w:rPr>
                <w:rFonts w:hint="default"/>
                <w:lang w:val="en-US" w:eastAsia="zh-CN"/>
              </w:rPr>
            </w:pPr>
            <w:r>
              <w:rPr>
                <w:rFonts w:hint="eastAsia"/>
                <w:lang w:val="en-US" w:eastAsia="zh-CN"/>
              </w:rPr>
              <w:t>100.59</w:t>
            </w:r>
          </w:p>
        </w:tc>
        <w:tc>
          <w:tcPr>
            <w:tcW w:w="772" w:type="pct"/>
            <w:vAlign w:val="center"/>
          </w:tcPr>
          <w:p w14:paraId="6B811A11">
            <w:pPr>
              <w:pStyle w:val="19"/>
              <w:bidi w:val="0"/>
              <w:jc w:val="center"/>
              <w:rPr>
                <w:rFonts w:hint="default"/>
                <w:lang w:val="en-US" w:eastAsia="zh-CN"/>
              </w:rPr>
            </w:pPr>
            <w:r>
              <w:rPr>
                <w:rFonts w:hint="eastAsia"/>
                <w:lang w:val="en-US" w:eastAsia="zh-CN"/>
              </w:rPr>
              <w:t>43.57</w:t>
            </w:r>
          </w:p>
        </w:tc>
        <w:tc>
          <w:tcPr>
            <w:tcW w:w="772" w:type="pct"/>
            <w:vAlign w:val="center"/>
          </w:tcPr>
          <w:p w14:paraId="303541B1">
            <w:pPr>
              <w:pStyle w:val="19"/>
              <w:bidi w:val="0"/>
              <w:jc w:val="center"/>
              <w:rPr>
                <w:rFonts w:hint="default"/>
                <w:lang w:val="en-US" w:eastAsia="zh-CN"/>
              </w:rPr>
            </w:pPr>
            <w:r>
              <w:rPr>
                <w:rFonts w:hint="eastAsia"/>
                <w:lang w:val="en-US" w:eastAsia="zh-CN"/>
              </w:rPr>
              <w:t>35.32</w:t>
            </w:r>
          </w:p>
        </w:tc>
        <w:tc>
          <w:tcPr>
            <w:tcW w:w="772" w:type="pct"/>
            <w:vAlign w:val="center"/>
          </w:tcPr>
          <w:p w14:paraId="5B2CF5C8">
            <w:pPr>
              <w:pStyle w:val="19"/>
              <w:bidi w:val="0"/>
              <w:jc w:val="center"/>
              <w:rPr>
                <w:rFonts w:hint="default"/>
                <w:lang w:val="en-US" w:eastAsia="zh-CN"/>
              </w:rPr>
            </w:pPr>
            <w:r>
              <w:rPr>
                <w:rFonts w:hint="eastAsia"/>
                <w:lang w:val="en-US" w:eastAsia="zh-CN"/>
              </w:rPr>
              <w:t>35.49</w:t>
            </w:r>
          </w:p>
        </w:tc>
      </w:tr>
      <w:tr w14:paraId="5C15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14:paraId="21B1BD4A">
            <w:pPr>
              <w:pStyle w:val="19"/>
              <w:bidi w:val="0"/>
              <w:jc w:val="center"/>
              <w:rPr>
                <w:rFonts w:hint="default"/>
                <w:lang w:val="en-US" w:eastAsia="zh-CN"/>
              </w:rPr>
            </w:pPr>
          </w:p>
        </w:tc>
        <w:tc>
          <w:tcPr>
            <w:tcW w:w="1266" w:type="pct"/>
            <w:vAlign w:val="center"/>
          </w:tcPr>
          <w:p w14:paraId="0C534C97">
            <w:pPr>
              <w:pStyle w:val="19"/>
              <w:bidi w:val="0"/>
              <w:ind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去除率/%</w:t>
            </w:r>
          </w:p>
        </w:tc>
        <w:tc>
          <w:tcPr>
            <w:tcW w:w="772" w:type="pct"/>
            <w:vAlign w:val="center"/>
          </w:tcPr>
          <w:p w14:paraId="09751E94">
            <w:pPr>
              <w:pStyle w:val="19"/>
              <w:bidi w:val="0"/>
              <w:jc w:val="center"/>
              <w:rPr>
                <w:rFonts w:hint="default"/>
                <w:lang w:val="en-US" w:eastAsia="zh-CN"/>
              </w:rPr>
            </w:pPr>
            <w:r>
              <w:rPr>
                <w:rFonts w:hint="eastAsia"/>
                <w:lang w:val="en-US" w:eastAsia="zh-CN"/>
              </w:rPr>
              <w:t>5%</w:t>
            </w:r>
          </w:p>
        </w:tc>
        <w:tc>
          <w:tcPr>
            <w:tcW w:w="772" w:type="pct"/>
            <w:vAlign w:val="center"/>
          </w:tcPr>
          <w:p w14:paraId="3EC102E4">
            <w:pPr>
              <w:pStyle w:val="19"/>
              <w:bidi w:val="0"/>
              <w:jc w:val="center"/>
              <w:rPr>
                <w:rFonts w:hint="default"/>
                <w:lang w:val="en-US" w:eastAsia="zh-CN"/>
              </w:rPr>
            </w:pPr>
            <w:r>
              <w:rPr>
                <w:rFonts w:hint="eastAsia"/>
                <w:lang w:val="en-US" w:eastAsia="zh-CN"/>
              </w:rPr>
              <w:t>5%</w:t>
            </w:r>
          </w:p>
        </w:tc>
        <w:tc>
          <w:tcPr>
            <w:tcW w:w="772" w:type="pct"/>
            <w:vAlign w:val="center"/>
          </w:tcPr>
          <w:p w14:paraId="4BFB6AD8">
            <w:pPr>
              <w:pStyle w:val="19"/>
              <w:bidi w:val="0"/>
              <w:jc w:val="center"/>
              <w:rPr>
                <w:rFonts w:hint="default"/>
                <w:lang w:val="en-US" w:eastAsia="zh-CN"/>
              </w:rPr>
            </w:pPr>
            <w:r>
              <w:rPr>
                <w:rFonts w:hint="eastAsia"/>
                <w:lang w:val="en-US" w:eastAsia="zh-CN"/>
              </w:rPr>
              <w:t>10%</w:t>
            </w:r>
          </w:p>
        </w:tc>
        <w:tc>
          <w:tcPr>
            <w:tcW w:w="772" w:type="pct"/>
            <w:vAlign w:val="center"/>
          </w:tcPr>
          <w:p w14:paraId="1C8C93ED">
            <w:pPr>
              <w:pStyle w:val="19"/>
              <w:bidi w:val="0"/>
              <w:jc w:val="center"/>
              <w:rPr>
                <w:rFonts w:hint="default"/>
                <w:lang w:val="en-US" w:eastAsia="zh-CN"/>
              </w:rPr>
            </w:pPr>
            <w:r>
              <w:rPr>
                <w:rFonts w:hint="eastAsia"/>
                <w:lang w:val="en-US" w:eastAsia="zh-CN"/>
              </w:rPr>
              <w:t>5%</w:t>
            </w:r>
          </w:p>
        </w:tc>
      </w:tr>
      <w:tr w14:paraId="1922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14:paraId="12041406">
            <w:pPr>
              <w:pStyle w:val="19"/>
              <w:bidi w:val="0"/>
              <w:jc w:val="center"/>
              <w:rPr>
                <w:rFonts w:hint="default"/>
                <w:lang w:val="en-US" w:eastAsia="zh-CN"/>
              </w:rPr>
            </w:pPr>
            <w:r>
              <w:rPr>
                <w:rFonts w:hint="eastAsia"/>
                <w:lang w:val="en-US" w:eastAsia="zh-CN"/>
              </w:rPr>
              <w:t>执行标准</w:t>
            </w:r>
          </w:p>
        </w:tc>
        <w:tc>
          <w:tcPr>
            <w:tcW w:w="1266" w:type="pct"/>
            <w:vAlign w:val="center"/>
          </w:tcPr>
          <w:p w14:paraId="2ABC2005">
            <w:pPr>
              <w:pStyle w:val="19"/>
              <w:bidi w:val="0"/>
              <w:jc w:val="center"/>
              <w:rPr>
                <w:rFonts w:hint="default"/>
                <w:lang w:val="en-US" w:eastAsia="zh-CN"/>
              </w:rPr>
            </w:pPr>
            <w:r>
              <w:rPr>
                <w:color w:val="000000"/>
                <w:highlight w:val="none"/>
              </w:rPr>
              <w:t>《畜禽养殖业污染物排放标准》（GB18596-2001）</w:t>
            </w:r>
          </w:p>
        </w:tc>
        <w:tc>
          <w:tcPr>
            <w:tcW w:w="772" w:type="pct"/>
            <w:vAlign w:val="center"/>
          </w:tcPr>
          <w:p w14:paraId="6EF58B29">
            <w:pPr>
              <w:pStyle w:val="19"/>
              <w:bidi w:val="0"/>
              <w:jc w:val="center"/>
              <w:rPr>
                <w:rFonts w:hint="default"/>
                <w:lang w:val="en-US" w:eastAsia="zh-CN"/>
              </w:rPr>
            </w:pPr>
            <w:r>
              <w:rPr>
                <w:rFonts w:hint="eastAsia"/>
                <w:lang w:val="en-US" w:eastAsia="zh-CN"/>
              </w:rPr>
              <w:t>400</w:t>
            </w:r>
          </w:p>
        </w:tc>
        <w:tc>
          <w:tcPr>
            <w:tcW w:w="772" w:type="pct"/>
            <w:vAlign w:val="center"/>
          </w:tcPr>
          <w:p w14:paraId="27118F16">
            <w:pPr>
              <w:pStyle w:val="19"/>
              <w:bidi w:val="0"/>
              <w:jc w:val="center"/>
              <w:rPr>
                <w:rFonts w:hint="default"/>
                <w:lang w:val="en-US" w:eastAsia="zh-CN"/>
              </w:rPr>
            </w:pPr>
            <w:r>
              <w:rPr>
                <w:rFonts w:hint="eastAsia"/>
                <w:lang w:val="en-US" w:eastAsia="zh-CN"/>
              </w:rPr>
              <w:t>150</w:t>
            </w:r>
          </w:p>
        </w:tc>
        <w:tc>
          <w:tcPr>
            <w:tcW w:w="772" w:type="pct"/>
            <w:vAlign w:val="center"/>
          </w:tcPr>
          <w:p w14:paraId="00A4149B">
            <w:pPr>
              <w:pStyle w:val="19"/>
              <w:bidi w:val="0"/>
              <w:jc w:val="center"/>
              <w:rPr>
                <w:rFonts w:hint="default"/>
                <w:lang w:val="en-US" w:eastAsia="zh-CN"/>
              </w:rPr>
            </w:pPr>
            <w:r>
              <w:rPr>
                <w:rFonts w:hint="eastAsia"/>
                <w:lang w:val="en-US" w:eastAsia="zh-CN"/>
              </w:rPr>
              <w:t>200</w:t>
            </w:r>
          </w:p>
        </w:tc>
        <w:tc>
          <w:tcPr>
            <w:tcW w:w="772" w:type="pct"/>
            <w:vAlign w:val="center"/>
          </w:tcPr>
          <w:p w14:paraId="1BE5A266">
            <w:pPr>
              <w:pStyle w:val="19"/>
              <w:bidi w:val="0"/>
              <w:jc w:val="center"/>
              <w:rPr>
                <w:rFonts w:hint="default"/>
                <w:lang w:val="en-US" w:eastAsia="zh-CN"/>
              </w:rPr>
            </w:pPr>
            <w:r>
              <w:rPr>
                <w:rFonts w:hint="eastAsia"/>
                <w:lang w:val="en-US" w:eastAsia="zh-CN"/>
              </w:rPr>
              <w:t>80</w:t>
            </w:r>
          </w:p>
        </w:tc>
      </w:tr>
      <w:tr w14:paraId="5A90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pct"/>
            <w:gridSpan w:val="2"/>
            <w:vAlign w:val="center"/>
          </w:tcPr>
          <w:p w14:paraId="6209B17C">
            <w:pPr>
              <w:pStyle w:val="19"/>
              <w:bidi w:val="0"/>
              <w:jc w:val="center"/>
              <w:rPr>
                <w:rFonts w:hint="default" w:eastAsia="宋体"/>
                <w:color w:val="000000"/>
                <w:highlight w:val="none"/>
                <w:lang w:val="en-US" w:eastAsia="zh-CN"/>
              </w:rPr>
            </w:pPr>
            <w:r>
              <w:rPr>
                <w:rFonts w:hint="eastAsia"/>
                <w:color w:val="000000"/>
                <w:highlight w:val="none"/>
                <w:lang w:val="en-US" w:eastAsia="zh-CN"/>
              </w:rPr>
              <w:t>达标情况</w:t>
            </w:r>
          </w:p>
        </w:tc>
        <w:tc>
          <w:tcPr>
            <w:tcW w:w="772" w:type="pct"/>
            <w:vAlign w:val="center"/>
          </w:tcPr>
          <w:p w14:paraId="58E497A1">
            <w:pPr>
              <w:pStyle w:val="19"/>
              <w:bidi w:val="0"/>
              <w:jc w:val="center"/>
              <w:rPr>
                <w:rFonts w:hint="default"/>
                <w:lang w:val="en-US" w:eastAsia="zh-CN"/>
              </w:rPr>
            </w:pPr>
            <w:r>
              <w:rPr>
                <w:rFonts w:hint="eastAsia"/>
                <w:lang w:val="en-US" w:eastAsia="zh-CN"/>
              </w:rPr>
              <w:t>达标</w:t>
            </w:r>
          </w:p>
        </w:tc>
        <w:tc>
          <w:tcPr>
            <w:tcW w:w="772" w:type="pct"/>
            <w:vAlign w:val="center"/>
          </w:tcPr>
          <w:p w14:paraId="38C19CC4">
            <w:pPr>
              <w:pStyle w:val="19"/>
              <w:bidi w:val="0"/>
              <w:jc w:val="center"/>
              <w:rPr>
                <w:rFonts w:hint="default"/>
                <w:lang w:val="en-US" w:eastAsia="zh-CN"/>
              </w:rPr>
            </w:pPr>
            <w:r>
              <w:rPr>
                <w:rFonts w:hint="eastAsia"/>
                <w:lang w:val="en-US" w:eastAsia="zh-CN"/>
              </w:rPr>
              <w:t>达标</w:t>
            </w:r>
          </w:p>
        </w:tc>
        <w:tc>
          <w:tcPr>
            <w:tcW w:w="772" w:type="pct"/>
            <w:vAlign w:val="center"/>
          </w:tcPr>
          <w:p w14:paraId="4BA0ADDE">
            <w:pPr>
              <w:pStyle w:val="19"/>
              <w:bidi w:val="0"/>
              <w:jc w:val="center"/>
              <w:rPr>
                <w:rFonts w:hint="default"/>
                <w:lang w:val="en-US" w:eastAsia="zh-CN"/>
              </w:rPr>
            </w:pPr>
            <w:r>
              <w:rPr>
                <w:rFonts w:hint="eastAsia"/>
                <w:lang w:val="en-US" w:eastAsia="zh-CN"/>
              </w:rPr>
              <w:t>达标</w:t>
            </w:r>
          </w:p>
        </w:tc>
        <w:tc>
          <w:tcPr>
            <w:tcW w:w="772" w:type="pct"/>
            <w:vAlign w:val="center"/>
          </w:tcPr>
          <w:p w14:paraId="7D133A33">
            <w:pPr>
              <w:pStyle w:val="19"/>
              <w:bidi w:val="0"/>
              <w:jc w:val="center"/>
              <w:rPr>
                <w:rFonts w:hint="default"/>
                <w:lang w:val="en-US" w:eastAsia="zh-CN"/>
              </w:rPr>
            </w:pPr>
            <w:r>
              <w:rPr>
                <w:rFonts w:hint="eastAsia"/>
                <w:lang w:val="en-US" w:eastAsia="zh-CN"/>
              </w:rPr>
              <w:t>达标</w:t>
            </w:r>
          </w:p>
        </w:tc>
      </w:tr>
    </w:tbl>
    <w:p w14:paraId="378D2EFB">
      <w:pPr>
        <w:bidi w:val="0"/>
        <w:rPr>
          <w:rFonts w:hint="eastAsia"/>
          <w:color w:val="000000"/>
          <w:highlight w:val="none"/>
          <w:lang w:eastAsia="zh-CN"/>
        </w:rPr>
      </w:pPr>
      <w:r>
        <w:rPr>
          <w:rFonts w:hint="eastAsia"/>
          <w:lang w:val="en-US" w:eastAsia="zh-CN"/>
        </w:rPr>
        <w:t>根据上表分析统计数据可知，本项目废水经污水处理系统处理后再好氧塘中暂存的水质满足</w:t>
      </w:r>
      <w:r>
        <w:rPr>
          <w:color w:val="000000"/>
          <w:highlight w:val="none"/>
        </w:rPr>
        <w:t>《畜禽养殖业污染物排放标准》（GB18596-2001）表4最高允许排水量、表5养殖业污染物最高允许日均排放浓度值</w:t>
      </w:r>
      <w:r>
        <w:rPr>
          <w:rFonts w:hint="eastAsia"/>
          <w:color w:val="000000"/>
          <w:highlight w:val="none"/>
          <w:lang w:eastAsia="zh-CN"/>
        </w:rPr>
        <w:t>。</w:t>
      </w:r>
    </w:p>
    <w:p w14:paraId="2EED11EC">
      <w:pPr>
        <w:bidi w:val="0"/>
        <w:rPr>
          <w:rFonts w:hint="default"/>
          <w:color w:val="000000"/>
          <w:highlight w:val="none"/>
          <w:vertAlign w:val="baseline"/>
          <w:lang w:val="en-US" w:eastAsia="zh-CN"/>
        </w:rPr>
      </w:pPr>
      <w:r>
        <w:rPr>
          <w:rFonts w:hint="eastAsia"/>
          <w:color w:val="000000"/>
          <w:highlight w:val="none"/>
          <w:lang w:val="en-US" w:eastAsia="zh-CN"/>
        </w:rPr>
        <w:t>非灌溉季节，本项目处理后的废水在好氧塘中暂存，根据本项目所在区域的耕种特点，非灌溉季节一般为每年的11月至来年4月，共计182天，根据前文工程分析可知，本项目废水产生量为260.58m</w:t>
      </w:r>
      <w:r>
        <w:rPr>
          <w:rFonts w:hint="eastAsia"/>
          <w:color w:val="000000"/>
          <w:highlight w:val="none"/>
          <w:vertAlign w:val="superscript"/>
          <w:lang w:val="en-US" w:eastAsia="zh-CN"/>
        </w:rPr>
        <w:t>3</w:t>
      </w:r>
      <w:r>
        <w:rPr>
          <w:rFonts w:hint="eastAsia"/>
          <w:color w:val="000000"/>
          <w:highlight w:val="none"/>
          <w:vertAlign w:val="baseline"/>
          <w:lang w:val="en-US" w:eastAsia="zh-CN"/>
        </w:rPr>
        <w:t>/d，则非灌溉季节的废水产生量为47425.56</w:t>
      </w:r>
      <w:r>
        <w:rPr>
          <w:rFonts w:hint="eastAsia"/>
          <w:color w:val="000000"/>
          <w:highlight w:val="none"/>
          <w:lang w:val="en-US" w:eastAsia="zh-CN"/>
        </w:rPr>
        <w:t>m</w:t>
      </w:r>
      <w:r>
        <w:rPr>
          <w:rFonts w:hint="eastAsia"/>
          <w:color w:val="000000"/>
          <w:highlight w:val="none"/>
          <w:vertAlign w:val="superscript"/>
          <w:lang w:val="en-US" w:eastAsia="zh-CN"/>
        </w:rPr>
        <w:t>3</w:t>
      </w:r>
      <w:r>
        <w:rPr>
          <w:rFonts w:hint="eastAsia"/>
          <w:color w:val="000000"/>
          <w:highlight w:val="none"/>
          <w:vertAlign w:val="baseline"/>
          <w:lang w:val="en-US" w:eastAsia="zh-CN"/>
        </w:rPr>
        <w:t>，而本项目氧化塘容积为4.4万</w:t>
      </w:r>
      <w:r>
        <w:rPr>
          <w:rFonts w:hint="eastAsia"/>
          <w:color w:val="000000"/>
          <w:highlight w:val="none"/>
          <w:lang w:val="en-US" w:eastAsia="zh-CN"/>
        </w:rPr>
        <w:t>m</w:t>
      </w:r>
      <w:r>
        <w:rPr>
          <w:rFonts w:hint="eastAsia"/>
          <w:color w:val="000000"/>
          <w:highlight w:val="none"/>
          <w:vertAlign w:val="superscript"/>
          <w:lang w:val="en-US" w:eastAsia="zh-CN"/>
        </w:rPr>
        <w:t>3</w:t>
      </w:r>
      <w:r>
        <w:rPr>
          <w:rFonts w:hint="eastAsia"/>
          <w:color w:val="000000"/>
          <w:highlight w:val="none"/>
          <w:vertAlign w:val="baseline"/>
          <w:lang w:val="en-US" w:eastAsia="zh-CN"/>
        </w:rPr>
        <w:t>，3座粪污处理池容积为6667×3=20001</w:t>
      </w:r>
      <w:r>
        <w:rPr>
          <w:rFonts w:hint="eastAsia"/>
          <w:color w:val="000000"/>
          <w:highlight w:val="none"/>
          <w:lang w:val="en-US" w:eastAsia="zh-CN"/>
        </w:rPr>
        <w:t>m</w:t>
      </w:r>
      <w:r>
        <w:rPr>
          <w:rFonts w:hint="eastAsia"/>
          <w:color w:val="000000"/>
          <w:highlight w:val="none"/>
          <w:vertAlign w:val="superscript"/>
          <w:lang w:val="en-US" w:eastAsia="zh-CN"/>
        </w:rPr>
        <w:t>3</w:t>
      </w:r>
      <w:r>
        <w:rPr>
          <w:rFonts w:hint="eastAsia"/>
          <w:color w:val="000000"/>
          <w:highlight w:val="none"/>
          <w:vertAlign w:val="baseline"/>
          <w:lang w:val="en-US" w:eastAsia="zh-CN"/>
        </w:rPr>
        <w:t>，合计容积64001</w:t>
      </w:r>
      <w:r>
        <w:rPr>
          <w:rFonts w:hint="eastAsia"/>
          <w:color w:val="000000"/>
          <w:highlight w:val="none"/>
          <w:lang w:val="en-US" w:eastAsia="zh-CN"/>
        </w:rPr>
        <w:t>m</w:t>
      </w:r>
      <w:r>
        <w:rPr>
          <w:rFonts w:hint="eastAsia"/>
          <w:color w:val="000000"/>
          <w:highlight w:val="none"/>
          <w:vertAlign w:val="superscript"/>
          <w:lang w:val="en-US" w:eastAsia="zh-CN"/>
        </w:rPr>
        <w:t>3</w:t>
      </w:r>
      <w:r>
        <w:rPr>
          <w:rFonts w:hint="eastAsia"/>
          <w:color w:val="000000"/>
          <w:highlight w:val="none"/>
          <w:vertAlign w:val="baseline"/>
          <w:lang w:val="en-US" w:eastAsia="zh-CN"/>
        </w:rPr>
        <w:t>＞47425.56</w:t>
      </w:r>
      <w:r>
        <w:rPr>
          <w:rFonts w:hint="eastAsia"/>
          <w:color w:val="000000"/>
          <w:highlight w:val="none"/>
          <w:lang w:val="en-US" w:eastAsia="zh-CN"/>
        </w:rPr>
        <w:t>m</w:t>
      </w:r>
      <w:r>
        <w:rPr>
          <w:rFonts w:hint="eastAsia"/>
          <w:color w:val="000000"/>
          <w:highlight w:val="none"/>
          <w:vertAlign w:val="superscript"/>
          <w:lang w:val="en-US" w:eastAsia="zh-CN"/>
        </w:rPr>
        <w:t>3</w:t>
      </w:r>
      <w:r>
        <w:rPr>
          <w:rFonts w:hint="eastAsia"/>
          <w:color w:val="000000"/>
          <w:highlight w:val="none"/>
          <w:vertAlign w:val="baseline"/>
          <w:lang w:val="en-US" w:eastAsia="zh-CN"/>
        </w:rPr>
        <w:t>，可以满足非灌溉季节的废水暂存。</w:t>
      </w:r>
    </w:p>
    <w:p w14:paraId="0C89ED69">
      <w:pPr>
        <w:pStyle w:val="28"/>
        <w:bidi w:val="0"/>
        <w:rPr>
          <w:rFonts w:hint="default"/>
          <w:lang w:val="en-US" w:eastAsia="zh-CN"/>
        </w:rPr>
      </w:pPr>
      <w:r>
        <w:rPr>
          <w:rFonts w:hint="eastAsia"/>
          <w:lang w:val="en-US" w:eastAsia="zh-CN"/>
        </w:rPr>
        <w:t>结论</w:t>
      </w:r>
    </w:p>
    <w:p w14:paraId="72927EB8">
      <w:pPr>
        <w:bidi w:val="0"/>
        <w:rPr>
          <w:rFonts w:hint="default"/>
          <w:lang w:val="en-US" w:eastAsia="zh-CN"/>
        </w:rPr>
      </w:pPr>
      <w:r>
        <w:rPr>
          <w:rFonts w:hint="eastAsia"/>
          <w:lang w:val="en-US" w:eastAsia="zh-CN"/>
        </w:rPr>
        <w:t>根据上文分析，本项目所采用的废水治理措施在工艺属于《畜禽养殖业污染治理工程技术规范》（HJ497-2009）中列明的处理模式，属于《排污许可证申请与核发技术规范 畜禽养殖行业》（HJ1029-2019）中已列明的可行技术；废水排放水质能够满足</w:t>
      </w:r>
      <w:r>
        <w:rPr>
          <w:color w:val="000000"/>
          <w:highlight w:val="none"/>
        </w:rPr>
        <w:t>《畜禽养殖业污染物排放标准》（GB18596-2001）表4最高允许排水量、表5养殖业污染物最高允许日均排放浓度值</w:t>
      </w:r>
      <w:r>
        <w:rPr>
          <w:rFonts w:hint="eastAsia"/>
          <w:color w:val="000000"/>
          <w:highlight w:val="none"/>
          <w:lang w:eastAsia="zh-CN"/>
        </w:rPr>
        <w:t>，</w:t>
      </w:r>
      <w:r>
        <w:rPr>
          <w:rFonts w:hint="eastAsia"/>
          <w:color w:val="000000"/>
          <w:highlight w:val="none"/>
          <w:lang w:val="en-US" w:eastAsia="zh-CN"/>
        </w:rPr>
        <w:t>实现</w:t>
      </w:r>
      <w:r>
        <w:rPr>
          <w:rFonts w:hint="eastAsia"/>
          <w:lang w:val="en-US" w:eastAsia="zh-CN"/>
        </w:rPr>
        <w:t>达标排放。</w:t>
      </w:r>
    </w:p>
    <w:p w14:paraId="17621404">
      <w:pPr>
        <w:bidi w:val="0"/>
        <w:rPr>
          <w:rFonts w:hint="default"/>
          <w:lang w:val="en-US" w:eastAsia="zh-CN"/>
        </w:rPr>
      </w:pPr>
      <w:r>
        <w:rPr>
          <w:rFonts w:hint="eastAsia"/>
          <w:lang w:val="en-US" w:eastAsia="zh-CN"/>
        </w:rPr>
        <w:t>综上所述，本项目所用废水污染治理措施可行。</w:t>
      </w:r>
    </w:p>
    <w:p w14:paraId="54EFBD29">
      <w:pPr>
        <w:pStyle w:val="27"/>
        <w:bidi w:val="0"/>
        <w:rPr>
          <w:rFonts w:hint="default"/>
          <w:lang w:val="en-US" w:eastAsia="zh-CN"/>
        </w:rPr>
      </w:pPr>
      <w:r>
        <w:rPr>
          <w:rFonts w:hint="eastAsia"/>
          <w:lang w:val="en-US" w:eastAsia="zh-CN"/>
        </w:rPr>
        <w:t>地下水防止措施及其可行性</w:t>
      </w:r>
    </w:p>
    <w:p w14:paraId="269D6BD8">
      <w:pPr>
        <w:bidi w:val="0"/>
        <w:rPr>
          <w:rFonts w:hint="default"/>
          <w:lang w:val="en-US" w:eastAsia="zh-CN"/>
        </w:rPr>
      </w:pPr>
      <w:r>
        <w:rPr>
          <w:rFonts w:hint="eastAsia"/>
          <w:lang w:val="en-US" w:eastAsia="zh-CN"/>
        </w:rPr>
        <w:t>针对本项目可导致的地下水环境污染，其防治措施的制定按照“源头控制，分区防控，污染监控，应急响应”的思路，从污染物泄漏源头、入渗过程和扩散阶段分别进行控制，并制定合理有效的应急预案，从而达到保护地下水环境的目的，具体如下：</w:t>
      </w:r>
    </w:p>
    <w:p w14:paraId="0DC6FF34">
      <w:pPr>
        <w:pStyle w:val="28"/>
        <w:bidi w:val="0"/>
        <w:rPr>
          <w:rFonts w:hint="eastAsia"/>
          <w:lang w:val="en-US" w:eastAsia="zh-CN"/>
        </w:rPr>
      </w:pPr>
      <w:r>
        <w:t>源头控制措施</w:t>
      </w:r>
    </w:p>
    <w:p w14:paraId="13ED4EF7">
      <w:pPr>
        <w:bidi w:val="0"/>
        <w:rPr>
          <w:rFonts w:hint="eastAsia"/>
          <w:lang w:val="en-US" w:eastAsia="zh-CN"/>
        </w:rPr>
      </w:pPr>
      <w:r>
        <w:rPr>
          <w:rFonts w:hint="eastAsia"/>
          <w:lang w:val="en-US" w:eastAsia="zh-CN"/>
        </w:rPr>
        <w:t>为了最大限度降低养殖生产过程中高浓度有机废水的跑冒滴漏，防止地下水污染，本工程在生产工艺、设备、建筑结构、总图等方面应考虑相应的控制措施，具体措施如下：</w:t>
      </w:r>
    </w:p>
    <w:p w14:paraId="1BFAEC24">
      <w:pPr>
        <w:bidi w:val="0"/>
        <w:rPr>
          <w:rFonts w:hint="eastAsia"/>
          <w:lang w:val="en-US" w:eastAsia="zh-CN"/>
        </w:rPr>
      </w:pPr>
      <w:r>
        <w:rPr>
          <w:rFonts w:hint="eastAsia"/>
          <w:lang w:val="en-US" w:eastAsia="zh-CN"/>
        </w:rPr>
        <w:t>（1）本项目废物处理池、好氧塘、堆肥场、干湿分离房、危废暂存间等易产生泄漏的重点区域、设备尽可能按其物料性质分类处置、固液分离。场区应设置防止泄漏的污染物和污水直接排出厂外的设施。</w:t>
      </w:r>
    </w:p>
    <w:p w14:paraId="02F05C33">
      <w:pPr>
        <w:bidi w:val="0"/>
        <w:rPr>
          <w:rFonts w:hint="eastAsia"/>
          <w:lang w:val="en-US" w:eastAsia="zh-CN"/>
        </w:rPr>
      </w:pPr>
      <w:r>
        <w:rPr>
          <w:rFonts w:hint="eastAsia"/>
          <w:lang w:val="en-US" w:eastAsia="zh-CN"/>
        </w:rPr>
        <w:t>（2）设备装置系统内除输送消防水、生产用水和生活用水等非污染介质的管道外，管道上所有安装后不需拆卸的螺纹连接部位均应密封焊，其他需要经常进行拆装或不允许密封焊的螺纹连接部位应有可靠的密封措施。对于含污染物的管道，除与阀门、仪表和设备等连接可采用法兰连接外，应优先采用焊接，管道应做明显的标志，按规范要求进行气密性试验。如确实需要地下敷设时，应采取必要的防渗措施。输送生产废水的压力管道宜采用地上敷设，输送含污染物的地下重力污水管道及附属构筑物，必须进行闭水试验，试验段不得有渗漏。对于所有含污染物的管道和设备日常使用的排净口应配备法兰盖。</w:t>
      </w:r>
    </w:p>
    <w:p w14:paraId="4A40F253">
      <w:pPr>
        <w:bidi w:val="0"/>
        <w:rPr>
          <w:rFonts w:hint="eastAsia"/>
          <w:lang w:val="en-US" w:eastAsia="zh-CN"/>
        </w:rPr>
      </w:pPr>
      <w:r>
        <w:rPr>
          <w:rFonts w:hint="eastAsia"/>
          <w:lang w:val="en-US" w:eastAsia="zh-CN"/>
        </w:rPr>
        <w:t>（3）场区仓库有可能发生物料或化学药品或含有污染物的介质泄漏的地面按污染区地面处理，地面坡向集水点的坡度须大于0.01，地面与墙、柱、设备基础等交接处须做翻边处理。</w:t>
      </w:r>
    </w:p>
    <w:p w14:paraId="431F4360">
      <w:pPr>
        <w:pStyle w:val="28"/>
        <w:bidi w:val="0"/>
        <w:rPr>
          <w:rFonts w:hint="eastAsia"/>
          <w:lang w:val="en-US" w:eastAsia="zh-CN"/>
        </w:rPr>
      </w:pPr>
      <w:r>
        <w:t>地下水分区防控措施</w:t>
      </w:r>
    </w:p>
    <w:p w14:paraId="195DE7A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根据本项目平面布置、污染物产生、收集及处理等环节将场区分为重点防渗区、一般防渗区和简单防渗区。</w:t>
      </w:r>
      <w:r>
        <w:rPr>
          <w:rFonts w:hint="eastAsia"/>
          <w:color w:val="000000" w:themeColor="text1"/>
          <w:highlight w:val="none"/>
          <w:lang w:val="en-US" w:eastAsia="zh-CN"/>
          <w14:textFill>
            <w14:solidFill>
              <w14:schemeClr w14:val="tx1"/>
            </w14:solidFill>
          </w14:textFill>
        </w:rPr>
        <w:t>1#～3#粪污处理池、氧化塘</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堆</w:t>
      </w:r>
      <w:r>
        <w:rPr>
          <w:rFonts w:hint="eastAsia"/>
          <w:color w:val="000000" w:themeColor="text1"/>
          <w:highlight w:val="none"/>
          <w:lang w:val="en-US" w:eastAsia="zh-CN"/>
          <w14:textFill>
            <w14:solidFill>
              <w14:schemeClr w14:val="tx1"/>
            </w14:solidFill>
          </w14:textFill>
        </w:rPr>
        <w:t>肥</w:t>
      </w:r>
      <w:r>
        <w:rPr>
          <w:rFonts w:hint="eastAsia"/>
          <w:color w:val="000000" w:themeColor="text1"/>
          <w:highlight w:val="none"/>
          <w14:textFill>
            <w14:solidFill>
              <w14:schemeClr w14:val="tx1"/>
            </w14:solidFill>
          </w14:textFill>
        </w:rPr>
        <w:t>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干湿分离</w:t>
      </w:r>
      <w:r>
        <w:rPr>
          <w:rFonts w:hint="eastAsia"/>
          <w:color w:val="000000" w:themeColor="text1"/>
          <w:highlight w:val="none"/>
          <w:lang w:val="en-US" w:eastAsia="zh-CN"/>
          <w14:textFill>
            <w14:solidFill>
              <w14:schemeClr w14:val="tx1"/>
            </w14:solidFill>
          </w14:textFill>
        </w:rPr>
        <w:t>房</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等属于重点防渗区，</w:t>
      </w:r>
      <w:r>
        <w:rPr>
          <w:rFonts w:hint="eastAsia"/>
          <w:color w:val="000000" w:themeColor="text1"/>
          <w:highlight w:val="none"/>
          <w:lang w:val="en-US" w:eastAsia="zh-CN"/>
          <w14:textFill>
            <w14:solidFill>
              <w14:schemeClr w14:val="tx1"/>
            </w14:solidFill>
          </w14:textFill>
        </w:rPr>
        <w:t>育肥舍</w:t>
      </w:r>
      <w:r>
        <w:rPr>
          <w:color w:val="000000" w:themeColor="text1"/>
          <w:highlight w:val="none"/>
          <w14:textFill>
            <w14:solidFill>
              <w14:schemeClr w14:val="tx1"/>
            </w14:solidFill>
          </w14:textFill>
        </w:rPr>
        <w:t>等属于一般防渗区，场区道路、职工宿舍区，办公区属于简单防渗区。</w:t>
      </w:r>
    </w:p>
    <w:p w14:paraId="13A6896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重点防渗区：</w:t>
      </w:r>
      <w:r>
        <w:rPr>
          <w:rFonts w:hint="eastAsia"/>
          <w:color w:val="000000" w:themeColor="text1"/>
          <w:highlight w:val="none"/>
          <w:lang w:val="en-US" w:eastAsia="zh-CN"/>
          <w14:textFill>
            <w14:solidFill>
              <w14:schemeClr w14:val="tx1"/>
            </w14:solidFill>
          </w14:textFill>
        </w:rPr>
        <w:t>等效黏土防渗层Mb≥6.0m，K≤1.0×10</w:t>
      </w:r>
      <w:r>
        <w:rPr>
          <w:rFonts w:hint="default"/>
          <w:color w:val="000000" w:themeColor="text1"/>
          <w:highlight w:val="none"/>
          <w:vertAlign w:val="superscript"/>
          <w:lang w:val="en-US" w:eastAsia="zh-CN"/>
          <w14:textFill>
            <w14:solidFill>
              <w14:schemeClr w14:val="tx1"/>
            </w14:solidFill>
          </w14:textFill>
        </w:rPr>
        <w:t>-</w:t>
      </w:r>
      <w:r>
        <w:rPr>
          <w:rFonts w:hint="eastAsia"/>
          <w:color w:val="000000" w:themeColor="text1"/>
          <w:highlight w:val="none"/>
          <w:vertAlign w:val="superscript"/>
          <w:lang w:val="en-US" w:eastAsia="zh-CN"/>
          <w14:textFill>
            <w14:solidFill>
              <w14:schemeClr w14:val="tx1"/>
            </w14:solidFill>
          </w14:textFill>
        </w:rPr>
        <w:t>7</w:t>
      </w:r>
      <w:r>
        <w:rPr>
          <w:rFonts w:hint="default"/>
          <w:color w:val="000000" w:themeColor="text1"/>
          <w:highlight w:val="none"/>
          <w:lang w:val="en-US" w:eastAsia="zh-CN"/>
          <w14:textFill>
            <w14:solidFill>
              <w14:schemeClr w14:val="tx1"/>
            </w14:solidFill>
          </w14:textFill>
        </w:rPr>
        <w:t>cm/s</w:t>
      </w:r>
      <w:r>
        <w:rPr>
          <w:rFonts w:hint="eastAsia"/>
          <w:color w:val="000000" w:themeColor="text1"/>
          <w:highlight w:val="none"/>
          <w:lang w:val="en-US" w:eastAsia="zh-CN"/>
          <w14:textFill>
            <w14:solidFill>
              <w14:schemeClr w14:val="tx1"/>
            </w14:solidFill>
          </w14:textFill>
        </w:rPr>
        <w:t>；或参照GB18598执行。</w:t>
      </w:r>
      <w:r>
        <w:rPr>
          <w:color w:val="000000" w:themeColor="text1"/>
          <w:highlight w:val="none"/>
          <w14:textFill>
            <w14:solidFill>
              <w14:schemeClr w14:val="tx1"/>
            </w14:solidFill>
          </w14:textFill>
        </w:rPr>
        <w:t>底部设置排气沟，最底部排气沟设置放水管，并设置导流渠，以防止污染地下水。</w:t>
      </w:r>
    </w:p>
    <w:p w14:paraId="0875D3B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一般防渗区：</w:t>
      </w:r>
      <w:r>
        <w:rPr>
          <w:rFonts w:hint="eastAsia" w:ascii="Times New Roman" w:hAnsi="Times New Roman"/>
          <w:color w:val="000000" w:themeColor="text1"/>
          <w:highlight w:val="none"/>
          <w:lang w:val="en-US" w:eastAsia="zh-CN"/>
          <w14:textFill>
            <w14:solidFill>
              <w14:schemeClr w14:val="tx1"/>
            </w14:solidFill>
          </w14:textFill>
        </w:rPr>
        <w:t>等效黏土防渗层Mb≥1.5m，K≤1.0×</w:t>
      </w:r>
      <w:r>
        <w:rPr>
          <w:rFonts w:hint="default" w:ascii="Times New Roman" w:hAnsi="Times New Roman"/>
          <w:color w:val="000000" w:themeColor="text1"/>
          <w:highlight w:val="none"/>
          <w:lang w:val="en-US" w:eastAsia="zh-CN"/>
          <w14:textFill>
            <w14:solidFill>
              <w14:schemeClr w14:val="tx1"/>
            </w14:solidFill>
          </w14:textFill>
        </w:rPr>
        <w:t>10</w:t>
      </w:r>
      <w:r>
        <w:rPr>
          <w:rFonts w:hint="default" w:ascii="Times New Roman" w:hAnsi="Times New Roman"/>
          <w:color w:val="000000" w:themeColor="text1"/>
          <w:highlight w:val="none"/>
          <w:vertAlign w:val="superscript"/>
          <w:lang w:val="en-US" w:eastAsia="zh-CN"/>
          <w14:textFill>
            <w14:solidFill>
              <w14:schemeClr w14:val="tx1"/>
            </w14:solidFill>
          </w14:textFill>
        </w:rPr>
        <w:t>-7</w:t>
      </w:r>
      <w:r>
        <w:rPr>
          <w:rFonts w:hint="default" w:ascii="Times New Roman" w:hAnsi="Times New Roman"/>
          <w:color w:val="000000" w:themeColor="text1"/>
          <w:highlight w:val="none"/>
          <w:lang w:val="en-US" w:eastAsia="zh-CN"/>
          <w14:textFill>
            <w14:solidFill>
              <w14:schemeClr w14:val="tx1"/>
            </w14:solidFill>
          </w14:textFill>
        </w:rPr>
        <w:t>cm/s</w:t>
      </w:r>
      <w:r>
        <w:rPr>
          <w:rFonts w:hint="eastAsia" w:ascii="Times New Roman" w:hAnsi="Times New Roman"/>
          <w:color w:val="000000" w:themeColor="text1"/>
          <w:highlight w:val="none"/>
          <w:lang w:val="en-US" w:eastAsia="zh-CN"/>
          <w14:textFill>
            <w14:solidFill>
              <w14:schemeClr w14:val="tx1"/>
            </w14:solidFill>
          </w14:textFill>
        </w:rPr>
        <w:t>；或参照GB16889执行），在做好基层防渗的基础上进行水泥硬化。</w:t>
      </w:r>
    </w:p>
    <w:p w14:paraId="7E3BEE38">
      <w:pPr>
        <w:bidi w:val="0"/>
        <w:ind w:firstLine="480" w:firstLineChars="200"/>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简单防渗区：采用混凝土进行一般地面硬化。</w:t>
      </w:r>
    </w:p>
    <w:p w14:paraId="00564A33">
      <w:pPr>
        <w:bidi w:val="0"/>
        <w:rPr>
          <w:rFonts w:hint="eastAsia"/>
          <w:lang w:val="en-US" w:eastAsia="zh-CN"/>
        </w:rPr>
      </w:pPr>
      <w:r>
        <w:rPr>
          <w:color w:val="000000" w:themeColor="text1"/>
          <w:highlight w:val="none"/>
          <w14:textFill>
            <w14:solidFill>
              <w14:schemeClr w14:val="tx1"/>
            </w14:solidFill>
          </w14:textFill>
        </w:rPr>
        <w:t>根据不同的分区采取相应的防渗措施，分区情况见表6.2-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p>
    <w:p w14:paraId="0228FC49">
      <w:pPr>
        <w:pStyle w:val="30"/>
        <w:bidi w:val="0"/>
        <w:rPr>
          <w:rFonts w:hint="eastAsia"/>
        </w:rPr>
      </w:pPr>
      <w:r>
        <w:rPr>
          <w:rFonts w:hint="eastAsia"/>
        </w:rPr>
        <w:t>表6.2-</w:t>
      </w:r>
      <w:r>
        <w:rPr>
          <w:rFonts w:hint="eastAsia"/>
          <w:lang w:val="en-US" w:eastAsia="zh-CN"/>
        </w:rPr>
        <w:t xml:space="preserve">4  </w:t>
      </w:r>
      <w:r>
        <w:rPr>
          <w:rFonts w:hint="eastAsia"/>
        </w:rPr>
        <w:t xml:space="preserve"> 项目主要防渗环节及具体措施</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761"/>
        <w:gridCol w:w="5652"/>
      </w:tblGrid>
      <w:tr w14:paraId="6AF3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3" w:type="pct"/>
            <w:gridSpan w:val="2"/>
            <w:vAlign w:val="center"/>
          </w:tcPr>
          <w:p w14:paraId="291AC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vertAlign w:val="baseli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防渗部位</w:t>
            </w:r>
          </w:p>
        </w:tc>
        <w:tc>
          <w:tcPr>
            <w:tcW w:w="3316" w:type="pct"/>
            <w:vAlign w:val="center"/>
          </w:tcPr>
          <w:p w14:paraId="6D5BF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vertAlign w:val="baseli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防渗等级</w:t>
            </w:r>
          </w:p>
        </w:tc>
      </w:tr>
      <w:tr w14:paraId="594E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50" w:type="pct"/>
            <w:vAlign w:val="center"/>
          </w:tcPr>
          <w:p w14:paraId="27AA5B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重点防渗</w:t>
            </w:r>
          </w:p>
        </w:tc>
        <w:tc>
          <w:tcPr>
            <w:tcW w:w="1033" w:type="pct"/>
            <w:vAlign w:val="center"/>
          </w:tcPr>
          <w:p w14:paraId="414FE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highlight w:val="none"/>
                <w:vertAlign w:val="baseline"/>
                <w:lang w:eastAsia="zh-CN"/>
                <w14:textFill>
                  <w14:solidFill>
                    <w14:schemeClr w14:val="tx1"/>
                  </w14:solidFill>
                </w14:textFill>
              </w:rPr>
            </w:pPr>
            <w:r>
              <w:rPr>
                <w:rFonts w:hint="eastAsia" w:eastAsia="宋体"/>
                <w:color w:val="000000" w:themeColor="text1"/>
                <w:sz w:val="21"/>
                <w:szCs w:val="21"/>
                <w:highlight w:val="none"/>
                <w:vertAlign w:val="baseline"/>
                <w:lang w:val="en-US" w:eastAsia="zh-CN"/>
                <w14:textFill>
                  <w14:solidFill>
                    <w14:schemeClr w14:val="tx1"/>
                  </w14:solidFill>
                </w14:textFill>
              </w:rPr>
              <w:t>1#～3#粪污处理池、氧化塘</w:t>
            </w:r>
            <w:r>
              <w:rPr>
                <w:rFonts w:hint="eastAsia" w:eastAsia="宋体"/>
                <w:color w:val="000000" w:themeColor="text1"/>
                <w:sz w:val="21"/>
                <w:szCs w:val="21"/>
                <w:highlight w:val="none"/>
                <w:vertAlign w:val="baseline"/>
                <w:lang w:eastAsia="zh-CN"/>
                <w14:textFill>
                  <w14:solidFill>
                    <w14:schemeClr w14:val="tx1"/>
                  </w14:solidFill>
                </w14:textFill>
              </w:rPr>
              <w:t>、堆</w:t>
            </w:r>
            <w:r>
              <w:rPr>
                <w:rFonts w:hint="eastAsia" w:eastAsia="宋体"/>
                <w:color w:val="000000" w:themeColor="text1"/>
                <w:sz w:val="21"/>
                <w:szCs w:val="21"/>
                <w:highlight w:val="none"/>
                <w:vertAlign w:val="baseline"/>
                <w:lang w:val="en-US" w:eastAsia="zh-CN"/>
                <w14:textFill>
                  <w14:solidFill>
                    <w14:schemeClr w14:val="tx1"/>
                  </w14:solidFill>
                </w14:textFill>
              </w:rPr>
              <w:t>肥</w:t>
            </w:r>
            <w:r>
              <w:rPr>
                <w:rFonts w:hint="eastAsia" w:eastAsia="宋体"/>
                <w:color w:val="000000" w:themeColor="text1"/>
                <w:sz w:val="21"/>
                <w:szCs w:val="21"/>
                <w:highlight w:val="none"/>
                <w:vertAlign w:val="baseline"/>
                <w:lang w:eastAsia="zh-CN"/>
                <w14:textFill>
                  <w14:solidFill>
                    <w14:schemeClr w14:val="tx1"/>
                  </w14:solidFill>
                </w14:textFill>
              </w:rPr>
              <w:t>场、干湿分离</w:t>
            </w:r>
            <w:r>
              <w:rPr>
                <w:rFonts w:hint="eastAsia" w:eastAsia="宋体"/>
                <w:color w:val="000000" w:themeColor="text1"/>
                <w:sz w:val="21"/>
                <w:szCs w:val="21"/>
                <w:highlight w:val="none"/>
                <w:vertAlign w:val="baseline"/>
                <w:lang w:val="en-US" w:eastAsia="zh-CN"/>
                <w14:textFill>
                  <w14:solidFill>
                    <w14:schemeClr w14:val="tx1"/>
                  </w14:solidFill>
                </w14:textFill>
              </w:rPr>
              <w:t>房</w:t>
            </w:r>
            <w:r>
              <w:rPr>
                <w:rFonts w:hint="eastAsia" w:eastAsia="宋体"/>
                <w:color w:val="000000" w:themeColor="text1"/>
                <w:sz w:val="21"/>
                <w:szCs w:val="21"/>
                <w:highlight w:val="none"/>
                <w:vertAlign w:val="baseline"/>
                <w:lang w:eastAsia="zh-CN"/>
                <w14:textFill>
                  <w14:solidFill>
                    <w14:schemeClr w14:val="tx1"/>
                  </w14:solidFill>
                </w14:textFill>
              </w:rPr>
              <w:t>、危废暂存间</w:t>
            </w:r>
          </w:p>
        </w:tc>
        <w:tc>
          <w:tcPr>
            <w:tcW w:w="3316" w:type="pct"/>
            <w:vAlign w:val="center"/>
          </w:tcPr>
          <w:p w14:paraId="02DD6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等效黏土防渗层Mb≥6.0m，K≤1.0×10</w:t>
            </w:r>
            <w:r>
              <w:rPr>
                <w:rFonts w:hint="eastAsia"/>
                <w:color w:val="000000" w:themeColor="text1"/>
                <w:sz w:val="21"/>
                <w:szCs w:val="21"/>
                <w:highlight w:val="none"/>
                <w:vertAlign w:val="superscript"/>
                <w14:textFill>
                  <w14:solidFill>
                    <w14:schemeClr w14:val="tx1"/>
                  </w14:solidFill>
                </w14:textFill>
              </w:rPr>
              <w:t>-7</w:t>
            </w:r>
            <w:r>
              <w:rPr>
                <w:rFonts w:hint="eastAsia"/>
                <w:color w:val="000000" w:themeColor="text1"/>
                <w:sz w:val="21"/>
                <w:szCs w:val="21"/>
                <w:highlight w:val="none"/>
                <w14:textFill>
                  <w14:solidFill>
                    <w14:schemeClr w14:val="tx1"/>
                  </w14:solidFill>
                </w14:textFill>
              </w:rPr>
              <w:t>cm/s；s；或参照GB18598</w:t>
            </w:r>
            <w:r>
              <w:rPr>
                <w:rFonts w:hint="eastAsia"/>
                <w:color w:val="000000" w:themeColor="text1"/>
                <w:sz w:val="21"/>
                <w:szCs w:val="21"/>
                <w:highlight w:val="none"/>
                <w:lang w:val="en-US" w:eastAsia="zh-CN"/>
                <w14:textFill>
                  <w14:solidFill>
                    <w14:schemeClr w14:val="tx1"/>
                  </w14:solidFill>
                </w14:textFill>
              </w:rPr>
              <w:t>执行</w:t>
            </w:r>
          </w:p>
        </w:tc>
      </w:tr>
      <w:tr w14:paraId="6B34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14:paraId="795FF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一般防渗</w:t>
            </w:r>
          </w:p>
        </w:tc>
        <w:tc>
          <w:tcPr>
            <w:tcW w:w="1033" w:type="pct"/>
            <w:vAlign w:val="center"/>
          </w:tcPr>
          <w:p w14:paraId="72919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育肥舍、1号～3号锅炉房</w:t>
            </w:r>
          </w:p>
        </w:tc>
        <w:tc>
          <w:tcPr>
            <w:tcW w:w="3316" w:type="pct"/>
            <w:vAlign w:val="center"/>
          </w:tcPr>
          <w:p w14:paraId="5F9E6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等效黏土防渗层Mb≥1.5m，K≤1.0×10</w:t>
            </w:r>
            <w:r>
              <w:rPr>
                <w:rFonts w:hint="eastAsia"/>
                <w:color w:val="000000" w:themeColor="text1"/>
                <w:sz w:val="21"/>
                <w:szCs w:val="21"/>
                <w:highlight w:val="none"/>
                <w:vertAlign w:val="superscript"/>
                <w14:textFill>
                  <w14:solidFill>
                    <w14:schemeClr w14:val="tx1"/>
                  </w14:solidFill>
                </w14:textFill>
              </w:rPr>
              <w:t>-7</w:t>
            </w:r>
            <w:r>
              <w:rPr>
                <w:rFonts w:hint="eastAsia"/>
                <w:color w:val="000000" w:themeColor="text1"/>
                <w:sz w:val="21"/>
                <w:szCs w:val="21"/>
                <w:highlight w:val="none"/>
                <w14:textFill>
                  <w14:solidFill>
                    <w14:schemeClr w14:val="tx1"/>
                  </w14:solidFill>
                </w14:textFill>
              </w:rPr>
              <w:t>cm/s；或参照GB16889执行），在做好基层防渗的基础上进行水泥硬化。</w:t>
            </w:r>
          </w:p>
        </w:tc>
      </w:tr>
      <w:tr w14:paraId="511B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14:paraId="00ED6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简单防渗</w:t>
            </w:r>
          </w:p>
        </w:tc>
        <w:tc>
          <w:tcPr>
            <w:tcW w:w="1033" w:type="pct"/>
            <w:vAlign w:val="center"/>
          </w:tcPr>
          <w:p w14:paraId="3894D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highlight w:val="none"/>
                <w:vertAlign w:val="baseli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职工宿舍区</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办公区</w:t>
            </w:r>
          </w:p>
        </w:tc>
        <w:tc>
          <w:tcPr>
            <w:tcW w:w="3316" w:type="pct"/>
            <w:vAlign w:val="center"/>
          </w:tcPr>
          <w:p w14:paraId="24F1B6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采用混凝土进行一般地面硬化</w:t>
            </w:r>
          </w:p>
        </w:tc>
      </w:tr>
    </w:tbl>
    <w:p w14:paraId="2D44272C">
      <w:pPr>
        <w:bidi w:val="0"/>
        <w:rPr>
          <w:rFonts w:hint="eastAsia"/>
          <w:lang w:val="en-US" w:eastAsia="zh-CN"/>
        </w:rPr>
      </w:pPr>
      <w:r>
        <w:rPr>
          <w:rFonts w:hint="eastAsia"/>
          <w:lang w:val="en-US" w:eastAsia="zh-CN"/>
        </w:rPr>
        <w:t>此外，养殖区内粪污管道均采用内径250mm的PVC材质管道，外部全部加设套管；养殖区和粪污区之间均采用110mm的PE材质管道，外部全部加设套管。项目粪污管道全部采用加设套管方式，并且每间隔一定距离设置阀门和检查井，同时管道两端设置压力检测装置，可以有效避免因管道泄漏粪污污染土壤和地下水。本项目分区防渗图见图6.2-1。</w:t>
      </w:r>
    </w:p>
    <w:p w14:paraId="7B31668D">
      <w:pPr>
        <w:pStyle w:val="28"/>
        <w:bidi w:val="0"/>
        <w:rPr>
          <w:rFonts w:hint="eastAsia"/>
          <w:lang w:val="en-US" w:eastAsia="zh-CN"/>
        </w:rPr>
      </w:pPr>
      <w:r>
        <w:t>地下水跟踪监测</w:t>
      </w:r>
    </w:p>
    <w:p w14:paraId="178ED18C">
      <w:pPr>
        <w:bidi w:val="0"/>
        <w:rPr>
          <w:rFonts w:hint="eastAsia"/>
          <w:lang w:val="en-US" w:eastAsia="zh-CN"/>
        </w:rPr>
      </w:pPr>
      <w:r>
        <w:rPr>
          <w:rFonts w:hint="eastAsia"/>
          <w:lang w:val="en-US" w:eastAsia="zh-CN"/>
        </w:rPr>
        <w:t>为了掌握场区及周围地下水环境质量状况和地下水体中污染物的动态变化，及时发现污染物并有效控制污染物扩散，应对项目所在地及周围的地下水水质进行监控。同时建立地下水环境监测管理体系，制定地下水环境影响跟踪监测计划、建立地下水环境影响跟踪监测制度、配备先进的监测仪器和设备，以便及时发现问题，采取措施，为防治地下水污染采取相应的措施提供重要依据。</w:t>
      </w:r>
    </w:p>
    <w:p w14:paraId="7B466AA9">
      <w:pPr>
        <w:bidi w:val="0"/>
        <w:rPr>
          <w:rFonts w:hint="eastAsia"/>
          <w:lang w:val="en-US" w:eastAsia="zh-CN"/>
        </w:rPr>
      </w:pPr>
      <w:r>
        <w:rPr>
          <w:rFonts w:hint="eastAsia"/>
          <w:lang w:val="en-US" w:eastAsia="zh-CN"/>
        </w:rPr>
        <w:t>根据场区环境水文地质条件和建设项目特点，本次环评制定监测计划见表6.2-5。</w:t>
      </w:r>
    </w:p>
    <w:p w14:paraId="622A104D">
      <w:pPr>
        <w:pStyle w:val="30"/>
        <w:bidi w:val="0"/>
      </w:pPr>
      <w:r>
        <w:t>表6.2-</w:t>
      </w:r>
      <w:r>
        <w:rPr>
          <w:rFonts w:hint="eastAsia"/>
          <w:lang w:val="en-US" w:eastAsia="zh-CN"/>
        </w:rPr>
        <w:t xml:space="preserve">5 </w:t>
      </w:r>
      <w:r>
        <w:t xml:space="preserve">  地下水跟踪监测</w:t>
      </w:r>
    </w:p>
    <w:tbl>
      <w:tblPr>
        <w:tblStyle w:val="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7"/>
        <w:gridCol w:w="1526"/>
        <w:gridCol w:w="6166"/>
      </w:tblGrid>
      <w:tr w14:paraId="76480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371" w:type="pct"/>
            <w:vAlign w:val="center"/>
          </w:tcPr>
          <w:p w14:paraId="3FFDDC7D">
            <w:pPr>
              <w:pStyle w:val="19"/>
              <w:bidi w:val="0"/>
            </w:pPr>
            <w:r>
              <w:t>序号</w:t>
            </w:r>
          </w:p>
        </w:tc>
        <w:tc>
          <w:tcPr>
            <w:tcW w:w="918" w:type="pct"/>
            <w:vAlign w:val="center"/>
          </w:tcPr>
          <w:p w14:paraId="38719B3D">
            <w:pPr>
              <w:pStyle w:val="19"/>
              <w:bidi w:val="0"/>
            </w:pPr>
            <w:r>
              <w:t>项目</w:t>
            </w:r>
          </w:p>
        </w:tc>
        <w:tc>
          <w:tcPr>
            <w:tcW w:w="3709" w:type="pct"/>
            <w:vAlign w:val="center"/>
          </w:tcPr>
          <w:p w14:paraId="64A4E8A9">
            <w:pPr>
              <w:pStyle w:val="19"/>
              <w:bidi w:val="0"/>
            </w:pPr>
            <w:r>
              <w:t>监测内容</w:t>
            </w:r>
          </w:p>
        </w:tc>
      </w:tr>
      <w:tr w14:paraId="304E3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371" w:type="pct"/>
            <w:vAlign w:val="center"/>
          </w:tcPr>
          <w:p w14:paraId="20B4AE36">
            <w:pPr>
              <w:pStyle w:val="19"/>
              <w:bidi w:val="0"/>
            </w:pPr>
            <w:r>
              <w:t>1</w:t>
            </w:r>
          </w:p>
        </w:tc>
        <w:tc>
          <w:tcPr>
            <w:tcW w:w="918" w:type="pct"/>
            <w:vAlign w:val="center"/>
          </w:tcPr>
          <w:p w14:paraId="7EECBA27">
            <w:pPr>
              <w:pStyle w:val="19"/>
              <w:bidi w:val="0"/>
            </w:pPr>
            <w:r>
              <w:t>监测位置</w:t>
            </w:r>
          </w:p>
        </w:tc>
        <w:tc>
          <w:tcPr>
            <w:tcW w:w="3709" w:type="pct"/>
            <w:vAlign w:val="center"/>
          </w:tcPr>
          <w:p w14:paraId="28DA8964">
            <w:pPr>
              <w:pStyle w:val="19"/>
              <w:keepNext w:val="0"/>
              <w:keepLines w:val="0"/>
              <w:pageBreakBefore w:val="0"/>
              <w:widowControl w:val="0"/>
              <w:kinsoku/>
              <w:wordWrap/>
              <w:overflowPunct/>
              <w:topLinePunct w:val="0"/>
              <w:autoSpaceDE/>
              <w:autoSpaceDN/>
              <w:bidi w:val="0"/>
              <w:adjustRightInd/>
              <w:snapToGrid/>
              <w:spacing w:line="264" w:lineRule="auto"/>
              <w:ind w:firstLine="420" w:firstLineChars="200"/>
              <w:jc w:val="both"/>
              <w:textAlignment w:val="auto"/>
            </w:pPr>
            <w:r>
              <w:t>项目区的下游布设地下水水质监测井1眼</w:t>
            </w:r>
          </w:p>
        </w:tc>
      </w:tr>
      <w:tr w14:paraId="0E515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371" w:type="pct"/>
            <w:vAlign w:val="center"/>
          </w:tcPr>
          <w:p w14:paraId="4C2C8711">
            <w:pPr>
              <w:pStyle w:val="19"/>
              <w:bidi w:val="0"/>
            </w:pPr>
            <w:r>
              <w:t>2</w:t>
            </w:r>
          </w:p>
        </w:tc>
        <w:tc>
          <w:tcPr>
            <w:tcW w:w="918" w:type="pct"/>
            <w:vAlign w:val="center"/>
          </w:tcPr>
          <w:p w14:paraId="65DB4F31">
            <w:pPr>
              <w:pStyle w:val="19"/>
              <w:bidi w:val="0"/>
            </w:pPr>
            <w:r>
              <w:t>监测项目</w:t>
            </w:r>
          </w:p>
        </w:tc>
        <w:tc>
          <w:tcPr>
            <w:tcW w:w="3709" w:type="pct"/>
            <w:vAlign w:val="center"/>
          </w:tcPr>
          <w:p w14:paraId="412D5B2F">
            <w:pPr>
              <w:pStyle w:val="19"/>
              <w:keepNext w:val="0"/>
              <w:keepLines w:val="0"/>
              <w:pageBreakBefore w:val="0"/>
              <w:widowControl w:val="0"/>
              <w:kinsoku/>
              <w:wordWrap/>
              <w:overflowPunct/>
              <w:topLinePunct w:val="0"/>
              <w:autoSpaceDE/>
              <w:autoSpaceDN/>
              <w:bidi w:val="0"/>
              <w:adjustRightInd/>
              <w:snapToGrid/>
              <w:spacing w:line="264" w:lineRule="auto"/>
              <w:ind w:firstLine="420" w:firstLineChars="200"/>
              <w:jc w:val="both"/>
              <w:textAlignment w:val="auto"/>
              <w:rPr>
                <w:rFonts w:hint="eastAsia" w:eastAsia="宋体"/>
                <w:lang w:eastAsia="zh-CN"/>
              </w:rPr>
            </w:pPr>
            <w:r>
              <w:t>pH、高锰酸盐指数、氨氮、硝酸盐、亚硝酸盐、氯化物、氟化物、硫酸盐、总硬度、硫化物、铜、锌、溶解性总固体、细菌总数、总大肠菌群等</w:t>
            </w:r>
            <w:r>
              <w:rPr>
                <w:rFonts w:hint="eastAsia"/>
                <w:lang w:eastAsia="zh-CN"/>
              </w:rPr>
              <w:t>。</w:t>
            </w:r>
          </w:p>
        </w:tc>
      </w:tr>
      <w:tr w14:paraId="7F588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371" w:type="pct"/>
            <w:vAlign w:val="center"/>
          </w:tcPr>
          <w:p w14:paraId="33B072F4">
            <w:pPr>
              <w:pStyle w:val="19"/>
              <w:bidi w:val="0"/>
            </w:pPr>
            <w:r>
              <w:t>3</w:t>
            </w:r>
          </w:p>
        </w:tc>
        <w:tc>
          <w:tcPr>
            <w:tcW w:w="918" w:type="pct"/>
            <w:vAlign w:val="center"/>
          </w:tcPr>
          <w:p w14:paraId="31BCAB8F">
            <w:pPr>
              <w:pStyle w:val="19"/>
              <w:bidi w:val="0"/>
            </w:pPr>
            <w:r>
              <w:t>监测频率</w:t>
            </w:r>
          </w:p>
        </w:tc>
        <w:tc>
          <w:tcPr>
            <w:tcW w:w="3709" w:type="pct"/>
            <w:vAlign w:val="center"/>
          </w:tcPr>
          <w:p w14:paraId="2ED86A5A">
            <w:pPr>
              <w:pStyle w:val="19"/>
              <w:keepNext w:val="0"/>
              <w:keepLines w:val="0"/>
              <w:pageBreakBefore w:val="0"/>
              <w:widowControl w:val="0"/>
              <w:kinsoku/>
              <w:wordWrap/>
              <w:overflowPunct/>
              <w:topLinePunct w:val="0"/>
              <w:autoSpaceDE/>
              <w:autoSpaceDN/>
              <w:bidi w:val="0"/>
              <w:adjustRightInd/>
              <w:snapToGrid/>
              <w:spacing w:line="264" w:lineRule="auto"/>
              <w:ind w:firstLine="420" w:firstLineChars="200"/>
              <w:jc w:val="both"/>
              <w:textAlignment w:val="auto"/>
            </w:pPr>
            <w:r>
              <w:t>每年监测一次（在遇突发地下水污染事件时应加密监测频率）</w:t>
            </w:r>
          </w:p>
        </w:tc>
      </w:tr>
      <w:tr w14:paraId="3BCCC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jc w:val="center"/>
        </w:trPr>
        <w:tc>
          <w:tcPr>
            <w:tcW w:w="371" w:type="pct"/>
            <w:vAlign w:val="center"/>
          </w:tcPr>
          <w:p w14:paraId="37B081A6">
            <w:pPr>
              <w:pStyle w:val="19"/>
              <w:bidi w:val="0"/>
            </w:pPr>
            <w:r>
              <w:t>4</w:t>
            </w:r>
          </w:p>
        </w:tc>
        <w:tc>
          <w:tcPr>
            <w:tcW w:w="918" w:type="pct"/>
            <w:vAlign w:val="center"/>
          </w:tcPr>
          <w:p w14:paraId="3266F7E7">
            <w:pPr>
              <w:pStyle w:val="19"/>
              <w:bidi w:val="0"/>
            </w:pPr>
            <w:r>
              <w:t>监测数据管理</w:t>
            </w:r>
          </w:p>
        </w:tc>
        <w:tc>
          <w:tcPr>
            <w:tcW w:w="3709" w:type="pct"/>
            <w:vAlign w:val="center"/>
          </w:tcPr>
          <w:p w14:paraId="1CCCFD95">
            <w:pPr>
              <w:pStyle w:val="19"/>
              <w:keepNext w:val="0"/>
              <w:keepLines w:val="0"/>
              <w:pageBreakBefore w:val="0"/>
              <w:widowControl w:val="0"/>
              <w:kinsoku/>
              <w:wordWrap/>
              <w:overflowPunct/>
              <w:topLinePunct w:val="0"/>
              <w:autoSpaceDE/>
              <w:autoSpaceDN/>
              <w:bidi w:val="0"/>
              <w:adjustRightInd/>
              <w:snapToGrid/>
              <w:spacing w:line="264" w:lineRule="auto"/>
              <w:ind w:firstLine="420" w:firstLineChars="200"/>
              <w:jc w:val="both"/>
              <w:textAlignment w:val="auto"/>
            </w:pPr>
            <w:r>
              <w:t>应按项目有关规定及时建立档案，并定期向总经理汇报，对于常规监测数据应该进行公开，特别是对项目所在区域的居民进行公开，满足法律中关于知情权的要求。如发现异常或发生事故，加密监测频次，并分析污染原因，确定泄漏污染源，及时采取应急措施</w:t>
            </w:r>
          </w:p>
        </w:tc>
      </w:tr>
    </w:tbl>
    <w:p w14:paraId="1A7AA8AF">
      <w:pPr>
        <w:pStyle w:val="28"/>
        <w:bidi w:val="0"/>
        <w:rPr>
          <w:rFonts w:hint="eastAsia"/>
          <w:lang w:val="en-US" w:eastAsia="zh-CN"/>
        </w:rPr>
      </w:pPr>
      <w:r>
        <w:t>管理措施</w:t>
      </w:r>
    </w:p>
    <w:p w14:paraId="6AC468C6">
      <w:pPr>
        <w:bidi w:val="0"/>
        <w:rPr>
          <w:rFonts w:hint="eastAsia"/>
          <w:lang w:val="en-US" w:eastAsia="zh-CN"/>
        </w:rPr>
      </w:pPr>
      <w:r>
        <w:rPr>
          <w:rFonts w:hint="eastAsia"/>
          <w:lang w:val="en-US" w:eastAsia="zh-CN"/>
        </w:rPr>
        <w:t>（1）管理措施</w:t>
      </w:r>
    </w:p>
    <w:p w14:paraId="1B5C72DA">
      <w:pPr>
        <w:bidi w:val="0"/>
        <w:rPr>
          <w:rFonts w:hint="eastAsia"/>
          <w:lang w:val="en-US" w:eastAsia="zh-CN"/>
        </w:rPr>
      </w:pPr>
      <w:r>
        <w:rPr>
          <w:rFonts w:hint="eastAsia"/>
          <w:lang w:val="en-US" w:eastAsia="zh-CN"/>
        </w:rPr>
        <w:t>防止地下水受到污染是环境保护管理部门的主要职责之一。公司应设立专门的环境保护管理部门，由专人负责防治地下水污染管理工作。</w:t>
      </w:r>
    </w:p>
    <w:p w14:paraId="79FC31BF">
      <w:pPr>
        <w:bidi w:val="0"/>
        <w:rPr>
          <w:rFonts w:hint="eastAsia"/>
          <w:lang w:val="en-US" w:eastAsia="zh-CN"/>
        </w:rPr>
      </w:pPr>
      <w:r>
        <w:rPr>
          <w:rFonts w:hint="eastAsia"/>
          <w:lang w:val="en-US" w:eastAsia="zh-CN"/>
        </w:rPr>
        <w:t>公司环境保护管理部门应委托具有地下水监测资质的单位负责地下水监测工作，并按要求及时分析整理原始资料、监测报告的编写工作。</w:t>
      </w:r>
    </w:p>
    <w:p w14:paraId="1E418834">
      <w:pPr>
        <w:bidi w:val="0"/>
        <w:rPr>
          <w:rFonts w:hint="eastAsia"/>
          <w:lang w:val="en-US" w:eastAsia="zh-CN"/>
        </w:rPr>
      </w:pPr>
      <w:r>
        <w:rPr>
          <w:rFonts w:hint="eastAsia"/>
          <w:lang w:val="en-US" w:eastAsia="zh-CN"/>
        </w:rPr>
        <w:t>建立地下水监测数据数据库，与项目区环境管理系统相联系。</w:t>
      </w:r>
    </w:p>
    <w:p w14:paraId="30E3E925">
      <w:pPr>
        <w:bidi w:val="0"/>
        <w:rPr>
          <w:rFonts w:hint="eastAsia"/>
          <w:lang w:val="en-US" w:eastAsia="zh-CN"/>
        </w:rPr>
      </w:pPr>
      <w:r>
        <w:rPr>
          <w:rFonts w:hint="eastAsia"/>
          <w:lang w:val="en-US" w:eastAsia="zh-CN"/>
        </w:rPr>
        <w:t>根据实际情况，按事故的性质、类型、影响范围、严重后果分等级地制定相应的预案。在制定预案时要根据本场环境污染事故潜在威胁的情况，认真细致地考虑各项影响因素，适当的时候组织有关部门、人员进行演练，不断补充完善。</w:t>
      </w:r>
    </w:p>
    <w:p w14:paraId="2715B902">
      <w:pPr>
        <w:bidi w:val="0"/>
        <w:rPr>
          <w:rFonts w:hint="eastAsia"/>
          <w:lang w:val="en-US" w:eastAsia="zh-CN"/>
        </w:rPr>
      </w:pPr>
      <w:r>
        <w:rPr>
          <w:rFonts w:hint="eastAsia"/>
          <w:lang w:val="en-US" w:eastAsia="zh-CN"/>
        </w:rPr>
        <w:t>②技术措施</w:t>
      </w:r>
    </w:p>
    <w:p w14:paraId="1654F7DE">
      <w:pPr>
        <w:bidi w:val="0"/>
        <w:rPr>
          <w:rFonts w:hint="eastAsia"/>
          <w:lang w:val="en-US" w:eastAsia="zh-CN"/>
        </w:rPr>
      </w:pPr>
      <w:r>
        <w:rPr>
          <w:rFonts w:hint="eastAsia"/>
          <w:lang w:val="en-US" w:eastAsia="zh-CN"/>
        </w:rPr>
        <w:t>按照《地下水环境监测技术规范》（HJ 164-2020）要求，及时上报监测数据。</w:t>
      </w:r>
    </w:p>
    <w:p w14:paraId="28CBB2EB">
      <w:pPr>
        <w:bidi w:val="0"/>
        <w:rPr>
          <w:rFonts w:hint="eastAsia"/>
          <w:lang w:val="en-US" w:eastAsia="zh-CN"/>
        </w:rPr>
      </w:pPr>
      <w:r>
        <w:rPr>
          <w:rFonts w:hint="eastAsia"/>
          <w:lang w:val="en-US" w:eastAsia="zh-CN"/>
        </w:rPr>
        <w:t>在日常例行监测中，一旦发现地下水水质监测数据异常，应尽快核查数据，确保数据的正确性。并将核查过的监测数据通告场区安全环保部门，由专人负责对数据进行分析、核实，并密切关注生产设施的运行情况，为防止地下水污染采取措施提供正确的依据。应采取的措施如下：了解场区生产是否出现异常情况，出现异常情况的装置、原因。加大监测密度，如监测频率由每年一次临时加密为每天一次或更多，连续多天，分析变化动向。</w:t>
      </w:r>
    </w:p>
    <w:p w14:paraId="33E15932">
      <w:pPr>
        <w:bidi w:val="0"/>
        <w:rPr>
          <w:rFonts w:hint="eastAsia"/>
          <w:lang w:val="en-US" w:eastAsia="zh-CN"/>
        </w:rPr>
      </w:pPr>
      <w:r>
        <w:rPr>
          <w:rFonts w:hint="eastAsia"/>
          <w:lang w:val="en-US" w:eastAsia="zh-CN"/>
        </w:rPr>
        <w:t>定期对污染区的生产装置、集粪池、粪污处理池、阀门、管道等进行检查。</w:t>
      </w:r>
    </w:p>
    <w:p w14:paraId="1BDE3F60">
      <w:pPr>
        <w:pStyle w:val="28"/>
        <w:bidi w:val="0"/>
        <w:rPr>
          <w:rFonts w:hint="eastAsia"/>
          <w:lang w:val="en-US" w:eastAsia="zh-CN"/>
        </w:rPr>
      </w:pPr>
      <w:r>
        <w:t>建立风险事故应急响应机制</w:t>
      </w:r>
    </w:p>
    <w:p w14:paraId="0B7E213A">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应急预案</w:t>
      </w:r>
    </w:p>
    <w:p w14:paraId="18787E4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在制定全场安全管理体制的基础上，</w:t>
      </w:r>
      <w:r>
        <w:rPr>
          <w:rFonts w:hint="eastAsia"/>
          <w:color w:val="000000" w:themeColor="text1"/>
          <w:highlight w:val="none"/>
          <w14:textFill>
            <w14:solidFill>
              <w14:schemeClr w14:val="tx1"/>
            </w14:solidFill>
          </w14:textFill>
        </w:rPr>
        <w:t>制定</w:t>
      </w:r>
      <w:r>
        <w:rPr>
          <w:color w:val="000000" w:themeColor="text1"/>
          <w:highlight w:val="none"/>
          <w14:textFill>
            <w14:solidFill>
              <w14:schemeClr w14:val="tx1"/>
            </w14:solidFill>
          </w14:textFill>
        </w:rPr>
        <w:t>专门的地下水污染事故的应急预案，并应</w:t>
      </w:r>
      <w:r>
        <w:rPr>
          <w:rFonts w:hint="eastAsia"/>
          <w:color w:val="000000" w:themeColor="text1"/>
          <w:highlight w:val="none"/>
          <w14:textFill>
            <w14:solidFill>
              <w14:schemeClr w14:val="tx1"/>
            </w14:solidFill>
          </w14:textFill>
        </w:rPr>
        <w:t>与其他</w:t>
      </w:r>
      <w:r>
        <w:rPr>
          <w:color w:val="000000" w:themeColor="text1"/>
          <w:highlight w:val="none"/>
          <w14:textFill>
            <w14:solidFill>
              <w14:schemeClr w14:val="tx1"/>
            </w14:solidFill>
          </w14:textFill>
        </w:rPr>
        <w:t>应急预案相协调。地下水应急预案应包括以下内容：</w:t>
      </w:r>
    </w:p>
    <w:p w14:paraId="2B3AFADB">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color w:val="000000" w:themeColor="text1"/>
          <w:highlight w:val="none"/>
          <w14:textFill>
            <w14:solidFill>
              <w14:schemeClr w14:val="tx1"/>
            </w14:solidFill>
          </w14:textFill>
        </w:rPr>
        <w:t>应急预案的日常协调和指挥机构；</w:t>
      </w:r>
    </w:p>
    <w:p w14:paraId="6FFC37D5">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color w:val="000000" w:themeColor="text1"/>
          <w:highlight w:val="none"/>
          <w14:textFill>
            <w14:solidFill>
              <w14:schemeClr w14:val="tx1"/>
            </w14:solidFill>
          </w14:textFill>
        </w:rPr>
        <w:t>相关部门在应急预案中的职责和分工；</w:t>
      </w:r>
    </w:p>
    <w:p w14:paraId="5A78A6C3">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color w:val="000000" w:themeColor="text1"/>
          <w:highlight w:val="none"/>
          <w14:textFill>
            <w14:solidFill>
              <w14:schemeClr w14:val="tx1"/>
            </w14:solidFill>
          </w14:textFill>
        </w:rPr>
        <w:t>地下水环境保护目标的确定，采取的紧急处置措施和潜在污染可能性评估；</w:t>
      </w:r>
    </w:p>
    <w:p w14:paraId="7B730375">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color w:val="000000" w:themeColor="text1"/>
          <w:highlight w:val="none"/>
          <w14:textFill>
            <w14:solidFill>
              <w14:schemeClr w14:val="tx1"/>
            </w14:solidFill>
          </w14:textFill>
        </w:rPr>
        <w:t>特大事故应急救援组织状况和人员、装备情况，平常的训练和演习；</w:t>
      </w:r>
    </w:p>
    <w:p w14:paraId="76C1D552">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color w:val="000000" w:themeColor="text1"/>
          <w:highlight w:val="none"/>
          <w14:textFill>
            <w14:solidFill>
              <w14:schemeClr w14:val="tx1"/>
            </w14:solidFill>
          </w14:textFill>
        </w:rPr>
        <w:t>特大事故的社会支持和援助，应急救援的经费保障。</w:t>
      </w:r>
    </w:p>
    <w:p w14:paraId="1CE6CB18">
      <w:pPr>
        <w:bidi w:val="0"/>
        <w:rPr>
          <w:rFonts w:hint="eastAsia"/>
          <w:lang w:val="en-US" w:eastAsia="zh-CN"/>
        </w:rPr>
      </w:pPr>
      <w:r>
        <w:rPr>
          <w:color w:val="000000" w:themeColor="text1"/>
          <w:highlight w:val="none"/>
          <w14:textFill>
            <w14:solidFill>
              <w14:schemeClr w14:val="tx1"/>
            </w14:solidFill>
          </w14:textFill>
        </w:rPr>
        <w:t>地下水应急预案详见表6.2-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p>
    <w:p w14:paraId="1A7625DE">
      <w:pPr>
        <w:bidi w:val="0"/>
        <w:rPr>
          <w:rFonts w:hint="eastAsia"/>
          <w:lang w:val="en-US" w:eastAsia="zh-CN"/>
        </w:rPr>
      </w:pPr>
      <w:r>
        <w:rPr>
          <w:rFonts w:hint="eastAsia"/>
          <w:lang w:val="en-US" w:eastAsia="zh-CN"/>
        </w:rPr>
        <w:t>（2）应急处置</w:t>
      </w:r>
    </w:p>
    <w:p w14:paraId="464A87EB">
      <w:pPr>
        <w:bidi w:val="0"/>
        <w:rPr>
          <w:rFonts w:hint="eastAsia"/>
          <w:lang w:val="en-US" w:eastAsia="zh-CN"/>
        </w:rPr>
      </w:pPr>
      <w:r>
        <w:rPr>
          <w:rFonts w:hint="eastAsia"/>
          <w:lang w:val="en-US" w:eastAsia="zh-CN"/>
        </w:rPr>
        <w:t>一旦发现地下水发生异常情况，必须按照应急预案马上采取紧急措施。</w:t>
      </w:r>
    </w:p>
    <w:p w14:paraId="6FBF7F50">
      <w:pPr>
        <w:bidi w:val="0"/>
        <w:rPr>
          <w:rFonts w:hint="eastAsia"/>
          <w:lang w:val="en-US" w:eastAsia="zh-CN"/>
        </w:rPr>
      </w:pPr>
      <w:r>
        <w:rPr>
          <w:rFonts w:hint="eastAsia"/>
          <w:lang w:val="en-US" w:eastAsia="zh-CN"/>
        </w:rPr>
        <w:t>当确定发生地下水异常情况时，按照制定的地下水应急预案，在第一时间内尽快上报主管领导，并通知当地生态环境局、附近地下水用户，密切关注地下水水质变化情况。</w:t>
      </w:r>
    </w:p>
    <w:p w14:paraId="2620A2F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组织专业队伍对事故现场进行调查、监测，查找环境事故发生地点、分析事故原因，尽量将紧急事件局部化，如可能应予以消除，采取包括切断生产装置或设施等措施，对粪污、污水进行封闭、截流，防止事故的扩散、蔓延及连锁反应，尽量缩小地下水污染事故对人和财产的影响。</w:t>
      </w:r>
    </w:p>
    <w:p w14:paraId="39B86BD8">
      <w:pPr>
        <w:bidi w:val="0"/>
        <w:rPr>
          <w:rFonts w:hint="eastAsia"/>
          <w:lang w:val="en-US" w:eastAsia="zh-CN"/>
        </w:rPr>
      </w:pPr>
      <w:r>
        <w:rPr>
          <w:rFonts w:hint="eastAsia"/>
          <w:lang w:val="en-US" w:eastAsia="zh-CN"/>
        </w:rPr>
        <w:t>当通过监测发现对周围地下水造成污染时，根据观测井的反馈信息，控制污染区地下水流场，防止污染物扩散。地下水排水系统是根据建设项目对地下水可能产生影响而采取的被动防范措施，是建设项目环境工程的重要组成部分。当地下水污染事件发生后，启动地下水排水应急系统，抽出污水送污水处理系统集中处理，可有效抑制污染物向下游扩散速度，控制污染范围，使地下水质量得到尽快恢复。当发现厂区内受到范围污染时，首先确定污染的大致范围。根据污染的范围，启动相应的应急排水井，抽出污水送粪污处理系统集中处理。</w:t>
      </w:r>
    </w:p>
    <w:p w14:paraId="5097317D">
      <w:pPr>
        <w:rPr>
          <w:rFonts w:hint="eastAsia"/>
          <w:lang w:val="en-US" w:eastAsia="zh-CN"/>
        </w:rPr>
      </w:pPr>
    </w:p>
    <w:p w14:paraId="35A8BBD6">
      <w:pPr>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361B00A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p>
    <w:p w14:paraId="7DC4C610">
      <w:pPr>
        <w:bidi w:val="0"/>
      </w:pPr>
      <w:r>
        <w:rPr>
          <w:rFonts w:hint="eastAsia"/>
          <w:lang w:val="en-US" w:eastAsia="zh-CN"/>
        </w:rPr>
        <w:t>对事故后果进行评估，并制定防止类似事件发生的措施。如果自身力量无法应对污染事故，应立即请求社会应急力量协助处理。</w:t>
      </w:r>
    </w:p>
    <w:p w14:paraId="221275EF">
      <w:pPr>
        <w:pStyle w:val="30"/>
        <w:bidi w:val="0"/>
      </w:pPr>
      <w:r>
        <w:t>表6.2-</w:t>
      </w:r>
      <w:r>
        <w:rPr>
          <w:rFonts w:hint="eastAsia"/>
          <w:lang w:val="en-US" w:eastAsia="zh-CN"/>
        </w:rPr>
        <w:t xml:space="preserve">5 </w:t>
      </w:r>
      <w:r>
        <w:t xml:space="preserve">  地下水污染应急预案内容</w:t>
      </w:r>
    </w:p>
    <w:tbl>
      <w:tblPr>
        <w:tblStyle w:val="29"/>
        <w:tblW w:w="83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3"/>
        <w:gridCol w:w="2190"/>
        <w:gridCol w:w="5639"/>
      </w:tblGrid>
      <w:tr w14:paraId="372B1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6577B9A5">
            <w:pPr>
              <w:pStyle w:val="19"/>
              <w:bidi w:val="0"/>
            </w:pPr>
            <w:r>
              <w:t>序号</w:t>
            </w:r>
          </w:p>
        </w:tc>
        <w:tc>
          <w:tcPr>
            <w:tcW w:w="2190" w:type="dxa"/>
            <w:vAlign w:val="center"/>
          </w:tcPr>
          <w:p w14:paraId="7A47A9F3">
            <w:pPr>
              <w:pStyle w:val="19"/>
              <w:bidi w:val="0"/>
            </w:pPr>
            <w:r>
              <w:t>项目</w:t>
            </w:r>
          </w:p>
        </w:tc>
        <w:tc>
          <w:tcPr>
            <w:tcW w:w="5639" w:type="dxa"/>
            <w:vAlign w:val="center"/>
          </w:tcPr>
          <w:p w14:paraId="0FC28776">
            <w:pPr>
              <w:pStyle w:val="19"/>
              <w:bidi w:val="0"/>
            </w:pPr>
            <w:r>
              <w:t>内容及要求</w:t>
            </w:r>
          </w:p>
        </w:tc>
      </w:tr>
      <w:tr w14:paraId="35978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5C6C1BFC">
            <w:pPr>
              <w:pStyle w:val="19"/>
              <w:bidi w:val="0"/>
            </w:pPr>
            <w:r>
              <w:t>1</w:t>
            </w:r>
          </w:p>
        </w:tc>
        <w:tc>
          <w:tcPr>
            <w:tcW w:w="2190" w:type="dxa"/>
            <w:vAlign w:val="center"/>
          </w:tcPr>
          <w:p w14:paraId="63E62EA7">
            <w:pPr>
              <w:pStyle w:val="19"/>
              <w:bidi w:val="0"/>
            </w:pPr>
            <w:r>
              <w:t>总则</w:t>
            </w:r>
          </w:p>
        </w:tc>
        <w:tc>
          <w:tcPr>
            <w:tcW w:w="5639" w:type="dxa"/>
            <w:vAlign w:val="center"/>
          </w:tcPr>
          <w:p w14:paraId="6B519CBC">
            <w:pPr>
              <w:pStyle w:val="19"/>
              <w:bidi w:val="0"/>
            </w:pPr>
            <w:r>
              <w:t>/</w:t>
            </w:r>
          </w:p>
        </w:tc>
      </w:tr>
      <w:tr w14:paraId="59E69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37DFBC94">
            <w:pPr>
              <w:pStyle w:val="19"/>
              <w:bidi w:val="0"/>
            </w:pPr>
            <w:r>
              <w:t>2</w:t>
            </w:r>
          </w:p>
        </w:tc>
        <w:tc>
          <w:tcPr>
            <w:tcW w:w="2190" w:type="dxa"/>
            <w:vAlign w:val="center"/>
          </w:tcPr>
          <w:p w14:paraId="0AF18C9F">
            <w:pPr>
              <w:pStyle w:val="19"/>
              <w:bidi w:val="0"/>
            </w:pPr>
            <w:r>
              <w:t>污染源概况</w:t>
            </w:r>
          </w:p>
        </w:tc>
        <w:tc>
          <w:tcPr>
            <w:tcW w:w="5639" w:type="dxa"/>
            <w:vAlign w:val="center"/>
          </w:tcPr>
          <w:p w14:paraId="7111DD3C">
            <w:pPr>
              <w:pStyle w:val="19"/>
              <w:bidi w:val="0"/>
            </w:pPr>
            <w:r>
              <w:t>详述污染源类型、数量及其分布，包括生产装置、辅助设施、公用工程等</w:t>
            </w:r>
          </w:p>
        </w:tc>
      </w:tr>
      <w:tr w14:paraId="7D3DA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6D002A56">
            <w:pPr>
              <w:pStyle w:val="19"/>
              <w:bidi w:val="0"/>
            </w:pPr>
            <w:r>
              <w:t>3</w:t>
            </w:r>
          </w:p>
        </w:tc>
        <w:tc>
          <w:tcPr>
            <w:tcW w:w="2190" w:type="dxa"/>
            <w:vAlign w:val="center"/>
          </w:tcPr>
          <w:p w14:paraId="459E7740">
            <w:pPr>
              <w:pStyle w:val="19"/>
              <w:bidi w:val="0"/>
            </w:pPr>
            <w:r>
              <w:t>应急计划区</w:t>
            </w:r>
          </w:p>
        </w:tc>
        <w:tc>
          <w:tcPr>
            <w:tcW w:w="5639" w:type="dxa"/>
            <w:vAlign w:val="center"/>
          </w:tcPr>
          <w:p w14:paraId="166E0A65">
            <w:pPr>
              <w:pStyle w:val="19"/>
              <w:bidi w:val="0"/>
              <w:rPr>
                <w:rFonts w:hint="eastAsia" w:eastAsia="宋体"/>
                <w:lang w:eastAsia="zh-CN"/>
              </w:rPr>
            </w:pPr>
            <w:r>
              <w:t>列出危险目标：</w:t>
            </w:r>
            <w:r>
              <w:rPr>
                <w:rFonts w:hint="eastAsia"/>
                <w:lang w:eastAsia="zh-CN"/>
              </w:rPr>
              <w:t>干湿分离</w:t>
            </w:r>
            <w:r>
              <w:rPr>
                <w:rFonts w:hint="eastAsia"/>
                <w:lang w:val="en-US" w:eastAsia="zh-CN"/>
              </w:rPr>
              <w:t>房</w:t>
            </w:r>
            <w:r>
              <w:t>、</w:t>
            </w:r>
            <w:r>
              <w:rPr>
                <w:rFonts w:hint="eastAsia"/>
              </w:rPr>
              <w:t>堆</w:t>
            </w:r>
            <w:r>
              <w:rPr>
                <w:rFonts w:hint="eastAsia"/>
                <w:lang w:val="en-US" w:eastAsia="zh-CN"/>
              </w:rPr>
              <w:t>肥</w:t>
            </w:r>
            <w:r>
              <w:rPr>
                <w:rFonts w:hint="eastAsia"/>
              </w:rPr>
              <w:t>场</w:t>
            </w:r>
            <w:r>
              <w:t>、</w:t>
            </w:r>
            <w:r>
              <w:rPr>
                <w:rFonts w:hint="eastAsia"/>
                <w:lang w:val="en-US" w:eastAsia="zh-CN"/>
              </w:rPr>
              <w:t>粪污处理池、氧化塘</w:t>
            </w:r>
            <w:r>
              <w:t>、</w:t>
            </w:r>
            <w:r>
              <w:rPr>
                <w:rFonts w:hint="eastAsia"/>
                <w:lang w:eastAsia="zh-CN"/>
              </w:rPr>
              <w:t>危废暂存间</w:t>
            </w:r>
            <w:r>
              <w:t>等，在厂区总图中标明位置</w:t>
            </w:r>
            <w:r>
              <w:rPr>
                <w:rFonts w:hint="eastAsia"/>
                <w:lang w:eastAsia="zh-CN"/>
              </w:rPr>
              <w:t>。</w:t>
            </w:r>
          </w:p>
        </w:tc>
      </w:tr>
      <w:tr w14:paraId="10607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601F75EB">
            <w:pPr>
              <w:pStyle w:val="19"/>
              <w:bidi w:val="0"/>
            </w:pPr>
            <w:r>
              <w:t>4</w:t>
            </w:r>
          </w:p>
        </w:tc>
        <w:tc>
          <w:tcPr>
            <w:tcW w:w="2190" w:type="dxa"/>
            <w:vAlign w:val="center"/>
          </w:tcPr>
          <w:p w14:paraId="2300E0DC">
            <w:pPr>
              <w:pStyle w:val="19"/>
              <w:bidi w:val="0"/>
            </w:pPr>
            <w:r>
              <w:t>应急组织</w:t>
            </w:r>
          </w:p>
        </w:tc>
        <w:tc>
          <w:tcPr>
            <w:tcW w:w="5639" w:type="dxa"/>
            <w:vAlign w:val="center"/>
          </w:tcPr>
          <w:p w14:paraId="47A79D94">
            <w:pPr>
              <w:pStyle w:val="19"/>
              <w:bidi w:val="0"/>
            </w:pPr>
            <w:r>
              <w:t>应急指挥部—负责现场全面指挥；专业救援队伍—负责事故控制、救援、善后处理；专业监测队伍负责对场监测站的支援；地方医院负责收治受伤、中毒人员；</w:t>
            </w:r>
          </w:p>
        </w:tc>
      </w:tr>
      <w:tr w14:paraId="7E421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63325A98">
            <w:pPr>
              <w:pStyle w:val="19"/>
              <w:bidi w:val="0"/>
            </w:pPr>
            <w:r>
              <w:t>5</w:t>
            </w:r>
          </w:p>
        </w:tc>
        <w:tc>
          <w:tcPr>
            <w:tcW w:w="2190" w:type="dxa"/>
            <w:vAlign w:val="center"/>
          </w:tcPr>
          <w:p w14:paraId="224E2FBE">
            <w:pPr>
              <w:pStyle w:val="19"/>
              <w:bidi w:val="0"/>
            </w:pPr>
            <w:r>
              <w:t>应急状态分类及应急响应程序</w:t>
            </w:r>
          </w:p>
        </w:tc>
        <w:tc>
          <w:tcPr>
            <w:tcW w:w="5639" w:type="dxa"/>
            <w:vAlign w:val="center"/>
          </w:tcPr>
          <w:p w14:paraId="76E2A910">
            <w:pPr>
              <w:pStyle w:val="19"/>
              <w:bidi w:val="0"/>
            </w:pPr>
            <w:r>
              <w:t>规定地下水污染事故的级别及相应的应急分类响应程序。按照突发环境事件严重性和紧急程度，该预案将突发环境事件分为特别重大环境事件(Ⅰ级）、重大环境事件(Ⅱ级）、较大环境事件(Ⅲ级）和一般环境事件（V级）四级。</w:t>
            </w:r>
          </w:p>
        </w:tc>
      </w:tr>
      <w:tr w14:paraId="642B1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6C908F43">
            <w:pPr>
              <w:pStyle w:val="19"/>
              <w:bidi w:val="0"/>
            </w:pPr>
            <w:r>
              <w:t>6</w:t>
            </w:r>
          </w:p>
        </w:tc>
        <w:tc>
          <w:tcPr>
            <w:tcW w:w="2190" w:type="dxa"/>
            <w:vAlign w:val="center"/>
          </w:tcPr>
          <w:p w14:paraId="060BC818">
            <w:pPr>
              <w:pStyle w:val="19"/>
              <w:bidi w:val="0"/>
            </w:pPr>
            <w:r>
              <w:t>应急设施、设备与材料</w:t>
            </w:r>
          </w:p>
        </w:tc>
        <w:tc>
          <w:tcPr>
            <w:tcW w:w="5639" w:type="dxa"/>
            <w:vAlign w:val="center"/>
          </w:tcPr>
          <w:p w14:paraId="61761624">
            <w:pPr>
              <w:pStyle w:val="19"/>
              <w:bidi w:val="0"/>
            </w:pPr>
            <w:r>
              <w:t>防有毒有害物质外溢、扩散的应急设施、设备与材料。</w:t>
            </w:r>
          </w:p>
        </w:tc>
      </w:tr>
      <w:tr w14:paraId="11111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316D1E3A">
            <w:pPr>
              <w:pStyle w:val="19"/>
              <w:bidi w:val="0"/>
            </w:pPr>
            <w:r>
              <w:t>7</w:t>
            </w:r>
          </w:p>
        </w:tc>
        <w:tc>
          <w:tcPr>
            <w:tcW w:w="2190" w:type="dxa"/>
            <w:vAlign w:val="center"/>
          </w:tcPr>
          <w:p w14:paraId="052BA2E8">
            <w:pPr>
              <w:pStyle w:val="19"/>
              <w:bidi w:val="0"/>
            </w:pPr>
            <w:r>
              <w:t>应急通讯、通讯和交通</w:t>
            </w:r>
          </w:p>
        </w:tc>
        <w:tc>
          <w:tcPr>
            <w:tcW w:w="5639" w:type="dxa"/>
            <w:vAlign w:val="center"/>
          </w:tcPr>
          <w:p w14:paraId="29E4BF6E">
            <w:pPr>
              <w:pStyle w:val="19"/>
              <w:bidi w:val="0"/>
            </w:pPr>
            <w:r>
              <w:t>规定应急状态下的通讯方式、通知方式和交通保障、管制。</w:t>
            </w:r>
          </w:p>
        </w:tc>
      </w:tr>
      <w:tr w14:paraId="19AF1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34AD6DB0">
            <w:pPr>
              <w:pStyle w:val="19"/>
              <w:bidi w:val="0"/>
            </w:pPr>
            <w:r>
              <w:t>8</w:t>
            </w:r>
          </w:p>
        </w:tc>
        <w:tc>
          <w:tcPr>
            <w:tcW w:w="2190" w:type="dxa"/>
            <w:vAlign w:val="center"/>
          </w:tcPr>
          <w:p w14:paraId="297B740D">
            <w:pPr>
              <w:pStyle w:val="19"/>
              <w:bidi w:val="0"/>
            </w:pPr>
            <w:r>
              <w:t>应急环境监测及事故后评估</w:t>
            </w:r>
          </w:p>
        </w:tc>
        <w:tc>
          <w:tcPr>
            <w:tcW w:w="5639" w:type="dxa"/>
            <w:vAlign w:val="center"/>
          </w:tcPr>
          <w:p w14:paraId="7DEB7A0C">
            <w:pPr>
              <w:pStyle w:val="19"/>
              <w:bidi w:val="0"/>
            </w:pPr>
            <w:r>
              <w:t>由场区环境监测站进行现场地下水环境进行监测。对事故性质 与后果进行评估，为指挥部门提供决策依据。</w:t>
            </w:r>
          </w:p>
        </w:tc>
      </w:tr>
      <w:tr w14:paraId="539CB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263255CC">
            <w:pPr>
              <w:pStyle w:val="19"/>
              <w:bidi w:val="0"/>
            </w:pPr>
            <w:r>
              <w:t>9</w:t>
            </w:r>
          </w:p>
        </w:tc>
        <w:tc>
          <w:tcPr>
            <w:tcW w:w="2190" w:type="dxa"/>
            <w:vAlign w:val="center"/>
          </w:tcPr>
          <w:p w14:paraId="327C3E6A">
            <w:pPr>
              <w:pStyle w:val="19"/>
              <w:bidi w:val="0"/>
            </w:pPr>
            <w:r>
              <w:t>应急防护措施、清除泄漏措施方法和器材</w:t>
            </w:r>
          </w:p>
        </w:tc>
        <w:tc>
          <w:tcPr>
            <w:tcW w:w="5639" w:type="dxa"/>
            <w:vAlign w:val="center"/>
          </w:tcPr>
          <w:p w14:paraId="519707F6">
            <w:pPr>
              <w:pStyle w:val="19"/>
              <w:bidi w:val="0"/>
            </w:pPr>
            <w:r>
              <w:t>事故现场：控制事故、防止扩大、蔓延及</w:t>
            </w:r>
            <w:r>
              <w:rPr>
                <w:rFonts w:hint="eastAsia"/>
              </w:rPr>
              <w:t>连锁反应</w:t>
            </w:r>
            <w:r>
              <w:t>。清除现场泄漏物，降低危害，相应的设施器材配备。邻近区域：控制污染区域，控制和清除污染措施及相应设备配备。</w:t>
            </w:r>
          </w:p>
        </w:tc>
      </w:tr>
      <w:tr w14:paraId="2CC7B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19287E45">
            <w:pPr>
              <w:pStyle w:val="19"/>
              <w:bidi w:val="0"/>
            </w:pPr>
            <w:r>
              <w:t>10</w:t>
            </w:r>
          </w:p>
        </w:tc>
        <w:tc>
          <w:tcPr>
            <w:tcW w:w="2190" w:type="dxa"/>
            <w:vAlign w:val="center"/>
          </w:tcPr>
          <w:p w14:paraId="1CAA0E48">
            <w:pPr>
              <w:pStyle w:val="19"/>
              <w:bidi w:val="0"/>
            </w:pPr>
            <w:r>
              <w:t>应急浓度、排放量控制、撤离组织计划、医疗救护与公众健康</w:t>
            </w:r>
          </w:p>
        </w:tc>
        <w:tc>
          <w:tcPr>
            <w:tcW w:w="5639" w:type="dxa"/>
            <w:vAlign w:val="center"/>
          </w:tcPr>
          <w:p w14:paraId="44B35932">
            <w:pPr>
              <w:pStyle w:val="19"/>
              <w:bidi w:val="0"/>
            </w:pPr>
            <w:r>
              <w:t>事故现场：事故处理人员制定污染物的应急控制浓度、排放量， 现场及邻近装置人员撤离组织计划及救护。环境敏感目标：受事故影响的邻近区域人员及公众对污染物应急控制浓度、排放量规定，撤离组织计划及救护。</w:t>
            </w:r>
          </w:p>
        </w:tc>
      </w:tr>
      <w:tr w14:paraId="2618F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223E661E">
            <w:pPr>
              <w:pStyle w:val="19"/>
              <w:bidi w:val="0"/>
            </w:pPr>
            <w:r>
              <w:t>11</w:t>
            </w:r>
          </w:p>
        </w:tc>
        <w:tc>
          <w:tcPr>
            <w:tcW w:w="2190" w:type="dxa"/>
            <w:vAlign w:val="center"/>
          </w:tcPr>
          <w:p w14:paraId="32FE9745">
            <w:pPr>
              <w:pStyle w:val="19"/>
              <w:bidi w:val="0"/>
            </w:pPr>
            <w:r>
              <w:t>应急状态终止与恢复措施</w:t>
            </w:r>
          </w:p>
        </w:tc>
        <w:tc>
          <w:tcPr>
            <w:tcW w:w="5639" w:type="dxa"/>
            <w:vAlign w:val="center"/>
          </w:tcPr>
          <w:p w14:paraId="414572F6">
            <w:pPr>
              <w:pStyle w:val="19"/>
              <w:bidi w:val="0"/>
            </w:pPr>
            <w:r>
              <w:t>规定应急状态终止程序。事故现场善后处理，恢复措施。邻近区域解除事故警戒及善后恢复措施。建立重大环境事故责任追究、奖惩制度。</w:t>
            </w:r>
          </w:p>
        </w:tc>
      </w:tr>
      <w:tr w14:paraId="69465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541D8D2B">
            <w:pPr>
              <w:pStyle w:val="19"/>
              <w:bidi w:val="0"/>
            </w:pPr>
            <w:r>
              <w:t>12</w:t>
            </w:r>
          </w:p>
        </w:tc>
        <w:tc>
          <w:tcPr>
            <w:tcW w:w="2190" w:type="dxa"/>
            <w:vAlign w:val="center"/>
          </w:tcPr>
          <w:p w14:paraId="61EDC7F4">
            <w:pPr>
              <w:pStyle w:val="19"/>
              <w:bidi w:val="0"/>
            </w:pPr>
            <w:r>
              <w:t>人员培训与演练</w:t>
            </w:r>
          </w:p>
        </w:tc>
        <w:tc>
          <w:tcPr>
            <w:tcW w:w="5639" w:type="dxa"/>
            <w:vAlign w:val="center"/>
          </w:tcPr>
          <w:p w14:paraId="04A9103D">
            <w:pPr>
              <w:pStyle w:val="19"/>
              <w:bidi w:val="0"/>
            </w:pPr>
            <w:r>
              <w:t>应急计划制定后，平时安排人员培训与演练。</w:t>
            </w:r>
          </w:p>
        </w:tc>
      </w:tr>
      <w:tr w14:paraId="5AD2B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51F1709E">
            <w:pPr>
              <w:pStyle w:val="19"/>
              <w:bidi w:val="0"/>
            </w:pPr>
            <w:r>
              <w:t>13</w:t>
            </w:r>
          </w:p>
        </w:tc>
        <w:tc>
          <w:tcPr>
            <w:tcW w:w="2190" w:type="dxa"/>
            <w:vAlign w:val="center"/>
          </w:tcPr>
          <w:p w14:paraId="3BDAF388">
            <w:pPr>
              <w:pStyle w:val="19"/>
              <w:bidi w:val="0"/>
            </w:pPr>
            <w:r>
              <w:t>公众教育和信息</w:t>
            </w:r>
          </w:p>
        </w:tc>
        <w:tc>
          <w:tcPr>
            <w:tcW w:w="5639" w:type="dxa"/>
            <w:vAlign w:val="center"/>
          </w:tcPr>
          <w:p w14:paraId="169B6F05">
            <w:pPr>
              <w:pStyle w:val="19"/>
              <w:bidi w:val="0"/>
            </w:pPr>
            <w:r>
              <w:t>对邻近地区开展公众教育、培训和发布有关信息。</w:t>
            </w:r>
          </w:p>
        </w:tc>
      </w:tr>
      <w:tr w14:paraId="6703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39F3F120">
            <w:pPr>
              <w:pStyle w:val="19"/>
              <w:bidi w:val="0"/>
            </w:pPr>
            <w:r>
              <w:t>14</w:t>
            </w:r>
          </w:p>
        </w:tc>
        <w:tc>
          <w:tcPr>
            <w:tcW w:w="2190" w:type="dxa"/>
            <w:vAlign w:val="center"/>
          </w:tcPr>
          <w:p w14:paraId="6E0F8F07">
            <w:pPr>
              <w:pStyle w:val="19"/>
              <w:bidi w:val="0"/>
            </w:pPr>
            <w:r>
              <w:t>记录和报告</w:t>
            </w:r>
          </w:p>
        </w:tc>
        <w:tc>
          <w:tcPr>
            <w:tcW w:w="5639" w:type="dxa"/>
            <w:vAlign w:val="center"/>
          </w:tcPr>
          <w:p w14:paraId="7F777462">
            <w:pPr>
              <w:pStyle w:val="19"/>
              <w:bidi w:val="0"/>
            </w:pPr>
            <w:r>
              <w:t>设置应急事故专门记录，建档案和专门报告制度，设专门部门 和负责管理。</w:t>
            </w:r>
          </w:p>
        </w:tc>
      </w:tr>
      <w:tr w14:paraId="5D896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3" w:type="dxa"/>
            <w:vAlign w:val="center"/>
          </w:tcPr>
          <w:p w14:paraId="6CEE156F">
            <w:pPr>
              <w:pStyle w:val="19"/>
              <w:bidi w:val="0"/>
            </w:pPr>
            <w:r>
              <w:t>15</w:t>
            </w:r>
          </w:p>
        </w:tc>
        <w:tc>
          <w:tcPr>
            <w:tcW w:w="2190" w:type="dxa"/>
            <w:vAlign w:val="center"/>
          </w:tcPr>
          <w:p w14:paraId="4D4C803F">
            <w:pPr>
              <w:pStyle w:val="19"/>
              <w:bidi w:val="0"/>
            </w:pPr>
            <w:r>
              <w:t>附件</w:t>
            </w:r>
          </w:p>
        </w:tc>
        <w:tc>
          <w:tcPr>
            <w:tcW w:w="5639" w:type="dxa"/>
            <w:vAlign w:val="center"/>
          </w:tcPr>
          <w:p w14:paraId="3B85FF33">
            <w:pPr>
              <w:pStyle w:val="19"/>
              <w:bidi w:val="0"/>
            </w:pPr>
            <w:r>
              <w:t>与应急事故有关的多种附件材料的准备和形成。</w:t>
            </w:r>
          </w:p>
        </w:tc>
      </w:tr>
    </w:tbl>
    <w:p w14:paraId="65B11B03">
      <w:pPr>
        <w:pStyle w:val="27"/>
        <w:bidi w:val="0"/>
        <w:rPr>
          <w:rFonts w:hint="eastAsia"/>
          <w:lang w:val="en-US" w:eastAsia="zh-CN"/>
        </w:rPr>
      </w:pPr>
      <w:r>
        <w:rPr>
          <w:rFonts w:hint="eastAsia"/>
          <w:lang w:val="en-US" w:eastAsia="zh-CN"/>
        </w:rPr>
        <w:t>噪声污染防治措施及其可行性分析</w:t>
      </w:r>
    </w:p>
    <w:p w14:paraId="36B8A0D3">
      <w:pPr>
        <w:bidi w:val="0"/>
        <w:rPr>
          <w:rFonts w:hint="eastAsia"/>
          <w:lang w:val="en-US" w:eastAsia="zh-CN"/>
        </w:rPr>
      </w:pPr>
      <w:r>
        <w:rPr>
          <w:rFonts w:hint="eastAsia"/>
          <w:lang w:val="en-US" w:eastAsia="zh-CN"/>
        </w:rPr>
        <w:t>本项目噪声源主要为备用发电机、风机、泵以及猪只叫声等，噪声声级范围60-85dB(A)，噪声污染防治采取以下措施：</w:t>
      </w:r>
    </w:p>
    <w:p w14:paraId="25504B9C">
      <w:pPr>
        <w:bidi w:val="0"/>
        <w:rPr>
          <w:rFonts w:hint="eastAsia"/>
          <w:lang w:val="en-US" w:eastAsia="zh-CN"/>
        </w:rPr>
      </w:pPr>
      <w:r>
        <w:rPr>
          <w:rFonts w:hint="eastAsia"/>
          <w:lang w:val="en-US" w:eastAsia="zh-CN"/>
        </w:rPr>
        <w:t>①备用锅炉房风机采用低噪声设备、锅炉房采取建筑隔声等降噪措施，且锅炉房风机是稳定运行，对声环境影响较小。</w:t>
      </w:r>
    </w:p>
    <w:p w14:paraId="289A87CB">
      <w:pPr>
        <w:bidi w:val="0"/>
        <w:rPr>
          <w:rFonts w:hint="eastAsia"/>
          <w:lang w:val="en-US" w:eastAsia="zh-CN"/>
        </w:rPr>
      </w:pPr>
      <w:r>
        <w:rPr>
          <w:rFonts w:hint="eastAsia"/>
          <w:lang w:val="en-US" w:eastAsia="zh-CN"/>
        </w:rPr>
        <w:t>②水泵加装减振器，进水管道设可曲挠管道橡胶伸缩接头以减小水锤冲击和水泵震动产生的噪声，连接水泵进出口的水管、进出机房隔墙处与运转设备连接的管道均采用减震吊架。</w:t>
      </w:r>
    </w:p>
    <w:p w14:paraId="15EAF008">
      <w:pPr>
        <w:bidi w:val="0"/>
        <w:rPr>
          <w:rFonts w:hint="eastAsia"/>
          <w:lang w:val="en-US" w:eastAsia="zh-CN"/>
        </w:rPr>
      </w:pPr>
      <w:r>
        <w:rPr>
          <w:rFonts w:hint="eastAsia"/>
          <w:lang w:val="en-US" w:eastAsia="zh-CN"/>
        </w:rPr>
        <w:t>③污水处理系统污泥泵等均设置于地下池体内，污水处理系统各池体隔声降噪，产生噪声影响较小。</w:t>
      </w:r>
    </w:p>
    <w:p w14:paraId="2CC853C1">
      <w:pPr>
        <w:bidi w:val="0"/>
        <w:rPr>
          <w:rFonts w:hint="eastAsia"/>
          <w:lang w:val="en-US" w:eastAsia="zh-CN"/>
        </w:rPr>
      </w:pPr>
      <w:r>
        <w:rPr>
          <w:rFonts w:hint="eastAsia"/>
          <w:lang w:val="en-US" w:eastAsia="zh-CN"/>
        </w:rPr>
        <w:t>④固液分离设备密闭设置，设置减震基础，经过墙体隔声、距离衰减后，对周围环境影响较小。</w:t>
      </w:r>
    </w:p>
    <w:p w14:paraId="018D9EC9">
      <w:pPr>
        <w:bidi w:val="0"/>
        <w:rPr>
          <w:rFonts w:hint="eastAsia"/>
          <w:lang w:val="en-US" w:eastAsia="zh-CN"/>
        </w:rPr>
      </w:pPr>
      <w:r>
        <w:rPr>
          <w:rFonts w:hint="eastAsia"/>
          <w:lang w:val="en-US" w:eastAsia="zh-CN"/>
        </w:rPr>
        <w:t>⑤风机采用低噪声设备，进出口设软接头，风机进出口风管处安装消声设备，合理布置风机在外墙的分布，远离敏感点。</w:t>
      </w:r>
    </w:p>
    <w:p w14:paraId="554B9DE9">
      <w:pPr>
        <w:bidi w:val="0"/>
        <w:rPr>
          <w:rFonts w:hint="eastAsia"/>
          <w:lang w:val="en-US" w:eastAsia="zh-CN"/>
        </w:rPr>
      </w:pPr>
      <w:r>
        <w:rPr>
          <w:rFonts w:hint="eastAsia"/>
          <w:lang w:val="en-US" w:eastAsia="zh-CN"/>
        </w:rPr>
        <w:t>⑥场内对车辆采取限速、禁鸣的要求，可以有效降低车辆运输带来的噪声。</w:t>
      </w:r>
    </w:p>
    <w:p w14:paraId="0A5DF792">
      <w:pPr>
        <w:bidi w:val="0"/>
        <w:rPr>
          <w:rFonts w:hint="eastAsia"/>
          <w:lang w:val="en-US" w:eastAsia="zh-CN"/>
        </w:rPr>
      </w:pPr>
      <w:r>
        <w:rPr>
          <w:rFonts w:hint="eastAsia"/>
          <w:lang w:val="en-US" w:eastAsia="zh-CN"/>
        </w:rPr>
        <w:t>⑦加强场区内绿化，建立立体隔离绿化带，充分利用建筑物、绿化带阻隔声音传播。</w:t>
      </w:r>
    </w:p>
    <w:p w14:paraId="3EED591A">
      <w:pPr>
        <w:bidi w:val="0"/>
        <w:rPr>
          <w:rFonts w:hint="eastAsia"/>
          <w:lang w:val="en-US" w:eastAsia="zh-CN"/>
        </w:rPr>
      </w:pPr>
      <w:r>
        <w:rPr>
          <w:rFonts w:hint="eastAsia"/>
          <w:lang w:val="en-US" w:eastAsia="zh-CN"/>
        </w:rPr>
        <w:t>经过上述治理措施后，本项目厂界噪声均能达到《工业企业厂界环境噪声排放标准》（GB12348-2008）2类标准的要求，噪声治理措施技术经济可行。</w:t>
      </w:r>
    </w:p>
    <w:p w14:paraId="38F1AE04">
      <w:pPr>
        <w:pStyle w:val="27"/>
        <w:bidi w:val="0"/>
        <w:rPr>
          <w:rFonts w:hint="eastAsia"/>
          <w:lang w:val="en-US" w:eastAsia="zh-CN"/>
        </w:rPr>
      </w:pPr>
      <w:r>
        <w:rPr>
          <w:rFonts w:hint="eastAsia"/>
          <w:lang w:val="en-US" w:eastAsia="zh-CN"/>
        </w:rPr>
        <w:t>固体废物污染防治措施及其可行性分析</w:t>
      </w:r>
    </w:p>
    <w:p w14:paraId="2B250B27">
      <w:pPr>
        <w:bidi w:val="0"/>
        <w:rPr>
          <w:rFonts w:hint="eastAsia"/>
          <w:lang w:val="en-US" w:eastAsia="zh-CN"/>
        </w:rPr>
      </w:pPr>
      <w:r>
        <w:rPr>
          <w:rFonts w:hint="eastAsia"/>
          <w:lang w:val="en-US" w:eastAsia="zh-CN"/>
        </w:rPr>
        <w:t>本项目产生的固体废物主要包括猪粪、病死猪、医疗废物、沼渣、污泥、废脱硫剂、锅炉灰渣、废饲料包装袋和生活垃圾。其中，除医疗废物属于危险废物以外，其余的固体废物均认为是一般固体废物，具体收集、处置方式等如下：</w:t>
      </w:r>
    </w:p>
    <w:p w14:paraId="7FB0CB86">
      <w:pPr>
        <w:bidi w:val="0"/>
        <w:rPr>
          <w:rFonts w:hint="eastAsia"/>
          <w:lang w:val="en-US" w:eastAsia="zh-CN"/>
        </w:rPr>
      </w:pPr>
      <w:r>
        <w:rPr>
          <w:rFonts w:hint="eastAsia"/>
          <w:lang w:val="en-US" w:eastAsia="zh-CN"/>
        </w:rPr>
        <w:t>（1）猪粪治理措施</w:t>
      </w:r>
    </w:p>
    <w:p w14:paraId="4BBF18A4">
      <w:pPr>
        <w:bidi w:val="0"/>
        <w:rPr>
          <w:rFonts w:hint="eastAsia"/>
          <w:lang w:val="en-US" w:eastAsia="zh-CN"/>
        </w:rPr>
      </w:pPr>
      <w:r>
        <w:rPr>
          <w:rFonts w:hint="eastAsia"/>
          <w:lang w:val="en-US" w:eastAsia="zh-CN"/>
        </w:rPr>
        <w:t>本项目猪场育肥舍粪便通过干湿分离房分离大量水分后，在堆肥场经腐熟发酵处置后，达到无害化标准，作为粪肥还田利用。</w:t>
      </w:r>
    </w:p>
    <w:p w14:paraId="39A647A7">
      <w:pPr>
        <w:bidi w:val="0"/>
        <w:rPr>
          <w:rFonts w:hint="eastAsia"/>
          <w:lang w:val="en-US" w:eastAsia="zh-CN"/>
        </w:rPr>
      </w:pPr>
      <w:r>
        <w:rPr>
          <w:rFonts w:hint="eastAsia"/>
          <w:lang w:val="en-US" w:eastAsia="zh-CN"/>
        </w:rPr>
        <w:t>堆肥场地的设计应满足《畜禽养殖业污染治理工程技术规范》（HJ497-2009）相关规定要求：堆肥场地一般应由粪便贮存池、堆肥场地以及成品堆肥存放场地等组成；采用间歇式堆肥处理时，粪便贮存池的有效体积应按至少能容纳6个月粪便产生量计算；应考虑防渗漏措施，不得对地下水造成污染；应配置防雨淋设施和雨水排水系统。</w:t>
      </w:r>
    </w:p>
    <w:p w14:paraId="2709F729">
      <w:pPr>
        <w:bidi w:val="0"/>
        <w:rPr>
          <w:rFonts w:hint="eastAsia"/>
          <w:lang w:val="en-US" w:eastAsia="zh-CN"/>
        </w:rPr>
      </w:pPr>
      <w:r>
        <w:rPr>
          <w:rFonts w:hint="eastAsia"/>
          <w:lang w:val="en-US" w:eastAsia="zh-CN"/>
        </w:rPr>
        <w:t>本项目堆肥场设计平面占地40m×70m，按粪堆高度4.5m计算，可堆放12600m</w:t>
      </w:r>
      <w:r>
        <w:rPr>
          <w:rFonts w:hint="eastAsia"/>
          <w:vertAlign w:val="superscript"/>
          <w:lang w:val="en-US" w:eastAsia="zh-CN"/>
        </w:rPr>
        <w:t>3</w:t>
      </w:r>
      <w:r>
        <w:rPr>
          <w:rFonts w:hint="eastAsia"/>
          <w:lang w:val="en-US" w:eastAsia="zh-CN"/>
        </w:rPr>
        <w:t>的粪污。好氧堆肥在加入发酵菌后腐熟无害化的日期较短，发酵时间一般为15-21d。</w:t>
      </w:r>
    </w:p>
    <w:p w14:paraId="4EE01201">
      <w:pPr>
        <w:bidi w:val="0"/>
        <w:rPr>
          <w:rFonts w:hint="eastAsia"/>
          <w:lang w:val="en-US" w:eastAsia="zh-CN"/>
        </w:rPr>
      </w:pPr>
      <w:r>
        <w:rPr>
          <w:rFonts w:hint="eastAsia"/>
          <w:lang w:val="en-US" w:eastAsia="zh-CN"/>
        </w:rPr>
        <w:t>本项目常年存栏猪为5.0万头，故粪便排泄量为1.276kg/d.头，粪便总排泄量为63.8t/d（23287t/a）。</w:t>
      </w:r>
    </w:p>
    <w:p w14:paraId="74B1E6D8">
      <w:pPr>
        <w:bidi w:val="0"/>
        <w:rPr>
          <w:rFonts w:hint="eastAsia"/>
          <w:lang w:val="en-US" w:eastAsia="zh-CN"/>
        </w:rPr>
      </w:pPr>
      <w:r>
        <w:rPr>
          <w:rFonts w:hint="eastAsia"/>
          <w:lang w:val="en-US" w:eastAsia="zh-CN"/>
        </w:rPr>
        <w:t>根据类比已投入运营的种猪育肥场运营经验，粪尿经固液分离后，约有30%滤液产生量，即</w:t>
      </w:r>
      <w:r>
        <w:rPr>
          <w:rFonts w:hint="eastAsia" w:cs="宋体"/>
          <w:b w:val="0"/>
          <w:bCs w:val="0"/>
          <w:color w:val="000000" w:themeColor="text1"/>
          <w:kern w:val="0"/>
          <w:szCs w:val="24"/>
          <w:highlight w:val="none"/>
          <w:lang w:val="en-US" w:eastAsia="zh-CN"/>
          <w14:textFill>
            <w14:solidFill>
              <w14:schemeClr w14:val="tx1"/>
            </w14:solidFill>
          </w14:textFill>
        </w:rPr>
        <w:t>19.14</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d</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6849.12</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lang w:val="en-US" w:eastAsia="zh-CN"/>
        </w:rPr>
        <w:t>。其余70%作为粪渣好氧堆肥生产有机肥基料。</w:t>
      </w:r>
    </w:p>
    <w:p w14:paraId="3EE3CF17">
      <w:pPr>
        <w:pStyle w:val="2"/>
        <w:rPr>
          <w:rFonts w:hint="eastAsia"/>
          <w:lang w:val="en-US" w:eastAsia="zh-CN"/>
        </w:rPr>
      </w:pPr>
      <w:r>
        <w:rPr>
          <w:rFonts w:hint="eastAsia"/>
          <w:lang w:val="en-US" w:eastAsia="zh-CN"/>
        </w:rPr>
        <w:t>根据前文工程分析，本项目沼渣/污泥产生量为7.61t/a，故堆肥场容纳的为11643.5t粪渣和7.61t沼渣，共11651.11t（猪粪肥的密度约为1.1g/cm</w:t>
      </w:r>
      <w:r>
        <w:rPr>
          <w:rFonts w:hint="eastAsia"/>
          <w:vertAlign w:val="superscript"/>
          <w:lang w:val="en-US" w:eastAsia="zh-CN"/>
        </w:rPr>
        <w:t>3</w:t>
      </w:r>
      <w:r>
        <w:rPr>
          <w:rFonts w:hint="eastAsia"/>
          <w:lang w:val="en-US" w:eastAsia="zh-CN"/>
        </w:rPr>
        <w:t>，故体积为10591.92m</w:t>
      </w:r>
      <w:r>
        <w:rPr>
          <w:rFonts w:hint="eastAsia"/>
          <w:vertAlign w:val="superscript"/>
          <w:lang w:val="en-US" w:eastAsia="zh-CN"/>
        </w:rPr>
        <w:t>3</w:t>
      </w:r>
      <w:r>
        <w:rPr>
          <w:rFonts w:hint="eastAsia"/>
          <w:lang w:val="en-US" w:eastAsia="zh-CN"/>
        </w:rPr>
        <w:t>）。</w:t>
      </w:r>
    </w:p>
    <w:p w14:paraId="28374078">
      <w:pPr>
        <w:bidi w:val="0"/>
        <w:rPr>
          <w:rFonts w:hint="eastAsia"/>
          <w:lang w:val="en-US" w:eastAsia="zh-CN"/>
        </w:rPr>
      </w:pPr>
      <w:r>
        <w:rPr>
          <w:rFonts w:hint="eastAsia"/>
          <w:lang w:val="en-US" w:eastAsia="zh-CN"/>
        </w:rPr>
        <w:t>按照日产日清原则，腐熟发酵无害化后的粪便及时拉走，不占用堆肥场，实现滚动式循环。本项目猪场产生粪污量为58m</w:t>
      </w:r>
      <w:r>
        <w:rPr>
          <w:rFonts w:hint="eastAsia"/>
          <w:vertAlign w:val="superscript"/>
          <w:lang w:val="en-US" w:eastAsia="zh-CN"/>
        </w:rPr>
        <w:t>3</w:t>
      </w:r>
      <w:r>
        <w:rPr>
          <w:rFonts w:hint="eastAsia"/>
          <w:lang w:val="en-US" w:eastAsia="zh-CN"/>
        </w:rPr>
        <w:t>/d，最多可满足储存217天的容纳量，因此该堆肥场的容积规模可同时满足本工程固体粪便处置需要。</w:t>
      </w:r>
    </w:p>
    <w:p w14:paraId="221A1B97">
      <w:pPr>
        <w:bidi w:val="0"/>
        <w:rPr>
          <w:rFonts w:hint="eastAsia"/>
          <w:lang w:val="en-US" w:eastAsia="zh-CN"/>
        </w:rPr>
      </w:pPr>
      <w:r>
        <w:rPr>
          <w:rFonts w:hint="eastAsia"/>
          <w:lang w:val="en-US" w:eastAsia="zh-CN"/>
        </w:rPr>
        <w:t>本项目猪粪最终经堆存发酵处置后应满足《粪便无害化卫生要求》（GB7959-2012）中污染物排放标准及《畜禽养殖业污染物排放标准》（GB18596-2001）表6中畜禽养殖业废渣无害化环境标准要求，污染治理措施可行。</w:t>
      </w:r>
    </w:p>
    <w:p w14:paraId="60F981D6">
      <w:pPr>
        <w:rPr>
          <w:rFonts w:hint="eastAsia"/>
          <w:color w:val="auto"/>
          <w:lang w:val="en-US" w:eastAsia="zh-CN"/>
        </w:rPr>
      </w:pPr>
      <w:r>
        <w:rPr>
          <w:rFonts w:hint="eastAsia"/>
          <w:color w:val="auto"/>
          <w:lang w:val="en-US" w:eastAsia="zh-CN"/>
        </w:rPr>
        <w:t>本项目</w:t>
      </w:r>
      <w:r>
        <w:rPr>
          <w:rFonts w:hint="eastAsia"/>
          <w:color w:val="auto"/>
        </w:rPr>
        <w:t>猪粪</w:t>
      </w:r>
      <w:r>
        <w:rPr>
          <w:rFonts w:hint="eastAsia"/>
          <w:color w:val="auto"/>
          <w:lang w:val="en-US" w:eastAsia="zh-CN"/>
        </w:rPr>
        <w:t>经堆肥场</w:t>
      </w:r>
      <w:r>
        <w:rPr>
          <w:rFonts w:hint="eastAsia"/>
          <w:color w:val="auto"/>
        </w:rPr>
        <w:t>好氧堆肥</w:t>
      </w:r>
      <w:r>
        <w:rPr>
          <w:rFonts w:hint="eastAsia"/>
          <w:color w:val="auto"/>
          <w:lang w:val="en-US" w:eastAsia="zh-CN"/>
        </w:rPr>
        <w:t>处理后作为粪肥于129团及周边耕地还田利用，根据《畜禽粪污土地承载力测算技术指南》中的规定测算消纳本项目所产生的粪肥所需要的土地面积，具体如下：</w:t>
      </w:r>
    </w:p>
    <w:p w14:paraId="359A5AC2">
      <w:pPr>
        <w:rPr>
          <w:rFonts w:hint="eastAsia"/>
          <w:color w:val="auto"/>
          <w:lang w:val="en-US" w:eastAsia="zh-CN"/>
        </w:rPr>
      </w:pPr>
      <w:r>
        <w:rPr>
          <w:rFonts w:hint="eastAsia"/>
          <w:color w:val="auto"/>
          <w:lang w:val="en-US" w:eastAsia="zh-CN"/>
        </w:rPr>
        <w:t>根据上述指南中的“5.2 规模养殖场配套土地面积测算方法”章节内容，规模养殖场配套土地面积等于规模养殖场粪肥养分供给量（对外销售部分不计算在内）除以单位土地粪肥养分需求量。</w:t>
      </w:r>
    </w:p>
    <w:p w14:paraId="2CCB9F5C">
      <w:pPr>
        <w:rPr>
          <w:rFonts w:hint="eastAsia"/>
          <w:color w:val="auto"/>
          <w:lang w:val="en-US" w:eastAsia="zh-CN"/>
        </w:rPr>
      </w:pPr>
      <w:r>
        <w:rPr>
          <w:rFonts w:hint="eastAsia"/>
          <w:color w:val="auto"/>
          <w:lang w:val="en-US" w:eastAsia="zh-CN"/>
        </w:rPr>
        <w:t>①规模养殖场粪肥养分供给量</w:t>
      </w:r>
    </w:p>
    <w:p w14:paraId="3FBA0ED9">
      <w:pPr>
        <w:rPr>
          <w:rFonts w:hint="default"/>
          <w:color w:val="auto"/>
          <w:lang w:val="en-US" w:eastAsia="zh-CN"/>
        </w:rPr>
      </w:pPr>
      <w:r>
        <w:rPr>
          <w:rFonts w:hint="default"/>
          <w:color w:val="auto"/>
          <w:lang w:val="en-US" w:eastAsia="zh-CN"/>
        </w:rPr>
        <w:t>粪肥养分供给量=∑(各种畜禽存栏量×各种畜禽氮（磷）排泄量)×养分留存率</w:t>
      </w:r>
    </w:p>
    <w:p w14:paraId="0970826C">
      <w:pPr>
        <w:rPr>
          <w:rFonts w:hint="eastAsia"/>
          <w:color w:val="auto"/>
          <w:lang w:val="en-US" w:eastAsia="zh-CN"/>
        </w:rPr>
      </w:pPr>
      <w:r>
        <w:rPr>
          <w:rFonts w:hint="eastAsia"/>
          <w:color w:val="auto"/>
          <w:lang w:val="en-US" w:eastAsia="zh-CN"/>
        </w:rPr>
        <w:t>其中，根据指南“5.1.3单位猪当量粪肥养分供给量”章节，单位猪当量氨养分供给量为7.0kg，磷养分供给量为1.2kg，本项目猪只存栏量为5万头；养分留存率：氮留存率推荐值为62%(磷留存率为72%)。</w:t>
      </w:r>
    </w:p>
    <w:p w14:paraId="52C3A33D">
      <w:pPr>
        <w:rPr>
          <w:rFonts w:hint="eastAsia"/>
          <w:color w:val="auto"/>
          <w:lang w:val="en-US" w:eastAsia="zh-CN"/>
        </w:rPr>
      </w:pPr>
      <w:r>
        <w:rPr>
          <w:rFonts w:hint="eastAsia"/>
          <w:color w:val="auto"/>
          <w:lang w:val="en-US" w:eastAsia="zh-CN"/>
        </w:rPr>
        <w:t>综上所述，本项目粪肥养分供给量为氮：217t、磷：43.2t。</w:t>
      </w:r>
    </w:p>
    <w:p w14:paraId="4F01FFD8">
      <w:pPr>
        <w:rPr>
          <w:rFonts w:hint="eastAsia"/>
          <w:color w:val="auto"/>
          <w:lang w:val="en-US" w:eastAsia="zh-CN"/>
        </w:rPr>
      </w:pPr>
      <w:r>
        <w:rPr>
          <w:rFonts w:hint="eastAsia"/>
          <w:color w:val="auto"/>
          <w:lang w:val="en-US" w:eastAsia="zh-CN"/>
        </w:rPr>
        <w:t>②单位土地粪肥养分需求量</w:t>
      </w:r>
    </w:p>
    <w:p w14:paraId="6EA0DB1F">
      <w:pPr>
        <w:rPr>
          <w:rFonts w:hint="eastAsia"/>
          <w:color w:val="auto"/>
          <w:lang w:val="en-US" w:eastAsia="zh-CN"/>
        </w:rPr>
      </w:pPr>
      <w:r>
        <w:rPr>
          <w:rFonts w:hint="eastAsia"/>
          <w:color w:val="auto"/>
          <w:lang w:val="en-US" w:eastAsia="zh-CN"/>
        </w:rPr>
        <w:t>根据不同土壤肥力下，单位土地养分需求量、施肥比例、粪肥占施肥比例和粪肥当季利用效率测算，计算方法如下：</w:t>
      </w:r>
    </w:p>
    <w:p w14:paraId="39254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drawing>
          <wp:inline distT="0" distB="0" distL="114300" distR="114300">
            <wp:extent cx="5270500" cy="582930"/>
            <wp:effectExtent l="0" t="0" r="6350" b="762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8"/>
                    <a:stretch>
                      <a:fillRect/>
                    </a:stretch>
                  </pic:blipFill>
                  <pic:spPr>
                    <a:xfrm>
                      <a:off x="0" y="0"/>
                      <a:ext cx="5270500" cy="582930"/>
                    </a:xfrm>
                    <a:prstGeom prst="rect">
                      <a:avLst/>
                    </a:prstGeom>
                    <a:noFill/>
                    <a:ln>
                      <a:noFill/>
                    </a:ln>
                  </pic:spPr>
                </pic:pic>
              </a:graphicData>
            </a:graphic>
          </wp:inline>
        </w:drawing>
      </w:r>
    </w:p>
    <w:p w14:paraId="2F0C1105">
      <w:pPr>
        <w:rPr>
          <w:rFonts w:hint="eastAsia"/>
          <w:color w:val="auto"/>
          <w:lang w:val="en-US" w:eastAsia="zh-CN"/>
        </w:rPr>
      </w:pPr>
      <w:r>
        <w:rPr>
          <w:rFonts w:hint="eastAsia"/>
          <w:color w:val="auto"/>
          <w:lang w:val="en-US" w:eastAsia="zh-CN"/>
        </w:rPr>
        <w:t>单位土地养分需求量为规模养殖场单位面积配套土地种植的各类植物在目标产量下的氨(磷)养分需求量之和，本项目所在区域周边种植的多为棉花，根据指南取值为：新疆棉花1亩产量取值为400kg，100kg棉花养分需求量氮=11.7kg、磷=3.04kg；施肥比例根据土壤中氨(磷)养分确定土壤不同氮磷养分水平下的施肥比例推荐值见指南中的附表2，本次取值为45%；粪肥占施肥比例取值50%；粪肥中氨素当季利用率推荐值为25%-30%，本次取值30%；磷素当季利用率推荐值为30%-35%，本次取值30%。</w:t>
      </w:r>
    </w:p>
    <w:p w14:paraId="0AA34E1A">
      <w:pPr>
        <w:rPr>
          <w:rFonts w:hint="default"/>
          <w:color w:val="auto"/>
          <w:lang w:val="en-US" w:eastAsia="zh-CN"/>
        </w:rPr>
      </w:pPr>
      <w:r>
        <w:rPr>
          <w:rFonts w:hint="eastAsia"/>
          <w:color w:val="auto"/>
          <w:lang w:val="en-US" w:eastAsia="zh-CN"/>
        </w:rPr>
        <w:t>综上，本项目所在区域单位土地粪肥养分需求量估算为：氮=35.1kg/亩、磷=9.12kg/亩。</w:t>
      </w:r>
    </w:p>
    <w:p w14:paraId="77C27CA5">
      <w:pPr>
        <w:rPr>
          <w:rFonts w:hint="default"/>
          <w:color w:val="FF0000"/>
          <w:lang w:val="en-US" w:eastAsia="zh-CN"/>
        </w:rPr>
      </w:pPr>
      <w:r>
        <w:rPr>
          <w:rFonts w:hint="eastAsia"/>
          <w:color w:val="auto"/>
          <w:lang w:val="en-US" w:eastAsia="zh-CN"/>
        </w:rPr>
        <w:t>因此，本项目消纳粪肥所需要的土地面积为：氮（6182.34亩）、磷（4736.85亩），综合考虑取两者中的最大值，进计算比较，最总确定本项目消纳粪肥所需要的土地面积为6182.34亩，根据现场调查，周边有足够的消纳土地。</w:t>
      </w:r>
    </w:p>
    <w:p w14:paraId="6F20EB2B">
      <w:pPr>
        <w:bidi w:val="0"/>
        <w:rPr>
          <w:rFonts w:hint="eastAsia"/>
          <w:lang w:val="en-US" w:eastAsia="zh-CN"/>
        </w:rPr>
      </w:pPr>
      <w:r>
        <w:rPr>
          <w:rFonts w:hint="eastAsia"/>
          <w:lang w:val="en-US" w:eastAsia="zh-CN"/>
        </w:rPr>
        <w:t>（2）病死猪尸体治理措施</w:t>
      </w:r>
    </w:p>
    <w:p w14:paraId="70C0552F">
      <w:pPr>
        <w:bidi w:val="0"/>
        <w:rPr>
          <w:rFonts w:hint="eastAsia"/>
          <w:lang w:val="en-US" w:eastAsia="zh-CN"/>
        </w:rPr>
      </w:pPr>
      <w:r>
        <w:rPr>
          <w:rFonts w:hint="eastAsia"/>
          <w:lang w:val="en-US" w:eastAsia="zh-CN"/>
        </w:rPr>
        <w:t>根据《畜禽养殖业污染防治技术规范》（HJ/T81-2001）的相关规定，企业对病死猪尸体及时处理，严禁随意丢弃，严禁出售或作为饲料再利用。本项目病死猪委托有资质单位进行处置，妥善处理。</w:t>
      </w:r>
    </w:p>
    <w:p w14:paraId="4FD02BB4">
      <w:pPr>
        <w:bidi w:val="0"/>
        <w:rPr>
          <w:rFonts w:hint="eastAsia"/>
          <w:lang w:val="en-US" w:eastAsia="zh-CN"/>
        </w:rPr>
      </w:pPr>
      <w:r>
        <w:rPr>
          <w:rFonts w:hint="eastAsia"/>
          <w:lang w:val="en-US" w:eastAsia="zh-CN"/>
        </w:rPr>
        <w:t>根据《病死畜禽和病害畜禽产品无害化处理管理办法》（农业农村部令 2022年第3号）：畜禽养殖场、养殖户、屠宰厂（场）、隔离场应当及时对病死畜禽和病害畜禽产品进行贮存和清运。</w:t>
      </w:r>
    </w:p>
    <w:p w14:paraId="440CD200">
      <w:pPr>
        <w:bidi w:val="0"/>
        <w:rPr>
          <w:rFonts w:hint="eastAsia"/>
          <w:lang w:val="en-US" w:eastAsia="zh-CN"/>
        </w:rPr>
      </w:pPr>
      <w:r>
        <w:rPr>
          <w:rFonts w:hint="eastAsia"/>
          <w:lang w:val="en-US" w:eastAsia="zh-CN"/>
        </w:rPr>
        <w:t>畜禽养殖场、屠宰厂（场）、隔离场委托病死畜禽无害化处理场处理的，应当符合以下要求：</w:t>
      </w:r>
    </w:p>
    <w:p w14:paraId="7F7DA35E">
      <w:pPr>
        <w:bidi w:val="0"/>
        <w:rPr>
          <w:rFonts w:hint="eastAsia"/>
          <w:lang w:val="en-US" w:eastAsia="zh-CN"/>
        </w:rPr>
      </w:pPr>
      <w:r>
        <w:rPr>
          <w:rFonts w:hint="eastAsia"/>
          <w:lang w:val="en-US" w:eastAsia="zh-CN"/>
        </w:rPr>
        <w:t>①采取必要的冷藏冷冻、清洗消毒等措施；</w:t>
      </w:r>
    </w:p>
    <w:p w14:paraId="0614A8BD">
      <w:pPr>
        <w:bidi w:val="0"/>
        <w:rPr>
          <w:rFonts w:hint="eastAsia"/>
          <w:lang w:val="en-US" w:eastAsia="zh-CN"/>
        </w:rPr>
      </w:pPr>
      <w:r>
        <w:rPr>
          <w:rFonts w:hint="eastAsia"/>
          <w:lang w:val="en-US" w:eastAsia="zh-CN"/>
        </w:rPr>
        <w:t>②具有病死畜禽和病害畜禽产品输出通道；</w:t>
      </w:r>
    </w:p>
    <w:p w14:paraId="46F7BFEB">
      <w:pPr>
        <w:bidi w:val="0"/>
        <w:rPr>
          <w:rFonts w:hint="eastAsia"/>
          <w:lang w:val="en-US" w:eastAsia="zh-CN"/>
        </w:rPr>
      </w:pPr>
      <w:r>
        <w:rPr>
          <w:rFonts w:hint="eastAsia"/>
          <w:lang w:val="en-US" w:eastAsia="zh-CN"/>
        </w:rPr>
        <w:t>③及时通知病死畜禽无害化处理场进行收集，或自行送至指定地点。</w:t>
      </w:r>
    </w:p>
    <w:p w14:paraId="0F4E538F">
      <w:pPr>
        <w:bidi w:val="0"/>
        <w:rPr>
          <w:rFonts w:hint="eastAsia"/>
          <w:lang w:val="en-US" w:eastAsia="zh-CN"/>
        </w:rPr>
      </w:pPr>
      <w:r>
        <w:rPr>
          <w:rFonts w:hint="eastAsia"/>
          <w:lang w:val="en-US" w:eastAsia="zh-CN"/>
        </w:rPr>
        <w:t>病死畜禽和病害畜禽产品专用运输车辆应当符合以下要求：</w:t>
      </w:r>
    </w:p>
    <w:p w14:paraId="362B73D5">
      <w:pPr>
        <w:bidi w:val="0"/>
        <w:rPr>
          <w:rFonts w:hint="eastAsia"/>
          <w:lang w:val="en-US" w:eastAsia="zh-CN"/>
        </w:rPr>
      </w:pPr>
      <w:r>
        <w:rPr>
          <w:rFonts w:hint="eastAsia"/>
          <w:lang w:val="en-US" w:eastAsia="zh-CN"/>
        </w:rPr>
        <w:t>①不得运输病死畜禽和病害畜禽产品以外的其他物品；</w:t>
      </w:r>
    </w:p>
    <w:p w14:paraId="4595152F">
      <w:pPr>
        <w:bidi w:val="0"/>
        <w:rPr>
          <w:rFonts w:hint="eastAsia"/>
          <w:lang w:val="en-US" w:eastAsia="zh-CN"/>
        </w:rPr>
      </w:pPr>
      <w:r>
        <w:rPr>
          <w:rFonts w:hint="eastAsia"/>
          <w:lang w:val="en-US" w:eastAsia="zh-CN"/>
        </w:rPr>
        <w:t>②车厢密闭、防水、防渗、耐腐蚀，易于清洗和消毒；</w:t>
      </w:r>
    </w:p>
    <w:p w14:paraId="7B50C32D">
      <w:pPr>
        <w:bidi w:val="0"/>
        <w:rPr>
          <w:rFonts w:hint="eastAsia"/>
          <w:lang w:val="en-US" w:eastAsia="zh-CN"/>
        </w:rPr>
      </w:pPr>
      <w:r>
        <w:rPr>
          <w:rFonts w:hint="eastAsia"/>
          <w:lang w:val="en-US" w:eastAsia="zh-CN"/>
        </w:rPr>
        <w:t>③配备能够接入国家监管监控平台的车辆定位跟踪系统、车载终端；</w:t>
      </w:r>
    </w:p>
    <w:p w14:paraId="79EB82D1">
      <w:pPr>
        <w:bidi w:val="0"/>
        <w:rPr>
          <w:rFonts w:hint="eastAsia"/>
          <w:lang w:val="en-US" w:eastAsia="zh-CN"/>
        </w:rPr>
      </w:pPr>
      <w:r>
        <w:rPr>
          <w:rFonts w:hint="eastAsia"/>
          <w:lang w:val="en-US" w:eastAsia="zh-CN"/>
        </w:rPr>
        <w:t>④配备人员防护、清洗消毒等应急防疫用品；</w:t>
      </w:r>
    </w:p>
    <w:p w14:paraId="74FE7B5B">
      <w:pPr>
        <w:bidi w:val="0"/>
        <w:rPr>
          <w:rFonts w:hint="eastAsia"/>
          <w:lang w:val="en-US" w:eastAsia="zh-CN"/>
        </w:rPr>
      </w:pPr>
      <w:r>
        <w:rPr>
          <w:rFonts w:hint="eastAsia"/>
          <w:lang w:val="en-US" w:eastAsia="zh-CN"/>
        </w:rPr>
        <w:t>⑤有符合动物防疫需要的其他设施设备。</w:t>
      </w:r>
    </w:p>
    <w:p w14:paraId="73DF109C">
      <w:pPr>
        <w:bidi w:val="0"/>
        <w:rPr>
          <w:rFonts w:hint="eastAsia"/>
          <w:lang w:val="en-US" w:eastAsia="zh-CN"/>
        </w:rPr>
      </w:pPr>
      <w:r>
        <w:rPr>
          <w:rFonts w:hint="eastAsia"/>
          <w:lang w:val="en-US" w:eastAsia="zh-CN"/>
        </w:rPr>
        <w:t>运输病死畜禽和病害畜禽产品的单位和个人，应当遵守下列规定：</w:t>
      </w:r>
    </w:p>
    <w:p w14:paraId="100B4DA7">
      <w:pPr>
        <w:bidi w:val="0"/>
        <w:rPr>
          <w:rFonts w:hint="eastAsia"/>
          <w:lang w:val="en-US" w:eastAsia="zh-CN"/>
        </w:rPr>
      </w:pPr>
      <w:r>
        <w:rPr>
          <w:rFonts w:hint="eastAsia"/>
          <w:lang w:val="en-US" w:eastAsia="zh-CN"/>
        </w:rPr>
        <w:t>①及时对车辆、相关工具及作业环境进行消毒；</w:t>
      </w:r>
    </w:p>
    <w:p w14:paraId="73BD80A0">
      <w:pPr>
        <w:bidi w:val="0"/>
        <w:rPr>
          <w:rFonts w:hint="eastAsia"/>
          <w:lang w:val="en-US" w:eastAsia="zh-CN"/>
        </w:rPr>
      </w:pPr>
      <w:r>
        <w:rPr>
          <w:rFonts w:hint="eastAsia"/>
          <w:lang w:val="en-US" w:eastAsia="zh-CN"/>
        </w:rPr>
        <w:t>②作业过程中如发生渗漏，应当妥善处理后再继续运输； </w:t>
      </w:r>
    </w:p>
    <w:p w14:paraId="10AF89D2">
      <w:pPr>
        <w:bidi w:val="0"/>
        <w:rPr>
          <w:rFonts w:hint="eastAsia"/>
          <w:lang w:val="en-US" w:eastAsia="zh-CN"/>
        </w:rPr>
      </w:pPr>
      <w:r>
        <w:rPr>
          <w:rFonts w:hint="eastAsia"/>
          <w:lang w:val="en-US" w:eastAsia="zh-CN"/>
        </w:rPr>
        <w:t>③做好人员防护和消毒。</w:t>
      </w:r>
    </w:p>
    <w:p w14:paraId="2638ECA0">
      <w:pPr>
        <w:bidi w:val="0"/>
        <w:rPr>
          <w:rFonts w:hint="default" w:eastAsia="宋体"/>
          <w:lang w:val="en-US" w:eastAsia="zh-CN"/>
        </w:rPr>
      </w:pPr>
      <w:r>
        <w:rPr>
          <w:rFonts w:hint="eastAsia"/>
          <w:lang w:val="en-US" w:eastAsia="zh-CN"/>
        </w:rPr>
        <w:t>本项目在厂区设置</w:t>
      </w:r>
      <w:r>
        <w:rPr>
          <w:highlight w:val="none"/>
        </w:rPr>
        <w:t>1间</w:t>
      </w:r>
      <w:r>
        <w:rPr>
          <w:rFonts w:hint="eastAsia"/>
          <w:highlight w:val="none"/>
          <w:lang w:val="en-US" w:eastAsia="zh-CN"/>
        </w:rPr>
        <w:t>144</w:t>
      </w:r>
      <w:r>
        <w:rPr>
          <w:highlight w:val="none"/>
        </w:rPr>
        <w:t>m</w:t>
      </w:r>
      <w:r>
        <w:rPr>
          <w:highlight w:val="none"/>
          <w:vertAlign w:val="superscript"/>
        </w:rPr>
        <w:t>2</w:t>
      </w:r>
      <w:r>
        <w:rPr>
          <w:highlight w:val="none"/>
        </w:rPr>
        <w:t>无害化暂存间（内设冰柜）暂存病死猪</w:t>
      </w:r>
      <w:r>
        <w:rPr>
          <w:rFonts w:hint="eastAsia"/>
          <w:highlight w:val="none"/>
          <w:lang w:eastAsia="zh-CN"/>
        </w:rPr>
        <w:t>，</w:t>
      </w:r>
      <w:r>
        <w:rPr>
          <w:rFonts w:hint="eastAsia"/>
          <w:highlight w:val="none"/>
          <w:lang w:val="en-US" w:eastAsia="zh-CN"/>
        </w:rPr>
        <w:t>并委托有资质单位及时拉运进行无害化处置，本次环评阶段暂定的病死猪无害化处置单位为第七师123团病死畜禽无害化处理中心，该单位采用采用高温法处理，此方法符合《畜禽养殖业污染防治技术规范》（HJ/T81-2001）、《病死及病害动物无害化处理技术规范》的通知（农医发〔2017〕25号），是目前农村地区养殖场常用的病死猪处理方法，技术经济可行。</w:t>
      </w:r>
    </w:p>
    <w:p w14:paraId="62BE836F">
      <w:pPr>
        <w:bidi w:val="0"/>
        <w:rPr>
          <w:rFonts w:hint="default"/>
          <w:lang w:val="en-US" w:eastAsia="zh-CN"/>
        </w:rPr>
      </w:pPr>
      <w:r>
        <w:rPr>
          <w:rFonts w:hint="eastAsia"/>
          <w:lang w:val="en-US" w:eastAsia="zh-CN"/>
        </w:rPr>
        <w:t>（3）沼渣/污泥</w:t>
      </w:r>
    </w:p>
    <w:p w14:paraId="6D4ABAA7">
      <w:pPr>
        <w:bidi w:val="0"/>
        <w:rPr>
          <w:rFonts w:hint="eastAsia"/>
          <w:lang w:val="en-US" w:eastAsia="zh-CN"/>
        </w:rPr>
      </w:pPr>
      <w:r>
        <w:rPr>
          <w:rFonts w:hint="eastAsia"/>
          <w:lang w:val="en-US" w:eastAsia="zh-CN"/>
        </w:rPr>
        <w:t>厌氧反应后的沼渣及好氧处理后的污泥产生量为7.61t/a。由于本项目污水处理系统主要处理养殖废水、生活废水，所产生的污泥不属于危险废物，为一般固废，可纳入堆肥场与粪便一并堆肥处理。</w:t>
      </w:r>
    </w:p>
    <w:p w14:paraId="4243505E">
      <w:pPr>
        <w:bidi w:val="0"/>
        <w:rPr>
          <w:rFonts w:hint="default"/>
          <w:lang w:val="en-US" w:eastAsia="zh-CN"/>
        </w:rPr>
      </w:pPr>
      <w:r>
        <w:rPr>
          <w:rFonts w:hint="eastAsia"/>
          <w:lang w:val="en-US" w:eastAsia="zh-CN"/>
        </w:rPr>
        <w:t>（4）废脱硫剂</w:t>
      </w:r>
    </w:p>
    <w:p w14:paraId="0880E708">
      <w:pPr>
        <w:bidi w:val="0"/>
        <w:rPr>
          <w:rFonts w:hint="eastAsia"/>
          <w:lang w:val="en-US" w:eastAsia="zh-CN"/>
        </w:rPr>
      </w:pPr>
      <w:r>
        <w:rPr>
          <w:rFonts w:hint="eastAsia"/>
          <w:lang w:val="en-US" w:eastAsia="zh-CN"/>
        </w:rPr>
        <w:t>本项目产生的废脱硫剂由生产厂家进行定期更换并回收，不在场内暂存。</w:t>
      </w:r>
    </w:p>
    <w:p w14:paraId="5255F6E1">
      <w:pPr>
        <w:bidi w:val="0"/>
        <w:rPr>
          <w:rFonts w:hint="default"/>
          <w:lang w:val="en-US" w:eastAsia="zh-CN"/>
        </w:rPr>
      </w:pPr>
      <w:r>
        <w:rPr>
          <w:rFonts w:hint="eastAsia"/>
          <w:lang w:val="en-US" w:eastAsia="zh-CN"/>
        </w:rPr>
        <w:t>（5）锅炉灰渣及收尘</w:t>
      </w:r>
    </w:p>
    <w:p w14:paraId="354BA8FD">
      <w:pPr>
        <w:bidi w:val="0"/>
        <w:rPr>
          <w:rFonts w:hint="default"/>
          <w:lang w:val="en-US" w:eastAsia="zh-CN"/>
        </w:rPr>
      </w:pPr>
      <w:r>
        <w:rPr>
          <w:rFonts w:hint="eastAsia"/>
          <w:lang w:val="en-US" w:eastAsia="zh-CN"/>
        </w:rPr>
        <w:t>锅炉灰渣产生量约83.09t/a，除尘灰的产生量约为2.82t/a，均属于一般固体废物，本项目在锅炉房中设置1个</w:t>
      </w:r>
      <w:r>
        <w:rPr>
          <w:highlight w:val="none"/>
        </w:rPr>
        <w:t>5m</w:t>
      </w:r>
      <w:r>
        <w:rPr>
          <w:highlight w:val="none"/>
          <w:vertAlign w:val="superscript"/>
        </w:rPr>
        <w:t>3</w:t>
      </w:r>
      <w:r>
        <w:rPr>
          <w:rFonts w:hint="eastAsia"/>
          <w:highlight w:val="none"/>
          <w:vertAlign w:val="baseline"/>
          <w:lang w:val="en-US" w:eastAsia="zh-CN"/>
        </w:rPr>
        <w:t>容量的</w:t>
      </w:r>
      <w:r>
        <w:rPr>
          <w:rFonts w:hint="eastAsia"/>
          <w:highlight w:val="none"/>
          <w:lang w:val="en-US" w:eastAsia="zh-CN"/>
        </w:rPr>
        <w:t>收集箱，收集后的</w:t>
      </w:r>
      <w:r>
        <w:rPr>
          <w:rFonts w:hint="eastAsia"/>
          <w:lang w:val="en-US" w:eastAsia="zh-CN"/>
        </w:rPr>
        <w:t>锅炉灰渣及收尘外售处理。</w:t>
      </w:r>
    </w:p>
    <w:p w14:paraId="7D1A6713">
      <w:pPr>
        <w:bidi w:val="0"/>
        <w:rPr>
          <w:rFonts w:hint="eastAsia"/>
          <w:lang w:val="en-US" w:eastAsia="zh-CN"/>
        </w:rPr>
      </w:pPr>
      <w:r>
        <w:rPr>
          <w:rFonts w:hint="eastAsia"/>
          <w:lang w:val="en-US" w:eastAsia="zh-CN"/>
        </w:rPr>
        <w:t>（6）废饲料包装袋</w:t>
      </w:r>
    </w:p>
    <w:p w14:paraId="69D99803">
      <w:pPr>
        <w:bidi w:val="0"/>
        <w:rPr>
          <w:rFonts w:hint="eastAsia"/>
          <w:lang w:val="en-US" w:eastAsia="zh-CN"/>
        </w:rPr>
      </w:pPr>
      <w:r>
        <w:rPr>
          <w:rFonts w:hint="eastAsia"/>
          <w:lang w:val="en-US" w:eastAsia="zh-CN"/>
        </w:rPr>
        <w:t>统一收集后外卖给废品回收站，能够得到资源化利用，技术经济可行。</w:t>
      </w:r>
    </w:p>
    <w:p w14:paraId="59B1D258">
      <w:pPr>
        <w:bidi w:val="0"/>
        <w:rPr>
          <w:rFonts w:hint="eastAsia"/>
          <w:lang w:val="en-US" w:eastAsia="zh-CN"/>
        </w:rPr>
      </w:pPr>
      <w:r>
        <w:rPr>
          <w:rFonts w:hint="eastAsia"/>
          <w:lang w:val="en-US" w:eastAsia="zh-CN"/>
        </w:rPr>
        <w:t>（7）生活垃圾治理措施</w:t>
      </w:r>
    </w:p>
    <w:p w14:paraId="2BF94E60">
      <w:pPr>
        <w:bidi w:val="0"/>
        <w:rPr>
          <w:rFonts w:hint="eastAsia"/>
          <w:lang w:val="en-US" w:eastAsia="zh-CN"/>
        </w:rPr>
      </w:pPr>
      <w:r>
        <w:rPr>
          <w:rFonts w:hint="eastAsia"/>
          <w:lang w:val="en-US" w:eastAsia="zh-CN"/>
        </w:rPr>
        <w:t>本项目生活垃圾产生量4.5t/a。在生活区设置垃圾船，日常产生的垃圾用袋子包装好后分类堆放，定期由环卫部门就近拉运至五家渠生活垃圾填埋场。</w:t>
      </w:r>
    </w:p>
    <w:p w14:paraId="63DBBB52">
      <w:pPr>
        <w:bidi w:val="0"/>
        <w:rPr>
          <w:rFonts w:hint="eastAsia"/>
          <w:lang w:eastAsia="zh-CN"/>
        </w:rPr>
      </w:pPr>
      <w:r>
        <w:rPr>
          <w:rFonts w:hint="eastAsia"/>
          <w:lang w:val="en-US" w:eastAsia="zh-CN"/>
        </w:rPr>
        <w:t>（8）</w:t>
      </w:r>
      <w:r>
        <w:rPr>
          <w:rFonts w:hint="eastAsia"/>
          <w:lang w:eastAsia="zh-CN"/>
        </w:rPr>
        <w:t>软水制备产生的废离子交换树脂</w:t>
      </w:r>
    </w:p>
    <w:p w14:paraId="39CEBB52">
      <w:pPr>
        <w:bidi w:val="0"/>
        <w:rPr>
          <w:rFonts w:hint="eastAsia"/>
          <w:lang w:val="en-US" w:eastAsia="zh-CN"/>
        </w:rPr>
      </w:pPr>
      <w:r>
        <w:rPr>
          <w:rFonts w:hint="eastAsia"/>
          <w:lang w:eastAsia="zh-CN"/>
        </w:rPr>
        <w:t>本项目的离子交换器的离子交换树脂填料约为0.1t/a，每3-5年更换一次，根据《国家危险废物名录》（2021），离子交换树脂不属于危险废物（900-015-13），属于一般固废，由厂家回收再生利用。</w:t>
      </w:r>
    </w:p>
    <w:p w14:paraId="1A8BF8F3">
      <w:pPr>
        <w:bidi w:val="0"/>
        <w:rPr>
          <w:rFonts w:hint="eastAsia"/>
          <w:lang w:val="en-US" w:eastAsia="zh-CN"/>
        </w:rPr>
      </w:pPr>
      <w:r>
        <w:rPr>
          <w:rFonts w:hint="eastAsia"/>
          <w:lang w:val="en-US" w:eastAsia="zh-CN"/>
        </w:rPr>
        <w:t>（9）医疗废物</w:t>
      </w:r>
    </w:p>
    <w:p w14:paraId="6301F80A">
      <w:pPr>
        <w:bidi w:val="0"/>
        <w:rPr>
          <w:rFonts w:hint="default"/>
          <w:lang w:val="en-US" w:eastAsia="zh-CN"/>
        </w:rPr>
      </w:pPr>
      <w:r>
        <w:rPr>
          <w:rFonts w:hint="eastAsia"/>
          <w:lang w:val="en-US" w:eastAsia="zh-CN"/>
        </w:rPr>
        <w:t>本项目的医疗废物主要是生猪防疫、治疗过程产生的固体废物，属于危险废物（841-001-01为感染性废物），产生量为1.0t/a，按照危险废物进行收集、暂存和处置，具体如下：</w:t>
      </w:r>
    </w:p>
    <w:p w14:paraId="5B282476">
      <w:pPr>
        <w:bidi w:val="0"/>
        <w:rPr>
          <w:rFonts w:hint="eastAsia"/>
          <w:lang w:val="en-US" w:eastAsia="zh-CN"/>
        </w:rPr>
      </w:pPr>
      <w:r>
        <w:rPr>
          <w:rFonts w:hint="eastAsia"/>
          <w:lang w:val="en-US" w:eastAsia="zh-CN"/>
        </w:rPr>
        <w:t>按照《医疗废物集中处置技术规范（试行）》规定，项目应设置危废暂存间，对医疗废弃物进行分类暂存，对于存在传染性的医疗固废，必须按照《危险废物贮存污染控制标准》（GB18597-2023）进行收集管理，医疗废物最终交由有资质单位处置。</w:t>
      </w:r>
    </w:p>
    <w:p w14:paraId="5392F114">
      <w:pPr>
        <w:bidi w:val="0"/>
        <w:rPr>
          <w:rFonts w:hint="eastAsia"/>
          <w:lang w:val="en-US" w:eastAsia="zh-CN"/>
        </w:rPr>
      </w:pPr>
      <w:r>
        <w:rPr>
          <w:rFonts w:hint="eastAsia"/>
          <w:lang w:val="en-US" w:eastAsia="zh-CN"/>
        </w:rPr>
        <w:t>本项目医疗废物的暂存设施设计要求如下：</w:t>
      </w:r>
    </w:p>
    <w:p w14:paraId="2D18988E">
      <w:pPr>
        <w:bidi w:val="0"/>
        <w:rPr>
          <w:rFonts w:hint="eastAsia"/>
          <w:lang w:val="en-US" w:eastAsia="zh-CN"/>
        </w:rPr>
      </w:pPr>
      <w:r>
        <w:rPr>
          <w:rFonts w:hint="eastAsia"/>
          <w:lang w:val="en-US" w:eastAsia="zh-CN"/>
        </w:rPr>
        <w:t>按《危险废物贮存污染控制标准》（GB 18597-2023）的要求，危废暂存间应按照以下要求进行设置：</w:t>
      </w:r>
    </w:p>
    <w:p w14:paraId="62E23DCF">
      <w:pPr>
        <w:bidi w:val="0"/>
        <w:rPr>
          <w:rFonts w:hint="eastAsia"/>
          <w:lang w:val="en-US" w:eastAsia="zh-CN"/>
        </w:rPr>
      </w:pPr>
      <w:r>
        <w:rPr>
          <w:rFonts w:hint="eastAsia"/>
          <w:lang w:val="en-US" w:eastAsia="zh-CN"/>
        </w:rPr>
        <w:t>①危废暂存间场地标高要高于场区地面标高；</w:t>
      </w:r>
    </w:p>
    <w:p w14:paraId="2B991811">
      <w:pPr>
        <w:bidi w:val="0"/>
        <w:rPr>
          <w:rFonts w:hint="eastAsia"/>
          <w:lang w:val="en-US" w:eastAsia="zh-CN"/>
        </w:rPr>
      </w:pPr>
      <w:r>
        <w:rPr>
          <w:rFonts w:hint="eastAsia"/>
          <w:lang w:val="en-US" w:eastAsia="zh-CN"/>
        </w:rPr>
        <w:t>②危废暂存间内部场地均要进行防渗处理，在现有混凝土基础防渗表面上喷涂防腐、防渗环氧树脂，加强基础防渗；</w:t>
      </w:r>
    </w:p>
    <w:p w14:paraId="15C77F68">
      <w:pPr>
        <w:bidi w:val="0"/>
        <w:rPr>
          <w:rFonts w:hint="eastAsia"/>
          <w:lang w:val="en-US" w:eastAsia="zh-CN"/>
        </w:rPr>
      </w:pPr>
      <w:r>
        <w:rPr>
          <w:rFonts w:hint="eastAsia"/>
          <w:lang w:val="en-US" w:eastAsia="zh-CN"/>
        </w:rPr>
        <w:t>③危废暂存间要按要求设置提示性和警示性图形标志；</w:t>
      </w:r>
    </w:p>
    <w:p w14:paraId="2003F981">
      <w:pPr>
        <w:bidi w:val="0"/>
        <w:rPr>
          <w:rFonts w:hint="eastAsia"/>
          <w:lang w:val="en-US" w:eastAsia="zh-CN"/>
        </w:rPr>
      </w:pPr>
      <w:r>
        <w:rPr>
          <w:rFonts w:hint="eastAsia"/>
          <w:lang w:val="en-US" w:eastAsia="zh-CN"/>
        </w:rPr>
        <w:t>④应建立档案制度，将存放的危险废物的种类和数量，以及存放设施的检查维护等资料详细记录在案，长期保存，供随时查阅。除此之外，危废暂存间还要记录危险废物的名称、来源、数量、特性和包装容器的类别、入库日期、存放库位、出库日期及接受单位名称；</w:t>
      </w:r>
    </w:p>
    <w:p w14:paraId="079595A6">
      <w:pPr>
        <w:bidi w:val="0"/>
        <w:rPr>
          <w:rFonts w:hint="eastAsia"/>
          <w:lang w:val="en-US" w:eastAsia="zh-CN"/>
        </w:rPr>
      </w:pPr>
      <w:r>
        <w:rPr>
          <w:rFonts w:hint="eastAsia"/>
          <w:lang w:val="en-US" w:eastAsia="zh-CN"/>
        </w:rPr>
        <w:t>⑤危险废物要装入容器内，并禁止将不相容（相互反应）的危险废物在同一容器内混装。容器上必须粘贴符合《危险废物贮存污染控制标准》（GB18597-2023）的危险废物标签；</w:t>
      </w:r>
    </w:p>
    <w:p w14:paraId="6FE6BB8F">
      <w:pPr>
        <w:bidi w:val="0"/>
        <w:rPr>
          <w:rFonts w:hint="eastAsia"/>
          <w:lang w:val="en-US" w:eastAsia="zh-CN"/>
        </w:rPr>
      </w:pPr>
      <w:r>
        <w:rPr>
          <w:rFonts w:hint="eastAsia"/>
          <w:lang w:val="en-US" w:eastAsia="zh-CN"/>
        </w:rPr>
        <w:t>⑥装载危险废物的容器必须完好无损，材质要满足相应的强度要求，容器材质与衬里要与危险废物相容（不相互反应）；</w:t>
      </w:r>
    </w:p>
    <w:p w14:paraId="64A84107">
      <w:pPr>
        <w:bidi w:val="0"/>
        <w:rPr>
          <w:rFonts w:hint="eastAsia"/>
          <w:lang w:val="en-US" w:eastAsia="zh-CN"/>
        </w:rPr>
      </w:pPr>
      <w:r>
        <w:rPr>
          <w:rFonts w:hint="eastAsia"/>
          <w:lang w:val="en-US" w:eastAsia="zh-CN"/>
        </w:rPr>
        <w:t>⑦危废暂存间地面要用坚固、防渗的材料建筑，并必须与危险废物相容；必须有泄漏液体的收集装置；内部要有安全照明设施和观察窗口；内部场地要有耐腐蚀的硬化地面且表面无裂隙；不相容的危险废物必须分开存放并设有隔离间隔离；</w:t>
      </w:r>
    </w:p>
    <w:p w14:paraId="1029C13F">
      <w:pPr>
        <w:bidi w:val="0"/>
        <w:rPr>
          <w:rFonts w:hint="eastAsia"/>
          <w:lang w:val="en-US" w:eastAsia="zh-CN"/>
        </w:rPr>
      </w:pPr>
      <w:r>
        <w:rPr>
          <w:rFonts w:hint="eastAsia"/>
          <w:lang w:val="en-US" w:eastAsia="zh-CN"/>
        </w:rPr>
        <w:t>⑧危废暂存间配备通讯设备、照明设施、安全防护服装及工具，并设有应急防护设施。</w:t>
      </w:r>
    </w:p>
    <w:p w14:paraId="13FE6777">
      <w:pPr>
        <w:bidi w:val="0"/>
        <w:rPr>
          <w:rFonts w:hint="eastAsia"/>
          <w:lang w:val="en-US" w:eastAsia="zh-CN"/>
        </w:rPr>
      </w:pPr>
      <w:r>
        <w:rPr>
          <w:rFonts w:hint="eastAsia"/>
          <w:lang w:val="en-US" w:eastAsia="zh-CN"/>
        </w:rPr>
        <w:t>本项目医疗废物的暂存、转运管理要求如下：</w:t>
      </w:r>
    </w:p>
    <w:p w14:paraId="3BF8509C">
      <w:pPr>
        <w:bidi w:val="0"/>
        <w:rPr>
          <w:rFonts w:hint="eastAsia"/>
          <w:lang w:val="en-US" w:eastAsia="zh-CN"/>
        </w:rPr>
      </w:pPr>
      <w:r>
        <w:rPr>
          <w:rFonts w:hint="eastAsia"/>
          <w:lang w:val="en-US" w:eastAsia="zh-CN"/>
        </w:rPr>
        <w:t>A医疗废物产生地点应当有医疗废物分类收集方法的示意图或者文字说明。</w:t>
      </w:r>
    </w:p>
    <w:p w14:paraId="0BB23139">
      <w:pPr>
        <w:bidi w:val="0"/>
        <w:rPr>
          <w:rFonts w:hint="eastAsia"/>
          <w:lang w:val="en-US" w:eastAsia="zh-CN"/>
        </w:rPr>
      </w:pPr>
      <w:r>
        <w:rPr>
          <w:rFonts w:hint="eastAsia"/>
          <w:lang w:val="en-US" w:eastAsia="zh-CN"/>
        </w:rPr>
        <w:t>B盛装的医疗废物达到包装物或者容器的3/4时，应当使用有效的封口方式，使包装物或者容器的封口紧实、严密。</w:t>
      </w:r>
    </w:p>
    <w:p w14:paraId="0AB96EB6">
      <w:pPr>
        <w:bidi w:val="0"/>
        <w:rPr>
          <w:rFonts w:hint="eastAsia"/>
          <w:lang w:val="en-US" w:eastAsia="zh-CN"/>
        </w:rPr>
      </w:pPr>
      <w:r>
        <w:rPr>
          <w:rFonts w:hint="eastAsia"/>
          <w:lang w:val="en-US" w:eastAsia="zh-CN"/>
        </w:rPr>
        <w:t>C包装物或者容器的外表面被感染性废物污染时，应当对被污染处进行消毒处理或者增加一层包装。</w:t>
      </w:r>
    </w:p>
    <w:p w14:paraId="2C33EBD0">
      <w:pPr>
        <w:bidi w:val="0"/>
        <w:rPr>
          <w:rFonts w:hint="eastAsia"/>
          <w:lang w:val="en-US" w:eastAsia="zh-CN"/>
        </w:rPr>
      </w:pPr>
      <w:r>
        <w:rPr>
          <w:rFonts w:hint="eastAsia"/>
          <w:lang w:val="en-US" w:eastAsia="zh-CN"/>
        </w:rPr>
        <w:t>D盛装医疗废物的每个包装物、容器外表面应当有警示标识，在每个包装物、容器上应当系中文标签，中文标签的内容应当包括：医疗废物产生单位、产生日期、类别及需要的特别说明等。</w:t>
      </w:r>
    </w:p>
    <w:p w14:paraId="05D43724">
      <w:pPr>
        <w:bidi w:val="0"/>
        <w:rPr>
          <w:rFonts w:hint="eastAsia"/>
          <w:lang w:val="en-US" w:eastAsia="zh-CN"/>
        </w:rPr>
      </w:pPr>
      <w:r>
        <w:rPr>
          <w:rFonts w:hint="eastAsia"/>
          <w:lang w:val="en-US" w:eastAsia="zh-CN"/>
        </w:rPr>
        <w:t>E运送人员每天从医疗废物产生地点将分类包装的医疗废物按照规定的时间和路线运送至内部指定的暂时贮存地点。</w:t>
      </w:r>
    </w:p>
    <w:p w14:paraId="161E0ED5">
      <w:pPr>
        <w:bidi w:val="0"/>
        <w:rPr>
          <w:rFonts w:hint="eastAsia"/>
          <w:lang w:val="en-US" w:eastAsia="zh-CN"/>
        </w:rPr>
      </w:pPr>
      <w:r>
        <w:rPr>
          <w:rFonts w:hint="eastAsia"/>
          <w:lang w:val="en-US" w:eastAsia="zh-CN"/>
        </w:rPr>
        <w:t>F运送人员在运送医疗废物前，应当检查包装物或者容器的标识、标签及封口是否符合要求，不得将不符合要求的医疗废物运送至暂时贮存地点。</w:t>
      </w:r>
    </w:p>
    <w:p w14:paraId="455F4613">
      <w:pPr>
        <w:bidi w:val="0"/>
        <w:rPr>
          <w:rFonts w:hint="eastAsia"/>
          <w:lang w:val="en-US" w:eastAsia="zh-CN"/>
        </w:rPr>
      </w:pPr>
      <w:r>
        <w:rPr>
          <w:rFonts w:hint="eastAsia"/>
          <w:lang w:val="en-US" w:eastAsia="zh-CN"/>
        </w:rPr>
        <w:t>G运送人员在运送医疗废物时，应当防止造成包装物或容器破损和医疗废物的流失、泄漏和扩散，并防止医疗废物直接接触身体。</w:t>
      </w:r>
    </w:p>
    <w:p w14:paraId="33DF9B2E">
      <w:pPr>
        <w:bidi w:val="0"/>
        <w:rPr>
          <w:rFonts w:hint="eastAsia"/>
          <w:lang w:val="en-US" w:eastAsia="zh-CN"/>
        </w:rPr>
      </w:pPr>
      <w:r>
        <w:rPr>
          <w:rFonts w:hint="eastAsia"/>
          <w:lang w:val="en-US" w:eastAsia="zh-CN"/>
        </w:rPr>
        <w:t>H运送医疗废物应当使用防渗漏、防遗洒、无锐利边角、易于装卸和清洁的专用运送工具。每天运送工作结束后，应当对运送工具及时进行清洁和消毒。</w:t>
      </w:r>
    </w:p>
    <w:p w14:paraId="3228411A">
      <w:pPr>
        <w:bidi w:val="0"/>
        <w:rPr>
          <w:rFonts w:hint="eastAsia"/>
          <w:lang w:val="en-US" w:eastAsia="zh-CN"/>
        </w:rPr>
      </w:pPr>
      <w:r>
        <w:rPr>
          <w:rFonts w:hint="eastAsia"/>
          <w:lang w:val="en-US" w:eastAsia="zh-CN"/>
        </w:rPr>
        <w:t>I应当建立医疗废物暂时贮存设施、设备，不得露天存放医疗废物。</w:t>
      </w:r>
    </w:p>
    <w:p w14:paraId="61C5459B">
      <w:pPr>
        <w:bidi w:val="0"/>
        <w:rPr>
          <w:rFonts w:hint="eastAsia"/>
          <w:lang w:val="en-US" w:eastAsia="zh-CN"/>
        </w:rPr>
      </w:pPr>
      <w:r>
        <w:rPr>
          <w:rFonts w:hint="eastAsia"/>
          <w:lang w:val="en-US" w:eastAsia="zh-CN"/>
        </w:rPr>
        <w:t>J建立的医疗废物暂时贮存设施、设备应当达到以下要求：</w:t>
      </w:r>
    </w:p>
    <w:p w14:paraId="45147980">
      <w:pPr>
        <w:bidi w:val="0"/>
        <w:rPr>
          <w:rFonts w:hint="eastAsia"/>
          <w:lang w:val="en-US" w:eastAsia="zh-CN"/>
        </w:rPr>
      </w:pPr>
      <w:r>
        <w:rPr>
          <w:rFonts w:hint="eastAsia"/>
          <w:lang w:val="en-US" w:eastAsia="zh-CN"/>
        </w:rPr>
        <w:t>①远离职工宿舍、人员活动区和生活垃圾存放场所，方便医疗废物运送人员及运送工具、车辆的出入；</w:t>
      </w:r>
    </w:p>
    <w:p w14:paraId="6699E6B3">
      <w:pPr>
        <w:bidi w:val="0"/>
        <w:rPr>
          <w:rFonts w:hint="eastAsia"/>
          <w:lang w:val="en-US" w:eastAsia="zh-CN"/>
        </w:rPr>
      </w:pPr>
      <w:r>
        <w:rPr>
          <w:rFonts w:hint="eastAsia"/>
          <w:lang w:val="en-US" w:eastAsia="zh-CN"/>
        </w:rPr>
        <w:t>②有严密的封闭措施，设专（兼）职人员管理，防止非工作人员接触医疗废物；</w:t>
      </w:r>
    </w:p>
    <w:p w14:paraId="18EEFC58">
      <w:pPr>
        <w:bidi w:val="0"/>
        <w:rPr>
          <w:rFonts w:hint="eastAsia"/>
          <w:lang w:val="en-US" w:eastAsia="zh-CN"/>
        </w:rPr>
      </w:pPr>
      <w:r>
        <w:rPr>
          <w:rFonts w:hint="eastAsia"/>
          <w:lang w:val="en-US" w:eastAsia="zh-CN"/>
        </w:rPr>
        <w:t>③有防鼠、防蚊蝇、防蟑螂的安全措施；</w:t>
      </w:r>
    </w:p>
    <w:p w14:paraId="7DC5E065">
      <w:pPr>
        <w:bidi w:val="0"/>
        <w:rPr>
          <w:rFonts w:hint="eastAsia"/>
          <w:lang w:val="en-US" w:eastAsia="zh-CN"/>
        </w:rPr>
      </w:pPr>
      <w:r>
        <w:rPr>
          <w:rFonts w:hint="eastAsia"/>
          <w:lang w:val="en-US" w:eastAsia="zh-CN"/>
        </w:rPr>
        <w:t>④防止渗漏和雨水冲刷；</w:t>
      </w:r>
    </w:p>
    <w:p w14:paraId="33AE31C5">
      <w:pPr>
        <w:bidi w:val="0"/>
        <w:rPr>
          <w:rFonts w:hint="eastAsia"/>
          <w:lang w:val="en-US" w:eastAsia="zh-CN"/>
        </w:rPr>
      </w:pPr>
      <w:r>
        <w:rPr>
          <w:rFonts w:hint="eastAsia"/>
          <w:lang w:val="en-US" w:eastAsia="zh-CN"/>
        </w:rPr>
        <w:t>⑤易于清洁和消毒；</w:t>
      </w:r>
    </w:p>
    <w:p w14:paraId="6F3EB7F3">
      <w:pPr>
        <w:bidi w:val="0"/>
        <w:rPr>
          <w:rFonts w:hint="eastAsia"/>
          <w:lang w:val="en-US" w:eastAsia="zh-CN"/>
        </w:rPr>
      </w:pPr>
      <w:r>
        <w:rPr>
          <w:rFonts w:hint="eastAsia"/>
          <w:lang w:val="en-US" w:eastAsia="zh-CN"/>
        </w:rPr>
        <w:t>⑥避免阳光直射；</w:t>
      </w:r>
    </w:p>
    <w:p w14:paraId="3F0E07F4">
      <w:pPr>
        <w:bidi w:val="0"/>
        <w:rPr>
          <w:rFonts w:hint="eastAsia"/>
          <w:lang w:val="en-US" w:eastAsia="zh-CN"/>
        </w:rPr>
      </w:pPr>
      <w:r>
        <w:rPr>
          <w:rFonts w:hint="eastAsia"/>
          <w:lang w:val="en-US" w:eastAsia="zh-CN"/>
        </w:rPr>
        <w:t>⑦设有明显的医疗废物警示标识和“禁止吸烟、饮食 ”的警示标识。</w:t>
      </w:r>
    </w:p>
    <w:p w14:paraId="4A36A216">
      <w:pPr>
        <w:bidi w:val="0"/>
        <w:rPr>
          <w:rFonts w:hint="eastAsia"/>
          <w:lang w:val="en-US" w:eastAsia="zh-CN"/>
        </w:rPr>
      </w:pPr>
      <w:r>
        <w:rPr>
          <w:rFonts w:hint="eastAsia"/>
          <w:lang w:val="en-US" w:eastAsia="zh-CN"/>
        </w:rPr>
        <w:t>K暂时贮存病理性废物，应当具备低温贮存或者防腐条件。</w:t>
      </w:r>
    </w:p>
    <w:p w14:paraId="3C561D90">
      <w:pPr>
        <w:bidi w:val="0"/>
        <w:rPr>
          <w:rFonts w:hint="eastAsia"/>
          <w:lang w:val="en-US" w:eastAsia="zh-CN"/>
        </w:rPr>
      </w:pPr>
      <w:r>
        <w:rPr>
          <w:rFonts w:hint="eastAsia"/>
          <w:lang w:val="en-US" w:eastAsia="zh-CN"/>
        </w:rPr>
        <w:t>L应当将医疗废物交由取得县级以上人民政府环境保护行政主管部门许可的医疗废物集中处置单位处置，依照危险废物转移联单制度填写和保存转移联单。</w:t>
      </w:r>
    </w:p>
    <w:p w14:paraId="6B02AB82">
      <w:pPr>
        <w:bidi w:val="0"/>
        <w:rPr>
          <w:rFonts w:hint="eastAsia"/>
          <w:lang w:val="en-US" w:eastAsia="zh-CN"/>
        </w:rPr>
      </w:pPr>
      <w:r>
        <w:rPr>
          <w:rFonts w:hint="eastAsia"/>
          <w:lang w:val="en-US" w:eastAsia="zh-CN"/>
        </w:rPr>
        <w:t>M应当对医疗废物进行登记，登记内容应当包括医疗废物的来源、种类、重量或者数量、交接时间、最终去向以及经办人签名等项目。登记资料至少保存3年。</w:t>
      </w:r>
    </w:p>
    <w:p w14:paraId="321139EB">
      <w:pPr>
        <w:bidi w:val="0"/>
        <w:rPr>
          <w:rFonts w:hint="eastAsia"/>
          <w:lang w:val="en-US" w:eastAsia="zh-CN"/>
        </w:rPr>
      </w:pPr>
      <w:r>
        <w:rPr>
          <w:rFonts w:hint="eastAsia"/>
          <w:lang w:val="en-US" w:eastAsia="zh-CN"/>
        </w:rPr>
        <w:t>N医疗废物转交出去后，应当对暂时贮存地点、设施及时进行清洁和消毒处理。</w:t>
      </w:r>
    </w:p>
    <w:p w14:paraId="3F1AB722">
      <w:pPr>
        <w:bidi w:val="0"/>
        <w:rPr>
          <w:rFonts w:hint="eastAsia"/>
          <w:lang w:val="en-US" w:eastAsia="zh-CN"/>
        </w:rPr>
      </w:pPr>
      <w:r>
        <w:rPr>
          <w:rFonts w:hint="eastAsia"/>
          <w:lang w:val="en-US" w:eastAsia="zh-CN"/>
        </w:rPr>
        <w:t>O禁止转让、买卖医疗废物。</w:t>
      </w:r>
    </w:p>
    <w:p w14:paraId="20194127">
      <w:pPr>
        <w:bidi w:val="0"/>
        <w:rPr>
          <w:rFonts w:hint="eastAsia"/>
          <w:lang w:val="en-US" w:eastAsia="zh-CN"/>
        </w:rPr>
      </w:pPr>
      <w:r>
        <w:rPr>
          <w:rFonts w:hint="eastAsia"/>
          <w:lang w:val="en-US" w:eastAsia="zh-CN"/>
        </w:rPr>
        <w:t>P禁止在非收集、非暂时贮存地点倾倒、堆放医疗废物，禁止将医疗废物混入其它废物和生活垃圾。</w:t>
      </w:r>
    </w:p>
    <w:p w14:paraId="035B6DDE">
      <w:pPr>
        <w:bidi w:val="0"/>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lang w:val="en-US" w:eastAsia="zh-CN"/>
        </w:rPr>
        <w:t>综上，本项目固废均做到了资源化、无害化，从技术经济角度分析，固体废弃物污染防治措施经济技术可行。</w:t>
      </w:r>
    </w:p>
    <w:p w14:paraId="747168BA">
      <w:pPr>
        <w:pStyle w:val="25"/>
        <w:bidi w:val="0"/>
        <w:rPr>
          <w:rFonts w:hint="default"/>
          <w:lang w:val="en-US" w:eastAsia="zh-CN"/>
        </w:rPr>
      </w:pPr>
      <w:bookmarkStart w:id="35" w:name="_Toc20585"/>
      <w:r>
        <w:rPr>
          <w:rFonts w:hint="eastAsia"/>
          <w:lang w:val="en-US" w:eastAsia="zh-CN"/>
        </w:rPr>
        <w:t>环境影响经济损益分析</w:t>
      </w:r>
      <w:bookmarkEnd w:id="35"/>
    </w:p>
    <w:p w14:paraId="18B673F8">
      <w:pPr>
        <w:pStyle w:val="26"/>
        <w:bidi w:val="0"/>
        <w:rPr>
          <w:rFonts w:hint="eastAsia"/>
          <w:lang w:val="en-US" w:eastAsia="zh-CN"/>
        </w:rPr>
      </w:pPr>
      <w:bookmarkStart w:id="36" w:name="_Toc28561"/>
      <w:r>
        <w:rPr>
          <w:rFonts w:hint="eastAsia"/>
          <w:lang w:val="en-US" w:eastAsia="zh-CN"/>
        </w:rPr>
        <w:t>效益分析</w:t>
      </w:r>
      <w:bookmarkEnd w:id="36"/>
    </w:p>
    <w:p w14:paraId="1782DC1A">
      <w:pPr>
        <w:pStyle w:val="27"/>
        <w:bidi w:val="0"/>
        <w:rPr>
          <w:rFonts w:hint="eastAsia"/>
          <w:lang w:val="en-US" w:eastAsia="zh-CN"/>
        </w:rPr>
      </w:pPr>
      <w:r>
        <w:rPr>
          <w:rFonts w:hint="eastAsia"/>
          <w:lang w:val="en-US" w:eastAsia="zh-CN"/>
        </w:rPr>
        <w:t>经济效益</w:t>
      </w:r>
    </w:p>
    <w:p w14:paraId="58475F21">
      <w:pPr>
        <w:rPr>
          <w:rFonts w:hint="eastAsia"/>
          <w:lang w:val="en-US" w:eastAsia="zh-CN"/>
        </w:rPr>
      </w:pPr>
      <w:r>
        <w:rPr>
          <w:rFonts w:hint="eastAsia"/>
          <w:lang w:val="en-US" w:eastAsia="zh-CN"/>
        </w:rPr>
        <w:t>本项目投入总资金18000万元，项目投资利润率25.3%；销售收入利润率24.16%；总成本利润率31.85%。本项目经济效益较好，且具有一定的抗风险能力，在经济上是可行的。</w:t>
      </w:r>
    </w:p>
    <w:p w14:paraId="1F3BE093">
      <w:pPr>
        <w:pStyle w:val="27"/>
        <w:bidi w:val="0"/>
        <w:rPr>
          <w:rFonts w:hint="eastAsia"/>
          <w:lang w:val="en-US" w:eastAsia="zh-CN"/>
        </w:rPr>
      </w:pPr>
      <w:r>
        <w:rPr>
          <w:rFonts w:hint="eastAsia"/>
          <w:lang w:val="en-US" w:eastAsia="zh-CN"/>
        </w:rPr>
        <w:t>社会效益</w:t>
      </w:r>
    </w:p>
    <w:p w14:paraId="13D3A149">
      <w:pPr>
        <w:rPr>
          <w:rFonts w:hint="eastAsia"/>
          <w:lang w:val="en-US" w:eastAsia="zh-CN"/>
        </w:rPr>
      </w:pPr>
      <w:r>
        <w:rPr>
          <w:rFonts w:hint="eastAsia"/>
          <w:lang w:val="en-US" w:eastAsia="zh-CN"/>
        </w:rPr>
        <w:t>本项目符合国家产业政策，本项目采用优良种猪育肥、引进国外先进模式和管理经验，在推动所在地畜牧业进一步做大做强，增强人民体质等方面都具有重要意义。本项目的社会效益主要表现在：</w:t>
      </w:r>
    </w:p>
    <w:p w14:paraId="6B2CDA39">
      <w:pPr>
        <w:rPr>
          <w:rFonts w:hint="eastAsia"/>
          <w:lang w:val="en-US" w:eastAsia="zh-CN"/>
        </w:rPr>
      </w:pPr>
      <w:r>
        <w:rPr>
          <w:rFonts w:hint="eastAsia"/>
          <w:lang w:val="en-US" w:eastAsia="zh-CN"/>
        </w:rPr>
        <w:t>（1）通过该项目的实施，有利于加大农业综合开发利用力度，有利于资源优势转化为产业优势，提高土地的产出效益。</w:t>
      </w:r>
    </w:p>
    <w:p w14:paraId="63711E65">
      <w:pPr>
        <w:rPr>
          <w:rFonts w:hint="eastAsia"/>
          <w:lang w:val="en-US" w:eastAsia="zh-CN"/>
        </w:rPr>
      </w:pPr>
      <w:r>
        <w:rPr>
          <w:rFonts w:hint="eastAsia"/>
          <w:lang w:val="en-US" w:eastAsia="zh-CN"/>
        </w:rPr>
        <w:t>（2）通过引进优良品质、采用现代化的养殖工艺与装备，通过标准化、规模化生猪饲养模式，推动项目所在地畜牧业实现高效生产和可持续发展具有较好的示范作用。本项目共产生猪粪23287t/a，经堆肥后，设计单位提供资料，每吨肥料为200元，肥料合计产生效益465.74万元。项目实施后，废水实现了零排放，项目每年最大减少排水量为</w:t>
      </w:r>
      <w:r>
        <w:rPr>
          <w:rFonts w:hint="eastAsia" w:eastAsia="宋体"/>
          <w:lang w:val="en-US" w:eastAsia="zh-CN"/>
        </w:rPr>
        <w:t>64452.36</w:t>
      </w:r>
      <w:r>
        <w:rPr>
          <w:rFonts w:hint="eastAsia"/>
          <w:lang w:val="en-US" w:eastAsia="zh-CN"/>
        </w:rPr>
        <w:t>m</w:t>
      </w:r>
      <w:r>
        <w:rPr>
          <w:rFonts w:hint="eastAsia"/>
          <w:vertAlign w:val="superscript"/>
          <w:lang w:val="en-US" w:eastAsia="zh-CN"/>
        </w:rPr>
        <w:t>3</w:t>
      </w:r>
      <w:r>
        <w:rPr>
          <w:rFonts w:hint="eastAsia"/>
          <w:lang w:val="en-US" w:eastAsia="zh-CN"/>
        </w:rPr>
        <w:t>，根据设计单位提供的资料，每吨废水处理费为0.8元，合计节约污水处理费5.16万元。综合效益约为470.9万元/a。</w:t>
      </w:r>
    </w:p>
    <w:p w14:paraId="1C04E028">
      <w:pPr>
        <w:rPr>
          <w:rFonts w:hint="eastAsia"/>
          <w:lang w:val="en-US" w:eastAsia="zh-CN"/>
        </w:rPr>
      </w:pPr>
      <w:r>
        <w:rPr>
          <w:rFonts w:hint="eastAsia"/>
          <w:lang w:val="en-US" w:eastAsia="zh-CN"/>
        </w:rPr>
        <w:t>（3）畜禽粪制成优质有机肥用于土壤施肥、土壤改良。项目为周围种植业提供了大量优质有机肥，降低了化肥在农产品生产中的使用量，为无公害、绿色、有机农产品的生产提供了有利条件。</w:t>
      </w:r>
    </w:p>
    <w:p w14:paraId="1F9D78A9">
      <w:pPr>
        <w:rPr>
          <w:rFonts w:hint="eastAsia"/>
          <w:lang w:val="en-US" w:eastAsia="zh-CN"/>
        </w:rPr>
      </w:pPr>
      <w:r>
        <w:rPr>
          <w:rFonts w:hint="eastAsia"/>
          <w:lang w:val="en-US" w:eastAsia="zh-CN"/>
        </w:rPr>
        <w:t>（4）项目实施后将促进和带动周边加工业等相关产业的发展，同时，可以进一步促进规划区内基础设施的建设。</w:t>
      </w:r>
    </w:p>
    <w:p w14:paraId="6E3FE8A4">
      <w:pPr>
        <w:rPr>
          <w:rFonts w:hint="eastAsia"/>
          <w:lang w:val="en-US" w:eastAsia="zh-CN"/>
        </w:rPr>
      </w:pPr>
      <w:r>
        <w:rPr>
          <w:rFonts w:hint="eastAsia"/>
          <w:lang w:val="en-US" w:eastAsia="zh-CN"/>
        </w:rPr>
        <w:t>（5）本项目的实施可以直接或间接的增加许多就业机会，促进社会的安定团结。</w:t>
      </w:r>
    </w:p>
    <w:p w14:paraId="70039DE3">
      <w:pPr>
        <w:rPr>
          <w:rFonts w:hint="eastAsia"/>
          <w:lang w:val="en-US" w:eastAsia="zh-CN"/>
        </w:rPr>
      </w:pPr>
      <w:r>
        <w:rPr>
          <w:rFonts w:hint="eastAsia"/>
          <w:lang w:val="en-US" w:eastAsia="zh-CN"/>
        </w:rPr>
        <w:t>（6）项目的实施可以增加地方政府的税收，促进地方经济发展和人民生活质量的提高。</w:t>
      </w:r>
    </w:p>
    <w:p w14:paraId="27743FBD">
      <w:pPr>
        <w:pStyle w:val="27"/>
        <w:bidi w:val="0"/>
        <w:rPr>
          <w:rFonts w:hint="eastAsia"/>
          <w:lang w:val="en-US" w:eastAsia="zh-CN"/>
        </w:rPr>
      </w:pPr>
      <w:r>
        <w:rPr>
          <w:rFonts w:hint="eastAsia"/>
          <w:lang w:val="en-US" w:eastAsia="zh-CN"/>
        </w:rPr>
        <w:t>环境效益</w:t>
      </w:r>
    </w:p>
    <w:p w14:paraId="56A18A6F">
      <w:pPr>
        <w:rPr>
          <w:rFonts w:hint="eastAsia"/>
          <w:lang w:val="en-US" w:eastAsia="zh-CN"/>
        </w:rPr>
      </w:pPr>
      <w:r>
        <w:rPr>
          <w:rFonts w:hint="eastAsia"/>
          <w:lang w:val="en-US" w:eastAsia="zh-CN"/>
        </w:rPr>
        <w:t>本项目在设计中充分考虑了环境保护的要求，严格执行各项环境保护标准。采用的工艺为原料消耗较低、工艺先进、成熟可靠、少污染的新工艺、新技术、新设备，从根本上减少了污染，有利于环境保护。针对在生产中产生的污染物，从实际出发采取多种相应的处理措施。如合理划分排水系统，供热锅炉合理设置并配套相应烟气治理措施，减少废气排放；生产废水处理后委托清运，不设置排放口，废水不外排；在设备选型时，选用低噪声设施，并采取消声措施，减少噪声对环境的影响等。本项目采取上述环境治理措施后，外排的污染物很少，既保护了环境又为企业带来了一定的经济效益。主要表现为以下几个方面：</w:t>
      </w:r>
    </w:p>
    <w:p w14:paraId="1A3FD4BF">
      <w:pPr>
        <w:rPr>
          <w:rFonts w:hint="eastAsia"/>
          <w:lang w:val="en-US" w:eastAsia="zh-CN"/>
        </w:rPr>
      </w:pPr>
      <w:r>
        <w:rPr>
          <w:rFonts w:hint="eastAsia"/>
          <w:lang w:val="en-US" w:eastAsia="zh-CN"/>
        </w:rPr>
        <w:t>（1）废水削减</w:t>
      </w:r>
    </w:p>
    <w:p w14:paraId="3973CF7E">
      <w:pPr>
        <w:rPr>
          <w:rFonts w:hint="eastAsia"/>
          <w:lang w:val="en-US" w:eastAsia="zh-CN"/>
        </w:rPr>
      </w:pPr>
      <w:r>
        <w:rPr>
          <w:rFonts w:hint="eastAsia"/>
          <w:lang w:val="en-US" w:eastAsia="zh-CN"/>
        </w:rPr>
        <w:t>该养殖场日排尿液、冲洗水和生活污水64452.36t/a，经项目污水处理系统处理后全部再氧化塘中储存，并委托129团农业发展中心定期清运处理，不外排。</w:t>
      </w:r>
    </w:p>
    <w:p w14:paraId="645AE7EF">
      <w:pPr>
        <w:rPr>
          <w:rFonts w:hint="eastAsia"/>
          <w:lang w:val="en-US" w:eastAsia="zh-CN"/>
        </w:rPr>
      </w:pPr>
      <w:r>
        <w:rPr>
          <w:rFonts w:hint="eastAsia"/>
          <w:lang w:val="en-US" w:eastAsia="zh-CN"/>
        </w:rPr>
        <w:t>（2）固废削减</w:t>
      </w:r>
    </w:p>
    <w:p w14:paraId="10100323">
      <w:pPr>
        <w:rPr>
          <w:rFonts w:hint="default"/>
          <w:lang w:val="en-US" w:eastAsia="zh-CN"/>
        </w:rPr>
      </w:pPr>
      <w:r>
        <w:rPr>
          <w:rFonts w:hint="eastAsia"/>
          <w:lang w:val="en-US" w:eastAsia="zh-CN"/>
        </w:rPr>
        <w:t>本项目猪粪产量为23287t/a，猪粪经固液分离发酵处理后作为固体有机肥，最终还田利用。</w:t>
      </w:r>
    </w:p>
    <w:p w14:paraId="2F0EA1B9">
      <w:pPr>
        <w:rPr>
          <w:rFonts w:hint="eastAsia"/>
          <w:lang w:val="en-US" w:eastAsia="zh-CN"/>
        </w:rPr>
      </w:pPr>
      <w:r>
        <w:rPr>
          <w:rFonts w:hint="eastAsia"/>
          <w:lang w:val="en-US" w:eastAsia="zh-CN"/>
        </w:rPr>
        <w:t>（3）生态环境效益</w:t>
      </w:r>
    </w:p>
    <w:p w14:paraId="19E0F399">
      <w:pPr>
        <w:rPr>
          <w:rFonts w:hint="eastAsia"/>
          <w:lang w:val="en-US" w:eastAsia="zh-CN"/>
        </w:rPr>
      </w:pPr>
      <w:r>
        <w:rPr>
          <w:rFonts w:hint="eastAsia"/>
          <w:lang w:val="en-US" w:eastAsia="zh-CN"/>
        </w:rPr>
        <w:t>本项目猪粪制成有机肥内含大量N、P、K 营养成分。长期施用化肥会对土壤造成重金属、有机副成分、氟、放射性等污染，同时，还会改变土壤理化性质、破坏土壤微生物环境。由于有机肥对改良土壤有重要作用，因此，猪粪经好氧堆肥处理后作为粪肥全部还田利用，对土壤的改良功效明显。</w:t>
      </w:r>
    </w:p>
    <w:p w14:paraId="3157EE06">
      <w:pPr>
        <w:rPr>
          <w:rFonts w:hint="eastAsia"/>
          <w:lang w:val="en-US" w:eastAsia="zh-CN"/>
        </w:rPr>
      </w:pPr>
      <w:r>
        <w:rPr>
          <w:rFonts w:hint="eastAsia"/>
          <w:lang w:val="en-US" w:eastAsia="zh-CN"/>
        </w:rPr>
        <w:t>本项目环保投资872.5万元，占全部投资的4.85%。环保投资的落实可以保证环保设施的投入和正常运行，将带来较大的经济效益。本项目各装置从工艺上选择先进的具有节能和环保效果的技术，采用国内成熟生产工艺，工艺流程设计严谨，设备传动及控制系统设计先进，构造合理，为降低能耗提供了技术保证。</w:t>
      </w:r>
    </w:p>
    <w:p w14:paraId="0E36758A">
      <w:pPr>
        <w:rPr>
          <w:rFonts w:hint="eastAsia"/>
          <w:lang w:val="en-US" w:eastAsia="zh-CN"/>
        </w:rPr>
      </w:pPr>
      <w:r>
        <w:rPr>
          <w:rFonts w:hint="eastAsia"/>
          <w:lang w:val="en-US" w:eastAsia="zh-CN"/>
        </w:rPr>
        <w:t>从总体上看，项目建成后，环境正效益远大于环境负效益。</w:t>
      </w:r>
    </w:p>
    <w:p w14:paraId="12172C9A">
      <w:pPr>
        <w:rPr>
          <w:rFonts w:hint="eastAsia"/>
          <w:lang w:val="en-US" w:eastAsia="zh-CN"/>
        </w:rPr>
      </w:pPr>
      <w:r>
        <w:rPr>
          <w:rFonts w:hint="eastAsia"/>
          <w:lang w:val="en-US" w:eastAsia="zh-CN"/>
        </w:rPr>
        <w:t>综上所述，本项目设计工艺先进，环保设施较为完备，具有较好的经济效益、社会效益和环境效益。</w:t>
      </w:r>
    </w:p>
    <w:p w14:paraId="2BA7EE6E">
      <w:pPr>
        <w:pStyle w:val="26"/>
        <w:bidi w:val="0"/>
        <w:rPr>
          <w:rFonts w:hint="eastAsia"/>
          <w:lang w:val="en-US" w:eastAsia="zh-CN"/>
        </w:rPr>
      </w:pPr>
      <w:bookmarkStart w:id="37" w:name="_Toc3902"/>
      <w:r>
        <w:rPr>
          <w:rFonts w:hint="eastAsia"/>
          <w:lang w:val="en-US" w:eastAsia="zh-CN"/>
        </w:rPr>
        <w:t>环保投资估算</w:t>
      </w:r>
      <w:bookmarkEnd w:id="37"/>
    </w:p>
    <w:p w14:paraId="5FD7218A">
      <w:pPr>
        <w:rPr>
          <w:rFonts w:hint="eastAsia"/>
          <w:lang w:val="en-US" w:eastAsia="zh-CN"/>
        </w:rPr>
      </w:pPr>
      <w:r>
        <w:rPr>
          <w:rFonts w:hint="eastAsia"/>
          <w:lang w:val="en-US" w:eastAsia="zh-CN"/>
        </w:rPr>
        <w:t>本项目的环境保护投资主要由废气、废水、固废、噪声治理等组成，主要包括设备、措施等费用，合计约872.5万元。本项目总投资18000万元，约占总投资的4.85%，费用估算见表7.2-1所示。</w:t>
      </w:r>
    </w:p>
    <w:p w14:paraId="61E05092">
      <w:pPr>
        <w:pStyle w:val="30"/>
        <w:bidi w:val="0"/>
      </w:pPr>
      <w:r>
        <w:t>表7.</w:t>
      </w:r>
      <w:r>
        <w:rPr>
          <w:rFonts w:hint="eastAsia"/>
          <w:lang w:val="en-US" w:eastAsia="zh-CN"/>
        </w:rPr>
        <w:t>2</w:t>
      </w:r>
      <w:r>
        <w:t xml:space="preserve">-1 </w:t>
      </w:r>
      <w:r>
        <w:rPr>
          <w:rFonts w:hint="eastAsia"/>
          <w:lang w:val="en-US" w:eastAsia="zh-CN"/>
        </w:rPr>
        <w:t xml:space="preserve"> </w:t>
      </w:r>
      <w:r>
        <w:t xml:space="preserve"> 污染物治理措施及投资一览表</w:t>
      </w:r>
    </w:p>
    <w:tbl>
      <w:tblPr>
        <w:tblStyle w:val="29"/>
        <w:tblW w:w="50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30"/>
        <w:gridCol w:w="559"/>
        <w:gridCol w:w="897"/>
        <w:gridCol w:w="5043"/>
        <w:gridCol w:w="1334"/>
      </w:tblGrid>
      <w:tr w14:paraId="4CEF3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17" w:type="pct"/>
            <w:vAlign w:val="center"/>
          </w:tcPr>
          <w:p w14:paraId="797EE02E">
            <w:pPr>
              <w:pStyle w:val="19"/>
              <w:bidi w:val="0"/>
            </w:pPr>
            <w:r>
              <w:t>时段</w:t>
            </w:r>
          </w:p>
        </w:tc>
        <w:tc>
          <w:tcPr>
            <w:tcW w:w="870" w:type="pct"/>
            <w:gridSpan w:val="2"/>
            <w:vAlign w:val="center"/>
          </w:tcPr>
          <w:p w14:paraId="1412832B">
            <w:pPr>
              <w:pStyle w:val="19"/>
              <w:bidi w:val="0"/>
            </w:pPr>
            <w:r>
              <w:t>项目</w:t>
            </w:r>
          </w:p>
        </w:tc>
        <w:tc>
          <w:tcPr>
            <w:tcW w:w="3013" w:type="pct"/>
            <w:vAlign w:val="center"/>
          </w:tcPr>
          <w:p w14:paraId="1523B52D">
            <w:pPr>
              <w:pStyle w:val="19"/>
              <w:bidi w:val="0"/>
            </w:pPr>
            <w:r>
              <w:t>主要内容</w:t>
            </w:r>
          </w:p>
        </w:tc>
        <w:tc>
          <w:tcPr>
            <w:tcW w:w="797" w:type="pct"/>
            <w:vAlign w:val="center"/>
          </w:tcPr>
          <w:p w14:paraId="34F3EB4A">
            <w:pPr>
              <w:pStyle w:val="19"/>
              <w:bidi w:val="0"/>
            </w:pPr>
            <w:r>
              <w:t>投资（万元）</w:t>
            </w:r>
          </w:p>
        </w:tc>
      </w:tr>
      <w:tr w14:paraId="0DDAC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317" w:type="pct"/>
            <w:vMerge w:val="restart"/>
            <w:vAlign w:val="center"/>
          </w:tcPr>
          <w:p w14:paraId="3CA426E3">
            <w:pPr>
              <w:pStyle w:val="19"/>
              <w:bidi w:val="0"/>
            </w:pPr>
            <w:r>
              <w:t>施工期</w:t>
            </w:r>
          </w:p>
        </w:tc>
        <w:tc>
          <w:tcPr>
            <w:tcW w:w="870" w:type="pct"/>
            <w:gridSpan w:val="2"/>
            <w:vAlign w:val="center"/>
          </w:tcPr>
          <w:p w14:paraId="60954493">
            <w:pPr>
              <w:pStyle w:val="19"/>
              <w:bidi w:val="0"/>
            </w:pPr>
            <w:r>
              <w:t>废气治理</w:t>
            </w:r>
          </w:p>
        </w:tc>
        <w:tc>
          <w:tcPr>
            <w:tcW w:w="3013" w:type="pct"/>
            <w:vAlign w:val="center"/>
          </w:tcPr>
          <w:p w14:paraId="3CFE4695">
            <w:pPr>
              <w:pStyle w:val="19"/>
              <w:bidi w:val="0"/>
            </w:pPr>
            <w:r>
              <w:t>施工厂界设置屏障、围挡、施工道路硬化、施工场地保 洁、洒水降尘</w:t>
            </w:r>
          </w:p>
        </w:tc>
        <w:tc>
          <w:tcPr>
            <w:tcW w:w="797" w:type="pct"/>
            <w:vAlign w:val="center"/>
          </w:tcPr>
          <w:p w14:paraId="4897188C">
            <w:pPr>
              <w:pStyle w:val="19"/>
              <w:bidi w:val="0"/>
              <w:rPr>
                <w:rFonts w:hint="eastAsia"/>
                <w:lang w:val="en-US" w:eastAsia="zh-CN"/>
              </w:rPr>
            </w:pPr>
            <w:r>
              <w:rPr>
                <w:rFonts w:hint="eastAsia"/>
                <w:lang w:val="en-US" w:eastAsia="zh-CN"/>
              </w:rPr>
              <w:t>8</w:t>
            </w:r>
          </w:p>
        </w:tc>
      </w:tr>
      <w:tr w14:paraId="173CC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66EA4E72">
            <w:pPr>
              <w:pStyle w:val="19"/>
              <w:bidi w:val="0"/>
            </w:pPr>
          </w:p>
        </w:tc>
        <w:tc>
          <w:tcPr>
            <w:tcW w:w="870" w:type="pct"/>
            <w:gridSpan w:val="2"/>
            <w:vAlign w:val="center"/>
          </w:tcPr>
          <w:p w14:paraId="15B837B2">
            <w:pPr>
              <w:pStyle w:val="19"/>
              <w:bidi w:val="0"/>
            </w:pPr>
            <w:r>
              <w:t>废水治理</w:t>
            </w:r>
          </w:p>
        </w:tc>
        <w:tc>
          <w:tcPr>
            <w:tcW w:w="3013" w:type="pct"/>
            <w:vAlign w:val="center"/>
          </w:tcPr>
          <w:p w14:paraId="2977C1E6">
            <w:pPr>
              <w:pStyle w:val="19"/>
              <w:bidi w:val="0"/>
              <w:rPr>
                <w:rFonts w:hint="eastAsia"/>
                <w:lang w:eastAsia="zh-CN"/>
              </w:rPr>
            </w:pPr>
            <w:r>
              <w:t>沉淀池</w:t>
            </w:r>
          </w:p>
        </w:tc>
        <w:tc>
          <w:tcPr>
            <w:tcW w:w="797" w:type="pct"/>
            <w:vAlign w:val="center"/>
          </w:tcPr>
          <w:p w14:paraId="49FC14E8">
            <w:pPr>
              <w:pStyle w:val="19"/>
              <w:bidi w:val="0"/>
              <w:rPr>
                <w:rFonts w:hint="eastAsia"/>
                <w:lang w:val="en-US" w:eastAsia="zh-CN"/>
              </w:rPr>
            </w:pPr>
            <w:r>
              <w:rPr>
                <w:rFonts w:hint="eastAsia"/>
                <w:lang w:val="en-US" w:eastAsia="zh-CN"/>
              </w:rPr>
              <w:t>3</w:t>
            </w:r>
          </w:p>
        </w:tc>
      </w:tr>
      <w:tr w14:paraId="45CA3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49514D59">
            <w:pPr>
              <w:pStyle w:val="19"/>
              <w:bidi w:val="0"/>
            </w:pPr>
          </w:p>
        </w:tc>
        <w:tc>
          <w:tcPr>
            <w:tcW w:w="870" w:type="pct"/>
            <w:gridSpan w:val="2"/>
            <w:vAlign w:val="center"/>
          </w:tcPr>
          <w:p w14:paraId="4519E6B0">
            <w:pPr>
              <w:pStyle w:val="19"/>
              <w:bidi w:val="0"/>
            </w:pPr>
            <w:r>
              <w:t>噪声治理</w:t>
            </w:r>
          </w:p>
        </w:tc>
        <w:tc>
          <w:tcPr>
            <w:tcW w:w="3013" w:type="pct"/>
            <w:vAlign w:val="center"/>
          </w:tcPr>
          <w:p w14:paraId="23418C67">
            <w:pPr>
              <w:pStyle w:val="19"/>
              <w:bidi w:val="0"/>
            </w:pPr>
            <w:r>
              <w:t>隔声、隔振、消声措施</w:t>
            </w:r>
          </w:p>
        </w:tc>
        <w:tc>
          <w:tcPr>
            <w:tcW w:w="797" w:type="pct"/>
            <w:vAlign w:val="center"/>
          </w:tcPr>
          <w:p w14:paraId="70D364D3">
            <w:pPr>
              <w:pStyle w:val="19"/>
              <w:bidi w:val="0"/>
              <w:rPr>
                <w:rFonts w:hint="eastAsia"/>
                <w:lang w:val="en-US" w:eastAsia="zh-CN"/>
              </w:rPr>
            </w:pPr>
            <w:r>
              <w:rPr>
                <w:rFonts w:hint="eastAsia"/>
                <w:lang w:val="en-US" w:eastAsia="zh-CN"/>
              </w:rPr>
              <w:t>2</w:t>
            </w:r>
          </w:p>
        </w:tc>
      </w:tr>
      <w:tr w14:paraId="3ADA0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5CD8E5DD">
            <w:pPr>
              <w:pStyle w:val="19"/>
              <w:bidi w:val="0"/>
            </w:pPr>
          </w:p>
        </w:tc>
        <w:tc>
          <w:tcPr>
            <w:tcW w:w="870" w:type="pct"/>
            <w:gridSpan w:val="2"/>
            <w:vAlign w:val="center"/>
          </w:tcPr>
          <w:p w14:paraId="243E334E">
            <w:pPr>
              <w:pStyle w:val="19"/>
              <w:bidi w:val="0"/>
            </w:pPr>
            <w:r>
              <w:t>固废治理</w:t>
            </w:r>
          </w:p>
        </w:tc>
        <w:tc>
          <w:tcPr>
            <w:tcW w:w="3013" w:type="pct"/>
            <w:vAlign w:val="center"/>
          </w:tcPr>
          <w:p w14:paraId="2D225142">
            <w:pPr>
              <w:pStyle w:val="19"/>
              <w:bidi w:val="0"/>
            </w:pPr>
            <w:r>
              <w:t>垃圾桶、清运生活垃圾</w:t>
            </w:r>
          </w:p>
        </w:tc>
        <w:tc>
          <w:tcPr>
            <w:tcW w:w="797" w:type="pct"/>
            <w:vAlign w:val="center"/>
          </w:tcPr>
          <w:p w14:paraId="1F42E6B4">
            <w:pPr>
              <w:pStyle w:val="19"/>
              <w:bidi w:val="0"/>
              <w:rPr>
                <w:rFonts w:hint="eastAsia"/>
                <w:lang w:val="en-US" w:eastAsia="zh-CN"/>
              </w:rPr>
            </w:pPr>
            <w:r>
              <w:rPr>
                <w:rFonts w:hint="eastAsia"/>
                <w:lang w:val="en-US" w:eastAsia="zh-CN"/>
              </w:rPr>
              <w:t>1</w:t>
            </w:r>
          </w:p>
        </w:tc>
      </w:tr>
      <w:tr w14:paraId="71D94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restart"/>
            <w:vAlign w:val="center"/>
          </w:tcPr>
          <w:p w14:paraId="636B8775">
            <w:pPr>
              <w:pStyle w:val="19"/>
              <w:bidi w:val="0"/>
            </w:pPr>
            <w:r>
              <w:t>运营期</w:t>
            </w:r>
          </w:p>
        </w:tc>
        <w:tc>
          <w:tcPr>
            <w:tcW w:w="870" w:type="pct"/>
            <w:gridSpan w:val="2"/>
            <w:vMerge w:val="restart"/>
            <w:vAlign w:val="center"/>
          </w:tcPr>
          <w:p w14:paraId="1E1562FA">
            <w:pPr>
              <w:pStyle w:val="19"/>
              <w:bidi w:val="0"/>
            </w:pPr>
            <w:r>
              <w:t>废气治理</w:t>
            </w:r>
          </w:p>
        </w:tc>
        <w:tc>
          <w:tcPr>
            <w:tcW w:w="3013" w:type="pct"/>
            <w:vAlign w:val="center"/>
          </w:tcPr>
          <w:p w14:paraId="1A5AC9A1">
            <w:pPr>
              <w:pStyle w:val="19"/>
              <w:bidi w:val="0"/>
              <w:rPr>
                <w:rFonts w:hint="default" w:eastAsia="宋体"/>
                <w:lang w:val="en-US" w:eastAsia="zh-CN"/>
              </w:rPr>
            </w:pPr>
            <w:r>
              <w:rPr>
                <w:rFonts w:hint="eastAsia"/>
                <w:lang w:val="en-US" w:eastAsia="zh-CN"/>
              </w:rPr>
              <w:t>生物质锅炉配备低氮燃烧+布袋除尘器+15m排气筒（3套）</w:t>
            </w:r>
          </w:p>
        </w:tc>
        <w:tc>
          <w:tcPr>
            <w:tcW w:w="797" w:type="pct"/>
            <w:vAlign w:val="center"/>
          </w:tcPr>
          <w:p w14:paraId="3B2AD9C7">
            <w:pPr>
              <w:pStyle w:val="19"/>
              <w:bidi w:val="0"/>
              <w:rPr>
                <w:rFonts w:hint="default"/>
                <w:lang w:val="en-US" w:eastAsia="zh-CN"/>
              </w:rPr>
            </w:pPr>
            <w:r>
              <w:rPr>
                <w:rFonts w:hint="eastAsia"/>
                <w:lang w:val="en-US" w:eastAsia="zh-CN"/>
              </w:rPr>
              <w:t>75</w:t>
            </w:r>
          </w:p>
        </w:tc>
      </w:tr>
      <w:tr w14:paraId="09E9E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08C0D78C">
            <w:pPr>
              <w:pStyle w:val="19"/>
              <w:bidi w:val="0"/>
            </w:pPr>
          </w:p>
        </w:tc>
        <w:tc>
          <w:tcPr>
            <w:tcW w:w="870" w:type="pct"/>
            <w:gridSpan w:val="2"/>
            <w:vMerge w:val="continue"/>
            <w:vAlign w:val="center"/>
          </w:tcPr>
          <w:p w14:paraId="2B0F93F4">
            <w:pPr>
              <w:pStyle w:val="19"/>
              <w:bidi w:val="0"/>
            </w:pPr>
          </w:p>
        </w:tc>
        <w:tc>
          <w:tcPr>
            <w:tcW w:w="3013" w:type="pct"/>
            <w:vAlign w:val="center"/>
          </w:tcPr>
          <w:p w14:paraId="54F6A9CF">
            <w:pPr>
              <w:pStyle w:val="19"/>
              <w:bidi w:val="0"/>
              <w:rPr>
                <w:rFonts w:hint="default"/>
                <w:lang w:val="en-US" w:eastAsia="zh-CN"/>
              </w:rPr>
            </w:pPr>
            <w:r>
              <w:rPr>
                <w:rFonts w:hint="eastAsia"/>
                <w:lang w:val="en-US" w:eastAsia="zh-CN"/>
              </w:rPr>
              <w:t>堆肥场设置收集系统+生物除臭装置+15m排气筒</w:t>
            </w:r>
          </w:p>
        </w:tc>
        <w:tc>
          <w:tcPr>
            <w:tcW w:w="797" w:type="pct"/>
            <w:vAlign w:val="center"/>
          </w:tcPr>
          <w:p w14:paraId="1A398EBE">
            <w:pPr>
              <w:pStyle w:val="19"/>
              <w:bidi w:val="0"/>
              <w:rPr>
                <w:rFonts w:hint="default"/>
                <w:lang w:val="en-US" w:eastAsia="zh-CN"/>
              </w:rPr>
            </w:pPr>
            <w:r>
              <w:rPr>
                <w:rFonts w:hint="eastAsia"/>
                <w:lang w:val="en-US" w:eastAsia="zh-CN"/>
              </w:rPr>
              <w:t>15</w:t>
            </w:r>
          </w:p>
        </w:tc>
      </w:tr>
      <w:tr w14:paraId="631DE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3403AD63">
            <w:pPr>
              <w:pStyle w:val="19"/>
              <w:bidi w:val="0"/>
            </w:pPr>
          </w:p>
        </w:tc>
        <w:tc>
          <w:tcPr>
            <w:tcW w:w="870" w:type="pct"/>
            <w:gridSpan w:val="2"/>
            <w:vMerge w:val="continue"/>
            <w:vAlign w:val="center"/>
          </w:tcPr>
          <w:p w14:paraId="72436F6E">
            <w:pPr>
              <w:pStyle w:val="19"/>
              <w:bidi w:val="0"/>
            </w:pPr>
          </w:p>
        </w:tc>
        <w:tc>
          <w:tcPr>
            <w:tcW w:w="3013" w:type="pct"/>
            <w:vAlign w:val="center"/>
          </w:tcPr>
          <w:p w14:paraId="4A70ECBF">
            <w:pPr>
              <w:pStyle w:val="19"/>
              <w:bidi w:val="0"/>
              <w:rPr>
                <w:rFonts w:hint="eastAsia"/>
                <w:lang w:eastAsia="zh-CN"/>
              </w:rPr>
            </w:pPr>
            <w:r>
              <w:rPr>
                <w:rFonts w:hint="eastAsia"/>
                <w:lang w:val="en-US" w:eastAsia="zh-CN"/>
              </w:rPr>
              <w:t>无组织</w:t>
            </w:r>
            <w:r>
              <w:t>臭气治理：密闭、粪污清理、除臭剂</w:t>
            </w:r>
          </w:p>
        </w:tc>
        <w:tc>
          <w:tcPr>
            <w:tcW w:w="797" w:type="pct"/>
            <w:vAlign w:val="center"/>
          </w:tcPr>
          <w:p w14:paraId="62E063E5">
            <w:pPr>
              <w:pStyle w:val="19"/>
              <w:bidi w:val="0"/>
              <w:rPr>
                <w:rFonts w:hint="eastAsia"/>
                <w:lang w:val="en-US" w:eastAsia="zh-CN"/>
              </w:rPr>
            </w:pPr>
            <w:r>
              <w:rPr>
                <w:rFonts w:hint="eastAsia"/>
                <w:lang w:val="en-US" w:eastAsia="zh-CN"/>
              </w:rPr>
              <w:t>20</w:t>
            </w:r>
          </w:p>
        </w:tc>
      </w:tr>
      <w:tr w14:paraId="6C775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3FAD988F">
            <w:pPr>
              <w:pStyle w:val="19"/>
              <w:bidi w:val="0"/>
            </w:pPr>
          </w:p>
        </w:tc>
        <w:tc>
          <w:tcPr>
            <w:tcW w:w="870" w:type="pct"/>
            <w:gridSpan w:val="2"/>
            <w:vMerge w:val="continue"/>
            <w:vAlign w:val="center"/>
          </w:tcPr>
          <w:p w14:paraId="085745BB">
            <w:pPr>
              <w:pStyle w:val="19"/>
              <w:bidi w:val="0"/>
            </w:pPr>
          </w:p>
        </w:tc>
        <w:tc>
          <w:tcPr>
            <w:tcW w:w="3013" w:type="pct"/>
            <w:vAlign w:val="center"/>
          </w:tcPr>
          <w:p w14:paraId="0695D0F3">
            <w:pPr>
              <w:pStyle w:val="19"/>
              <w:bidi w:val="0"/>
              <w:rPr>
                <w:rFonts w:hint="default"/>
                <w:lang w:val="en-US" w:eastAsia="zh-CN"/>
              </w:rPr>
            </w:pPr>
            <w:r>
              <w:rPr>
                <w:rFonts w:hint="eastAsia"/>
                <w:lang w:val="en-US" w:eastAsia="zh-CN"/>
              </w:rPr>
              <w:t>食堂油烟净化装置</w:t>
            </w:r>
          </w:p>
        </w:tc>
        <w:tc>
          <w:tcPr>
            <w:tcW w:w="797" w:type="pct"/>
            <w:vAlign w:val="center"/>
          </w:tcPr>
          <w:p w14:paraId="4662AFE8">
            <w:pPr>
              <w:pStyle w:val="19"/>
              <w:bidi w:val="0"/>
              <w:rPr>
                <w:rFonts w:hint="default"/>
                <w:lang w:val="en-US" w:eastAsia="zh-CN"/>
              </w:rPr>
            </w:pPr>
            <w:r>
              <w:rPr>
                <w:rFonts w:hint="eastAsia"/>
                <w:lang w:val="en-US" w:eastAsia="zh-CN"/>
              </w:rPr>
              <w:t>3</w:t>
            </w:r>
          </w:p>
        </w:tc>
      </w:tr>
      <w:tr w14:paraId="763E7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317" w:type="pct"/>
            <w:vMerge w:val="continue"/>
            <w:vAlign w:val="center"/>
          </w:tcPr>
          <w:p w14:paraId="2531A120">
            <w:pPr>
              <w:pStyle w:val="19"/>
              <w:bidi w:val="0"/>
            </w:pPr>
          </w:p>
        </w:tc>
        <w:tc>
          <w:tcPr>
            <w:tcW w:w="870" w:type="pct"/>
            <w:gridSpan w:val="2"/>
            <w:vMerge w:val="restart"/>
            <w:vAlign w:val="center"/>
          </w:tcPr>
          <w:p w14:paraId="37304F3C">
            <w:pPr>
              <w:pStyle w:val="19"/>
              <w:bidi w:val="0"/>
            </w:pPr>
            <w:r>
              <w:t>废水治理</w:t>
            </w:r>
          </w:p>
        </w:tc>
        <w:tc>
          <w:tcPr>
            <w:tcW w:w="3013" w:type="pct"/>
            <w:vAlign w:val="center"/>
          </w:tcPr>
          <w:p w14:paraId="1DE2B9B8">
            <w:pPr>
              <w:pStyle w:val="19"/>
              <w:bidi w:val="0"/>
            </w:pPr>
            <w:r>
              <w:rPr>
                <w:rFonts w:hint="eastAsia"/>
                <w:lang w:val="en-US" w:eastAsia="zh-CN"/>
              </w:rPr>
              <w:t>格栅+集水池（沉砂）+固液分离+水解酸化+UASB+SBR+好氧塘储存</w:t>
            </w:r>
          </w:p>
        </w:tc>
        <w:tc>
          <w:tcPr>
            <w:tcW w:w="797" w:type="pct"/>
            <w:vAlign w:val="center"/>
          </w:tcPr>
          <w:p w14:paraId="39406383">
            <w:pPr>
              <w:pStyle w:val="19"/>
              <w:bidi w:val="0"/>
              <w:rPr>
                <w:rFonts w:hint="default"/>
                <w:lang w:val="en-US" w:eastAsia="zh-CN"/>
              </w:rPr>
            </w:pPr>
            <w:r>
              <w:rPr>
                <w:rFonts w:hint="eastAsia"/>
                <w:lang w:val="en-US" w:eastAsia="zh-CN"/>
              </w:rPr>
              <w:t>527.5</w:t>
            </w:r>
          </w:p>
        </w:tc>
      </w:tr>
      <w:tr w14:paraId="027A0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317" w:type="pct"/>
            <w:vMerge w:val="continue"/>
            <w:vAlign w:val="center"/>
          </w:tcPr>
          <w:p w14:paraId="79566A35">
            <w:pPr>
              <w:pStyle w:val="19"/>
              <w:bidi w:val="0"/>
            </w:pPr>
          </w:p>
        </w:tc>
        <w:tc>
          <w:tcPr>
            <w:tcW w:w="870" w:type="pct"/>
            <w:gridSpan w:val="2"/>
            <w:vMerge w:val="continue"/>
            <w:vAlign w:val="center"/>
          </w:tcPr>
          <w:p w14:paraId="0735CD5C">
            <w:pPr>
              <w:pStyle w:val="19"/>
              <w:bidi w:val="0"/>
            </w:pPr>
          </w:p>
        </w:tc>
        <w:tc>
          <w:tcPr>
            <w:tcW w:w="3013" w:type="pct"/>
            <w:vAlign w:val="center"/>
          </w:tcPr>
          <w:p w14:paraId="0DC359B1">
            <w:pPr>
              <w:pStyle w:val="19"/>
              <w:bidi w:val="0"/>
              <w:rPr>
                <w:rFonts w:hint="default"/>
                <w:lang w:val="en-US" w:eastAsia="zh-CN"/>
              </w:rPr>
            </w:pPr>
            <w:r>
              <w:rPr>
                <w:rFonts w:hint="eastAsia"/>
                <w:lang w:val="en-US" w:eastAsia="zh-CN"/>
              </w:rPr>
              <w:t>厂区的分区防渗措施</w:t>
            </w:r>
          </w:p>
        </w:tc>
        <w:tc>
          <w:tcPr>
            <w:tcW w:w="797" w:type="pct"/>
            <w:vAlign w:val="center"/>
          </w:tcPr>
          <w:p w14:paraId="5C2941E9">
            <w:pPr>
              <w:pStyle w:val="19"/>
              <w:bidi w:val="0"/>
              <w:rPr>
                <w:rFonts w:hint="default"/>
                <w:lang w:val="en-US" w:eastAsia="zh-CN"/>
              </w:rPr>
            </w:pPr>
            <w:r>
              <w:rPr>
                <w:rFonts w:hint="eastAsia"/>
                <w:lang w:val="en-US" w:eastAsia="zh-CN"/>
              </w:rPr>
              <w:t>200</w:t>
            </w:r>
          </w:p>
        </w:tc>
      </w:tr>
      <w:tr w14:paraId="2DCB0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317" w:type="pct"/>
            <w:vMerge w:val="continue"/>
            <w:vAlign w:val="center"/>
          </w:tcPr>
          <w:p w14:paraId="1DEC5D63">
            <w:pPr>
              <w:pStyle w:val="19"/>
              <w:bidi w:val="0"/>
            </w:pPr>
          </w:p>
        </w:tc>
        <w:tc>
          <w:tcPr>
            <w:tcW w:w="870" w:type="pct"/>
            <w:gridSpan w:val="2"/>
            <w:vAlign w:val="center"/>
          </w:tcPr>
          <w:p w14:paraId="0D12F97E">
            <w:pPr>
              <w:pStyle w:val="19"/>
              <w:bidi w:val="0"/>
            </w:pPr>
            <w:r>
              <w:t>噪声治理</w:t>
            </w:r>
          </w:p>
        </w:tc>
        <w:tc>
          <w:tcPr>
            <w:tcW w:w="3013" w:type="pct"/>
            <w:vAlign w:val="center"/>
          </w:tcPr>
          <w:p w14:paraId="1C1CFD43">
            <w:pPr>
              <w:pStyle w:val="19"/>
              <w:bidi w:val="0"/>
            </w:pPr>
            <w:r>
              <w:t>机械设备加装减振垫、设备间设置吸声、隔声措施来降 噪等</w:t>
            </w:r>
          </w:p>
        </w:tc>
        <w:tc>
          <w:tcPr>
            <w:tcW w:w="797" w:type="pct"/>
            <w:vAlign w:val="center"/>
          </w:tcPr>
          <w:p w14:paraId="503C04D6">
            <w:pPr>
              <w:pStyle w:val="19"/>
              <w:bidi w:val="0"/>
              <w:rPr>
                <w:rFonts w:hint="default"/>
                <w:lang w:val="en-US" w:eastAsia="zh-CN"/>
              </w:rPr>
            </w:pPr>
            <w:r>
              <w:rPr>
                <w:rFonts w:hint="eastAsia"/>
                <w:lang w:val="en-US" w:eastAsia="zh-CN"/>
              </w:rPr>
              <w:t>10</w:t>
            </w:r>
          </w:p>
        </w:tc>
      </w:tr>
      <w:tr w14:paraId="704F2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194F9C57">
            <w:pPr>
              <w:pStyle w:val="19"/>
              <w:bidi w:val="0"/>
            </w:pPr>
          </w:p>
        </w:tc>
        <w:tc>
          <w:tcPr>
            <w:tcW w:w="334" w:type="pct"/>
            <w:vMerge w:val="restart"/>
            <w:vAlign w:val="center"/>
          </w:tcPr>
          <w:p w14:paraId="43AE148F">
            <w:pPr>
              <w:pStyle w:val="19"/>
              <w:bidi w:val="0"/>
            </w:pPr>
            <w:r>
              <w:t>固废 治理</w:t>
            </w:r>
          </w:p>
        </w:tc>
        <w:tc>
          <w:tcPr>
            <w:tcW w:w="536" w:type="pct"/>
            <w:vAlign w:val="center"/>
          </w:tcPr>
          <w:p w14:paraId="3746C6FA">
            <w:pPr>
              <w:pStyle w:val="19"/>
              <w:bidi w:val="0"/>
            </w:pPr>
            <w:r>
              <w:t>病死猪</w:t>
            </w:r>
          </w:p>
        </w:tc>
        <w:tc>
          <w:tcPr>
            <w:tcW w:w="3013" w:type="pct"/>
            <w:vAlign w:val="center"/>
          </w:tcPr>
          <w:p w14:paraId="50486905">
            <w:pPr>
              <w:pStyle w:val="19"/>
              <w:bidi w:val="0"/>
            </w:pPr>
            <w:r>
              <w:rPr>
                <w:rFonts w:hint="eastAsia"/>
                <w:lang w:val="en-US" w:eastAsia="zh-CN"/>
              </w:rPr>
              <w:t>建设病死猪无害化暂存间并委托有资质单位处理</w:t>
            </w:r>
          </w:p>
        </w:tc>
        <w:tc>
          <w:tcPr>
            <w:tcW w:w="797" w:type="pct"/>
            <w:vAlign w:val="center"/>
          </w:tcPr>
          <w:p w14:paraId="3B2F04CD">
            <w:pPr>
              <w:pStyle w:val="19"/>
              <w:bidi w:val="0"/>
              <w:rPr>
                <w:rFonts w:hint="eastAsia"/>
                <w:lang w:val="en-US" w:eastAsia="zh-CN"/>
              </w:rPr>
            </w:pPr>
            <w:r>
              <w:rPr>
                <w:rFonts w:hint="eastAsia"/>
                <w:lang w:val="en-US" w:eastAsia="zh-CN"/>
              </w:rPr>
              <w:t>15</w:t>
            </w:r>
          </w:p>
        </w:tc>
      </w:tr>
      <w:tr w14:paraId="2BEFF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3B33C150">
            <w:pPr>
              <w:pStyle w:val="19"/>
              <w:bidi w:val="0"/>
            </w:pPr>
          </w:p>
        </w:tc>
        <w:tc>
          <w:tcPr>
            <w:tcW w:w="334" w:type="pct"/>
            <w:vMerge w:val="continue"/>
            <w:vAlign w:val="center"/>
          </w:tcPr>
          <w:p w14:paraId="212C84CE">
            <w:pPr>
              <w:pStyle w:val="19"/>
              <w:bidi w:val="0"/>
            </w:pPr>
          </w:p>
        </w:tc>
        <w:tc>
          <w:tcPr>
            <w:tcW w:w="536" w:type="pct"/>
            <w:vAlign w:val="center"/>
          </w:tcPr>
          <w:p w14:paraId="1AF5224B">
            <w:pPr>
              <w:pStyle w:val="19"/>
              <w:bidi w:val="0"/>
            </w:pPr>
            <w:r>
              <w:t>医疗废物</w:t>
            </w:r>
          </w:p>
        </w:tc>
        <w:tc>
          <w:tcPr>
            <w:tcW w:w="3013" w:type="pct"/>
            <w:vAlign w:val="center"/>
          </w:tcPr>
          <w:p w14:paraId="6A2CEE8D">
            <w:pPr>
              <w:pStyle w:val="19"/>
              <w:bidi w:val="0"/>
              <w:rPr>
                <w:rFonts w:hint="default" w:eastAsia="宋体"/>
                <w:lang w:val="en-US" w:eastAsia="zh-CN"/>
              </w:rPr>
            </w:pPr>
            <w:r>
              <w:rPr>
                <w:rFonts w:hint="eastAsia"/>
                <w:lang w:val="en-US" w:eastAsia="zh-CN"/>
              </w:rPr>
              <w:t>设置</w:t>
            </w:r>
            <w:r>
              <w:t>医疗危废暂存间</w:t>
            </w:r>
            <w:r>
              <w:rPr>
                <w:rFonts w:hint="eastAsia"/>
                <w:lang w:val="en-US" w:eastAsia="zh-CN"/>
              </w:rPr>
              <w:t>并委托处置</w:t>
            </w:r>
          </w:p>
        </w:tc>
        <w:tc>
          <w:tcPr>
            <w:tcW w:w="797" w:type="pct"/>
            <w:vAlign w:val="center"/>
          </w:tcPr>
          <w:p w14:paraId="1E8570E6">
            <w:pPr>
              <w:pStyle w:val="19"/>
              <w:bidi w:val="0"/>
              <w:rPr>
                <w:rFonts w:hint="default"/>
                <w:lang w:val="en-US" w:eastAsia="zh-CN"/>
              </w:rPr>
            </w:pPr>
            <w:r>
              <w:rPr>
                <w:rFonts w:hint="eastAsia"/>
                <w:lang w:val="en-US" w:eastAsia="zh-CN"/>
              </w:rPr>
              <w:t>10</w:t>
            </w:r>
          </w:p>
        </w:tc>
      </w:tr>
      <w:tr w14:paraId="16F36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7" w:type="pct"/>
            <w:vMerge w:val="continue"/>
            <w:vAlign w:val="center"/>
          </w:tcPr>
          <w:p w14:paraId="693FD712">
            <w:pPr>
              <w:pStyle w:val="19"/>
              <w:bidi w:val="0"/>
            </w:pPr>
          </w:p>
        </w:tc>
        <w:tc>
          <w:tcPr>
            <w:tcW w:w="334" w:type="pct"/>
            <w:vMerge w:val="continue"/>
            <w:vAlign w:val="center"/>
          </w:tcPr>
          <w:p w14:paraId="6D2830AA">
            <w:pPr>
              <w:pStyle w:val="19"/>
              <w:bidi w:val="0"/>
            </w:pPr>
          </w:p>
        </w:tc>
        <w:tc>
          <w:tcPr>
            <w:tcW w:w="536" w:type="pct"/>
            <w:vAlign w:val="center"/>
          </w:tcPr>
          <w:p w14:paraId="100C4308">
            <w:pPr>
              <w:pStyle w:val="19"/>
              <w:bidi w:val="0"/>
              <w:rPr>
                <w:rFonts w:hint="eastAsia"/>
                <w:lang w:eastAsia="zh-CN"/>
              </w:rPr>
            </w:pPr>
            <w:r>
              <w:rPr>
                <w:rFonts w:hint="eastAsia"/>
                <w:lang w:eastAsia="zh-CN"/>
              </w:rPr>
              <w:t>堆</w:t>
            </w:r>
            <w:r>
              <w:rPr>
                <w:rFonts w:hint="eastAsia"/>
                <w:lang w:val="en-US" w:eastAsia="zh-CN"/>
              </w:rPr>
              <w:t>肥</w:t>
            </w:r>
            <w:r>
              <w:rPr>
                <w:rFonts w:hint="eastAsia"/>
                <w:lang w:eastAsia="zh-CN"/>
              </w:rPr>
              <w:t>场</w:t>
            </w:r>
          </w:p>
        </w:tc>
        <w:tc>
          <w:tcPr>
            <w:tcW w:w="3013" w:type="pct"/>
            <w:vAlign w:val="center"/>
          </w:tcPr>
          <w:p w14:paraId="1113FCD7">
            <w:pPr>
              <w:pStyle w:val="19"/>
              <w:bidi w:val="0"/>
            </w:pPr>
            <w:r>
              <w:t>封闭式</w:t>
            </w:r>
            <w:r>
              <w:rPr>
                <w:rFonts w:hint="eastAsia"/>
                <w:lang w:eastAsia="zh-CN"/>
              </w:rPr>
              <w:t>堆粪场</w:t>
            </w:r>
            <w:r>
              <w:t>、</w:t>
            </w:r>
            <w:r>
              <w:rPr>
                <w:rFonts w:hint="eastAsia"/>
                <w:lang w:eastAsia="zh-CN"/>
              </w:rPr>
              <w:t>堆粪场</w:t>
            </w:r>
            <w:r>
              <w:t>地坪防渗、防雨</w:t>
            </w:r>
          </w:p>
        </w:tc>
        <w:tc>
          <w:tcPr>
            <w:tcW w:w="797" w:type="pct"/>
            <w:vAlign w:val="center"/>
          </w:tcPr>
          <w:p w14:paraId="19F03986">
            <w:pPr>
              <w:pStyle w:val="19"/>
              <w:bidi w:val="0"/>
              <w:rPr>
                <w:rFonts w:hint="default"/>
                <w:lang w:val="en-US" w:eastAsia="zh-CN"/>
              </w:rPr>
            </w:pPr>
            <w:r>
              <w:rPr>
                <w:rFonts w:hint="eastAsia"/>
                <w:lang w:val="en-US" w:eastAsia="zh-CN"/>
              </w:rPr>
              <w:t>21</w:t>
            </w:r>
          </w:p>
        </w:tc>
      </w:tr>
      <w:tr w14:paraId="1968F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317" w:type="pct"/>
            <w:vMerge w:val="continue"/>
            <w:vAlign w:val="center"/>
          </w:tcPr>
          <w:p w14:paraId="0CF10EA8">
            <w:pPr>
              <w:pStyle w:val="19"/>
              <w:bidi w:val="0"/>
            </w:pPr>
          </w:p>
        </w:tc>
        <w:tc>
          <w:tcPr>
            <w:tcW w:w="334" w:type="pct"/>
            <w:vMerge w:val="continue"/>
            <w:vAlign w:val="center"/>
          </w:tcPr>
          <w:p w14:paraId="0F3B1DCD">
            <w:pPr>
              <w:pStyle w:val="19"/>
              <w:bidi w:val="0"/>
            </w:pPr>
          </w:p>
        </w:tc>
        <w:tc>
          <w:tcPr>
            <w:tcW w:w="536" w:type="pct"/>
            <w:vAlign w:val="center"/>
          </w:tcPr>
          <w:p w14:paraId="1795533E">
            <w:pPr>
              <w:pStyle w:val="19"/>
              <w:bidi w:val="0"/>
            </w:pPr>
            <w:r>
              <w:t>生活垃圾</w:t>
            </w:r>
          </w:p>
        </w:tc>
        <w:tc>
          <w:tcPr>
            <w:tcW w:w="3013" w:type="pct"/>
            <w:vAlign w:val="center"/>
          </w:tcPr>
          <w:p w14:paraId="53A0BBE3">
            <w:pPr>
              <w:pStyle w:val="19"/>
              <w:bidi w:val="0"/>
            </w:pPr>
            <w:r>
              <w:t>生活垃圾收集箱</w:t>
            </w:r>
          </w:p>
        </w:tc>
        <w:tc>
          <w:tcPr>
            <w:tcW w:w="797" w:type="pct"/>
            <w:vAlign w:val="center"/>
          </w:tcPr>
          <w:p w14:paraId="22AE5B5E">
            <w:pPr>
              <w:pStyle w:val="19"/>
              <w:bidi w:val="0"/>
              <w:rPr>
                <w:rFonts w:hint="eastAsia"/>
                <w:lang w:val="en-US" w:eastAsia="zh-CN"/>
              </w:rPr>
            </w:pPr>
            <w:r>
              <w:rPr>
                <w:rFonts w:hint="eastAsia"/>
                <w:lang w:val="en-US" w:eastAsia="zh-CN"/>
              </w:rPr>
              <w:t>2</w:t>
            </w:r>
          </w:p>
        </w:tc>
      </w:tr>
      <w:tr w14:paraId="40552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Merge w:val="continue"/>
            <w:vAlign w:val="center"/>
          </w:tcPr>
          <w:p w14:paraId="30A70565">
            <w:pPr>
              <w:pStyle w:val="19"/>
              <w:bidi w:val="0"/>
            </w:pPr>
          </w:p>
        </w:tc>
        <w:tc>
          <w:tcPr>
            <w:tcW w:w="870" w:type="pct"/>
            <w:gridSpan w:val="2"/>
            <w:vAlign w:val="center"/>
          </w:tcPr>
          <w:p w14:paraId="43AE68E6">
            <w:pPr>
              <w:pStyle w:val="19"/>
              <w:bidi w:val="0"/>
            </w:pPr>
            <w:r>
              <w:t>其它</w:t>
            </w:r>
          </w:p>
        </w:tc>
        <w:tc>
          <w:tcPr>
            <w:tcW w:w="3013" w:type="pct"/>
            <w:vAlign w:val="center"/>
          </w:tcPr>
          <w:p w14:paraId="5541F030">
            <w:pPr>
              <w:pStyle w:val="19"/>
              <w:bidi w:val="0"/>
              <w:rPr>
                <w:rFonts w:hint="default"/>
                <w:lang w:val="en-US" w:eastAsia="zh-CN"/>
              </w:rPr>
            </w:pPr>
            <w:r>
              <w:rPr>
                <w:rFonts w:hint="eastAsia"/>
                <w:lang w:val="en-US" w:eastAsia="zh-CN"/>
              </w:rPr>
              <w:t>环境管理手续</w:t>
            </w:r>
          </w:p>
        </w:tc>
        <w:tc>
          <w:tcPr>
            <w:tcW w:w="797" w:type="pct"/>
            <w:vAlign w:val="center"/>
          </w:tcPr>
          <w:p w14:paraId="07CD803B">
            <w:pPr>
              <w:pStyle w:val="19"/>
              <w:bidi w:val="0"/>
              <w:rPr>
                <w:rFonts w:hint="default"/>
                <w:lang w:val="en-US" w:eastAsia="zh-CN"/>
              </w:rPr>
            </w:pPr>
            <w:r>
              <w:rPr>
                <w:rFonts w:hint="eastAsia"/>
                <w:lang w:val="en-US" w:eastAsia="zh-CN"/>
              </w:rPr>
              <w:t>8</w:t>
            </w:r>
          </w:p>
        </w:tc>
      </w:tr>
      <w:tr w14:paraId="1D57F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17" w:type="pct"/>
            <w:vAlign w:val="center"/>
          </w:tcPr>
          <w:p w14:paraId="345ADE21">
            <w:pPr>
              <w:pStyle w:val="19"/>
              <w:bidi w:val="0"/>
              <w:ind w:firstLine="0" w:firstLineChars="0"/>
              <w:rPr>
                <w:rFonts w:ascii="Times New Roman" w:hAnsi="Times New Roman" w:eastAsia="宋体" w:cs="Times New Roman"/>
                <w:kern w:val="2"/>
                <w:sz w:val="21"/>
                <w:szCs w:val="22"/>
                <w:lang w:val="en-US" w:eastAsia="zh-CN" w:bidi="ar-SA"/>
              </w:rPr>
            </w:pPr>
            <w:r>
              <w:t>合计</w:t>
            </w:r>
          </w:p>
        </w:tc>
        <w:tc>
          <w:tcPr>
            <w:tcW w:w="870" w:type="pct"/>
            <w:gridSpan w:val="2"/>
            <w:vAlign w:val="center"/>
          </w:tcPr>
          <w:p w14:paraId="5CD17366">
            <w:pPr>
              <w:pStyle w:val="19"/>
              <w:bidi w:val="0"/>
              <w:ind w:firstLine="0" w:firstLineChars="0"/>
              <w:rPr>
                <w:rFonts w:ascii="Times New Roman" w:hAnsi="Times New Roman" w:eastAsia="宋体" w:cs="Times New Roman"/>
                <w:kern w:val="2"/>
                <w:sz w:val="21"/>
                <w:szCs w:val="22"/>
                <w:lang w:val="en-US" w:eastAsia="zh-CN" w:bidi="ar-SA"/>
              </w:rPr>
            </w:pPr>
            <w:r>
              <w:t>/</w:t>
            </w:r>
          </w:p>
        </w:tc>
        <w:tc>
          <w:tcPr>
            <w:tcW w:w="3013" w:type="pct"/>
            <w:vAlign w:val="center"/>
          </w:tcPr>
          <w:p w14:paraId="633FF36B">
            <w:pPr>
              <w:pStyle w:val="19"/>
              <w:bidi w:val="0"/>
              <w:ind w:firstLine="0" w:firstLineChars="0"/>
              <w:rPr>
                <w:rFonts w:hint="eastAsia" w:ascii="Times New Roman" w:hAnsi="Times New Roman" w:eastAsia="宋体" w:cs="Times New Roman"/>
                <w:kern w:val="2"/>
                <w:sz w:val="21"/>
                <w:szCs w:val="22"/>
                <w:lang w:val="en-US" w:eastAsia="zh-CN" w:bidi="ar-SA"/>
              </w:rPr>
            </w:pPr>
            <w:r>
              <w:t>/</w:t>
            </w:r>
          </w:p>
        </w:tc>
        <w:tc>
          <w:tcPr>
            <w:tcW w:w="797" w:type="pct"/>
            <w:vAlign w:val="center"/>
          </w:tcPr>
          <w:p w14:paraId="4156F1CB">
            <w:pPr>
              <w:pStyle w:val="19"/>
              <w:bidi w:val="0"/>
              <w:rPr>
                <w:rFonts w:hint="eastAsia"/>
                <w:lang w:val="en-US" w:eastAsia="zh-CN"/>
              </w:rPr>
            </w:pPr>
            <w:r>
              <w:rPr>
                <w:rFonts w:hint="eastAsia"/>
                <w:lang w:val="en-US" w:eastAsia="zh-CN"/>
              </w:rPr>
              <w:fldChar w:fldCharType="begin"/>
            </w:r>
            <w:r>
              <w:rPr>
                <w:rFonts w:hint="eastAsia"/>
                <w:lang w:val="en-US" w:eastAsia="zh-CN"/>
              </w:rPr>
              <w:instrText xml:space="preserve"> = sum(D2:D17) \* MERGEFORMAT </w:instrText>
            </w:r>
            <w:r>
              <w:rPr>
                <w:rFonts w:hint="eastAsia"/>
                <w:lang w:val="en-US" w:eastAsia="zh-CN"/>
              </w:rPr>
              <w:fldChar w:fldCharType="separate"/>
            </w:r>
            <w:r>
              <w:rPr>
                <w:rFonts w:hint="eastAsia"/>
                <w:lang w:val="en-US" w:eastAsia="zh-CN"/>
              </w:rPr>
              <w:t>872.5</w:t>
            </w:r>
            <w:r>
              <w:rPr>
                <w:rFonts w:hint="eastAsia"/>
                <w:lang w:val="en-US" w:eastAsia="zh-CN"/>
              </w:rPr>
              <w:fldChar w:fldCharType="end"/>
            </w:r>
          </w:p>
        </w:tc>
      </w:tr>
    </w:tbl>
    <w:p w14:paraId="56A535E6">
      <w:pPr>
        <w:pStyle w:val="2"/>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lang w:val="en-US" w:eastAsia="zh-CN"/>
        </w:rPr>
        <w:t>综合以上分析，本项目具有较好经济、环境和社会效益，它的建成，将能够拉动地方经济的快速发展;废物资源化利用，将促进人类与社会的和谐发展。</w:t>
      </w:r>
    </w:p>
    <w:p w14:paraId="308205FC">
      <w:pPr>
        <w:pStyle w:val="25"/>
        <w:bidi w:val="0"/>
        <w:rPr>
          <w:rFonts w:hint="default"/>
          <w:lang w:val="en-US" w:eastAsia="zh-CN"/>
        </w:rPr>
      </w:pPr>
      <w:bookmarkStart w:id="38" w:name="_Toc23992"/>
      <w:r>
        <w:rPr>
          <w:rFonts w:hint="eastAsia"/>
          <w:lang w:val="en-US" w:eastAsia="zh-CN"/>
        </w:rPr>
        <w:t>环境管理与监测计划</w:t>
      </w:r>
      <w:bookmarkEnd w:id="38"/>
    </w:p>
    <w:p w14:paraId="705ACED7">
      <w:pPr>
        <w:pStyle w:val="26"/>
        <w:bidi w:val="0"/>
        <w:rPr>
          <w:rFonts w:hint="default"/>
          <w:lang w:val="en-US" w:eastAsia="zh-CN"/>
        </w:rPr>
      </w:pPr>
      <w:bookmarkStart w:id="39" w:name="_Toc15091"/>
      <w:r>
        <w:rPr>
          <w:rFonts w:hint="eastAsia"/>
          <w:lang w:val="en-US" w:eastAsia="zh-CN"/>
        </w:rPr>
        <w:t>环境管理</w:t>
      </w:r>
      <w:bookmarkEnd w:id="39"/>
    </w:p>
    <w:p w14:paraId="21278083">
      <w:pPr>
        <w:bidi w:val="0"/>
      </w:pPr>
      <w:r>
        <w:t>为了贯彻执行国家和地方环境保护</w:t>
      </w:r>
      <w:r>
        <w:rPr>
          <w:rFonts w:hint="eastAsia"/>
        </w:rPr>
        <w:t>法律法规</w:t>
      </w:r>
      <w:r>
        <w:t>、政策与标准，及时掌握和了解污染控制措施的效果，以及项目所在区域环境质量的变化情况，更好地监控环保设施的运行情况，协调与地方环保职能部门</w:t>
      </w:r>
      <w:r>
        <w:rPr>
          <w:rFonts w:hint="eastAsia"/>
        </w:rPr>
        <w:t>和其他</w:t>
      </w:r>
      <w:r>
        <w:t>有关部门的工作，同时保证企业生产管理和环境管理的正常运作，建立环境管理体系与监测制度是非常必要和重要的。</w:t>
      </w:r>
    </w:p>
    <w:p w14:paraId="050F7107">
      <w:pPr>
        <w:bidi w:val="0"/>
      </w:pPr>
      <w:r>
        <w:t>环境管理体系与监测机构的建立能够帮助企业及早发现问题，使企业在发展生产的同时节约能源、降低原材料消耗，控制污染物排放量，减轻污染物排放对环境产生的影响，为企业创造更好的经济效益和环境效益，树立良好的社</w:t>
      </w:r>
      <w:r>
        <w:rPr>
          <w:rFonts w:hint="eastAsia"/>
        </w:rPr>
        <w:t>会</w:t>
      </w:r>
      <w:r>
        <w:t>形象。</w:t>
      </w:r>
    </w:p>
    <w:p w14:paraId="7A4B24BA">
      <w:pPr>
        <w:bidi w:val="0"/>
        <w:rPr>
          <w:rFonts w:hint="eastAsia"/>
          <w:lang w:val="en-US" w:eastAsia="zh-CN"/>
        </w:rPr>
      </w:pPr>
      <w:r>
        <w:rPr>
          <w:rFonts w:hint="eastAsia"/>
          <w:lang w:val="en-US" w:eastAsia="zh-CN"/>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14:paraId="715342D1">
      <w:pPr>
        <w:pStyle w:val="27"/>
        <w:bidi w:val="0"/>
        <w:rPr>
          <w:rFonts w:hint="eastAsia"/>
          <w:lang w:val="en-US" w:eastAsia="zh-CN"/>
        </w:rPr>
      </w:pPr>
      <w:r>
        <w:rPr>
          <w:rFonts w:hint="eastAsia"/>
          <w:lang w:val="en-US" w:eastAsia="zh-CN"/>
        </w:rPr>
        <w:t>施工期环境管理</w:t>
      </w:r>
    </w:p>
    <w:p w14:paraId="05E65CC8">
      <w:pPr>
        <w:bidi w:val="0"/>
        <w:rPr>
          <w:rFonts w:hint="eastAsia"/>
          <w:lang w:val="en-US" w:eastAsia="zh-CN"/>
        </w:rPr>
      </w:pPr>
      <w:r>
        <w:rPr>
          <w:rFonts w:hint="eastAsia"/>
          <w:lang w:val="en-US" w:eastAsia="zh-CN"/>
        </w:rPr>
        <w:t>为加强施工现场管理，防止施工扬尘污染和施工噪声扰民，本评价对项目施工期环境管理机构设置及其职责如下要求：</w:t>
      </w:r>
    </w:p>
    <w:p w14:paraId="7BC0F43C">
      <w:pPr>
        <w:bidi w:val="0"/>
        <w:rPr>
          <w:rFonts w:hint="eastAsia"/>
          <w:lang w:val="en-US" w:eastAsia="zh-CN"/>
        </w:rPr>
      </w:pPr>
      <w:r>
        <w:rPr>
          <w:rFonts w:hint="eastAsia"/>
          <w:lang w:val="en-US" w:eastAsia="zh-CN"/>
        </w:rPr>
        <w:t>（1）建设单位应配备1名具有环保专业知识的技术人员，专职或兼职负责施工期的环境保护工作，其主要职责如下：</w:t>
      </w:r>
    </w:p>
    <w:p w14:paraId="345F896A">
      <w:pPr>
        <w:bidi w:val="0"/>
        <w:rPr>
          <w:rFonts w:hint="eastAsia"/>
          <w:lang w:val="en-US" w:eastAsia="zh-CN"/>
        </w:rPr>
      </w:pPr>
      <w:r>
        <w:rPr>
          <w:rFonts w:hint="eastAsia"/>
          <w:lang w:val="en-US" w:eastAsia="zh-CN"/>
        </w:rPr>
        <w:t>①根据国家及地方政策有关施工管理条例和施工操作规范，结合项目特点，制定施工环境管理条例，为施工单位的施工活动提出具体要求；</w:t>
      </w:r>
    </w:p>
    <w:p w14:paraId="6A27BF8B">
      <w:pPr>
        <w:bidi w:val="0"/>
        <w:rPr>
          <w:rFonts w:hint="eastAsia"/>
          <w:lang w:val="en-US" w:eastAsia="zh-CN"/>
        </w:rPr>
      </w:pPr>
      <w:r>
        <w:rPr>
          <w:rFonts w:hint="eastAsia"/>
          <w:lang w:val="en-US" w:eastAsia="zh-CN"/>
        </w:rPr>
        <w:t>②监督、检查施工单位对条例的执行情况；</w:t>
      </w:r>
    </w:p>
    <w:p w14:paraId="2D821646">
      <w:pPr>
        <w:bidi w:val="0"/>
        <w:rPr>
          <w:rFonts w:hint="eastAsia"/>
          <w:lang w:val="en-US" w:eastAsia="zh-CN"/>
        </w:rPr>
      </w:pPr>
      <w:r>
        <w:rPr>
          <w:rFonts w:hint="eastAsia"/>
          <w:lang w:val="en-US" w:eastAsia="zh-CN"/>
        </w:rPr>
        <w:t>③受理对施工过程中的环境保护意见，并及时与施工单位协商解决；</w:t>
      </w:r>
    </w:p>
    <w:p w14:paraId="63C36B84">
      <w:pPr>
        <w:bidi w:val="0"/>
        <w:rPr>
          <w:rFonts w:hint="eastAsia"/>
          <w:lang w:val="en-US" w:eastAsia="zh-CN"/>
        </w:rPr>
      </w:pPr>
      <w:r>
        <w:rPr>
          <w:rFonts w:hint="eastAsia"/>
          <w:lang w:val="en-US" w:eastAsia="zh-CN"/>
        </w:rPr>
        <w:t>④参与有关环境纠纷和污染事故的调查处理工作。</w:t>
      </w:r>
    </w:p>
    <w:p w14:paraId="2A05BEAC">
      <w:pPr>
        <w:bidi w:val="0"/>
        <w:rPr>
          <w:rFonts w:hint="eastAsia"/>
          <w:lang w:val="en-US" w:eastAsia="zh-CN"/>
        </w:rPr>
      </w:pPr>
      <w:r>
        <w:rPr>
          <w:rFonts w:hint="eastAsia"/>
          <w:lang w:val="en-US" w:eastAsia="zh-CN"/>
        </w:rPr>
        <w:t>（2）施工单位设置1名专职或兼职环境保护人员，其主要职责为：</w:t>
      </w:r>
    </w:p>
    <w:p w14:paraId="433646EC">
      <w:pPr>
        <w:bidi w:val="0"/>
        <w:rPr>
          <w:rFonts w:hint="eastAsia"/>
          <w:lang w:val="en-US" w:eastAsia="zh-CN"/>
        </w:rPr>
      </w:pPr>
      <w:r>
        <w:rPr>
          <w:rFonts w:hint="eastAsia"/>
          <w:lang w:val="en-US" w:eastAsia="zh-CN"/>
        </w:rPr>
        <w:t>①按建设单位和环境影响评价要求制定文明施工计划，向当地环保行政部分提交施工阶段环境保护报告。内容应包括：工程进度、主要施工内容及方法、造成的环境影响评述以及减缓环境影响措施的落实情况；</w:t>
      </w:r>
    </w:p>
    <w:p w14:paraId="4FABD762">
      <w:pPr>
        <w:bidi w:val="0"/>
        <w:rPr>
          <w:rFonts w:hint="eastAsia"/>
          <w:lang w:val="en-US" w:eastAsia="zh-CN"/>
        </w:rPr>
      </w:pPr>
      <w:r>
        <w:rPr>
          <w:rFonts w:hint="eastAsia"/>
          <w:lang w:val="en-US" w:eastAsia="zh-CN"/>
        </w:rPr>
        <w:t>②与业主单位环保人员一同制定本工程施工环境管理条例；</w:t>
      </w:r>
    </w:p>
    <w:p w14:paraId="48BE949C">
      <w:pPr>
        <w:bidi w:val="0"/>
        <w:rPr>
          <w:rFonts w:hint="eastAsia"/>
          <w:lang w:val="en-US" w:eastAsia="zh-CN"/>
        </w:rPr>
      </w:pPr>
      <w:r>
        <w:rPr>
          <w:rFonts w:hint="eastAsia"/>
          <w:lang w:val="en-US" w:eastAsia="zh-CN"/>
        </w:rPr>
        <w:t>③定期检查施工环境管理条例实施情况，并督促有关人员进行整改；</w:t>
      </w:r>
    </w:p>
    <w:p w14:paraId="17EAE388">
      <w:pPr>
        <w:bidi w:val="0"/>
        <w:rPr>
          <w:rFonts w:hint="eastAsia"/>
          <w:lang w:val="en-US" w:eastAsia="zh-CN"/>
        </w:rPr>
      </w:pPr>
      <w:r>
        <w:rPr>
          <w:rFonts w:hint="eastAsia"/>
          <w:lang w:val="en-US" w:eastAsia="zh-CN"/>
        </w:rPr>
        <w:t>④定期听取环保部门、建设单位和周围居民对施工污染影响的意见，以便进一步加强文明施工。</w:t>
      </w:r>
    </w:p>
    <w:p w14:paraId="485AA26D">
      <w:pPr>
        <w:pStyle w:val="27"/>
        <w:bidi w:val="0"/>
        <w:rPr>
          <w:rFonts w:hint="default"/>
          <w:lang w:val="en-US" w:eastAsia="zh-CN"/>
        </w:rPr>
      </w:pPr>
      <w:r>
        <w:rPr>
          <w:rFonts w:hint="eastAsia"/>
          <w:lang w:val="en-US" w:eastAsia="zh-CN"/>
        </w:rPr>
        <w:t>运营期环境经管理</w:t>
      </w:r>
    </w:p>
    <w:p w14:paraId="0E916586">
      <w:pPr>
        <w:pStyle w:val="28"/>
        <w:bidi w:val="0"/>
        <w:rPr>
          <w:rFonts w:hint="default"/>
          <w:lang w:val="en-US" w:eastAsia="zh-CN"/>
        </w:rPr>
      </w:pPr>
      <w:r>
        <w:rPr>
          <w:rFonts w:hint="eastAsia"/>
          <w:lang w:val="en-US" w:eastAsia="zh-CN"/>
        </w:rPr>
        <w:t>环境管理机构</w:t>
      </w:r>
    </w:p>
    <w:p w14:paraId="19C107F6">
      <w:pPr>
        <w:bidi w:val="0"/>
        <w:rPr>
          <w:rFonts w:hint="eastAsia"/>
          <w:lang w:val="en-US" w:eastAsia="zh-CN"/>
        </w:rPr>
      </w:pPr>
      <w:r>
        <w:rPr>
          <w:rFonts w:hint="eastAsia"/>
          <w:lang w:val="en-US" w:eastAsia="zh-CN"/>
        </w:rPr>
        <w:t>（1）环境管理机构</w:t>
      </w:r>
    </w:p>
    <w:p w14:paraId="40687970">
      <w:pPr>
        <w:bidi w:val="0"/>
        <w:rPr>
          <w:rFonts w:hint="eastAsia"/>
          <w:lang w:val="en-US" w:eastAsia="zh-CN"/>
        </w:rPr>
      </w:pPr>
      <w:r>
        <w:rPr>
          <w:rFonts w:hint="eastAsia"/>
          <w:lang w:val="en-US" w:eastAsia="zh-CN"/>
        </w:rPr>
        <w:t>根据国家有关规定要求，为切实加强环境保护工作，搞好全场污染源的监控，环境保护管理应采取厂长负责制，并配备专职或兼职环保管理人员1～2人，负责项目的环保工作。</w:t>
      </w:r>
    </w:p>
    <w:p w14:paraId="0AB68F18">
      <w:pPr>
        <w:bidi w:val="0"/>
        <w:rPr>
          <w:rFonts w:hint="eastAsia"/>
          <w:lang w:val="en-US" w:eastAsia="zh-CN"/>
        </w:rPr>
      </w:pPr>
      <w:r>
        <w:rPr>
          <w:rFonts w:hint="eastAsia"/>
          <w:lang w:val="en-US" w:eastAsia="zh-CN"/>
        </w:rPr>
        <w:t>（2）环境管理的职责及工作内容</w:t>
      </w:r>
    </w:p>
    <w:p w14:paraId="68D77122">
      <w:pPr>
        <w:bidi w:val="0"/>
        <w:rPr>
          <w:rFonts w:hint="eastAsia"/>
          <w:lang w:val="en-US" w:eastAsia="zh-CN"/>
        </w:rPr>
      </w:pPr>
      <w:r>
        <w:rPr>
          <w:rFonts w:hint="eastAsia"/>
          <w:lang w:val="en-US" w:eastAsia="zh-CN"/>
        </w:rPr>
        <w:t>①贯彻执行《中华人民共和国环境保护法》及其有关法律法规，按国家的环保政策、环境标准及环境监测要求，制定环境管理规章制度，并监督执行；</w:t>
      </w:r>
    </w:p>
    <w:p w14:paraId="01A4A2DB">
      <w:pPr>
        <w:bidi w:val="0"/>
        <w:rPr>
          <w:rFonts w:hint="eastAsia"/>
          <w:lang w:val="en-US" w:eastAsia="zh-CN"/>
        </w:rPr>
      </w:pPr>
      <w:r>
        <w:rPr>
          <w:rFonts w:hint="eastAsia"/>
          <w:lang w:val="en-US" w:eastAsia="zh-CN"/>
        </w:rPr>
        <w:t>②掌握本企业各污染源治理措施工艺、设备、运行及维护等资料，掌握废物综合利用情况，建立污染控制管理档案及管理台账；</w:t>
      </w:r>
    </w:p>
    <w:p w14:paraId="7DF1CDB0">
      <w:pPr>
        <w:bidi w:val="0"/>
        <w:rPr>
          <w:rFonts w:hint="eastAsia"/>
          <w:lang w:val="en-US" w:eastAsia="zh-CN"/>
        </w:rPr>
      </w:pPr>
      <w:r>
        <w:rPr>
          <w:rFonts w:hint="eastAsia"/>
          <w:lang w:val="en-US" w:eastAsia="zh-CN"/>
        </w:rPr>
        <w:t>③制定生产过程中各项污染物排放指标以及环保设施的运行参数，并定期考核统计；</w:t>
      </w:r>
    </w:p>
    <w:p w14:paraId="5BBA575B">
      <w:pPr>
        <w:bidi w:val="0"/>
        <w:rPr>
          <w:rFonts w:hint="eastAsia"/>
          <w:lang w:val="en-US" w:eastAsia="zh-CN"/>
        </w:rPr>
      </w:pPr>
      <w:r>
        <w:rPr>
          <w:rFonts w:hint="eastAsia"/>
          <w:lang w:val="en-US" w:eastAsia="zh-CN"/>
        </w:rPr>
        <w:t>④推广应用先进的环保技术和经验，组织开展环保专业技术培训，搞好环境保护的宣传工作，增强全场人员的环境保护意识；</w:t>
      </w:r>
    </w:p>
    <w:p w14:paraId="50584E26">
      <w:pPr>
        <w:bidi w:val="0"/>
        <w:rPr>
          <w:rFonts w:hint="eastAsia"/>
          <w:lang w:val="en-US" w:eastAsia="zh-CN"/>
        </w:rPr>
      </w:pPr>
      <w:r>
        <w:rPr>
          <w:rFonts w:hint="eastAsia"/>
          <w:lang w:val="en-US" w:eastAsia="zh-CN"/>
        </w:rPr>
        <w:t>⑤监督项目环保设施的安装、调试等工作，坚持“三同时”原则，保证环保设施的设计、施工、运行与主体工程同时进行；</w:t>
      </w:r>
    </w:p>
    <w:p w14:paraId="51060B56">
      <w:pPr>
        <w:bidi w:val="0"/>
        <w:rPr>
          <w:rFonts w:hint="eastAsia"/>
          <w:lang w:val="en-US" w:eastAsia="zh-CN"/>
        </w:rPr>
      </w:pPr>
      <w:r>
        <w:rPr>
          <w:rFonts w:hint="eastAsia"/>
          <w:lang w:val="en-US" w:eastAsia="zh-CN"/>
        </w:rPr>
        <w:t>⑥组织开展本单位环境保护专业技术培训，提高人员素质；</w:t>
      </w:r>
    </w:p>
    <w:p w14:paraId="5266AB91">
      <w:pPr>
        <w:bidi w:val="0"/>
        <w:rPr>
          <w:rFonts w:hint="eastAsia"/>
          <w:lang w:val="en-US" w:eastAsia="zh-CN"/>
        </w:rPr>
      </w:pPr>
      <w:r>
        <w:rPr>
          <w:rFonts w:hint="eastAsia"/>
          <w:lang w:val="en-US" w:eastAsia="zh-CN"/>
        </w:rPr>
        <w:t>⑦认真落实企业污染物排放总量控制指标，解决落实过程出现的问题。</w:t>
      </w:r>
    </w:p>
    <w:p w14:paraId="5AD26B7E">
      <w:pPr>
        <w:pStyle w:val="28"/>
        <w:bidi w:val="0"/>
        <w:rPr>
          <w:rFonts w:hint="eastAsia"/>
          <w:lang w:val="en-US" w:eastAsia="zh-CN"/>
        </w:rPr>
      </w:pPr>
      <w:r>
        <w:rPr>
          <w:rFonts w:hint="eastAsia"/>
          <w:lang w:val="en-US" w:eastAsia="zh-CN"/>
        </w:rPr>
        <w:t>环境管理制度</w:t>
      </w:r>
    </w:p>
    <w:p w14:paraId="18734A5B">
      <w:pPr>
        <w:bidi w:val="0"/>
        <w:rPr>
          <w:rFonts w:hint="eastAsia"/>
          <w:lang w:val="en-US" w:eastAsia="zh-CN"/>
        </w:rPr>
      </w:pPr>
      <w:r>
        <w:rPr>
          <w:rFonts w:hint="eastAsia"/>
          <w:lang w:val="en-US" w:eastAsia="zh-CN"/>
        </w:rPr>
        <w:t>企业应建立健全环境管理制度体系，将环保工作纳入考核体系，确保在日常运行中将环保目标落到实处。建设单位在生产管理中制定主要环境管理内容如下：</w:t>
      </w:r>
    </w:p>
    <w:p w14:paraId="6ACCBDB7">
      <w:pPr>
        <w:bidi w:val="0"/>
        <w:rPr>
          <w:rFonts w:hint="eastAsia"/>
          <w:lang w:val="en-US" w:eastAsia="zh-CN"/>
        </w:rPr>
      </w:pPr>
      <w:r>
        <w:rPr>
          <w:rFonts w:hint="eastAsia"/>
          <w:lang w:val="en-US" w:eastAsia="zh-CN"/>
        </w:rPr>
        <w:t>（1）“三同时”制度</w:t>
      </w:r>
    </w:p>
    <w:p w14:paraId="4867743D">
      <w:pPr>
        <w:bidi w:val="0"/>
        <w:rPr>
          <w:rFonts w:hint="eastAsia"/>
          <w:lang w:val="en-US" w:eastAsia="zh-CN"/>
        </w:rPr>
      </w:pPr>
      <w:r>
        <w:rPr>
          <w:rFonts w:hint="eastAsia"/>
          <w:lang w:val="en-US" w:eastAsia="zh-CN"/>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环境保护行政主管部门规定的标准和程序，对配套建设的环境保护设施进行自主验收，编制验收报告。建设单位在环境保护设施验收过程中，应当如实查验、监测、记载建设项目环境保护设施的建设和调试情况，不得弄虚作假，验收报告应依法向社会公开。</w:t>
      </w:r>
    </w:p>
    <w:p w14:paraId="1D490008">
      <w:pPr>
        <w:bidi w:val="0"/>
        <w:rPr>
          <w:rFonts w:hint="eastAsia"/>
          <w:lang w:val="en-US" w:eastAsia="zh-CN"/>
        </w:rPr>
      </w:pPr>
      <w:r>
        <w:rPr>
          <w:rFonts w:hint="eastAsia"/>
          <w:lang w:val="en-US" w:eastAsia="zh-CN"/>
        </w:rPr>
        <w:t>（2）环保台账制度</w:t>
      </w:r>
    </w:p>
    <w:p w14:paraId="32A692C7">
      <w:pPr>
        <w:bidi w:val="0"/>
        <w:rPr>
          <w:rFonts w:hint="eastAsia"/>
          <w:lang w:val="en-US" w:eastAsia="zh-CN"/>
        </w:rPr>
      </w:pPr>
      <w:r>
        <w:rPr>
          <w:rFonts w:hint="eastAsia"/>
          <w:lang w:val="en-US" w:eastAsia="zh-CN"/>
        </w:rPr>
        <w:t>厂内需完善记录制度和档案保存制度，有利于环境管理质量的追踪和持续改进；记录和台账包括设施运行和维护记录、危险废物进出台帐、废水、废气污染物监测台账、所有物料使用台账、突发性事件的处理、调查记录等，妥善保存所有记录、台账及污染物排放监测资料、环境管理档案资料等。</w:t>
      </w:r>
    </w:p>
    <w:p w14:paraId="21AF754B">
      <w:pPr>
        <w:bidi w:val="0"/>
        <w:rPr>
          <w:rFonts w:hint="eastAsia"/>
          <w:lang w:val="en-US" w:eastAsia="zh-CN"/>
        </w:rPr>
      </w:pPr>
      <w:r>
        <w:rPr>
          <w:rFonts w:hint="eastAsia"/>
          <w:lang w:val="en-US" w:eastAsia="zh-CN"/>
        </w:rPr>
        <w:t>（3）污染治理设施管理制度</w:t>
      </w:r>
    </w:p>
    <w:p w14:paraId="34B8BFC5">
      <w:pPr>
        <w:bidi w:val="0"/>
        <w:rPr>
          <w:rFonts w:hint="eastAsia"/>
          <w:lang w:val="en-US" w:eastAsia="zh-CN"/>
        </w:rPr>
      </w:pPr>
      <w:r>
        <w:rPr>
          <w:rFonts w:hint="eastAsia"/>
          <w:lang w:val="en-US" w:eastAsia="zh-CN"/>
        </w:rPr>
        <w:t>项目建成后，必须确保污染处理设施长期、稳定、有效的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账。</w:t>
      </w:r>
    </w:p>
    <w:p w14:paraId="050EA8DC">
      <w:pPr>
        <w:bidi w:val="0"/>
        <w:rPr>
          <w:rFonts w:hint="eastAsia"/>
          <w:lang w:val="en-US" w:eastAsia="zh-CN"/>
        </w:rPr>
      </w:pPr>
      <w:r>
        <w:rPr>
          <w:rFonts w:hint="eastAsia"/>
          <w:lang w:val="en-US" w:eastAsia="zh-CN"/>
        </w:rPr>
        <w:t>（4）报告制度</w:t>
      </w:r>
    </w:p>
    <w:p w14:paraId="361B4333">
      <w:pPr>
        <w:bidi w:val="0"/>
        <w:rPr>
          <w:rFonts w:hint="eastAsia"/>
          <w:lang w:val="en-US" w:eastAsia="zh-CN"/>
        </w:rPr>
      </w:pPr>
      <w:r>
        <w:rPr>
          <w:rFonts w:hint="eastAsia"/>
          <w:lang w:val="en-US" w:eastAsia="zh-CN"/>
        </w:rPr>
        <w:t>建设单位执行重点企业月报表实施月报制度。月报内容主要为污染治理设施的运行情况、污染物排放情况及污染事故或污染纠纷等。项目排污发生重大变化、污染治理设施改变或项目改扩建等必须向当地环境保护主管部门申报。</w:t>
      </w:r>
    </w:p>
    <w:p w14:paraId="2D0617E9">
      <w:pPr>
        <w:bidi w:val="0"/>
        <w:rPr>
          <w:rFonts w:hint="eastAsia"/>
          <w:lang w:val="en-US" w:eastAsia="zh-CN"/>
        </w:rPr>
      </w:pPr>
      <w:r>
        <w:rPr>
          <w:rFonts w:hint="eastAsia"/>
          <w:lang w:val="en-US" w:eastAsia="zh-CN"/>
        </w:rPr>
        <w:t>（5）污染治理设施的管理、监控制度</w:t>
      </w:r>
    </w:p>
    <w:p w14:paraId="458BC93A">
      <w:pPr>
        <w:bidi w:val="0"/>
        <w:rPr>
          <w:rFonts w:hint="eastAsia"/>
          <w:lang w:val="en-US" w:eastAsia="zh-CN"/>
        </w:rPr>
      </w:pPr>
      <w:r>
        <w:rPr>
          <w:rFonts w:hint="eastAsia"/>
          <w:lang w:val="en-US" w:eastAsia="zh-CN"/>
        </w:rPr>
        <w:t>项目建成后，必须确保污染治理设施长期、稳定、有效地运行，配合上级环保主管部门检查、监督与项目配套建设的废水、废气、噪声、固废等治理措施的落实情况；检查、监督环保设备等的运行、维护和管理情况，监督厂内各排放口（废气）污染物的排放状态。</w:t>
      </w:r>
    </w:p>
    <w:p w14:paraId="4D1C7B06">
      <w:pPr>
        <w:bidi w:val="0"/>
        <w:rPr>
          <w:rFonts w:hint="eastAsia"/>
          <w:lang w:val="en-US" w:eastAsia="zh-CN"/>
        </w:rPr>
      </w:pPr>
      <w:r>
        <w:rPr>
          <w:rFonts w:hint="eastAsia"/>
          <w:lang w:val="en-US" w:eastAsia="zh-CN"/>
        </w:rPr>
        <w:t>（6）日常环境管理制度</w:t>
      </w:r>
    </w:p>
    <w:p w14:paraId="0245A4F8">
      <w:pPr>
        <w:bidi w:val="0"/>
        <w:rPr>
          <w:rFonts w:hint="eastAsia"/>
          <w:lang w:val="en-US" w:eastAsia="zh-CN"/>
        </w:rPr>
      </w:pPr>
      <w:r>
        <w:rPr>
          <w:rFonts w:hint="eastAsia"/>
          <w:lang w:val="en-US" w:eastAsia="zh-CN"/>
        </w:rPr>
        <w:t>根据环境保护目标，建设单位制定并实施环保工作规划及年度污染治理计划，建立并实施从总经理到班组各层次的环境目标管理责任制，对每个员工均应按岗位责任制制定专门的责任范围及操作规程，明确责任目标；定期检查环保设施的运行状况及设备的维修与管理，严格控制“三废”的排放；协同有关环境保护主管部门组织落实“三同时”，参与有关方案的审定及竣工验收；一旦发生环境风险事故，环境管理机构将参与事故的处理。</w:t>
      </w:r>
    </w:p>
    <w:p w14:paraId="579D578E">
      <w:pPr>
        <w:bidi w:val="0"/>
        <w:rPr>
          <w:rFonts w:hint="eastAsia"/>
          <w:lang w:val="en-US" w:eastAsia="zh-CN"/>
        </w:rPr>
      </w:pPr>
      <w:r>
        <w:rPr>
          <w:rFonts w:hint="eastAsia"/>
          <w:lang w:val="en-US" w:eastAsia="zh-CN"/>
        </w:rPr>
        <w:t>（7）危废全流程管理要求</w:t>
      </w:r>
    </w:p>
    <w:p w14:paraId="21357532">
      <w:pPr>
        <w:bidi w:val="0"/>
        <w:rPr>
          <w:rFonts w:hint="eastAsia"/>
          <w:lang w:val="en-US" w:eastAsia="zh-CN"/>
        </w:rPr>
      </w:pPr>
      <w:r>
        <w:rPr>
          <w:rFonts w:hint="eastAsia"/>
          <w:lang w:val="en-US" w:eastAsia="zh-CN"/>
        </w:rPr>
        <w:t>按照危险废物相关导则、标准、技术规范要求，严格落实危险废物环境管理与监测制度，对项目危险废物收集、贮存、运输、利用、处置各环节进行全过程环境监管。</w:t>
      </w:r>
    </w:p>
    <w:p w14:paraId="5BCC54D3">
      <w:pPr>
        <w:bidi w:val="0"/>
        <w:rPr>
          <w:rFonts w:hint="eastAsia"/>
          <w:lang w:val="en-US" w:eastAsia="zh-CN"/>
        </w:rPr>
      </w:pPr>
      <w:r>
        <w:rPr>
          <w:rFonts w:hint="eastAsia"/>
          <w:lang w:val="en-US" w:eastAsia="zh-CN"/>
        </w:rPr>
        <w:t>（8）环保奖惩制度</w:t>
      </w:r>
    </w:p>
    <w:p w14:paraId="698C2786">
      <w:pPr>
        <w:bidi w:val="0"/>
        <w:rPr>
          <w:rFonts w:hint="eastAsia"/>
          <w:lang w:val="en-US" w:eastAsia="zh-CN"/>
        </w:rPr>
      </w:pPr>
      <w:r>
        <w:rPr>
          <w:rFonts w:hint="eastAsia"/>
          <w:lang w:val="en-US" w:eastAsia="zh-CN"/>
        </w:rPr>
        <w:t>各级管理人员都应树立环境保护的思想，建设单位应设置环境保护奖惩条例；对爱护环保治理设施、节约能源的工作者实施奖励；对于环保观念淡薄，不按环保要求管理，造成环保设施损坏、环境污染及能源浪费者予以处罚。</w:t>
      </w:r>
    </w:p>
    <w:p w14:paraId="5B63DA93">
      <w:pPr>
        <w:bidi w:val="0"/>
        <w:rPr>
          <w:rFonts w:hint="eastAsia"/>
          <w:lang w:val="en-US" w:eastAsia="zh-CN"/>
        </w:rPr>
      </w:pPr>
      <w:r>
        <w:rPr>
          <w:rFonts w:hint="eastAsia"/>
          <w:lang w:val="en-US" w:eastAsia="zh-CN"/>
        </w:rPr>
        <w:t>（9）信息公开制度</w:t>
      </w:r>
    </w:p>
    <w:p w14:paraId="2FE1029F">
      <w:pPr>
        <w:bidi w:val="0"/>
        <w:rPr>
          <w:rFonts w:hint="eastAsia"/>
          <w:lang w:val="en-US" w:eastAsia="zh-CN"/>
        </w:rPr>
      </w:pPr>
      <w:r>
        <w:rPr>
          <w:rFonts w:hint="eastAsia"/>
          <w:lang w:val="en-US" w:eastAsia="zh-CN"/>
        </w:rPr>
        <w:t>建设单位在环评编制、审批、排污许可证申请、竣工环保验收、正常运行等各阶段均应按照有关要求，通过网站或者其他便于公众知悉的方式，依法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41046040">
      <w:pPr>
        <w:pStyle w:val="28"/>
        <w:bidi w:val="0"/>
        <w:rPr>
          <w:rFonts w:hint="eastAsia"/>
          <w:lang w:val="en-US" w:eastAsia="zh-CN"/>
        </w:rPr>
      </w:pPr>
      <w:r>
        <w:t>环境管理要求</w:t>
      </w:r>
    </w:p>
    <w:p w14:paraId="11691800">
      <w:pPr>
        <w:bidi w:val="0"/>
        <w:rPr>
          <w:rFonts w:hint="eastAsia"/>
          <w:lang w:val="en-US" w:eastAsia="zh-CN"/>
        </w:rPr>
      </w:pPr>
      <w:r>
        <w:rPr>
          <w:rFonts w:hint="eastAsia"/>
          <w:lang w:val="en-US" w:eastAsia="zh-CN"/>
        </w:rPr>
        <w:t>①建设单位应进行危险废物申报登记。将危险废物的实际产生、贮存、利用、处置等情况纳入生产记录，建立危险废物管理台账和企业内部产生和收集、贮存、转移等部门危险废物交接制度。</w:t>
      </w:r>
    </w:p>
    <w:p w14:paraId="14BD2956">
      <w:pPr>
        <w:bidi w:val="0"/>
        <w:rPr>
          <w:rFonts w:hint="eastAsia"/>
          <w:lang w:val="en-US" w:eastAsia="zh-CN"/>
        </w:rPr>
      </w:pPr>
      <w:r>
        <w:rPr>
          <w:rFonts w:hint="eastAsia"/>
          <w:lang w:val="en-US" w:eastAsia="zh-CN"/>
        </w:rPr>
        <w:t>②企业为固体废物污染防治的责任主体，企业应建立风险管理及应急救援体系，执行环境监测计划、转移联单管理制度及国家和省有关转移管理的相关规定、人员培训考核制度、档案管理制度、危废全流程管理制度等。</w:t>
      </w:r>
    </w:p>
    <w:p w14:paraId="692CA734">
      <w:pPr>
        <w:bidi w:val="0"/>
        <w:rPr>
          <w:rFonts w:hint="eastAsia"/>
          <w:lang w:val="en-US" w:eastAsia="zh-CN"/>
        </w:rPr>
      </w:pPr>
      <w:r>
        <w:rPr>
          <w:rFonts w:hint="eastAsia"/>
          <w:lang w:val="en-US" w:eastAsia="zh-CN"/>
        </w:rPr>
        <w:t>③规范建设危险废物贮存场所并按照要求设置警告标志，危废包装、容器和贮存场所应按照《危险废物贮存污染控制标准》（GB18597-2023）有关要求张贴标识。</w:t>
      </w:r>
    </w:p>
    <w:p w14:paraId="1AAC356E">
      <w:pPr>
        <w:bidi w:val="0"/>
        <w:rPr>
          <w:rFonts w:hint="eastAsia"/>
          <w:lang w:val="en-US" w:eastAsia="zh-CN"/>
        </w:rPr>
      </w:pPr>
      <w:r>
        <w:rPr>
          <w:rFonts w:hint="eastAsia"/>
          <w:lang w:val="en-US" w:eastAsia="zh-CN"/>
        </w:rPr>
        <w:t>④加强固体废物在厂内堆存期间的环境管理；加强对危险固废的收集、储存、运输等措施的管理；定期更换相关设备过程产生的固体废物应详细记录购买及更换台账，提供采购发票复印件，每月报环保部门备案，相关记录至少保存3年。</w:t>
      </w:r>
    </w:p>
    <w:p w14:paraId="0B216270">
      <w:pPr>
        <w:bidi w:val="0"/>
        <w:rPr>
          <w:rFonts w:hint="eastAsia"/>
          <w:lang w:val="en-US" w:eastAsia="zh-CN"/>
        </w:rPr>
      </w:pPr>
      <w:r>
        <w:rPr>
          <w:rFonts w:hint="eastAsia"/>
          <w:lang w:val="en-US" w:eastAsia="zh-CN"/>
        </w:rPr>
        <w:t>⑤加强管道、设备的保养和维护。安装必要的用水检测仪表，减少跑、冒、滴、漏，最大限度地减少用水量。</w:t>
      </w:r>
    </w:p>
    <w:p w14:paraId="5A3D589A">
      <w:pPr>
        <w:bidi w:val="0"/>
        <w:rPr>
          <w:rFonts w:hint="eastAsia"/>
          <w:lang w:val="en-US" w:eastAsia="zh-CN"/>
        </w:rPr>
      </w:pPr>
      <w:r>
        <w:rPr>
          <w:rFonts w:hint="eastAsia"/>
          <w:lang w:val="en-US" w:eastAsia="zh-CN"/>
        </w:rPr>
        <w:t>⑥加强本项目的环境管理和环境监测。设专职环境管理人员，按报告书的要求认真落实环境监测计划。</w:t>
      </w:r>
    </w:p>
    <w:p w14:paraId="6753BC1A">
      <w:pPr>
        <w:bidi w:val="0"/>
        <w:rPr>
          <w:rFonts w:hint="eastAsia"/>
          <w:lang w:val="en-US" w:eastAsia="zh-CN"/>
        </w:rPr>
      </w:pPr>
      <w:r>
        <w:rPr>
          <w:rFonts w:hint="eastAsia"/>
          <w:lang w:val="en-US" w:eastAsia="zh-CN"/>
        </w:rPr>
        <w:t>⑦对危险废物收集、贮存、运输、利用、处置各环节要进行全过程环境监管。</w:t>
      </w:r>
    </w:p>
    <w:p w14:paraId="244351C0">
      <w:pPr>
        <w:bidi w:val="0"/>
        <w:rPr>
          <w:rFonts w:hint="eastAsia"/>
          <w:lang w:val="en-US" w:eastAsia="zh-CN"/>
        </w:rPr>
      </w:pPr>
      <w:r>
        <w:rPr>
          <w:rFonts w:hint="eastAsia"/>
          <w:lang w:val="en-US" w:eastAsia="zh-CN"/>
        </w:rPr>
        <w:t>⑧公司每年设立专项资金，用于危险废物收集、贮存、危废委托处理相关费用，公司财务配合相关费用缴纳，以及危险应急等其他资金保障工作。</w:t>
      </w:r>
    </w:p>
    <w:p w14:paraId="3C3A4287">
      <w:pPr>
        <w:bidi w:val="0"/>
        <w:rPr>
          <w:rFonts w:hint="eastAsia"/>
          <w:lang w:val="en-US" w:eastAsia="zh-CN"/>
        </w:rPr>
      </w:pPr>
      <w:r>
        <w:rPr>
          <w:rFonts w:hint="eastAsia"/>
          <w:lang w:val="en-US" w:eastAsia="zh-CN"/>
        </w:rPr>
        <w:t>⑨加强全厂职工的安全生产和环境保护知识的教育。配备必要的环境管理专职人员，落实、检查环保设施的运行状况，配合当地环保部门做好本厂的环境管理、验收、监督和检查工作。</w:t>
      </w:r>
    </w:p>
    <w:p w14:paraId="6563AA4D">
      <w:pPr>
        <w:pStyle w:val="26"/>
        <w:bidi w:val="0"/>
        <w:rPr>
          <w:rFonts w:hint="default"/>
          <w:lang w:val="en-US" w:eastAsia="zh-CN"/>
        </w:rPr>
      </w:pPr>
      <w:bookmarkStart w:id="40" w:name="_Toc5562"/>
      <w:r>
        <w:rPr>
          <w:rFonts w:hint="eastAsia"/>
          <w:lang w:val="en-US" w:eastAsia="zh-CN"/>
        </w:rPr>
        <w:t>环境监测计划</w:t>
      </w:r>
      <w:bookmarkEnd w:id="40"/>
    </w:p>
    <w:p w14:paraId="0D626780">
      <w:pPr>
        <w:bidi w:val="0"/>
        <w:rPr>
          <w:rFonts w:hint="eastAsia"/>
          <w:lang w:val="en-US" w:eastAsia="zh-CN"/>
        </w:rPr>
      </w:pPr>
      <w:r>
        <w:rPr>
          <w:rFonts w:hint="eastAsia"/>
          <w:lang w:val="en-US" w:eastAsia="zh-CN"/>
        </w:rPr>
        <w:t>环境监测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14:paraId="105C0B0A">
      <w:pPr>
        <w:pStyle w:val="27"/>
        <w:bidi w:val="0"/>
        <w:rPr>
          <w:rFonts w:hint="default"/>
          <w:lang w:val="en-US" w:eastAsia="zh-CN"/>
        </w:rPr>
      </w:pPr>
      <w:r>
        <w:rPr>
          <w:rFonts w:hint="eastAsia"/>
          <w:lang w:val="en-US" w:eastAsia="zh-CN"/>
        </w:rPr>
        <w:t>污染源监测计划</w:t>
      </w:r>
    </w:p>
    <w:p w14:paraId="36B57FD9">
      <w:pPr>
        <w:bidi w:val="0"/>
        <w:rPr>
          <w:rFonts w:hint="eastAsia"/>
          <w:lang w:val="en-US" w:eastAsia="zh-CN"/>
        </w:rPr>
      </w:pPr>
      <w:r>
        <w:rPr>
          <w:rFonts w:hint="eastAsia"/>
          <w:lang w:val="en-US" w:eastAsia="zh-CN"/>
        </w:rPr>
        <w:t>本项目的污染源应根据《排污许可证申请与核发技术规范 畜禽养殖行业》（HJ1029-2019）、《排污单位自行监测技术指南 畜禽养殖行业》（HJ1252-2022）、《排污许可证申请与核发技术规范 锅炉》（HJ953-2018）和《排污单位自行监测技术指南 火力发电及锅炉》（HJ820-2017）中的相关要求执行，具体如下：</w:t>
      </w:r>
    </w:p>
    <w:p w14:paraId="000430D7">
      <w:pPr>
        <w:bidi w:val="0"/>
        <w:rPr>
          <w:rFonts w:hint="default"/>
          <w:lang w:val="en-US" w:eastAsia="zh-CN"/>
        </w:rPr>
      </w:pPr>
      <w:r>
        <w:rPr>
          <w:rFonts w:hint="eastAsia"/>
          <w:lang w:val="en-US" w:eastAsia="zh-CN"/>
        </w:rPr>
        <w:t>（1）废气</w:t>
      </w:r>
    </w:p>
    <w:p w14:paraId="31DF25D3">
      <w:pPr>
        <w:bidi w:val="0"/>
        <w:rPr>
          <w:rFonts w:hint="default"/>
          <w:lang w:val="en-US" w:eastAsia="zh-CN"/>
        </w:rPr>
      </w:pPr>
      <w:r>
        <w:rPr>
          <w:rFonts w:hint="eastAsia"/>
          <w:lang w:val="en-US" w:eastAsia="zh-CN"/>
        </w:rPr>
        <w:t>①生物质锅炉污染监测计划</w:t>
      </w:r>
    </w:p>
    <w:p w14:paraId="46BC0C34">
      <w:pPr>
        <w:bidi w:val="0"/>
        <w:rPr>
          <w:rFonts w:hint="default"/>
          <w:lang w:val="en-US" w:eastAsia="zh-CN"/>
        </w:rPr>
      </w:pPr>
      <w:r>
        <w:rPr>
          <w:rFonts w:hint="eastAsia"/>
          <w:lang w:val="en-US" w:eastAsia="zh-CN"/>
        </w:rPr>
        <w:t>本项目涉及3座锅炉房，并分别设置了15m排气筒，均应开展自行监测，根据《排污许可证申请与核发技术规范 锅炉》（HJ953-2018）和《排污单位自行监测技术指南 火力发电及锅炉》（HJ820-2017）中的相关要求，本项目生物质锅炉排气筒的监测因子为颗粒物、二氧化硫、氮氧化物、林格曼黑度，监测频次为运行期间每月一次，执行标准为</w:t>
      </w:r>
      <w:r>
        <w:rPr>
          <w:rFonts w:hint="eastAsia" w:ascii="Times New Roman" w:hAnsi="Times New Roman" w:eastAsia="宋体" w:cs="宋体"/>
          <w:b w:val="0"/>
          <w:bCs w:val="0"/>
          <w:color w:val="000000"/>
          <w:kern w:val="0"/>
          <w:szCs w:val="24"/>
          <w:highlight w:val="none"/>
          <w:vertAlign w:val="baseline"/>
          <w:lang w:val="en-US" w:eastAsia="zh-CN"/>
        </w:rPr>
        <w:t>《锅炉</w:t>
      </w:r>
      <w:r>
        <w:rPr>
          <w:rFonts w:hint="eastAsia" w:cs="宋体"/>
          <w:b w:val="0"/>
          <w:bCs w:val="0"/>
          <w:color w:val="000000"/>
          <w:kern w:val="0"/>
          <w:szCs w:val="24"/>
          <w:highlight w:val="none"/>
          <w:vertAlign w:val="baseline"/>
          <w:lang w:val="en-US" w:eastAsia="zh-CN"/>
        </w:rPr>
        <w:t>大气</w:t>
      </w:r>
      <w:r>
        <w:rPr>
          <w:rFonts w:hint="eastAsia" w:ascii="Times New Roman" w:hAnsi="Times New Roman" w:eastAsia="宋体" w:cs="宋体"/>
          <w:b w:val="0"/>
          <w:bCs w:val="0"/>
          <w:color w:val="000000"/>
          <w:kern w:val="0"/>
          <w:szCs w:val="24"/>
          <w:highlight w:val="none"/>
          <w:vertAlign w:val="baseline"/>
          <w:lang w:val="en-US" w:eastAsia="zh-CN"/>
        </w:rPr>
        <w:t>污染物排放标准》（GB13271-2014）表2中的燃煤锅炉标准限值</w:t>
      </w:r>
      <w:r>
        <w:rPr>
          <w:rFonts w:hint="eastAsia" w:cs="宋体"/>
          <w:b w:val="0"/>
          <w:bCs w:val="0"/>
          <w:color w:val="000000"/>
          <w:kern w:val="0"/>
          <w:szCs w:val="24"/>
          <w:highlight w:val="none"/>
          <w:vertAlign w:val="baseline"/>
          <w:lang w:val="en-US" w:eastAsia="zh-CN"/>
        </w:rPr>
        <w:t>。</w:t>
      </w:r>
    </w:p>
    <w:p w14:paraId="52156FA2">
      <w:pPr>
        <w:bidi w:val="0"/>
        <w:rPr>
          <w:rFonts w:hint="default"/>
          <w:lang w:val="en-US" w:eastAsia="zh-CN"/>
        </w:rPr>
      </w:pPr>
      <w:r>
        <w:rPr>
          <w:rFonts w:hint="eastAsia"/>
          <w:lang w:val="en-US" w:eastAsia="zh-CN"/>
        </w:rPr>
        <w:t>②堆肥场生物除臭装置废气</w:t>
      </w:r>
    </w:p>
    <w:p w14:paraId="7F5D5823">
      <w:pPr>
        <w:bidi w:val="0"/>
        <w:rPr>
          <w:rFonts w:hint="default"/>
          <w:vertAlign w:val="baseline"/>
          <w:lang w:val="en-US" w:eastAsia="zh-CN"/>
        </w:rPr>
      </w:pPr>
      <w:r>
        <w:rPr>
          <w:rFonts w:hint="eastAsia"/>
          <w:lang w:val="en-US" w:eastAsia="zh-CN"/>
        </w:rPr>
        <w:t>根据《排污单位自行监测技术指南 总则》（HJ819-2017）中的要求，生物除臭装置废气自行监测因子为NH</w:t>
      </w:r>
      <w:r>
        <w:rPr>
          <w:rFonts w:hint="eastAsia"/>
          <w:vertAlign w:val="subscript"/>
          <w:lang w:val="en-US" w:eastAsia="zh-CN"/>
        </w:rPr>
        <w:t>3</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S、臭气浓度，监测频次为每年一次。</w:t>
      </w:r>
    </w:p>
    <w:p w14:paraId="1F9387EF">
      <w:pPr>
        <w:bidi w:val="0"/>
        <w:rPr>
          <w:rFonts w:hint="default"/>
          <w:lang w:val="en-US" w:eastAsia="zh-CN"/>
        </w:rPr>
      </w:pPr>
      <w:r>
        <w:rPr>
          <w:rFonts w:hint="eastAsia"/>
          <w:lang w:val="en-US" w:eastAsia="zh-CN"/>
        </w:rPr>
        <w:t>③厂界无组织</w:t>
      </w:r>
    </w:p>
    <w:p w14:paraId="2BED21A4">
      <w:pPr>
        <w:bidi w:val="0"/>
        <w:rPr>
          <w:rFonts w:hint="default"/>
          <w:lang w:val="en-US" w:eastAsia="zh-CN"/>
        </w:rPr>
      </w:pPr>
      <w:r>
        <w:rPr>
          <w:rFonts w:hint="eastAsia"/>
          <w:lang w:val="en-US" w:eastAsia="zh-CN"/>
        </w:rPr>
        <w:t>根据《排污许可证申请与核发技术规范 畜禽养殖行业》（HJ1029-2019）和《排污单位自行监测技术指南 畜禽养殖行业》（HJ1252-2022）中的相关要求，养殖项目的监测点位为场界，监测因子为臭气浓度，监测频次为每年一次。</w:t>
      </w:r>
    </w:p>
    <w:p w14:paraId="4499538C">
      <w:pPr>
        <w:bidi w:val="0"/>
        <w:rPr>
          <w:rFonts w:hint="default"/>
          <w:lang w:val="en-US" w:eastAsia="zh-CN"/>
        </w:rPr>
      </w:pPr>
      <w:r>
        <w:rPr>
          <w:rFonts w:hint="eastAsia"/>
          <w:lang w:val="en-US" w:eastAsia="zh-CN"/>
        </w:rPr>
        <w:t>（2）废水</w:t>
      </w:r>
    </w:p>
    <w:p w14:paraId="654FF147">
      <w:pPr>
        <w:bidi w:val="0"/>
        <w:rPr>
          <w:rFonts w:hint="default"/>
          <w:lang w:val="en-US" w:eastAsia="zh-CN"/>
        </w:rPr>
      </w:pPr>
      <w:r>
        <w:rPr>
          <w:rFonts w:hint="eastAsia"/>
          <w:lang w:val="en-US" w:eastAsia="zh-CN"/>
        </w:rPr>
        <w:t>本项目的废水经厂区的污水处理系统处理后在氧化塘中暂存，委托129团农业发展中心定期清运处理，厂区不设置排放口，则废水不外排，按照《排污许可证申请与核发技术规范 畜禽养殖行业》（HJ1029-2019）和《排污单位自行监测技术指南 畜禽养殖行业》（HJ1252-2022）中的要求，企业没有废水总排口，原则上可以不用开展废水自行监测，但是本次评价基于方便行政部门管理和企业“自证清白”角度考虑，建议建设单位每季度对氧化塘中暂存废水开展一次自行监测，监测因子为氧化塘进口处流量、五日生化需氧量、化学需氧量、悬浮物、氨氮、总磷、总氮、粪大肠菌群数、蛔虫卵。</w:t>
      </w:r>
    </w:p>
    <w:p w14:paraId="48B5F273">
      <w:pPr>
        <w:bidi w:val="0"/>
        <w:rPr>
          <w:rFonts w:hint="default"/>
          <w:lang w:val="en-US" w:eastAsia="zh-CN"/>
        </w:rPr>
      </w:pPr>
      <w:r>
        <w:rPr>
          <w:rFonts w:hint="eastAsia"/>
          <w:lang w:val="en-US" w:eastAsia="zh-CN"/>
        </w:rPr>
        <w:t>（3）噪声</w:t>
      </w:r>
    </w:p>
    <w:p w14:paraId="4668E87E">
      <w:pPr>
        <w:bidi w:val="0"/>
        <w:rPr>
          <w:rFonts w:hint="default"/>
          <w:lang w:val="en-US" w:eastAsia="zh-CN"/>
        </w:rPr>
      </w:pPr>
      <w:r>
        <w:rPr>
          <w:rFonts w:hint="eastAsia"/>
          <w:lang w:val="en-US" w:eastAsia="zh-CN"/>
        </w:rPr>
        <w:t>结合后续的环境质量监测计划，噪声污染监测与环境质量监测一致，监测点位为厂界四周，监测因子为等效连续A声级，昼夜各一次，监测频次为每季度一次。</w:t>
      </w:r>
    </w:p>
    <w:p w14:paraId="3701493D">
      <w:pPr>
        <w:pStyle w:val="27"/>
        <w:bidi w:val="0"/>
        <w:rPr>
          <w:rFonts w:hint="default"/>
          <w:lang w:val="en-US" w:eastAsia="zh-CN"/>
        </w:rPr>
      </w:pPr>
      <w:r>
        <w:rPr>
          <w:rFonts w:hint="eastAsia"/>
          <w:lang w:val="en-US" w:eastAsia="zh-CN"/>
        </w:rPr>
        <w:t>环境质量监测计划</w:t>
      </w:r>
    </w:p>
    <w:p w14:paraId="1FC94998">
      <w:pPr>
        <w:bidi w:val="0"/>
        <w:rPr>
          <w:rFonts w:hint="default"/>
          <w:lang w:val="en-US" w:eastAsia="zh-CN"/>
        </w:rPr>
      </w:pPr>
      <w:r>
        <w:rPr>
          <w:rFonts w:hint="eastAsia"/>
          <w:lang w:val="en-US" w:eastAsia="zh-CN"/>
        </w:rPr>
        <w:t>（1）环境空气</w:t>
      </w:r>
    </w:p>
    <w:p w14:paraId="53C5DAEA">
      <w:pPr>
        <w:bidi w:val="0"/>
        <w:rPr>
          <w:rFonts w:hint="default"/>
          <w:lang w:val="en-US" w:eastAsia="zh-CN"/>
        </w:rPr>
      </w:pPr>
      <w:r>
        <w:rPr>
          <w:rFonts w:hint="eastAsia"/>
          <w:lang w:val="en-US" w:eastAsia="zh-CN"/>
        </w:rPr>
        <w:t>根据《环境影响评价技术导则 大气环境》（HJ2.2-2018）中“9.3环境质量监测计划”的相关要求，本项目排放污染物P≥1%的其他污染物包括NH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S；同时根据《排污许可证申请与核发技术规范 畜禽养殖行业》（HJ1029-2019）和《排污单位自行监测技术指南 火力发电及锅炉》（HJ820-2017）中的要求可知：本项目环境空气质量监测因子为NH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S、臭气浓度和颗粒物，监测点位为厂界四周各一个，监测频次为每年一次，执行标准为《环境影响评价技术导则大气环境》（HJ2.2-2018）附录D和《</w:t>
      </w:r>
      <w:r>
        <w:rPr>
          <w:rFonts w:hint="default"/>
          <w:lang w:val="en-US" w:eastAsia="zh-CN"/>
        </w:rPr>
        <w:t>畜禽养殖产地环境评价规范</w:t>
      </w:r>
      <w:r>
        <w:rPr>
          <w:rFonts w:hint="eastAsia"/>
          <w:lang w:val="en-US" w:eastAsia="zh-CN"/>
        </w:rPr>
        <w:t>》（</w:t>
      </w:r>
      <w:r>
        <w:rPr>
          <w:rFonts w:hint="default"/>
          <w:lang w:val="en-US" w:eastAsia="zh-CN"/>
        </w:rPr>
        <w:t>HJ568-2010</w:t>
      </w:r>
      <w:r>
        <w:rPr>
          <w:rFonts w:hint="eastAsia"/>
          <w:lang w:val="en-US" w:eastAsia="zh-CN"/>
        </w:rPr>
        <w:t>）</w:t>
      </w:r>
      <w:r>
        <w:rPr>
          <w:rFonts w:hint="default"/>
          <w:lang w:val="en-US" w:eastAsia="zh-CN"/>
        </w:rPr>
        <w:t>表5</w:t>
      </w:r>
      <w:r>
        <w:rPr>
          <w:rFonts w:hint="eastAsia"/>
          <w:lang w:val="en-US" w:eastAsia="zh-CN"/>
        </w:rPr>
        <w:t>中的限值。</w:t>
      </w:r>
    </w:p>
    <w:p w14:paraId="10BB03B2">
      <w:pPr>
        <w:bidi w:val="0"/>
        <w:rPr>
          <w:rFonts w:hint="default"/>
          <w:lang w:val="en-US" w:eastAsia="zh-CN"/>
        </w:rPr>
      </w:pPr>
      <w:r>
        <w:rPr>
          <w:rFonts w:hint="eastAsia"/>
          <w:lang w:val="en-US" w:eastAsia="zh-CN"/>
        </w:rPr>
        <w:t>（2）地下水</w:t>
      </w:r>
    </w:p>
    <w:p w14:paraId="45426B1E">
      <w:pPr>
        <w:bidi w:val="0"/>
        <w:rPr>
          <w:rFonts w:hint="default"/>
          <w:lang w:val="en-US" w:eastAsia="zh-CN"/>
        </w:rPr>
      </w:pPr>
      <w:r>
        <w:rPr>
          <w:rFonts w:hint="eastAsia"/>
          <w:lang w:val="en-US" w:eastAsia="zh-CN"/>
        </w:rPr>
        <w:t>根据《环境影响评价技术导则 地下水环境》（HJ610-2018）中“11.3 地下水环境监测与管理”的要求，本项目地下水评价等级为三级，在建设项目场地下游布置1个跟踪井，即表4.2-5中的DXS-1</w:t>
      </w:r>
      <w:r>
        <w:rPr>
          <w:rFonts w:hint="eastAsia"/>
          <w:vertAlign w:val="superscript"/>
          <w:lang w:val="en-US" w:eastAsia="zh-CN"/>
        </w:rPr>
        <w:t>＃</w:t>
      </w:r>
      <w:r>
        <w:rPr>
          <w:rFonts w:hint="eastAsia"/>
          <w:lang w:val="en-US" w:eastAsia="zh-CN"/>
        </w:rPr>
        <w:t>-1-1监测点，监测因子为pH、高锰酸盐指数、氨氮、硝酸盐、亚硝酸盐、氯化物、氟化物、硫酸盐、总硬度、硫化物、铜、锌、溶解性总固体、细菌总数、总大肠菌群，监测频次为每年一次，执行标准为</w:t>
      </w:r>
      <w:r>
        <w:rPr>
          <w:color w:val="000000"/>
          <w:highlight w:val="none"/>
        </w:rPr>
        <w:t>《地下水质量标准》（</w:t>
      </w:r>
      <w:r>
        <w:rPr>
          <w:rFonts w:hint="eastAsia"/>
          <w:color w:val="000000"/>
          <w:highlight w:val="none"/>
        </w:rPr>
        <w:t>GB/T14848-2017</w:t>
      </w:r>
      <w:r>
        <w:rPr>
          <w:color w:val="000000"/>
          <w:highlight w:val="none"/>
        </w:rPr>
        <w:t>）中的Ⅲ类标准</w:t>
      </w:r>
      <w:r>
        <w:rPr>
          <w:rFonts w:hint="eastAsia"/>
          <w:lang w:val="en-US" w:eastAsia="zh-CN"/>
        </w:rPr>
        <w:t>。</w:t>
      </w:r>
    </w:p>
    <w:p w14:paraId="0780C32C">
      <w:pPr>
        <w:bidi w:val="0"/>
        <w:rPr>
          <w:rFonts w:hint="default"/>
          <w:lang w:val="en-US" w:eastAsia="zh-CN"/>
        </w:rPr>
      </w:pPr>
      <w:r>
        <w:rPr>
          <w:rFonts w:hint="eastAsia"/>
          <w:lang w:val="en-US" w:eastAsia="zh-CN"/>
        </w:rPr>
        <w:t>（3）声环境</w:t>
      </w:r>
    </w:p>
    <w:p w14:paraId="663CC8E0">
      <w:pPr>
        <w:bidi w:val="0"/>
        <w:rPr>
          <w:rFonts w:hint="default"/>
          <w:lang w:val="en-US" w:eastAsia="zh-CN"/>
        </w:rPr>
      </w:pPr>
      <w:r>
        <w:rPr>
          <w:rFonts w:hint="eastAsia"/>
          <w:lang w:val="en-US" w:eastAsia="zh-CN"/>
        </w:rPr>
        <w:t>同上文的噪声监测计划。</w:t>
      </w:r>
    </w:p>
    <w:p w14:paraId="3E3711F3">
      <w:pPr>
        <w:bidi w:val="0"/>
        <w:rPr>
          <w:rFonts w:hint="default"/>
          <w:lang w:val="en-US" w:eastAsia="zh-CN"/>
        </w:rPr>
      </w:pPr>
      <w:r>
        <w:rPr>
          <w:rFonts w:hint="eastAsia"/>
          <w:lang w:val="en-US" w:eastAsia="zh-CN"/>
        </w:rPr>
        <w:t>（4）土壤</w:t>
      </w:r>
    </w:p>
    <w:p w14:paraId="7BFA19DF">
      <w:pPr>
        <w:bidi w:val="0"/>
        <w:rPr>
          <w:rFonts w:hint="default"/>
          <w:lang w:val="en-US" w:eastAsia="zh-CN"/>
        </w:rPr>
      </w:pPr>
      <w:r>
        <w:rPr>
          <w:rFonts w:hint="eastAsia"/>
          <w:lang w:val="en-US" w:eastAsia="zh-CN"/>
        </w:rPr>
        <w:t>根据《环境影响评价技术导则 土壤环境（试行）》（HJ964-2018）中“9.3跟踪监测”的要求，本项目土壤环境影响评价为二级，监测布点为1个，监测因子为镉、汞、砷、铜、铅、铬、锌、镍、六六六、滴滴涕、寄生虫卵数，监测频次为5年一次，执行标准为《畜禽养殖产地环境评价规范》（HJ568-2010）中的表4放牧区和畜禽养殖场、养殖小区土壤环境质量评价指标限值。</w:t>
      </w:r>
    </w:p>
    <w:p w14:paraId="6AA814A4">
      <w:pPr>
        <w:bidi w:val="0"/>
        <w:rPr>
          <w:rFonts w:hint="eastAsia"/>
          <w:lang w:val="en-US" w:eastAsia="zh-CN"/>
        </w:rPr>
      </w:pPr>
      <w:r>
        <w:rPr>
          <w:rFonts w:hint="eastAsia"/>
          <w:lang w:val="en-US" w:eastAsia="zh-CN"/>
        </w:rPr>
        <w:t>综上所述，本次环评建议的项目自行监测计划见表8.2-1。</w:t>
      </w:r>
    </w:p>
    <w:p w14:paraId="53DDE47E">
      <w:pPr>
        <w:pStyle w:val="30"/>
        <w:bidi w:val="0"/>
        <w:rPr>
          <w:rFonts w:hint="default"/>
          <w:lang w:val="en-US" w:eastAsia="zh-CN"/>
        </w:rPr>
      </w:pPr>
      <w:r>
        <w:rPr>
          <w:rFonts w:hint="eastAsia"/>
          <w:lang w:val="en-US" w:eastAsia="zh-CN"/>
        </w:rPr>
        <w:t>表8.2-1   项目自行监测计划表</w:t>
      </w:r>
    </w:p>
    <w:tbl>
      <w:tblPr>
        <w:tblStyle w:val="29"/>
        <w:tblW w:w="508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5"/>
        <w:gridCol w:w="695"/>
        <w:gridCol w:w="1528"/>
        <w:gridCol w:w="3371"/>
        <w:gridCol w:w="1045"/>
        <w:gridCol w:w="1227"/>
      </w:tblGrid>
      <w:tr w14:paraId="1B36B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46" w:type="pct"/>
            <w:vAlign w:val="center"/>
          </w:tcPr>
          <w:p w14:paraId="2B2F15CD">
            <w:pPr>
              <w:pStyle w:val="19"/>
              <w:bidi w:val="0"/>
            </w:pPr>
            <w:r>
              <w:t>阶段</w:t>
            </w:r>
          </w:p>
        </w:tc>
        <w:tc>
          <w:tcPr>
            <w:tcW w:w="411" w:type="pct"/>
            <w:vAlign w:val="center"/>
          </w:tcPr>
          <w:p w14:paraId="32EB9165">
            <w:pPr>
              <w:pStyle w:val="19"/>
              <w:bidi w:val="0"/>
            </w:pPr>
            <w:r>
              <w:t>污染源</w:t>
            </w:r>
          </w:p>
        </w:tc>
        <w:tc>
          <w:tcPr>
            <w:tcW w:w="904" w:type="pct"/>
            <w:vAlign w:val="center"/>
          </w:tcPr>
          <w:p w14:paraId="65974305">
            <w:pPr>
              <w:pStyle w:val="19"/>
              <w:bidi w:val="0"/>
            </w:pPr>
            <w:r>
              <w:t>监测地点</w:t>
            </w:r>
          </w:p>
        </w:tc>
        <w:tc>
          <w:tcPr>
            <w:tcW w:w="1994" w:type="pct"/>
            <w:vAlign w:val="center"/>
          </w:tcPr>
          <w:p w14:paraId="2A719CBD">
            <w:pPr>
              <w:pStyle w:val="19"/>
              <w:bidi w:val="0"/>
            </w:pPr>
            <w:r>
              <w:t>监测项目</w:t>
            </w:r>
          </w:p>
        </w:tc>
        <w:tc>
          <w:tcPr>
            <w:tcW w:w="618" w:type="pct"/>
            <w:vAlign w:val="center"/>
          </w:tcPr>
          <w:p w14:paraId="760C1B68">
            <w:pPr>
              <w:pStyle w:val="19"/>
              <w:bidi w:val="0"/>
            </w:pPr>
            <w:r>
              <w:t>监测频率</w:t>
            </w:r>
          </w:p>
        </w:tc>
        <w:tc>
          <w:tcPr>
            <w:tcW w:w="725" w:type="pct"/>
            <w:vAlign w:val="center"/>
          </w:tcPr>
          <w:p w14:paraId="33A56622">
            <w:pPr>
              <w:pStyle w:val="19"/>
              <w:bidi w:val="0"/>
              <w:rPr>
                <w:rFonts w:hint="default" w:eastAsia="宋体"/>
                <w:lang w:val="en-US" w:eastAsia="zh-CN"/>
              </w:rPr>
            </w:pPr>
            <w:r>
              <w:rPr>
                <w:rFonts w:hint="eastAsia"/>
                <w:lang w:val="en-US" w:eastAsia="zh-CN"/>
              </w:rPr>
              <w:t>执行标准</w:t>
            </w:r>
          </w:p>
        </w:tc>
      </w:tr>
      <w:tr w14:paraId="1BFC1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46" w:type="pct"/>
            <w:vMerge w:val="restart"/>
            <w:vAlign w:val="center"/>
          </w:tcPr>
          <w:p w14:paraId="2E7134C7">
            <w:pPr>
              <w:pStyle w:val="19"/>
              <w:bidi w:val="0"/>
              <w:rPr>
                <w:rFonts w:hint="default" w:eastAsia="宋体"/>
                <w:lang w:val="en-US" w:eastAsia="zh-CN"/>
              </w:rPr>
            </w:pPr>
            <w:r>
              <w:rPr>
                <w:rFonts w:hint="eastAsia"/>
                <w:lang w:val="en-US" w:eastAsia="zh-CN"/>
              </w:rPr>
              <w:t>污染源监测</w:t>
            </w:r>
          </w:p>
        </w:tc>
        <w:tc>
          <w:tcPr>
            <w:tcW w:w="411" w:type="pct"/>
            <w:vMerge w:val="restart"/>
            <w:vAlign w:val="center"/>
          </w:tcPr>
          <w:p w14:paraId="33B6F9CD">
            <w:pPr>
              <w:pStyle w:val="19"/>
              <w:bidi w:val="0"/>
            </w:pPr>
            <w:r>
              <w:t>废气</w:t>
            </w:r>
          </w:p>
        </w:tc>
        <w:tc>
          <w:tcPr>
            <w:tcW w:w="904" w:type="pct"/>
            <w:vAlign w:val="center"/>
          </w:tcPr>
          <w:p w14:paraId="6C48AAE5">
            <w:pPr>
              <w:pStyle w:val="19"/>
              <w:bidi w:val="0"/>
              <w:rPr>
                <w:rFonts w:hint="default" w:eastAsia="宋体"/>
                <w:lang w:val="en-US" w:eastAsia="zh-CN"/>
              </w:rPr>
            </w:pPr>
            <w:r>
              <w:rPr>
                <w:rFonts w:hint="eastAsia"/>
                <w:lang w:val="en-US" w:eastAsia="zh-CN"/>
              </w:rPr>
              <w:t>DA001～DA003</w:t>
            </w:r>
          </w:p>
        </w:tc>
        <w:tc>
          <w:tcPr>
            <w:tcW w:w="1994" w:type="pct"/>
            <w:vAlign w:val="center"/>
          </w:tcPr>
          <w:p w14:paraId="2AC724FE">
            <w:pPr>
              <w:pStyle w:val="19"/>
              <w:bidi w:val="0"/>
              <w:rPr>
                <w:rFonts w:hint="default" w:eastAsia="宋体"/>
                <w:lang w:val="en-US" w:eastAsia="zh-CN"/>
              </w:rPr>
            </w:pPr>
            <w:r>
              <w:rPr>
                <w:rFonts w:hint="eastAsia"/>
                <w:lang w:val="en-US" w:eastAsia="zh-CN"/>
              </w:rPr>
              <w:t>颗粒物、二氧化硫、氮氧化物、林格曼黑度</w:t>
            </w:r>
          </w:p>
        </w:tc>
        <w:tc>
          <w:tcPr>
            <w:tcW w:w="618" w:type="pct"/>
            <w:vAlign w:val="center"/>
          </w:tcPr>
          <w:p w14:paraId="6ECCCE22">
            <w:pPr>
              <w:pStyle w:val="19"/>
              <w:bidi w:val="0"/>
              <w:rPr>
                <w:rFonts w:hint="default" w:eastAsia="宋体"/>
                <w:lang w:val="en-US" w:eastAsia="zh-CN"/>
              </w:rPr>
            </w:pPr>
            <w:r>
              <w:rPr>
                <w:rFonts w:hint="eastAsia"/>
                <w:lang w:val="en-US" w:eastAsia="zh-CN"/>
              </w:rPr>
              <w:t>运行期间每月/次</w:t>
            </w:r>
          </w:p>
        </w:tc>
        <w:tc>
          <w:tcPr>
            <w:tcW w:w="725" w:type="pct"/>
            <w:vAlign w:val="center"/>
          </w:tcPr>
          <w:p w14:paraId="31B67385">
            <w:pPr>
              <w:pStyle w:val="19"/>
              <w:bidi w:val="0"/>
              <w:rPr>
                <w:rFonts w:hint="eastAsia"/>
                <w:lang w:val="en-US" w:eastAsia="zh-CN"/>
              </w:rPr>
            </w:pPr>
            <w:r>
              <w:rPr>
                <w:rFonts w:hint="eastAsia"/>
                <w:lang w:val="en-US" w:eastAsia="zh-CN"/>
              </w:rPr>
              <w:t>GB13271</w:t>
            </w:r>
          </w:p>
        </w:tc>
      </w:tr>
      <w:tr w14:paraId="0322F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46" w:type="pct"/>
            <w:vMerge w:val="continue"/>
            <w:vAlign w:val="center"/>
          </w:tcPr>
          <w:p w14:paraId="659B6DEB">
            <w:pPr>
              <w:pStyle w:val="19"/>
              <w:bidi w:val="0"/>
            </w:pPr>
          </w:p>
        </w:tc>
        <w:tc>
          <w:tcPr>
            <w:tcW w:w="411" w:type="pct"/>
            <w:vMerge w:val="continue"/>
            <w:vAlign w:val="center"/>
          </w:tcPr>
          <w:p w14:paraId="1D73A1F4">
            <w:pPr>
              <w:pStyle w:val="19"/>
              <w:bidi w:val="0"/>
            </w:pPr>
          </w:p>
        </w:tc>
        <w:tc>
          <w:tcPr>
            <w:tcW w:w="904" w:type="pct"/>
            <w:vAlign w:val="center"/>
          </w:tcPr>
          <w:p w14:paraId="5828CB5E">
            <w:pPr>
              <w:pStyle w:val="19"/>
              <w:bidi w:val="0"/>
              <w:rPr>
                <w:rFonts w:hint="default"/>
                <w:lang w:val="en-US" w:eastAsia="zh-CN"/>
              </w:rPr>
            </w:pPr>
            <w:r>
              <w:rPr>
                <w:rFonts w:hint="eastAsia"/>
                <w:lang w:val="en-US" w:eastAsia="zh-CN"/>
              </w:rPr>
              <w:t>DA004</w:t>
            </w:r>
          </w:p>
        </w:tc>
        <w:tc>
          <w:tcPr>
            <w:tcW w:w="1994" w:type="pct"/>
            <w:vAlign w:val="center"/>
          </w:tcPr>
          <w:p w14:paraId="5888205B">
            <w:pPr>
              <w:pStyle w:val="19"/>
              <w:bidi w:val="0"/>
              <w:rPr>
                <w:rFonts w:hint="eastAsia"/>
                <w:lang w:val="en-US" w:eastAsia="zh-CN"/>
              </w:rPr>
            </w:pPr>
            <w:r>
              <w:rPr>
                <w:rFonts w:hint="eastAsia"/>
                <w:vertAlign w:val="baseline"/>
                <w:lang w:val="en-US" w:eastAsia="zh-CN"/>
              </w:rPr>
              <w:t>臭气浓度</w:t>
            </w:r>
          </w:p>
        </w:tc>
        <w:tc>
          <w:tcPr>
            <w:tcW w:w="618" w:type="pct"/>
            <w:vAlign w:val="center"/>
          </w:tcPr>
          <w:p w14:paraId="33F405E6">
            <w:pPr>
              <w:pStyle w:val="19"/>
              <w:bidi w:val="0"/>
              <w:rPr>
                <w:rFonts w:hint="eastAsia"/>
                <w:lang w:val="en-US" w:eastAsia="zh-CN"/>
              </w:rPr>
            </w:pPr>
            <w:r>
              <w:t>年/次</w:t>
            </w:r>
          </w:p>
        </w:tc>
        <w:tc>
          <w:tcPr>
            <w:tcW w:w="725" w:type="pct"/>
            <w:vAlign w:val="center"/>
          </w:tcPr>
          <w:p w14:paraId="3F0596A9">
            <w:pPr>
              <w:pStyle w:val="19"/>
              <w:bidi w:val="0"/>
              <w:rPr>
                <w:rFonts w:hint="eastAsia"/>
                <w:lang w:val="en-US" w:eastAsia="zh-CN"/>
              </w:rPr>
            </w:pPr>
            <w:r>
              <w:rPr>
                <w:rFonts w:hint="eastAsia"/>
                <w:lang w:val="en-US" w:eastAsia="zh-CN"/>
              </w:rPr>
              <w:t>GB18596</w:t>
            </w:r>
          </w:p>
        </w:tc>
      </w:tr>
      <w:tr w14:paraId="68C89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46" w:type="pct"/>
            <w:vMerge w:val="continue"/>
            <w:vAlign w:val="center"/>
          </w:tcPr>
          <w:p w14:paraId="729509E1">
            <w:pPr>
              <w:pStyle w:val="19"/>
              <w:bidi w:val="0"/>
            </w:pPr>
          </w:p>
        </w:tc>
        <w:tc>
          <w:tcPr>
            <w:tcW w:w="411" w:type="pct"/>
            <w:vMerge w:val="continue"/>
            <w:vAlign w:val="center"/>
          </w:tcPr>
          <w:p w14:paraId="0D0C0B4D">
            <w:pPr>
              <w:pStyle w:val="19"/>
              <w:bidi w:val="0"/>
            </w:pPr>
          </w:p>
        </w:tc>
        <w:tc>
          <w:tcPr>
            <w:tcW w:w="904" w:type="pct"/>
            <w:vAlign w:val="center"/>
          </w:tcPr>
          <w:p w14:paraId="1EE54654">
            <w:pPr>
              <w:pStyle w:val="19"/>
              <w:bidi w:val="0"/>
              <w:ind w:firstLine="0" w:firstLineChars="0"/>
              <w:rPr>
                <w:rFonts w:ascii="Times New Roman" w:hAnsi="Times New Roman" w:eastAsia="宋体" w:cs="Times New Roman"/>
                <w:kern w:val="2"/>
                <w:sz w:val="21"/>
                <w:szCs w:val="22"/>
                <w:lang w:val="en-US" w:eastAsia="zh-CN" w:bidi="ar-SA"/>
              </w:rPr>
            </w:pPr>
            <w:r>
              <w:t>厂界</w:t>
            </w:r>
          </w:p>
        </w:tc>
        <w:tc>
          <w:tcPr>
            <w:tcW w:w="1994" w:type="pct"/>
            <w:vAlign w:val="center"/>
          </w:tcPr>
          <w:p w14:paraId="26123805">
            <w:pPr>
              <w:pStyle w:val="19"/>
              <w:bidi w:val="0"/>
              <w:ind w:firstLine="0" w:firstLineChars="0"/>
              <w:rPr>
                <w:rFonts w:hint="default" w:ascii="Times New Roman" w:hAnsi="Times New Roman" w:eastAsia="宋体" w:cs="Times New Roman"/>
                <w:kern w:val="2"/>
                <w:sz w:val="21"/>
                <w:szCs w:val="22"/>
                <w:lang w:val="en-US" w:eastAsia="zh-CN" w:bidi="ar-SA"/>
              </w:rPr>
            </w:pPr>
            <w:r>
              <w:t>NH</w:t>
            </w:r>
            <w:r>
              <w:rPr>
                <w:vertAlign w:val="subscript"/>
              </w:rPr>
              <w:t>3</w:t>
            </w:r>
            <w:r>
              <w:t>、H</w:t>
            </w:r>
            <w:r>
              <w:rPr>
                <w:vertAlign w:val="subscript"/>
              </w:rPr>
              <w:t>2</w:t>
            </w:r>
            <w:r>
              <w:t>S、臭气浓度</w:t>
            </w:r>
            <w:r>
              <w:rPr>
                <w:rFonts w:hint="eastAsia"/>
                <w:lang w:eastAsia="zh-CN"/>
              </w:rPr>
              <w:t>、</w:t>
            </w:r>
            <w:r>
              <w:rPr>
                <w:rFonts w:hint="eastAsia"/>
                <w:lang w:val="en-US" w:eastAsia="zh-CN"/>
              </w:rPr>
              <w:t>颗粒物</w:t>
            </w:r>
          </w:p>
        </w:tc>
        <w:tc>
          <w:tcPr>
            <w:tcW w:w="618" w:type="pct"/>
            <w:vAlign w:val="center"/>
          </w:tcPr>
          <w:p w14:paraId="65BE7D2E">
            <w:pPr>
              <w:pStyle w:val="19"/>
              <w:bidi w:val="0"/>
            </w:pPr>
            <w:r>
              <w:t>年/次</w:t>
            </w:r>
          </w:p>
        </w:tc>
        <w:tc>
          <w:tcPr>
            <w:tcW w:w="725" w:type="pct"/>
            <w:vAlign w:val="center"/>
          </w:tcPr>
          <w:p w14:paraId="59D0E744">
            <w:pPr>
              <w:pStyle w:val="19"/>
              <w:bidi w:val="0"/>
            </w:pPr>
          </w:p>
        </w:tc>
      </w:tr>
      <w:tr w14:paraId="791F5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46" w:type="pct"/>
            <w:vMerge w:val="continue"/>
            <w:vAlign w:val="center"/>
          </w:tcPr>
          <w:p w14:paraId="6C45E019">
            <w:pPr>
              <w:pStyle w:val="19"/>
              <w:bidi w:val="0"/>
            </w:pPr>
          </w:p>
        </w:tc>
        <w:tc>
          <w:tcPr>
            <w:tcW w:w="411" w:type="pct"/>
            <w:vMerge w:val="restart"/>
            <w:vAlign w:val="center"/>
          </w:tcPr>
          <w:p w14:paraId="469FBE74">
            <w:pPr>
              <w:pStyle w:val="19"/>
              <w:bidi w:val="0"/>
            </w:pPr>
            <w:r>
              <w:t>废水</w:t>
            </w:r>
          </w:p>
        </w:tc>
        <w:tc>
          <w:tcPr>
            <w:tcW w:w="904" w:type="pct"/>
            <w:vAlign w:val="center"/>
          </w:tcPr>
          <w:p w14:paraId="63961BE9">
            <w:pPr>
              <w:pStyle w:val="19"/>
              <w:bidi w:val="0"/>
              <w:rPr>
                <w:rFonts w:hint="default" w:eastAsia="宋体"/>
                <w:lang w:val="en-US" w:eastAsia="zh-CN"/>
              </w:rPr>
            </w:pPr>
            <w:r>
              <w:rPr>
                <w:rFonts w:hint="eastAsia"/>
                <w:lang w:val="en-US" w:eastAsia="zh-CN"/>
              </w:rPr>
              <w:t>氧化塘进口</w:t>
            </w:r>
          </w:p>
        </w:tc>
        <w:tc>
          <w:tcPr>
            <w:tcW w:w="1994" w:type="pct"/>
            <w:vAlign w:val="center"/>
          </w:tcPr>
          <w:p w14:paraId="24EF920D">
            <w:pPr>
              <w:pStyle w:val="19"/>
              <w:bidi w:val="0"/>
            </w:pPr>
            <w:r>
              <w:t>流量</w:t>
            </w:r>
          </w:p>
        </w:tc>
        <w:tc>
          <w:tcPr>
            <w:tcW w:w="618" w:type="pct"/>
            <w:vAlign w:val="center"/>
          </w:tcPr>
          <w:p w14:paraId="1CCCC190">
            <w:pPr>
              <w:pStyle w:val="19"/>
              <w:bidi w:val="0"/>
            </w:pPr>
            <w:r>
              <w:t>自动监测</w:t>
            </w:r>
          </w:p>
        </w:tc>
        <w:tc>
          <w:tcPr>
            <w:tcW w:w="725" w:type="pct"/>
            <w:vMerge w:val="restart"/>
            <w:vAlign w:val="center"/>
          </w:tcPr>
          <w:p w14:paraId="4166E048">
            <w:pPr>
              <w:pStyle w:val="19"/>
              <w:bidi w:val="0"/>
            </w:pPr>
            <w:r>
              <w:rPr>
                <w:color w:val="000000"/>
                <w:highlight w:val="none"/>
              </w:rPr>
              <w:t>GB18596</w:t>
            </w:r>
          </w:p>
        </w:tc>
      </w:tr>
      <w:tr w14:paraId="7A6AE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46" w:type="pct"/>
            <w:vMerge w:val="continue"/>
            <w:vAlign w:val="center"/>
          </w:tcPr>
          <w:p w14:paraId="6E4DCBBA">
            <w:pPr>
              <w:pStyle w:val="19"/>
              <w:bidi w:val="0"/>
            </w:pPr>
          </w:p>
        </w:tc>
        <w:tc>
          <w:tcPr>
            <w:tcW w:w="411" w:type="pct"/>
            <w:vMerge w:val="continue"/>
            <w:vAlign w:val="center"/>
          </w:tcPr>
          <w:p w14:paraId="1954FA6D">
            <w:pPr>
              <w:pStyle w:val="19"/>
              <w:bidi w:val="0"/>
            </w:pPr>
          </w:p>
        </w:tc>
        <w:tc>
          <w:tcPr>
            <w:tcW w:w="904" w:type="pct"/>
            <w:vAlign w:val="center"/>
          </w:tcPr>
          <w:p w14:paraId="2AB98B9D">
            <w:pPr>
              <w:pStyle w:val="19"/>
              <w:bidi w:val="0"/>
              <w:rPr>
                <w:rFonts w:hint="eastAsia" w:eastAsia="宋体"/>
                <w:lang w:val="en-US" w:eastAsia="zh-CN"/>
              </w:rPr>
            </w:pPr>
            <w:r>
              <w:rPr>
                <w:rFonts w:hint="eastAsia"/>
                <w:lang w:val="en-US" w:eastAsia="zh-CN"/>
              </w:rPr>
              <w:t>氧化塘</w:t>
            </w:r>
          </w:p>
        </w:tc>
        <w:tc>
          <w:tcPr>
            <w:tcW w:w="1994" w:type="pct"/>
            <w:vAlign w:val="center"/>
          </w:tcPr>
          <w:p w14:paraId="19FD6FE4">
            <w:pPr>
              <w:pStyle w:val="19"/>
              <w:bidi w:val="0"/>
            </w:pPr>
            <w:r>
              <w:rPr>
                <w:rFonts w:hint="eastAsia"/>
                <w:lang w:val="en-US" w:eastAsia="zh-CN"/>
              </w:rPr>
              <w:t>五日生化需氧量、化学需氧量、悬浮物、氨氮、总磷、总氮、粪大肠菌群数、蛔虫卵</w:t>
            </w:r>
          </w:p>
        </w:tc>
        <w:tc>
          <w:tcPr>
            <w:tcW w:w="618" w:type="pct"/>
            <w:vAlign w:val="center"/>
          </w:tcPr>
          <w:p w14:paraId="54466B1B">
            <w:pPr>
              <w:pStyle w:val="19"/>
              <w:bidi w:val="0"/>
            </w:pPr>
            <w:r>
              <w:t>季/次</w:t>
            </w:r>
          </w:p>
        </w:tc>
        <w:tc>
          <w:tcPr>
            <w:tcW w:w="725" w:type="pct"/>
            <w:vMerge w:val="continue"/>
            <w:vAlign w:val="center"/>
          </w:tcPr>
          <w:p w14:paraId="1CB5916D">
            <w:pPr>
              <w:pStyle w:val="19"/>
              <w:bidi w:val="0"/>
            </w:pPr>
          </w:p>
        </w:tc>
      </w:tr>
      <w:tr w14:paraId="36394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46" w:type="pct"/>
            <w:vMerge w:val="continue"/>
            <w:vAlign w:val="center"/>
          </w:tcPr>
          <w:p w14:paraId="3B496098">
            <w:pPr>
              <w:pStyle w:val="19"/>
              <w:bidi w:val="0"/>
            </w:pPr>
          </w:p>
        </w:tc>
        <w:tc>
          <w:tcPr>
            <w:tcW w:w="411" w:type="pct"/>
            <w:vAlign w:val="center"/>
          </w:tcPr>
          <w:p w14:paraId="4F02367F">
            <w:pPr>
              <w:pStyle w:val="19"/>
              <w:bidi w:val="0"/>
              <w:rPr>
                <w:rFonts w:hint="eastAsia" w:eastAsia="宋体"/>
                <w:lang w:val="en-US" w:eastAsia="zh-CN"/>
              </w:rPr>
            </w:pPr>
            <w:r>
              <w:rPr>
                <w:rFonts w:hint="eastAsia"/>
                <w:lang w:val="en-US" w:eastAsia="zh-CN"/>
              </w:rPr>
              <w:t>噪声</w:t>
            </w:r>
          </w:p>
        </w:tc>
        <w:tc>
          <w:tcPr>
            <w:tcW w:w="904" w:type="pct"/>
            <w:vAlign w:val="center"/>
          </w:tcPr>
          <w:p w14:paraId="59026D13">
            <w:pPr>
              <w:pStyle w:val="19"/>
              <w:bidi w:val="0"/>
              <w:rPr>
                <w:rFonts w:hint="default"/>
                <w:lang w:val="en-US" w:eastAsia="zh-CN"/>
              </w:rPr>
            </w:pPr>
            <w:r>
              <w:rPr>
                <w:rFonts w:hint="eastAsia"/>
                <w:lang w:val="en-US" w:eastAsia="zh-CN"/>
              </w:rPr>
              <w:t>厂界四周</w:t>
            </w:r>
          </w:p>
        </w:tc>
        <w:tc>
          <w:tcPr>
            <w:tcW w:w="1994" w:type="pct"/>
            <w:vAlign w:val="center"/>
          </w:tcPr>
          <w:p w14:paraId="5FA4B285">
            <w:pPr>
              <w:pStyle w:val="19"/>
              <w:bidi w:val="0"/>
              <w:rPr>
                <w:rFonts w:hint="default"/>
                <w:lang w:val="en-US" w:eastAsia="zh-CN"/>
              </w:rPr>
            </w:pPr>
            <w:r>
              <w:rPr>
                <w:rFonts w:hint="eastAsia"/>
                <w:lang w:val="en-US" w:eastAsia="zh-CN"/>
              </w:rPr>
              <w:t>等效连续A声级</w:t>
            </w:r>
          </w:p>
        </w:tc>
        <w:tc>
          <w:tcPr>
            <w:tcW w:w="618" w:type="pct"/>
            <w:vAlign w:val="center"/>
          </w:tcPr>
          <w:p w14:paraId="0D9704F3">
            <w:pPr>
              <w:pStyle w:val="19"/>
              <w:bidi w:val="0"/>
            </w:pPr>
            <w:r>
              <w:t>季/次</w:t>
            </w:r>
          </w:p>
        </w:tc>
        <w:tc>
          <w:tcPr>
            <w:tcW w:w="725" w:type="pct"/>
            <w:vAlign w:val="center"/>
          </w:tcPr>
          <w:p w14:paraId="34B38F97">
            <w:pPr>
              <w:pStyle w:val="19"/>
              <w:bidi w:val="0"/>
            </w:pPr>
            <w:r>
              <w:rPr>
                <w:color w:val="000000"/>
                <w:highlight w:val="none"/>
              </w:rPr>
              <w:t>GB12348</w:t>
            </w:r>
          </w:p>
        </w:tc>
      </w:tr>
      <w:tr w14:paraId="2907E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46" w:type="pct"/>
            <w:vMerge w:val="restart"/>
            <w:vAlign w:val="center"/>
          </w:tcPr>
          <w:p w14:paraId="5214BDB4">
            <w:pPr>
              <w:pStyle w:val="19"/>
              <w:bidi w:val="0"/>
              <w:rPr>
                <w:rFonts w:hint="default" w:eastAsia="宋体"/>
                <w:lang w:val="en-US" w:eastAsia="zh-CN"/>
              </w:rPr>
            </w:pPr>
            <w:r>
              <w:rPr>
                <w:rFonts w:hint="eastAsia"/>
                <w:lang w:val="en-US" w:eastAsia="zh-CN"/>
              </w:rPr>
              <w:t>环境质量监测</w:t>
            </w:r>
          </w:p>
        </w:tc>
        <w:tc>
          <w:tcPr>
            <w:tcW w:w="411" w:type="pct"/>
            <w:vMerge w:val="restart"/>
            <w:vAlign w:val="center"/>
          </w:tcPr>
          <w:p w14:paraId="6B89A409">
            <w:pPr>
              <w:pStyle w:val="19"/>
              <w:bidi w:val="0"/>
              <w:rPr>
                <w:rFonts w:hint="eastAsia" w:eastAsia="宋体"/>
                <w:lang w:val="en-US" w:eastAsia="zh-CN"/>
              </w:rPr>
            </w:pPr>
            <w:r>
              <w:rPr>
                <w:rFonts w:hint="eastAsia"/>
                <w:lang w:val="en-US" w:eastAsia="zh-CN"/>
              </w:rPr>
              <w:t>环境空气</w:t>
            </w:r>
          </w:p>
        </w:tc>
        <w:tc>
          <w:tcPr>
            <w:tcW w:w="904" w:type="pct"/>
            <w:vMerge w:val="restart"/>
            <w:vAlign w:val="center"/>
          </w:tcPr>
          <w:p w14:paraId="797D95C3">
            <w:pPr>
              <w:pStyle w:val="19"/>
              <w:bidi w:val="0"/>
            </w:pPr>
            <w:r>
              <w:rPr>
                <w:rFonts w:hint="eastAsia"/>
                <w:lang w:val="en-US" w:eastAsia="zh-CN"/>
              </w:rPr>
              <w:t>厂界四周</w:t>
            </w:r>
          </w:p>
        </w:tc>
        <w:tc>
          <w:tcPr>
            <w:tcW w:w="1994" w:type="pct"/>
            <w:vAlign w:val="center"/>
          </w:tcPr>
          <w:p w14:paraId="727A89B4">
            <w:pPr>
              <w:pStyle w:val="19"/>
              <w:bidi w:val="0"/>
              <w:rPr>
                <w:rFonts w:hint="eastAsia"/>
                <w:lang w:val="en-US" w:eastAsia="zh-CN"/>
              </w:rPr>
            </w:pP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w:t>
            </w:r>
          </w:p>
        </w:tc>
        <w:tc>
          <w:tcPr>
            <w:tcW w:w="618" w:type="pct"/>
            <w:vMerge w:val="restart"/>
            <w:vAlign w:val="center"/>
          </w:tcPr>
          <w:p w14:paraId="594BF686">
            <w:pPr>
              <w:pStyle w:val="19"/>
              <w:bidi w:val="0"/>
            </w:pPr>
            <w:r>
              <w:t>年/次</w:t>
            </w:r>
          </w:p>
        </w:tc>
        <w:tc>
          <w:tcPr>
            <w:tcW w:w="725" w:type="pct"/>
            <w:vAlign w:val="center"/>
          </w:tcPr>
          <w:p w14:paraId="2229E162">
            <w:pPr>
              <w:pStyle w:val="19"/>
              <w:bidi w:val="0"/>
              <w:rPr>
                <w:rFonts w:hint="default"/>
                <w:lang w:val="en-US"/>
              </w:rPr>
            </w:pPr>
            <w:r>
              <w:rPr>
                <w:rFonts w:hint="eastAsia"/>
                <w:lang w:val="en-US" w:eastAsia="zh-CN"/>
              </w:rPr>
              <w:t>HJ2.2附录D</w:t>
            </w:r>
          </w:p>
        </w:tc>
      </w:tr>
      <w:tr w14:paraId="26F29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46" w:type="pct"/>
            <w:vMerge w:val="continue"/>
            <w:vAlign w:val="center"/>
          </w:tcPr>
          <w:p w14:paraId="2CE0267A">
            <w:pPr>
              <w:pStyle w:val="19"/>
              <w:bidi w:val="0"/>
            </w:pPr>
          </w:p>
        </w:tc>
        <w:tc>
          <w:tcPr>
            <w:tcW w:w="411" w:type="pct"/>
            <w:vMerge w:val="continue"/>
            <w:vAlign w:val="center"/>
          </w:tcPr>
          <w:p w14:paraId="60E25A72">
            <w:pPr>
              <w:pStyle w:val="19"/>
              <w:bidi w:val="0"/>
            </w:pPr>
          </w:p>
        </w:tc>
        <w:tc>
          <w:tcPr>
            <w:tcW w:w="904" w:type="pct"/>
            <w:vMerge w:val="continue"/>
            <w:vAlign w:val="center"/>
          </w:tcPr>
          <w:p w14:paraId="19E4E4E5">
            <w:pPr>
              <w:pStyle w:val="19"/>
              <w:bidi w:val="0"/>
            </w:pPr>
          </w:p>
        </w:tc>
        <w:tc>
          <w:tcPr>
            <w:tcW w:w="1994" w:type="pct"/>
            <w:vAlign w:val="center"/>
          </w:tcPr>
          <w:p w14:paraId="433CD476">
            <w:pPr>
              <w:pStyle w:val="19"/>
              <w:bidi w:val="0"/>
              <w:rPr>
                <w:rFonts w:hint="eastAsia"/>
                <w:lang w:val="en-US" w:eastAsia="zh-CN"/>
              </w:rPr>
            </w:pPr>
            <w:r>
              <w:rPr>
                <w:rFonts w:hint="eastAsia"/>
                <w:lang w:val="en-US" w:eastAsia="zh-CN"/>
              </w:rPr>
              <w:t>颗粒物</w:t>
            </w:r>
          </w:p>
        </w:tc>
        <w:tc>
          <w:tcPr>
            <w:tcW w:w="618" w:type="pct"/>
            <w:vMerge w:val="continue"/>
            <w:vAlign w:val="center"/>
          </w:tcPr>
          <w:p w14:paraId="22390ED3">
            <w:pPr>
              <w:pStyle w:val="19"/>
              <w:bidi w:val="0"/>
              <w:rPr>
                <w:rFonts w:hint="eastAsia"/>
                <w:lang w:val="en-US" w:eastAsia="zh-CN"/>
              </w:rPr>
            </w:pPr>
          </w:p>
        </w:tc>
        <w:tc>
          <w:tcPr>
            <w:tcW w:w="725" w:type="pct"/>
            <w:vAlign w:val="center"/>
          </w:tcPr>
          <w:p w14:paraId="5BFDF0D6">
            <w:pPr>
              <w:pStyle w:val="19"/>
              <w:bidi w:val="0"/>
              <w:rPr>
                <w:rFonts w:hint="eastAsia"/>
                <w:lang w:val="en-US" w:eastAsia="zh-CN"/>
              </w:rPr>
            </w:pPr>
            <w:r>
              <w:rPr>
                <w:rFonts w:hint="eastAsia"/>
                <w:lang w:val="en-US" w:eastAsia="zh-CN"/>
              </w:rPr>
              <w:t>GB3095</w:t>
            </w:r>
          </w:p>
        </w:tc>
      </w:tr>
      <w:tr w14:paraId="74633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46" w:type="pct"/>
            <w:vMerge w:val="continue"/>
            <w:vAlign w:val="center"/>
          </w:tcPr>
          <w:p w14:paraId="0E614161">
            <w:pPr>
              <w:pStyle w:val="19"/>
              <w:bidi w:val="0"/>
            </w:pPr>
          </w:p>
        </w:tc>
        <w:tc>
          <w:tcPr>
            <w:tcW w:w="411" w:type="pct"/>
            <w:vAlign w:val="center"/>
          </w:tcPr>
          <w:p w14:paraId="6157EB9E">
            <w:pPr>
              <w:pStyle w:val="19"/>
              <w:bidi w:val="0"/>
            </w:pPr>
            <w:r>
              <w:t>地下水</w:t>
            </w:r>
          </w:p>
        </w:tc>
        <w:tc>
          <w:tcPr>
            <w:tcW w:w="904" w:type="pct"/>
            <w:vAlign w:val="center"/>
          </w:tcPr>
          <w:p w14:paraId="46CC81DD">
            <w:pPr>
              <w:pStyle w:val="19"/>
              <w:bidi w:val="0"/>
            </w:pPr>
            <w:r>
              <w:rPr>
                <w:rFonts w:hint="eastAsia"/>
                <w:lang w:val="en-US" w:eastAsia="zh-CN"/>
              </w:rPr>
              <w:t>DXS-1</w:t>
            </w:r>
            <w:r>
              <w:rPr>
                <w:rFonts w:hint="eastAsia"/>
                <w:vertAlign w:val="superscript"/>
                <w:lang w:val="en-US" w:eastAsia="zh-CN"/>
              </w:rPr>
              <w:t>＃</w:t>
            </w:r>
            <w:r>
              <w:rPr>
                <w:rFonts w:hint="eastAsia"/>
                <w:lang w:val="en-US" w:eastAsia="zh-CN"/>
              </w:rPr>
              <w:t>-1-1</w:t>
            </w:r>
          </w:p>
        </w:tc>
        <w:tc>
          <w:tcPr>
            <w:tcW w:w="1994" w:type="pct"/>
            <w:vAlign w:val="center"/>
          </w:tcPr>
          <w:p w14:paraId="344C5FF3">
            <w:pPr>
              <w:pStyle w:val="19"/>
              <w:bidi w:val="0"/>
            </w:pPr>
            <w:r>
              <w:rPr>
                <w:rFonts w:hint="eastAsia"/>
                <w:lang w:val="en-US" w:eastAsia="zh-CN"/>
              </w:rPr>
              <w:t>pH、高锰酸盐指数、氨氮、硝酸盐、亚硝酸盐、氯化物、氟化物、硫酸盐、总硬度、硫化物、铜、锌、溶解性总固体、细菌总数、总大肠菌群</w:t>
            </w:r>
            <w:r>
              <w:rPr>
                <w:rFonts w:hint="eastAsia"/>
              </w:rPr>
              <w:t>。</w:t>
            </w:r>
          </w:p>
        </w:tc>
        <w:tc>
          <w:tcPr>
            <w:tcW w:w="618" w:type="pct"/>
            <w:vAlign w:val="center"/>
          </w:tcPr>
          <w:p w14:paraId="2917F47D">
            <w:pPr>
              <w:pStyle w:val="19"/>
              <w:bidi w:val="0"/>
            </w:pPr>
            <w:r>
              <w:t>年/次</w:t>
            </w:r>
          </w:p>
        </w:tc>
        <w:tc>
          <w:tcPr>
            <w:tcW w:w="725" w:type="pct"/>
            <w:vAlign w:val="center"/>
          </w:tcPr>
          <w:p w14:paraId="4351A3F0">
            <w:pPr>
              <w:pStyle w:val="19"/>
              <w:bidi w:val="0"/>
            </w:pPr>
            <w:r>
              <w:rPr>
                <w:rFonts w:hint="eastAsia"/>
                <w:color w:val="000000"/>
                <w:highlight w:val="none"/>
              </w:rPr>
              <w:t>GB/T14848</w:t>
            </w:r>
          </w:p>
        </w:tc>
      </w:tr>
      <w:tr w14:paraId="69BDB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46" w:type="pct"/>
            <w:vMerge w:val="continue"/>
            <w:vAlign w:val="center"/>
          </w:tcPr>
          <w:p w14:paraId="7DC4350E">
            <w:pPr>
              <w:pStyle w:val="19"/>
              <w:bidi w:val="0"/>
            </w:pPr>
          </w:p>
        </w:tc>
        <w:tc>
          <w:tcPr>
            <w:tcW w:w="411" w:type="pct"/>
            <w:vAlign w:val="center"/>
          </w:tcPr>
          <w:p w14:paraId="246B0652">
            <w:pPr>
              <w:pStyle w:val="19"/>
              <w:bidi w:val="0"/>
            </w:pPr>
            <w:r>
              <w:t>土壤</w:t>
            </w:r>
          </w:p>
        </w:tc>
        <w:tc>
          <w:tcPr>
            <w:tcW w:w="904" w:type="pct"/>
            <w:vAlign w:val="center"/>
          </w:tcPr>
          <w:p w14:paraId="49C46994">
            <w:pPr>
              <w:pStyle w:val="19"/>
              <w:bidi w:val="0"/>
              <w:rPr>
                <w:rFonts w:hint="eastAsia" w:eastAsia="宋体"/>
                <w:lang w:eastAsia="zh-CN"/>
              </w:rPr>
            </w:pPr>
            <w:r>
              <w:rPr>
                <w:rFonts w:hint="eastAsia"/>
                <w:lang w:val="en-US" w:eastAsia="zh-CN"/>
              </w:rPr>
              <w:t>厂区</w:t>
            </w:r>
          </w:p>
        </w:tc>
        <w:tc>
          <w:tcPr>
            <w:tcW w:w="1994" w:type="pct"/>
            <w:vAlign w:val="center"/>
          </w:tcPr>
          <w:p w14:paraId="643FDC68">
            <w:pPr>
              <w:pStyle w:val="19"/>
              <w:bidi w:val="0"/>
            </w:pPr>
            <w:r>
              <w:rPr>
                <w:rFonts w:hint="eastAsia"/>
                <w:lang w:val="en-US" w:eastAsia="zh-CN"/>
              </w:rPr>
              <w:t>镉、汞、砷、铜、铅、铬、锌、镍、六六六、滴滴涕、寄生虫卵数</w:t>
            </w:r>
          </w:p>
        </w:tc>
        <w:tc>
          <w:tcPr>
            <w:tcW w:w="618" w:type="pct"/>
            <w:vAlign w:val="center"/>
          </w:tcPr>
          <w:p w14:paraId="7D3567E0">
            <w:pPr>
              <w:pStyle w:val="19"/>
              <w:bidi w:val="0"/>
            </w:pPr>
            <w:r>
              <w:rPr>
                <w:rFonts w:hint="eastAsia"/>
                <w:lang w:val="en-US" w:eastAsia="zh-CN"/>
              </w:rPr>
              <w:t>5</w:t>
            </w:r>
            <w:r>
              <w:t>年/次</w:t>
            </w:r>
          </w:p>
        </w:tc>
        <w:tc>
          <w:tcPr>
            <w:tcW w:w="725" w:type="pct"/>
            <w:vAlign w:val="center"/>
          </w:tcPr>
          <w:p w14:paraId="5DA3FB5B">
            <w:pPr>
              <w:pStyle w:val="19"/>
              <w:bidi w:val="0"/>
            </w:pPr>
            <w:r>
              <w:rPr>
                <w:rFonts w:hint="eastAsia"/>
                <w:lang w:val="en-US" w:eastAsia="zh-CN"/>
              </w:rPr>
              <w:t>HJ568</w:t>
            </w:r>
          </w:p>
        </w:tc>
      </w:tr>
    </w:tbl>
    <w:p w14:paraId="703E5859">
      <w:pPr>
        <w:bidi w:val="0"/>
        <w:rPr>
          <w:rFonts w:hint="eastAsia"/>
          <w:lang w:val="en-US" w:eastAsia="zh-CN"/>
        </w:rPr>
      </w:pPr>
      <w:r>
        <w:rPr>
          <w:rFonts w:hint="eastAsia"/>
          <w:lang w:val="en-US" w:eastAsia="zh-CN"/>
        </w:rPr>
        <w:t>上述各监测项目的监测计划应严格按照国家有关监测技术规范执行。本项目建成投产验收时污染监测和正常运营期间定期污染监测工作可委托相应环境监测部门定期进行，并将监测结果上报生态环境局。</w:t>
      </w:r>
    </w:p>
    <w:p w14:paraId="031CBF39">
      <w:pPr>
        <w:pStyle w:val="27"/>
        <w:bidi w:val="0"/>
        <w:rPr>
          <w:rFonts w:hint="default"/>
          <w:lang w:val="en-US" w:eastAsia="zh-CN"/>
        </w:rPr>
      </w:pPr>
      <w:r>
        <w:rPr>
          <w:rFonts w:hint="eastAsia"/>
          <w:lang w:val="en-US" w:eastAsia="zh-CN"/>
        </w:rPr>
        <w:t>排污口规范化</w:t>
      </w:r>
    </w:p>
    <w:p w14:paraId="302A077B">
      <w:pPr>
        <w:bidi w:val="0"/>
        <w:rPr>
          <w:rFonts w:hint="eastAsia"/>
          <w:lang w:val="en-US" w:eastAsia="zh-CN"/>
        </w:rPr>
      </w:pPr>
      <w:r>
        <w:rPr>
          <w:rFonts w:hint="eastAsia"/>
          <w:lang w:val="en-US" w:eastAsia="zh-CN"/>
        </w:rPr>
        <w:t>企业应当按照国家环保总局《排污口规范化整治技术要求》设置排污口及环保图形标志牌。排污口规范化管理要求见表8.2-2。</w:t>
      </w:r>
    </w:p>
    <w:p w14:paraId="47761EDA">
      <w:pPr>
        <w:pStyle w:val="30"/>
        <w:bidi w:val="0"/>
        <w:rPr>
          <w:rFonts w:hint="default"/>
          <w:lang w:val="en-US" w:eastAsia="zh-CN"/>
        </w:rPr>
      </w:pPr>
      <w:r>
        <w:rPr>
          <w:rFonts w:hint="eastAsia"/>
          <w:lang w:val="en-US" w:eastAsia="zh-CN"/>
        </w:rPr>
        <w:t>表8.2-2   排污口规范化管理要求表</w:t>
      </w:r>
    </w:p>
    <w:tbl>
      <w:tblPr>
        <w:tblStyle w:val="29"/>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9"/>
        <w:gridCol w:w="7776"/>
      </w:tblGrid>
      <w:tr w14:paraId="762FD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24" w:type="pct"/>
            <w:vAlign w:val="center"/>
          </w:tcPr>
          <w:p w14:paraId="0D755EF4">
            <w:pPr>
              <w:pStyle w:val="19"/>
              <w:bidi w:val="0"/>
              <w:jc w:val="center"/>
            </w:pPr>
            <w:r>
              <w:t>项目</w:t>
            </w:r>
          </w:p>
        </w:tc>
        <w:tc>
          <w:tcPr>
            <w:tcW w:w="4675" w:type="pct"/>
          </w:tcPr>
          <w:p w14:paraId="18C5BB1B">
            <w:pPr>
              <w:pStyle w:val="19"/>
              <w:bidi w:val="0"/>
            </w:pPr>
            <w:r>
              <w:t>主要要求内容</w:t>
            </w:r>
          </w:p>
        </w:tc>
      </w:tr>
      <w:tr w14:paraId="29FC0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324" w:type="pct"/>
            <w:vAlign w:val="center"/>
          </w:tcPr>
          <w:p w14:paraId="15758F91">
            <w:pPr>
              <w:pStyle w:val="19"/>
              <w:bidi w:val="0"/>
              <w:jc w:val="center"/>
            </w:pPr>
            <w:r>
              <w:t>基本原则</w:t>
            </w:r>
          </w:p>
        </w:tc>
        <w:tc>
          <w:tcPr>
            <w:tcW w:w="4675" w:type="pct"/>
          </w:tcPr>
          <w:p w14:paraId="298CE056">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1、凡向环境排放污染物的排污口必须进行规范化管理；</w:t>
            </w:r>
          </w:p>
          <w:p w14:paraId="1FA2BECF">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2、将总量控制污染物排污口及行业特征污染物排放口列为环境管理的重点；</w:t>
            </w:r>
          </w:p>
          <w:p w14:paraId="6DECC452">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3、排污口设置应便于采样和计量监测，便于日常现场监督与检查；</w:t>
            </w:r>
          </w:p>
          <w:p w14:paraId="0DEC4552">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4、如实向环保管理部门申报排污口数量、位置，排放主要污染物种类、数量和浓度与排放去向等方面情况。</w:t>
            </w:r>
          </w:p>
        </w:tc>
      </w:tr>
      <w:tr w14:paraId="58CB6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24" w:type="pct"/>
            <w:vAlign w:val="center"/>
          </w:tcPr>
          <w:p w14:paraId="4D38F38E">
            <w:pPr>
              <w:pStyle w:val="19"/>
              <w:bidi w:val="0"/>
              <w:jc w:val="center"/>
            </w:pPr>
            <w:r>
              <w:t>技术要求</w:t>
            </w:r>
          </w:p>
        </w:tc>
        <w:tc>
          <w:tcPr>
            <w:tcW w:w="4675" w:type="pct"/>
          </w:tcPr>
          <w:p w14:paraId="42AAACA8">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排污口设置</w:t>
            </w:r>
            <w:r>
              <w:rPr>
                <w:rFonts w:hint="eastAsia"/>
              </w:rPr>
              <w:t>必须</w:t>
            </w:r>
            <w:r>
              <w:t>按照环监（1996）470号文要求，实行规范化管理；</w:t>
            </w:r>
          </w:p>
          <w:p w14:paraId="17794BDB">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2、废水采样点应按照《污染源监测技术规范》要求设在总排口。</w:t>
            </w:r>
          </w:p>
        </w:tc>
      </w:tr>
      <w:tr w14:paraId="576BD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324" w:type="pct"/>
            <w:vAlign w:val="center"/>
          </w:tcPr>
          <w:p w14:paraId="3E3C2802">
            <w:pPr>
              <w:pStyle w:val="19"/>
              <w:bidi w:val="0"/>
              <w:jc w:val="center"/>
            </w:pPr>
            <w:r>
              <w:t>立标管理</w:t>
            </w:r>
          </w:p>
        </w:tc>
        <w:tc>
          <w:tcPr>
            <w:tcW w:w="4675" w:type="pct"/>
          </w:tcPr>
          <w:p w14:paraId="2F12EA73">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1、污染物排放口必须实行规范化整治，应按照国家《</w:t>
            </w:r>
            <w:r>
              <w:rPr>
                <w:rFonts w:hint="eastAsia"/>
              </w:rPr>
              <w:t>环境保护图形标志 排放口（源）</w:t>
            </w:r>
            <w:r>
              <w:t>》（GB15562.1-1995）与（GB15562.2－95）相关规定，设置由国家环保总局统一定点制作和监制的环保图形标志牌；</w:t>
            </w:r>
          </w:p>
          <w:p w14:paraId="656CBF38">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2、环保图形标志牌位置应距污染物排放口（源）或采样点较近且醒目处，设置高度一般为标志牌上缘距离地面2m处；</w:t>
            </w:r>
          </w:p>
          <w:p w14:paraId="2DF000CF">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3、重点排污单位污染物排放口，以设置立式标志牌为主，一般排污单位污染物排放口可根据情况设立式或平面固定式标志牌；</w:t>
            </w:r>
          </w:p>
          <w:p w14:paraId="4CD1102C">
            <w:pPr>
              <w:pStyle w:val="19"/>
              <w:keepNext w:val="0"/>
              <w:keepLines w:val="0"/>
              <w:pageBreakBefore w:val="0"/>
              <w:widowControl w:val="0"/>
              <w:kinsoku/>
              <w:wordWrap/>
              <w:overflowPunct/>
              <w:topLinePunct w:val="0"/>
              <w:autoSpaceDE/>
              <w:autoSpaceDN/>
              <w:bidi w:val="0"/>
              <w:adjustRightInd/>
              <w:snapToGrid/>
              <w:spacing w:line="264" w:lineRule="auto"/>
              <w:ind w:firstLine="231" w:firstLineChars="110"/>
              <w:jc w:val="both"/>
              <w:textAlignment w:val="auto"/>
            </w:pPr>
            <w:r>
              <w:t>4、对一般性污染物排放口应设置提示性环保图形标志牌。</w:t>
            </w:r>
          </w:p>
        </w:tc>
      </w:tr>
    </w:tbl>
    <w:p w14:paraId="36396A92">
      <w:pPr>
        <w:bidi w:val="0"/>
        <w:rPr>
          <w:rFonts w:hint="eastAsia"/>
          <w:lang w:val="en-US" w:eastAsia="zh-CN"/>
        </w:rPr>
      </w:pPr>
      <w:r>
        <w:rPr>
          <w:rFonts w:hint="eastAsia"/>
          <w:lang w:val="en-US" w:eastAsia="zh-CN"/>
        </w:rPr>
        <w:t>（1）废气排放口规范化建设</w:t>
      </w:r>
    </w:p>
    <w:p w14:paraId="190E88BB">
      <w:pPr>
        <w:bidi w:val="0"/>
        <w:rPr>
          <w:rFonts w:hint="eastAsia"/>
          <w:lang w:val="en-US" w:eastAsia="zh-CN"/>
        </w:rPr>
      </w:pPr>
      <w:r>
        <w:rPr>
          <w:rFonts w:hint="eastAsia"/>
          <w:lang w:val="en-US" w:eastAsia="zh-CN"/>
        </w:rPr>
        <w:t>①排气筒应设置便于采样、监测的采样口和采样监测平台；</w:t>
      </w:r>
    </w:p>
    <w:p w14:paraId="02B2217C">
      <w:pPr>
        <w:bidi w:val="0"/>
        <w:rPr>
          <w:rFonts w:hint="eastAsia"/>
          <w:lang w:val="en-US" w:eastAsia="zh-CN"/>
        </w:rPr>
      </w:pPr>
      <w:r>
        <w:rPr>
          <w:rFonts w:hint="eastAsia"/>
          <w:lang w:val="en-US" w:eastAsia="zh-CN"/>
        </w:rPr>
        <w:t>②采样孔、点数目和位置按照《固定污染源排气中颗粒物测定与气态污染物采样方法》（GB/T16157-1996）的规定设置；</w:t>
      </w:r>
    </w:p>
    <w:p w14:paraId="0D7E693D">
      <w:pPr>
        <w:bidi w:val="0"/>
        <w:rPr>
          <w:rFonts w:hint="eastAsia"/>
          <w:lang w:val="en-US" w:eastAsia="zh-CN"/>
        </w:rPr>
      </w:pPr>
      <w:r>
        <w:rPr>
          <w:rFonts w:hint="eastAsia"/>
          <w:lang w:val="en-US" w:eastAsia="zh-CN"/>
        </w:rPr>
        <w:t>③监测孔优先设置在垂直管段，应避开烟道弯头和断面急剧变化的部位，应设置在距弯头、阀门、变径管下游方向不小于6倍直径（当量直径）和距上述部件上游方向不小于3倍直径（当量直径）处；</w:t>
      </w:r>
    </w:p>
    <w:p w14:paraId="3567A8A9">
      <w:pPr>
        <w:bidi w:val="0"/>
        <w:rPr>
          <w:rFonts w:hint="eastAsia"/>
          <w:lang w:val="en-US" w:eastAsia="zh-CN"/>
        </w:rPr>
      </w:pPr>
      <w:r>
        <w:rPr>
          <w:rFonts w:hint="eastAsia"/>
          <w:lang w:val="en-US" w:eastAsia="zh-CN"/>
        </w:rPr>
        <w:t>④在选定的监测孔位置上开设监测孔，监测孔的内径在90～120mm之间，监测孔管长不大于50mm。监测孔在不使用时用盖板封闭，在监测使用时应易打开；</w:t>
      </w:r>
    </w:p>
    <w:p w14:paraId="5D5AB246">
      <w:pPr>
        <w:bidi w:val="0"/>
        <w:rPr>
          <w:rFonts w:hint="eastAsia"/>
          <w:lang w:val="en-US" w:eastAsia="zh-CN"/>
        </w:rPr>
      </w:pPr>
      <w:r>
        <w:rPr>
          <w:rFonts w:hint="eastAsia"/>
          <w:lang w:val="en-US" w:eastAsia="zh-CN"/>
        </w:rPr>
        <w:t>⑤废气排放口的环境保护图形标志牌应设在排气筒附近地面醒目处。</w:t>
      </w:r>
    </w:p>
    <w:p w14:paraId="34C0E449">
      <w:pPr>
        <w:bidi w:val="0"/>
        <w:rPr>
          <w:rFonts w:hint="eastAsia"/>
          <w:lang w:val="en-US" w:eastAsia="zh-CN"/>
        </w:rPr>
      </w:pPr>
      <w:r>
        <w:rPr>
          <w:rFonts w:hint="eastAsia"/>
          <w:lang w:val="en-US" w:eastAsia="zh-CN"/>
        </w:rPr>
        <w:t>（2）固体废物</w:t>
      </w:r>
    </w:p>
    <w:p w14:paraId="3C733B3E">
      <w:pPr>
        <w:bidi w:val="0"/>
        <w:rPr>
          <w:rFonts w:hint="eastAsia"/>
          <w:lang w:val="en-US" w:eastAsia="zh-CN"/>
        </w:rPr>
      </w:pPr>
      <w:r>
        <w:rPr>
          <w:rFonts w:hint="eastAsia"/>
          <w:lang w:val="en-US" w:eastAsia="zh-CN"/>
        </w:rPr>
        <w:t>固体废物堆粪场应设置环境保护图形标志牌，将一般固废、危险废物等分开存放，做到防火、防扬散、防渗漏，确保不对周围环境形成二次污染。</w:t>
      </w:r>
    </w:p>
    <w:p w14:paraId="47C02C7B">
      <w:pPr>
        <w:bidi w:val="0"/>
        <w:rPr>
          <w:rFonts w:hint="eastAsia"/>
          <w:lang w:val="en-US" w:eastAsia="zh-CN"/>
        </w:rPr>
      </w:pPr>
      <w:r>
        <w:rPr>
          <w:rFonts w:hint="eastAsia"/>
          <w:lang w:val="en-US" w:eastAsia="zh-CN"/>
        </w:rPr>
        <w:t>危险废物暂存间应按照《危险废物贮存污染控制标准》（GB18597-2023）中的规定建设：</w:t>
      </w:r>
    </w:p>
    <w:p w14:paraId="39A083CA">
      <w:pPr>
        <w:bidi w:val="0"/>
        <w:rPr>
          <w:rFonts w:hint="eastAsia"/>
          <w:lang w:val="en-US" w:eastAsia="zh-CN"/>
        </w:rPr>
      </w:pPr>
      <w:r>
        <w:rPr>
          <w:rFonts w:hint="eastAsia"/>
          <w:lang w:val="en-US" w:eastAsia="zh-CN"/>
        </w:rPr>
        <w:t>危险废物收集储存过程需按下列要求进行管理：</w:t>
      </w:r>
    </w:p>
    <w:p w14:paraId="5B947455">
      <w:pPr>
        <w:bidi w:val="0"/>
        <w:rPr>
          <w:rFonts w:hint="eastAsia"/>
          <w:lang w:val="en-US" w:eastAsia="zh-CN"/>
        </w:rPr>
      </w:pPr>
      <w:r>
        <w:rPr>
          <w:rFonts w:hint="eastAsia"/>
          <w:lang w:val="en-US" w:eastAsia="zh-CN"/>
        </w:rPr>
        <w:t>①危险废物的收集包装</w:t>
      </w:r>
    </w:p>
    <w:p w14:paraId="2CE1032C">
      <w:pPr>
        <w:bidi w:val="0"/>
        <w:rPr>
          <w:rFonts w:hint="eastAsia"/>
          <w:lang w:val="en-US" w:eastAsia="zh-CN"/>
        </w:rPr>
      </w:pPr>
      <w:r>
        <w:rPr>
          <w:rFonts w:hint="eastAsia"/>
          <w:lang w:val="en-US" w:eastAsia="zh-CN"/>
        </w:rPr>
        <w:t>a.容器和包装物材质、内衬应与盛装的危险废物相容。</w:t>
      </w:r>
    </w:p>
    <w:p w14:paraId="408A231E">
      <w:pPr>
        <w:bidi w:val="0"/>
        <w:rPr>
          <w:rFonts w:hint="eastAsia"/>
          <w:lang w:val="en-US" w:eastAsia="zh-CN"/>
        </w:rPr>
      </w:pPr>
      <w:r>
        <w:rPr>
          <w:rFonts w:hint="eastAsia"/>
          <w:lang w:val="en-US" w:eastAsia="zh-CN"/>
        </w:rPr>
        <w:t>b.针对不同类别、形态、物理化学性质的危险废物，其容器和包装物应满足相应的防渗、防漏、防腐和强度等要求。</w:t>
      </w:r>
    </w:p>
    <w:p w14:paraId="2C85DC3A">
      <w:pPr>
        <w:bidi w:val="0"/>
        <w:rPr>
          <w:rFonts w:hint="eastAsia"/>
          <w:lang w:val="en-US" w:eastAsia="zh-CN"/>
        </w:rPr>
      </w:pPr>
      <w:r>
        <w:rPr>
          <w:rFonts w:hint="eastAsia"/>
          <w:lang w:val="en-US" w:eastAsia="zh-CN"/>
        </w:rPr>
        <w:t>c.危险废物存入贮存设施前应对危险废物类别和特性与危险废物标签等危险废物识别标志的一致性进行核验，不一致的或类别、特性不明的不应存入</w:t>
      </w:r>
    </w:p>
    <w:p w14:paraId="0DDCE4A7">
      <w:pPr>
        <w:bidi w:val="0"/>
        <w:rPr>
          <w:rFonts w:hint="eastAsia"/>
          <w:lang w:val="en-US" w:eastAsia="zh-CN"/>
        </w:rPr>
      </w:pPr>
      <w:r>
        <w:rPr>
          <w:rFonts w:hint="eastAsia"/>
          <w:lang w:val="en-US" w:eastAsia="zh-CN"/>
        </w:rPr>
        <w:t>d.使用容器盛装液态、半固态危险废物时，容器内部应留有适当的空间，以适应因温度变化等可能引发的收缩和膨胀，防止其导致容器渗漏或永久变形。</w:t>
      </w:r>
    </w:p>
    <w:p w14:paraId="42875A27">
      <w:pPr>
        <w:bidi w:val="0"/>
        <w:rPr>
          <w:rFonts w:hint="eastAsia"/>
          <w:lang w:val="en-US" w:eastAsia="zh-CN"/>
        </w:rPr>
      </w:pPr>
      <w:r>
        <w:rPr>
          <w:rFonts w:hint="eastAsia"/>
          <w:lang w:val="en-US" w:eastAsia="zh-CN"/>
        </w:rPr>
        <w:t>②危险废物的暂存要求</w:t>
      </w:r>
    </w:p>
    <w:p w14:paraId="4CBCC556">
      <w:pPr>
        <w:bidi w:val="0"/>
        <w:rPr>
          <w:rFonts w:hint="eastAsia"/>
          <w:lang w:val="en-US" w:eastAsia="zh-CN"/>
        </w:rPr>
      </w:pPr>
      <w:r>
        <w:rPr>
          <w:rFonts w:hint="eastAsia"/>
          <w:lang w:val="en-US" w:eastAsia="zh-CN"/>
        </w:rPr>
        <w:t>危险废物堆放场应满足《危险废物贮存污染控制标准》（GB18597-2023）有关规定：</w:t>
      </w:r>
    </w:p>
    <w:p w14:paraId="6A5B69BD">
      <w:pPr>
        <w:bidi w:val="0"/>
        <w:rPr>
          <w:rFonts w:hint="eastAsia"/>
          <w:lang w:val="en-US" w:eastAsia="zh-CN"/>
        </w:rPr>
      </w:pPr>
      <w:r>
        <w:rPr>
          <w:rFonts w:hint="eastAsia"/>
          <w:lang w:val="en-US" w:eastAsia="zh-CN"/>
        </w:rPr>
        <w:t>a.贮存设施或场所、容器和包装物应按HJ 1276-2022要求设置危险废物贮存设施或场所标志、危险废物贮存分区标志和危险废物标签等危险废物识别标志。</w:t>
      </w:r>
    </w:p>
    <w:p w14:paraId="0B51DF45">
      <w:pPr>
        <w:bidi w:val="0"/>
        <w:rPr>
          <w:rFonts w:hint="eastAsia"/>
          <w:lang w:val="en-US" w:eastAsia="zh-CN"/>
        </w:rPr>
      </w:pPr>
      <w:r>
        <w:rPr>
          <w:rFonts w:hint="eastAsia"/>
          <w:lang w:val="en-US" w:eastAsia="zh-CN"/>
        </w:rPr>
        <w:t>b.应定期检查危险废物的贮存状况，及时清理贮存设施地面，更换破损泄漏的危险废物贮存容器 和包装物，保证堆存危险废物的防雨、防风、防扬尘等设施功能完好。</w:t>
      </w:r>
    </w:p>
    <w:p w14:paraId="2C4BBF43">
      <w:pPr>
        <w:bidi w:val="0"/>
        <w:rPr>
          <w:rFonts w:hint="eastAsia"/>
          <w:lang w:val="en-US" w:eastAsia="zh-CN"/>
        </w:rPr>
      </w:pPr>
      <w:r>
        <w:rPr>
          <w:rFonts w:hint="eastAsia"/>
          <w:lang w:val="en-US" w:eastAsia="zh-CN"/>
        </w:rPr>
        <w:t>c.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781129F5">
      <w:pPr>
        <w:bidi w:val="0"/>
        <w:rPr>
          <w:rFonts w:hint="eastAsia"/>
          <w:lang w:val="en-US" w:eastAsia="zh-CN"/>
        </w:rPr>
      </w:pPr>
      <w:r>
        <w:rPr>
          <w:rFonts w:hint="eastAsia"/>
          <w:lang w:val="en-US" w:eastAsia="zh-CN"/>
        </w:rPr>
        <w:t>d.贮存危险废物应根据危险废物的类别、形态、物理化学性质和污染防治要求进行分类贮存，且应避免危险废物与不相容的物质或材料接触。</w:t>
      </w:r>
    </w:p>
    <w:p w14:paraId="0CBA041A">
      <w:pPr>
        <w:bidi w:val="0"/>
        <w:rPr>
          <w:rFonts w:hint="eastAsia"/>
          <w:lang w:val="en-US" w:eastAsia="zh-CN"/>
        </w:rPr>
      </w:pPr>
      <w:r>
        <w:rPr>
          <w:rFonts w:hint="eastAsia"/>
          <w:lang w:val="en-US" w:eastAsia="zh-CN"/>
        </w:rPr>
        <w:t>e.危险废物贮存除应满足环境保护相关要求外，还应执行国家安全生产、职业健康、交通运输、消防等法律法规和标准的相关要求。</w:t>
      </w:r>
    </w:p>
    <w:p w14:paraId="69F6547C">
      <w:pPr>
        <w:bidi w:val="0"/>
        <w:rPr>
          <w:rFonts w:hint="eastAsia"/>
          <w:lang w:val="en-US" w:eastAsia="zh-CN"/>
        </w:rPr>
      </w:pPr>
      <w:r>
        <w:rPr>
          <w:rFonts w:hint="eastAsia"/>
          <w:lang w:val="en-US" w:eastAsia="zh-CN"/>
        </w:rPr>
        <w:t>③危险废物的运输要求</w:t>
      </w:r>
    </w:p>
    <w:p w14:paraId="118A7F73">
      <w:pPr>
        <w:bidi w:val="0"/>
        <w:rPr>
          <w:rFonts w:hint="eastAsia"/>
          <w:lang w:val="en-US" w:eastAsia="zh-CN"/>
        </w:rPr>
      </w:pPr>
      <w:r>
        <w:rPr>
          <w:rFonts w:hint="eastAsia"/>
          <w:lang w:val="en-US" w:eastAsia="zh-CN"/>
        </w:rPr>
        <w:t>危险废物的转运应采取危险废物转移“五联单”制度，保证运输安全，防止非法转移和非法处置，保证危险废物的安全监控，防止危险废物污染事故发生。“五联单”中第一联由废物产生者送交生态环境部门，第二联由废物产生者保管，第三联由处置场工作人员送交生态环境部门，第四联由处置场工作人员保存，第五联由废物运输者保存。</w:t>
      </w:r>
    </w:p>
    <w:p w14:paraId="16F76575">
      <w:pPr>
        <w:bidi w:val="0"/>
        <w:rPr>
          <w:rFonts w:hint="eastAsia"/>
          <w:lang w:val="en-US" w:eastAsia="zh-CN"/>
        </w:rPr>
      </w:pPr>
      <w:r>
        <w:rPr>
          <w:rFonts w:hint="eastAsia"/>
          <w:lang w:val="en-US" w:eastAsia="zh-CN"/>
        </w:rPr>
        <w:t>④标志</w:t>
      </w:r>
    </w:p>
    <w:p w14:paraId="5E7711E3">
      <w:pPr>
        <w:bidi w:val="0"/>
        <w:rPr>
          <w:rFonts w:hint="eastAsia"/>
          <w:lang w:val="en-US" w:eastAsia="zh-CN"/>
        </w:rPr>
      </w:pPr>
      <w:r>
        <w:rPr>
          <w:rFonts w:hint="eastAsia"/>
          <w:lang w:val="en-US" w:eastAsia="zh-CN"/>
        </w:rPr>
        <w:t>根据《危险废物识别标志设置技术规范》（HJ 1276-2022），相关标志内容详见表8.2-3。</w:t>
      </w:r>
    </w:p>
    <w:p w14:paraId="7E0B2FF3">
      <w:pPr>
        <w:pStyle w:val="30"/>
        <w:bidi w:val="0"/>
        <w:rPr>
          <w:rFonts w:hint="eastAsia"/>
          <w:lang w:val="en-US" w:eastAsia="zh-CN"/>
        </w:rPr>
      </w:pPr>
      <w:r>
        <w:rPr>
          <w:rFonts w:hint="eastAsia"/>
          <w:lang w:val="en-US" w:eastAsia="zh-CN"/>
        </w:rPr>
        <w:t>表8.2-3   危废暂存间标志牌设置示意图表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4"/>
        <w:gridCol w:w="5696"/>
      </w:tblGrid>
      <w:tr w14:paraId="3102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57" w:type="pct"/>
            <w:tcBorders>
              <w:tl2br w:val="nil"/>
              <w:tr2bl w:val="nil"/>
            </w:tcBorders>
            <w:vAlign w:val="center"/>
          </w:tcPr>
          <w:p w14:paraId="3F349F07">
            <w:pPr>
              <w:pStyle w:val="19"/>
              <w:bidi w:val="0"/>
            </w:pPr>
            <w:r>
              <w:rPr>
                <w:rFonts w:hint="eastAsia"/>
              </w:rPr>
              <w:t>名称</w:t>
            </w:r>
          </w:p>
        </w:tc>
        <w:tc>
          <w:tcPr>
            <w:tcW w:w="3342" w:type="pct"/>
            <w:tcBorders>
              <w:tl2br w:val="nil"/>
              <w:tr2bl w:val="nil"/>
            </w:tcBorders>
            <w:vAlign w:val="center"/>
          </w:tcPr>
          <w:p w14:paraId="231F48C4">
            <w:pPr>
              <w:pStyle w:val="19"/>
              <w:bidi w:val="0"/>
            </w:pPr>
            <w:r>
              <w:rPr>
                <w:rFonts w:hint="eastAsia"/>
              </w:rPr>
              <w:t>危险废物</w:t>
            </w:r>
          </w:p>
        </w:tc>
      </w:tr>
      <w:tr w14:paraId="43E6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657" w:type="pct"/>
            <w:tcBorders>
              <w:tl2br w:val="nil"/>
              <w:tr2bl w:val="nil"/>
            </w:tcBorders>
            <w:vAlign w:val="center"/>
          </w:tcPr>
          <w:p w14:paraId="67EF9D91">
            <w:pPr>
              <w:pStyle w:val="19"/>
              <w:bidi w:val="0"/>
            </w:pPr>
            <w:r>
              <w:rPr>
                <w:rFonts w:hint="eastAsia"/>
              </w:rPr>
              <w:t>危险废物标签</w:t>
            </w:r>
          </w:p>
        </w:tc>
        <w:tc>
          <w:tcPr>
            <w:tcW w:w="3342" w:type="pct"/>
            <w:tcBorders>
              <w:tl2br w:val="nil"/>
              <w:tr2bl w:val="nil"/>
            </w:tcBorders>
            <w:vAlign w:val="center"/>
          </w:tcPr>
          <w:p w14:paraId="4BFE2D1B">
            <w:pPr>
              <w:pStyle w:val="19"/>
              <w:bidi w:val="0"/>
            </w:pPr>
            <w:r>
              <w:drawing>
                <wp:inline distT="0" distB="0" distL="114300" distR="114300">
                  <wp:extent cx="2426335" cy="2423160"/>
                  <wp:effectExtent l="0" t="0" r="12065" b="15240"/>
                  <wp:docPr id="3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
                          <pic:cNvPicPr>
                            <a:picLocks noChangeAspect="1"/>
                          </pic:cNvPicPr>
                        </pic:nvPicPr>
                        <pic:blipFill>
                          <a:blip r:embed="rId39"/>
                          <a:stretch>
                            <a:fillRect/>
                          </a:stretch>
                        </pic:blipFill>
                        <pic:spPr>
                          <a:xfrm>
                            <a:off x="0" y="0"/>
                            <a:ext cx="2426335" cy="2423160"/>
                          </a:xfrm>
                          <a:prstGeom prst="rect">
                            <a:avLst/>
                          </a:prstGeom>
                          <a:noFill/>
                          <a:ln>
                            <a:noFill/>
                          </a:ln>
                        </pic:spPr>
                      </pic:pic>
                    </a:graphicData>
                  </a:graphic>
                </wp:inline>
              </w:drawing>
            </w:r>
          </w:p>
        </w:tc>
      </w:tr>
      <w:tr w14:paraId="4C99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1657" w:type="pct"/>
            <w:tcBorders>
              <w:tl2br w:val="nil"/>
              <w:tr2bl w:val="nil"/>
            </w:tcBorders>
            <w:vAlign w:val="center"/>
          </w:tcPr>
          <w:p w14:paraId="3FECAC97">
            <w:pPr>
              <w:pStyle w:val="19"/>
              <w:bidi w:val="0"/>
            </w:pPr>
            <w:r>
              <w:rPr>
                <w:rFonts w:hint="eastAsia"/>
              </w:rPr>
              <w:t>贮存分区标志（示例）</w:t>
            </w:r>
          </w:p>
        </w:tc>
        <w:tc>
          <w:tcPr>
            <w:tcW w:w="3342" w:type="pct"/>
            <w:tcBorders>
              <w:tl2br w:val="nil"/>
              <w:tr2bl w:val="nil"/>
            </w:tcBorders>
            <w:vAlign w:val="center"/>
          </w:tcPr>
          <w:p w14:paraId="30EAA8D2">
            <w:pPr>
              <w:pStyle w:val="19"/>
              <w:bidi w:val="0"/>
            </w:pPr>
            <w:r>
              <w:drawing>
                <wp:inline distT="0" distB="0" distL="114300" distR="114300">
                  <wp:extent cx="2405380" cy="2424430"/>
                  <wp:effectExtent l="0" t="0" r="13970" b="13970"/>
                  <wp:docPr id="3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5"/>
                          <pic:cNvPicPr>
                            <a:picLocks noChangeAspect="1"/>
                          </pic:cNvPicPr>
                        </pic:nvPicPr>
                        <pic:blipFill>
                          <a:blip r:embed="rId40"/>
                          <a:stretch>
                            <a:fillRect/>
                          </a:stretch>
                        </pic:blipFill>
                        <pic:spPr>
                          <a:xfrm>
                            <a:off x="0" y="0"/>
                            <a:ext cx="2405380" cy="2424430"/>
                          </a:xfrm>
                          <a:prstGeom prst="rect">
                            <a:avLst/>
                          </a:prstGeom>
                          <a:noFill/>
                          <a:ln>
                            <a:noFill/>
                          </a:ln>
                        </pic:spPr>
                      </pic:pic>
                    </a:graphicData>
                  </a:graphic>
                </wp:inline>
              </w:drawing>
            </w:r>
          </w:p>
        </w:tc>
      </w:tr>
      <w:tr w14:paraId="3139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657" w:type="pct"/>
            <w:tcBorders>
              <w:tl2br w:val="nil"/>
              <w:tr2bl w:val="nil"/>
            </w:tcBorders>
            <w:vAlign w:val="center"/>
          </w:tcPr>
          <w:p w14:paraId="0D9035B3">
            <w:pPr>
              <w:pStyle w:val="19"/>
              <w:bidi w:val="0"/>
            </w:pPr>
            <w:r>
              <w:rPr>
                <w:rFonts w:hint="eastAsia"/>
              </w:rPr>
              <w:t>贮</w:t>
            </w:r>
            <w:r>
              <w:t>存设施标志</w:t>
            </w:r>
          </w:p>
        </w:tc>
        <w:tc>
          <w:tcPr>
            <w:tcW w:w="3342" w:type="pct"/>
            <w:tcBorders>
              <w:tl2br w:val="nil"/>
              <w:tr2bl w:val="nil"/>
            </w:tcBorders>
            <w:vAlign w:val="center"/>
          </w:tcPr>
          <w:p w14:paraId="613F2648">
            <w:pPr>
              <w:pStyle w:val="19"/>
              <w:bidi w:val="0"/>
            </w:pPr>
            <w:r>
              <w:drawing>
                <wp:inline distT="0" distB="0" distL="114300" distR="114300">
                  <wp:extent cx="2428875" cy="1537335"/>
                  <wp:effectExtent l="0" t="0" r="9525" b="5715"/>
                  <wp:docPr id="3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6"/>
                          <pic:cNvPicPr>
                            <a:picLocks noChangeAspect="1"/>
                          </pic:cNvPicPr>
                        </pic:nvPicPr>
                        <pic:blipFill>
                          <a:blip r:embed="rId41"/>
                          <a:stretch>
                            <a:fillRect/>
                          </a:stretch>
                        </pic:blipFill>
                        <pic:spPr>
                          <a:xfrm>
                            <a:off x="0" y="0"/>
                            <a:ext cx="2428875" cy="1537335"/>
                          </a:xfrm>
                          <a:prstGeom prst="rect">
                            <a:avLst/>
                          </a:prstGeom>
                          <a:noFill/>
                          <a:ln>
                            <a:noFill/>
                          </a:ln>
                        </pic:spPr>
                      </pic:pic>
                    </a:graphicData>
                  </a:graphic>
                </wp:inline>
              </w:drawing>
            </w:r>
          </w:p>
        </w:tc>
      </w:tr>
      <w:tr w14:paraId="68D3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657" w:type="pct"/>
            <w:tcBorders>
              <w:tl2br w:val="nil"/>
              <w:tr2bl w:val="nil"/>
            </w:tcBorders>
            <w:vAlign w:val="center"/>
          </w:tcPr>
          <w:p w14:paraId="7C5F0586">
            <w:pPr>
              <w:pStyle w:val="19"/>
              <w:bidi w:val="0"/>
            </w:pPr>
            <w:r>
              <w:rPr>
                <w:rFonts w:hint="eastAsia"/>
              </w:rPr>
              <w:t>利</w:t>
            </w:r>
            <w:r>
              <w:t>用设施标志</w:t>
            </w:r>
          </w:p>
        </w:tc>
        <w:tc>
          <w:tcPr>
            <w:tcW w:w="3342" w:type="pct"/>
            <w:tcBorders>
              <w:tl2br w:val="nil"/>
              <w:tr2bl w:val="nil"/>
            </w:tcBorders>
            <w:vAlign w:val="center"/>
          </w:tcPr>
          <w:p w14:paraId="47C57028">
            <w:pPr>
              <w:pStyle w:val="19"/>
              <w:bidi w:val="0"/>
            </w:pPr>
            <w:r>
              <w:drawing>
                <wp:inline distT="0" distB="0" distL="114300" distR="114300">
                  <wp:extent cx="2416175" cy="1517650"/>
                  <wp:effectExtent l="0" t="0" r="3175" b="6350"/>
                  <wp:docPr id="3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7"/>
                          <pic:cNvPicPr>
                            <a:picLocks noChangeAspect="1"/>
                          </pic:cNvPicPr>
                        </pic:nvPicPr>
                        <pic:blipFill>
                          <a:blip r:embed="rId42"/>
                          <a:stretch>
                            <a:fillRect/>
                          </a:stretch>
                        </pic:blipFill>
                        <pic:spPr>
                          <a:xfrm>
                            <a:off x="0" y="0"/>
                            <a:ext cx="2416175" cy="1517650"/>
                          </a:xfrm>
                          <a:prstGeom prst="rect">
                            <a:avLst/>
                          </a:prstGeom>
                          <a:noFill/>
                          <a:ln>
                            <a:noFill/>
                          </a:ln>
                        </pic:spPr>
                      </pic:pic>
                    </a:graphicData>
                  </a:graphic>
                </wp:inline>
              </w:drawing>
            </w:r>
          </w:p>
        </w:tc>
      </w:tr>
      <w:tr w14:paraId="7316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1657" w:type="pct"/>
            <w:tcBorders>
              <w:tl2br w:val="nil"/>
              <w:tr2bl w:val="nil"/>
            </w:tcBorders>
            <w:vAlign w:val="center"/>
          </w:tcPr>
          <w:p w14:paraId="326C3A10">
            <w:pPr>
              <w:pStyle w:val="19"/>
              <w:bidi w:val="0"/>
            </w:pPr>
            <w:r>
              <w:t>处置设施标志</w:t>
            </w:r>
          </w:p>
        </w:tc>
        <w:tc>
          <w:tcPr>
            <w:tcW w:w="3342" w:type="pct"/>
            <w:tcBorders>
              <w:tl2br w:val="nil"/>
              <w:tr2bl w:val="nil"/>
            </w:tcBorders>
            <w:vAlign w:val="center"/>
          </w:tcPr>
          <w:p w14:paraId="6140C08D">
            <w:pPr>
              <w:pStyle w:val="19"/>
              <w:bidi w:val="0"/>
            </w:pPr>
            <w:r>
              <w:drawing>
                <wp:inline distT="0" distB="0" distL="114300" distR="114300">
                  <wp:extent cx="2473960" cy="1560830"/>
                  <wp:effectExtent l="0" t="0" r="2540" b="1270"/>
                  <wp:docPr id="3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8"/>
                          <pic:cNvPicPr>
                            <a:picLocks noChangeAspect="1"/>
                          </pic:cNvPicPr>
                        </pic:nvPicPr>
                        <pic:blipFill>
                          <a:blip r:embed="rId43"/>
                          <a:stretch>
                            <a:fillRect/>
                          </a:stretch>
                        </pic:blipFill>
                        <pic:spPr>
                          <a:xfrm>
                            <a:off x="0" y="0"/>
                            <a:ext cx="2473960" cy="1560830"/>
                          </a:xfrm>
                          <a:prstGeom prst="rect">
                            <a:avLst/>
                          </a:prstGeom>
                          <a:noFill/>
                          <a:ln>
                            <a:noFill/>
                          </a:ln>
                        </pic:spPr>
                      </pic:pic>
                    </a:graphicData>
                  </a:graphic>
                </wp:inline>
              </w:drawing>
            </w:r>
          </w:p>
        </w:tc>
      </w:tr>
    </w:tbl>
    <w:p w14:paraId="491EFD3E">
      <w:pPr>
        <w:pStyle w:val="26"/>
        <w:bidi w:val="0"/>
        <w:rPr>
          <w:rFonts w:hint="default"/>
          <w:lang w:val="en-US" w:eastAsia="zh-CN"/>
        </w:rPr>
      </w:pPr>
      <w:bookmarkStart w:id="41" w:name="_Toc2223"/>
      <w:r>
        <w:rPr>
          <w:rFonts w:hint="eastAsia"/>
          <w:lang w:val="en-US" w:eastAsia="zh-CN"/>
        </w:rPr>
        <w:t>环保验收“三同时”</w:t>
      </w:r>
      <w:bookmarkEnd w:id="41"/>
    </w:p>
    <w:p w14:paraId="11CD88C6">
      <w:pPr>
        <w:bidi w:val="0"/>
        <w:rPr>
          <w:rFonts w:hint="eastAsia"/>
          <w:lang w:val="en-US" w:eastAsia="zh-CN"/>
        </w:rPr>
      </w:pPr>
      <w:r>
        <w:rPr>
          <w:rFonts w:hint="eastAsia"/>
          <w:lang w:val="en-US" w:eastAsia="zh-CN"/>
        </w:rPr>
        <w:t>根据建设项目环境管理办法，环境污染物防治设施必须与主体工程同时设计、同时施工、同时投入使用。在工程完成后，应对环境保护设施进行验收。</w:t>
      </w:r>
    </w:p>
    <w:p w14:paraId="4E94D302">
      <w:pPr>
        <w:bidi w:val="0"/>
        <w:rPr>
          <w:rFonts w:hint="eastAsia"/>
          <w:lang w:val="en-US" w:eastAsia="zh-CN"/>
        </w:rPr>
      </w:pPr>
      <w:r>
        <w:rPr>
          <w:rFonts w:hint="eastAsia"/>
          <w:lang w:val="en-US" w:eastAsia="zh-CN"/>
        </w:rPr>
        <w:t>项目环境保护“三同时”一览表见表8.3-1。</w:t>
      </w:r>
    </w:p>
    <w:p w14:paraId="663EEDB6">
      <w:pPr>
        <w:pStyle w:val="30"/>
        <w:bidi w:val="0"/>
        <w:rPr>
          <w:rFonts w:hint="default"/>
          <w:lang w:val="en-US" w:eastAsia="zh-CN"/>
        </w:rPr>
      </w:pPr>
      <w:r>
        <w:rPr>
          <w:rFonts w:hint="eastAsia"/>
          <w:lang w:val="en-US" w:eastAsia="zh-CN"/>
        </w:rPr>
        <w:t xml:space="preserve">表8.3-1   </w:t>
      </w:r>
      <w:r>
        <w:rPr>
          <w:rFonts w:hint="eastAsia"/>
          <w:b/>
          <w:bCs/>
          <w:color w:val="000000" w:themeColor="text1"/>
          <w:sz w:val="21"/>
          <w:szCs w:val="21"/>
          <w:highlight w:val="none"/>
          <w14:textFill>
            <w14:solidFill>
              <w14:schemeClr w14:val="tx1"/>
            </w14:solidFill>
          </w14:textFill>
        </w:rPr>
        <w:t>项目环境保护“三同时”一览表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963"/>
        <w:gridCol w:w="1055"/>
        <w:gridCol w:w="2887"/>
        <w:gridCol w:w="2939"/>
      </w:tblGrid>
      <w:tr w14:paraId="1796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14:paraId="48AA0A2C">
            <w:pPr>
              <w:pStyle w:val="19"/>
              <w:bidi w:val="0"/>
            </w:pPr>
            <w:r>
              <w:rPr>
                <w:rFonts w:hint="eastAsia"/>
              </w:rPr>
              <w:t>项目</w:t>
            </w:r>
          </w:p>
        </w:tc>
        <w:tc>
          <w:tcPr>
            <w:tcW w:w="565" w:type="pct"/>
            <w:vAlign w:val="center"/>
          </w:tcPr>
          <w:p w14:paraId="2BC73150">
            <w:pPr>
              <w:pStyle w:val="19"/>
              <w:bidi w:val="0"/>
            </w:pPr>
            <w:r>
              <w:t>污染源</w:t>
            </w:r>
          </w:p>
        </w:tc>
        <w:tc>
          <w:tcPr>
            <w:tcW w:w="619" w:type="pct"/>
            <w:vAlign w:val="center"/>
          </w:tcPr>
          <w:p w14:paraId="5437B352">
            <w:pPr>
              <w:pStyle w:val="19"/>
              <w:bidi w:val="0"/>
            </w:pPr>
            <w:r>
              <w:t>污染物</w:t>
            </w:r>
          </w:p>
        </w:tc>
        <w:tc>
          <w:tcPr>
            <w:tcW w:w="1694" w:type="pct"/>
            <w:vAlign w:val="center"/>
          </w:tcPr>
          <w:p w14:paraId="6346AD44">
            <w:pPr>
              <w:pStyle w:val="19"/>
              <w:bidi w:val="0"/>
            </w:pPr>
            <w:r>
              <w:t>治理措施</w:t>
            </w:r>
          </w:p>
        </w:tc>
        <w:tc>
          <w:tcPr>
            <w:tcW w:w="1724" w:type="pct"/>
            <w:vAlign w:val="center"/>
          </w:tcPr>
          <w:p w14:paraId="3428A727">
            <w:pPr>
              <w:pStyle w:val="19"/>
              <w:bidi w:val="0"/>
            </w:pPr>
            <w:r>
              <w:t>验收标准</w:t>
            </w:r>
          </w:p>
        </w:tc>
      </w:tr>
      <w:tr w14:paraId="184B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vAlign w:val="center"/>
          </w:tcPr>
          <w:p w14:paraId="38E9C902">
            <w:pPr>
              <w:pStyle w:val="19"/>
              <w:bidi w:val="0"/>
            </w:pPr>
            <w:r>
              <w:t>废气</w:t>
            </w:r>
          </w:p>
        </w:tc>
        <w:tc>
          <w:tcPr>
            <w:tcW w:w="565" w:type="pct"/>
            <w:vAlign w:val="center"/>
          </w:tcPr>
          <w:p w14:paraId="7ED98044">
            <w:pPr>
              <w:pStyle w:val="19"/>
              <w:bidi w:val="0"/>
            </w:pPr>
            <w:r>
              <w:t>圈舍恶臭</w:t>
            </w:r>
          </w:p>
        </w:tc>
        <w:tc>
          <w:tcPr>
            <w:tcW w:w="619" w:type="pct"/>
            <w:vMerge w:val="restart"/>
            <w:vAlign w:val="center"/>
          </w:tcPr>
          <w:p w14:paraId="1037D0D3">
            <w:pPr>
              <w:pStyle w:val="19"/>
              <w:bidi w:val="0"/>
            </w:pPr>
            <w:r>
              <w:t>NH</w:t>
            </w:r>
            <w:r>
              <w:rPr>
                <w:vertAlign w:val="subscript"/>
              </w:rPr>
              <w:t>3</w:t>
            </w:r>
            <w:r>
              <w:t>、H</w:t>
            </w:r>
            <w:r>
              <w:rPr>
                <w:vertAlign w:val="subscript"/>
              </w:rPr>
              <w:t>2</w:t>
            </w:r>
            <w:r>
              <w:t>S、臭气浓度</w:t>
            </w:r>
          </w:p>
        </w:tc>
        <w:tc>
          <w:tcPr>
            <w:tcW w:w="1694" w:type="pct"/>
            <w:vAlign w:val="center"/>
          </w:tcPr>
          <w:p w14:paraId="41A92E70">
            <w:pPr>
              <w:pStyle w:val="19"/>
              <w:bidi w:val="0"/>
            </w:pPr>
            <w:r>
              <w:t>制饲养密度、加强舍内通风，定期冲洗、杀菌消毒、全漏缝地板、及时清粪、喷洒植物除臭液等措施</w:t>
            </w:r>
          </w:p>
        </w:tc>
        <w:tc>
          <w:tcPr>
            <w:tcW w:w="1724" w:type="pct"/>
            <w:vMerge w:val="restart"/>
            <w:vAlign w:val="center"/>
          </w:tcPr>
          <w:p w14:paraId="4F3CAF3C">
            <w:pPr>
              <w:pStyle w:val="19"/>
              <w:bidi w:val="0"/>
            </w:pPr>
            <w:r>
              <w:rPr>
                <w:rFonts w:hint="eastAsia"/>
              </w:rPr>
              <w:t>《恶臭污染物排放标准》（GB14554-93）中新污染源二级标准（氨</w:t>
            </w:r>
            <w:r>
              <w:rPr>
                <w:rFonts w:hint="eastAsia"/>
                <w:lang w:val="en-US" w:eastAsia="zh-CN"/>
              </w:rPr>
              <w:t>1.5</w:t>
            </w:r>
            <w:r>
              <w:rPr>
                <w:rFonts w:hint="eastAsia"/>
              </w:rPr>
              <w:t>mg/m</w:t>
            </w:r>
            <w:r>
              <w:rPr>
                <w:rFonts w:hint="eastAsia"/>
                <w:vertAlign w:val="superscript"/>
              </w:rPr>
              <w:t>3</w:t>
            </w:r>
            <w:r>
              <w:rPr>
                <w:rFonts w:hint="eastAsia"/>
              </w:rPr>
              <w:t>，硫化氢0.0</w:t>
            </w:r>
            <w:r>
              <w:rPr>
                <w:rFonts w:hint="eastAsia"/>
                <w:lang w:val="en-US" w:eastAsia="zh-CN"/>
              </w:rPr>
              <w:t>6</w:t>
            </w:r>
            <w:r>
              <w:rPr>
                <w:rFonts w:hint="eastAsia"/>
              </w:rPr>
              <w:t>mg/m</w:t>
            </w:r>
            <w:r>
              <w:rPr>
                <w:rFonts w:hint="eastAsia"/>
                <w:vertAlign w:val="superscript"/>
              </w:rPr>
              <w:t>3</w:t>
            </w:r>
            <w:r>
              <w:rPr>
                <w:rFonts w:hint="eastAsia"/>
              </w:rPr>
              <w:t>）；</w:t>
            </w:r>
            <w:r>
              <w:rPr>
                <w:rFonts w:hint="eastAsia"/>
                <w:lang w:val="en-US" w:eastAsia="zh-CN"/>
              </w:rPr>
              <w:t>《畜禽养殖业污染物排放标准》（GB18596-2001）中表7集约化畜禽养殖业恶臭污染物排放标准（</w:t>
            </w:r>
            <w:r>
              <w:t>臭气浓度</w:t>
            </w:r>
            <w:r>
              <w:rPr>
                <w:rFonts w:hint="eastAsia"/>
                <w:lang w:val="en-US" w:eastAsia="zh-CN"/>
              </w:rPr>
              <w:t>70无量纲）</w:t>
            </w:r>
            <w:r>
              <w:rPr>
                <w:rFonts w:hint="eastAsia"/>
              </w:rPr>
              <w:t>。</w:t>
            </w:r>
          </w:p>
        </w:tc>
      </w:tr>
      <w:tr w14:paraId="0A2A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7B9F5B16">
            <w:pPr>
              <w:pStyle w:val="19"/>
              <w:bidi w:val="0"/>
            </w:pPr>
          </w:p>
        </w:tc>
        <w:tc>
          <w:tcPr>
            <w:tcW w:w="565" w:type="pct"/>
            <w:vAlign w:val="center"/>
          </w:tcPr>
          <w:p w14:paraId="504A4BDF">
            <w:pPr>
              <w:pStyle w:val="19"/>
              <w:bidi w:val="0"/>
            </w:pPr>
            <w:r>
              <w:rPr>
                <w:rFonts w:hint="eastAsia"/>
                <w:lang w:val="en-US" w:eastAsia="zh-CN"/>
              </w:rPr>
              <w:t>粪污处理</w:t>
            </w:r>
            <w:r>
              <w:rPr>
                <w:rFonts w:hint="eastAsia"/>
              </w:rPr>
              <w:t>池</w:t>
            </w:r>
          </w:p>
        </w:tc>
        <w:tc>
          <w:tcPr>
            <w:tcW w:w="619" w:type="pct"/>
            <w:vMerge w:val="continue"/>
            <w:vAlign w:val="center"/>
          </w:tcPr>
          <w:p w14:paraId="333C4867">
            <w:pPr>
              <w:pStyle w:val="19"/>
              <w:bidi w:val="0"/>
            </w:pPr>
          </w:p>
        </w:tc>
        <w:tc>
          <w:tcPr>
            <w:tcW w:w="1694" w:type="pct"/>
            <w:vAlign w:val="center"/>
          </w:tcPr>
          <w:p w14:paraId="18B8F317">
            <w:pPr>
              <w:pStyle w:val="19"/>
              <w:bidi w:val="0"/>
            </w:pPr>
            <w:r>
              <w:t>定期喷洒除臭剂</w:t>
            </w:r>
          </w:p>
        </w:tc>
        <w:tc>
          <w:tcPr>
            <w:tcW w:w="1724" w:type="pct"/>
            <w:vMerge w:val="continue"/>
            <w:vAlign w:val="center"/>
          </w:tcPr>
          <w:p w14:paraId="0F97EE02">
            <w:pPr>
              <w:pStyle w:val="19"/>
              <w:bidi w:val="0"/>
            </w:pPr>
          </w:p>
        </w:tc>
      </w:tr>
      <w:tr w14:paraId="6285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5BEA4E79">
            <w:pPr>
              <w:pStyle w:val="19"/>
              <w:bidi w:val="0"/>
            </w:pPr>
          </w:p>
        </w:tc>
        <w:tc>
          <w:tcPr>
            <w:tcW w:w="565" w:type="pct"/>
            <w:vAlign w:val="center"/>
          </w:tcPr>
          <w:p w14:paraId="5C2002D4">
            <w:pPr>
              <w:pStyle w:val="19"/>
              <w:bidi w:val="0"/>
            </w:pPr>
            <w:r>
              <w:rPr>
                <w:rFonts w:hint="eastAsia"/>
              </w:rPr>
              <w:t>堆粪场</w:t>
            </w:r>
            <w:r>
              <w:t>恶臭</w:t>
            </w:r>
          </w:p>
        </w:tc>
        <w:tc>
          <w:tcPr>
            <w:tcW w:w="619" w:type="pct"/>
            <w:vMerge w:val="continue"/>
            <w:vAlign w:val="center"/>
          </w:tcPr>
          <w:p w14:paraId="2072C1F9">
            <w:pPr>
              <w:pStyle w:val="19"/>
              <w:bidi w:val="0"/>
            </w:pPr>
          </w:p>
        </w:tc>
        <w:tc>
          <w:tcPr>
            <w:tcW w:w="1694" w:type="pct"/>
            <w:vAlign w:val="center"/>
          </w:tcPr>
          <w:p w14:paraId="28120856">
            <w:pPr>
              <w:pStyle w:val="19"/>
              <w:bidi w:val="0"/>
            </w:pPr>
            <w:r>
              <w:rPr>
                <w:rFonts w:hint="eastAsia"/>
              </w:rPr>
              <w:t>定期给堆粪场添加物理吸附剂，喷洒生化除臭剂，粪肥及时清运</w:t>
            </w:r>
          </w:p>
        </w:tc>
        <w:tc>
          <w:tcPr>
            <w:tcW w:w="1724" w:type="pct"/>
            <w:vMerge w:val="continue"/>
            <w:vAlign w:val="center"/>
          </w:tcPr>
          <w:p w14:paraId="22DE8239">
            <w:pPr>
              <w:pStyle w:val="19"/>
              <w:bidi w:val="0"/>
            </w:pPr>
          </w:p>
        </w:tc>
      </w:tr>
      <w:tr w14:paraId="3E48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1BFE52AE">
            <w:pPr>
              <w:pStyle w:val="19"/>
              <w:bidi w:val="0"/>
            </w:pPr>
          </w:p>
        </w:tc>
        <w:tc>
          <w:tcPr>
            <w:tcW w:w="565" w:type="pct"/>
            <w:vAlign w:val="center"/>
          </w:tcPr>
          <w:p w14:paraId="7B715069">
            <w:pPr>
              <w:pStyle w:val="19"/>
              <w:bidi w:val="0"/>
              <w:rPr>
                <w:rFonts w:hint="eastAsia" w:eastAsia="宋体"/>
                <w:lang w:val="en-US" w:eastAsia="zh-CN"/>
              </w:rPr>
            </w:pPr>
            <w:r>
              <w:rPr>
                <w:rFonts w:hint="eastAsia"/>
              </w:rPr>
              <w:t>干湿分离</w:t>
            </w:r>
            <w:r>
              <w:rPr>
                <w:rFonts w:hint="eastAsia"/>
                <w:lang w:val="en-US" w:eastAsia="zh-CN"/>
              </w:rPr>
              <w:t>房</w:t>
            </w:r>
          </w:p>
        </w:tc>
        <w:tc>
          <w:tcPr>
            <w:tcW w:w="619" w:type="pct"/>
            <w:vMerge w:val="continue"/>
            <w:vAlign w:val="center"/>
          </w:tcPr>
          <w:p w14:paraId="34E621C2">
            <w:pPr>
              <w:pStyle w:val="19"/>
              <w:bidi w:val="0"/>
            </w:pPr>
          </w:p>
        </w:tc>
        <w:tc>
          <w:tcPr>
            <w:tcW w:w="1694" w:type="pct"/>
            <w:vAlign w:val="center"/>
          </w:tcPr>
          <w:p w14:paraId="52977A00">
            <w:pPr>
              <w:pStyle w:val="19"/>
              <w:bidi w:val="0"/>
            </w:pPr>
            <w:r>
              <w:rPr>
                <w:rFonts w:hint="eastAsia"/>
              </w:rPr>
              <w:t>添加物理吸附剂，喷洒生化除臭剂，粪肥及时清运</w:t>
            </w:r>
          </w:p>
        </w:tc>
        <w:tc>
          <w:tcPr>
            <w:tcW w:w="1724" w:type="pct"/>
            <w:vMerge w:val="continue"/>
            <w:vAlign w:val="center"/>
          </w:tcPr>
          <w:p w14:paraId="277DC96B">
            <w:pPr>
              <w:pStyle w:val="19"/>
              <w:bidi w:val="0"/>
            </w:pPr>
          </w:p>
        </w:tc>
      </w:tr>
      <w:tr w14:paraId="6844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78BB424C">
            <w:pPr>
              <w:pStyle w:val="19"/>
              <w:bidi w:val="0"/>
            </w:pPr>
          </w:p>
        </w:tc>
        <w:tc>
          <w:tcPr>
            <w:tcW w:w="565" w:type="pct"/>
            <w:vAlign w:val="center"/>
          </w:tcPr>
          <w:p w14:paraId="5F61AD6C">
            <w:pPr>
              <w:pStyle w:val="19"/>
              <w:bidi w:val="0"/>
              <w:rPr>
                <w:rFonts w:hint="eastAsia" w:eastAsia="宋体"/>
                <w:lang w:val="en-US" w:eastAsia="zh-CN"/>
              </w:rPr>
            </w:pPr>
            <w:r>
              <w:rPr>
                <w:rFonts w:hint="eastAsia"/>
                <w:lang w:val="en-US" w:eastAsia="zh-CN"/>
              </w:rPr>
              <w:t>锅炉房</w:t>
            </w:r>
          </w:p>
        </w:tc>
        <w:tc>
          <w:tcPr>
            <w:tcW w:w="619" w:type="pct"/>
            <w:vAlign w:val="center"/>
          </w:tcPr>
          <w:p w14:paraId="24DEC32A">
            <w:pPr>
              <w:pStyle w:val="19"/>
              <w:bidi w:val="0"/>
              <w:rPr>
                <w:rFonts w:hint="default" w:eastAsia="宋体"/>
                <w:lang w:val="en-US" w:eastAsia="zh-CN"/>
              </w:rPr>
            </w:pPr>
            <w:r>
              <w:rPr>
                <w:rFonts w:hint="eastAsia"/>
                <w:lang w:val="en-US" w:eastAsia="zh-CN"/>
              </w:rPr>
              <w:t>二氧化硫、氮氧化物、颗粒物</w:t>
            </w:r>
          </w:p>
        </w:tc>
        <w:tc>
          <w:tcPr>
            <w:tcW w:w="1694" w:type="pct"/>
            <w:vAlign w:val="center"/>
          </w:tcPr>
          <w:p w14:paraId="133BC888">
            <w:pPr>
              <w:pStyle w:val="19"/>
              <w:bidi w:val="0"/>
              <w:rPr>
                <w:rFonts w:hint="default" w:eastAsia="宋体"/>
                <w:lang w:val="en-US" w:eastAsia="zh-CN"/>
              </w:rPr>
            </w:pPr>
            <w:r>
              <w:rPr>
                <w:rFonts w:hint="eastAsia"/>
                <w:lang w:val="en-US" w:eastAsia="zh-CN"/>
              </w:rPr>
              <w:t>是否设置低氮燃烧+布袋除尘器+15m排气筒</w:t>
            </w:r>
          </w:p>
        </w:tc>
        <w:tc>
          <w:tcPr>
            <w:tcW w:w="1724" w:type="pct"/>
            <w:vAlign w:val="center"/>
          </w:tcPr>
          <w:p w14:paraId="54B8F060">
            <w:pPr>
              <w:pStyle w:val="19"/>
              <w:bidi w:val="0"/>
              <w:rPr>
                <w:rFonts w:hint="eastAsia" w:eastAsia="宋体"/>
                <w:lang w:eastAsia="zh-CN"/>
              </w:rPr>
            </w:pPr>
            <w:r>
              <w:rPr>
                <w:rFonts w:hint="eastAsia"/>
                <w:lang w:eastAsia="zh-CN"/>
              </w:rPr>
              <w:t>《锅炉大气污染物排放标准》（GB13271-2014）</w:t>
            </w:r>
          </w:p>
        </w:tc>
      </w:tr>
      <w:tr w14:paraId="2EB8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96" w:type="pct"/>
            <w:vMerge w:val="continue"/>
            <w:vAlign w:val="center"/>
          </w:tcPr>
          <w:p w14:paraId="35E720D4">
            <w:pPr>
              <w:pStyle w:val="19"/>
              <w:bidi w:val="0"/>
            </w:pPr>
          </w:p>
        </w:tc>
        <w:tc>
          <w:tcPr>
            <w:tcW w:w="565" w:type="pct"/>
            <w:vAlign w:val="center"/>
          </w:tcPr>
          <w:p w14:paraId="6B9AE86C">
            <w:pPr>
              <w:pStyle w:val="19"/>
              <w:bidi w:val="0"/>
              <w:rPr>
                <w:rFonts w:hint="default"/>
                <w:lang w:val="en-US" w:eastAsia="zh-CN"/>
              </w:rPr>
            </w:pPr>
            <w:r>
              <w:rPr>
                <w:rFonts w:hint="eastAsia"/>
                <w:lang w:val="en-US" w:eastAsia="zh-CN"/>
              </w:rPr>
              <w:t>生物除臭装置</w:t>
            </w:r>
          </w:p>
        </w:tc>
        <w:tc>
          <w:tcPr>
            <w:tcW w:w="619" w:type="pct"/>
            <w:vAlign w:val="center"/>
          </w:tcPr>
          <w:p w14:paraId="14CEA0F6">
            <w:pPr>
              <w:pStyle w:val="19"/>
              <w:bidi w:val="0"/>
            </w:pPr>
            <w:r>
              <w:t>NH</w:t>
            </w:r>
            <w:r>
              <w:rPr>
                <w:vertAlign w:val="subscript"/>
              </w:rPr>
              <w:t>3</w:t>
            </w:r>
            <w:r>
              <w:t>、H</w:t>
            </w:r>
            <w:r>
              <w:rPr>
                <w:vertAlign w:val="subscript"/>
              </w:rPr>
              <w:t>2</w:t>
            </w:r>
            <w:r>
              <w:t>S、臭气浓度</w:t>
            </w:r>
          </w:p>
        </w:tc>
        <w:tc>
          <w:tcPr>
            <w:tcW w:w="1694" w:type="pct"/>
            <w:vAlign w:val="center"/>
          </w:tcPr>
          <w:p w14:paraId="41AF39E1">
            <w:pPr>
              <w:pStyle w:val="19"/>
              <w:bidi w:val="0"/>
              <w:rPr>
                <w:rFonts w:hint="default" w:eastAsia="宋体"/>
                <w:lang w:val="en-US" w:eastAsia="zh-CN"/>
              </w:rPr>
            </w:pPr>
            <w:r>
              <w:rPr>
                <w:rFonts w:hint="eastAsia"/>
                <w:lang w:val="en-US" w:eastAsia="zh-CN"/>
              </w:rPr>
              <w:t>是否设置废气收集系统和15m排气筒</w:t>
            </w:r>
          </w:p>
        </w:tc>
        <w:tc>
          <w:tcPr>
            <w:tcW w:w="1724" w:type="pct"/>
            <w:vAlign w:val="center"/>
          </w:tcPr>
          <w:p w14:paraId="18B8C090">
            <w:pPr>
              <w:pStyle w:val="19"/>
              <w:bidi w:val="0"/>
            </w:pPr>
            <w:r>
              <w:rPr>
                <w:rFonts w:hint="eastAsia"/>
              </w:rPr>
              <w:t>《恶臭污染物排放标准》（GB14554-93）</w:t>
            </w:r>
          </w:p>
        </w:tc>
      </w:tr>
      <w:tr w14:paraId="50CF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14:paraId="2B514019">
            <w:pPr>
              <w:pStyle w:val="19"/>
              <w:bidi w:val="0"/>
            </w:pPr>
            <w:r>
              <w:t>废水</w:t>
            </w:r>
          </w:p>
        </w:tc>
        <w:tc>
          <w:tcPr>
            <w:tcW w:w="565" w:type="pct"/>
            <w:vAlign w:val="center"/>
          </w:tcPr>
          <w:p w14:paraId="061D560C">
            <w:pPr>
              <w:pStyle w:val="19"/>
              <w:bidi w:val="0"/>
            </w:pPr>
            <w:r>
              <w:t>综合废水</w:t>
            </w:r>
          </w:p>
        </w:tc>
        <w:tc>
          <w:tcPr>
            <w:tcW w:w="619" w:type="pct"/>
            <w:vAlign w:val="center"/>
          </w:tcPr>
          <w:p w14:paraId="37804333">
            <w:pPr>
              <w:pStyle w:val="19"/>
              <w:bidi w:val="0"/>
            </w:pPr>
            <w:r>
              <w:rPr>
                <w:rFonts w:hint="eastAsia"/>
              </w:rPr>
              <w:t>COD、BOD</w:t>
            </w:r>
            <w:r>
              <w:rPr>
                <w:rFonts w:hint="eastAsia"/>
                <w:vertAlign w:val="subscript"/>
              </w:rPr>
              <w:t>5</w:t>
            </w:r>
            <w:r>
              <w:rPr>
                <w:rFonts w:hint="eastAsia"/>
              </w:rPr>
              <w:t>、SS、NH</w:t>
            </w:r>
            <w:r>
              <w:rPr>
                <w:rFonts w:hint="eastAsia"/>
                <w:vertAlign w:val="subscript"/>
              </w:rPr>
              <w:t>3</w:t>
            </w:r>
            <w:r>
              <w:rPr>
                <w:rFonts w:hint="eastAsia"/>
              </w:rPr>
              <w:t>-N、TP、粪大肠菌群、蛔虫卵</w:t>
            </w:r>
          </w:p>
        </w:tc>
        <w:tc>
          <w:tcPr>
            <w:tcW w:w="1694" w:type="pct"/>
            <w:vAlign w:val="center"/>
          </w:tcPr>
          <w:p w14:paraId="26970B53">
            <w:pPr>
              <w:pStyle w:val="19"/>
              <w:bidi w:val="0"/>
              <w:rPr>
                <w:rFonts w:hint="default" w:eastAsia="宋体"/>
                <w:lang w:val="en-US" w:eastAsia="zh-CN"/>
              </w:rPr>
            </w:pPr>
            <w:r>
              <w:rPr>
                <w:rFonts w:hint="eastAsia"/>
                <w:lang w:val="en-US" w:eastAsia="zh-CN"/>
              </w:rPr>
              <w:t>污水处理系统工艺：格栅+集水池（沉砂）+固液分离+水解酸化+UASB+SBR+好氧塘储存</w:t>
            </w:r>
          </w:p>
        </w:tc>
        <w:tc>
          <w:tcPr>
            <w:tcW w:w="1724" w:type="pct"/>
            <w:vAlign w:val="center"/>
          </w:tcPr>
          <w:p w14:paraId="1987137B">
            <w:pPr>
              <w:pStyle w:val="19"/>
              <w:bidi w:val="0"/>
            </w:pPr>
            <w:r>
              <w:rPr>
                <w:rFonts w:hint="eastAsia"/>
              </w:rPr>
              <w:t>《粪便无害化卫生要求》（GB7959-2012）中污染物排放标准、《畜禽养殖业污染物排放标准》（GB18596-2001）表6中畜禽养殖业废渣无害化环境标准要求</w:t>
            </w:r>
          </w:p>
        </w:tc>
      </w:tr>
      <w:tr w14:paraId="3D59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14:paraId="2A0A8185">
            <w:pPr>
              <w:pStyle w:val="19"/>
              <w:bidi w:val="0"/>
            </w:pPr>
            <w:r>
              <w:t>噪声</w:t>
            </w:r>
          </w:p>
        </w:tc>
        <w:tc>
          <w:tcPr>
            <w:tcW w:w="565" w:type="pct"/>
            <w:vAlign w:val="center"/>
          </w:tcPr>
          <w:p w14:paraId="56F183BB">
            <w:pPr>
              <w:pStyle w:val="19"/>
              <w:bidi w:val="0"/>
            </w:pPr>
            <w:r>
              <w:t>生产设备</w:t>
            </w:r>
          </w:p>
        </w:tc>
        <w:tc>
          <w:tcPr>
            <w:tcW w:w="619" w:type="pct"/>
            <w:vAlign w:val="center"/>
          </w:tcPr>
          <w:p w14:paraId="4AE4375C">
            <w:pPr>
              <w:pStyle w:val="19"/>
              <w:bidi w:val="0"/>
            </w:pPr>
            <w:r>
              <w:t>噪声</w:t>
            </w:r>
          </w:p>
        </w:tc>
        <w:tc>
          <w:tcPr>
            <w:tcW w:w="1694" w:type="pct"/>
            <w:vAlign w:val="center"/>
          </w:tcPr>
          <w:p w14:paraId="4784D2FC">
            <w:pPr>
              <w:pStyle w:val="19"/>
              <w:bidi w:val="0"/>
            </w:pPr>
            <w:r>
              <w:t>设备基础安装</w:t>
            </w:r>
            <w:r>
              <w:rPr>
                <w:rFonts w:hint="eastAsia"/>
              </w:rPr>
              <w:t>减振</w:t>
            </w:r>
            <w:r>
              <w:t>垫、厂房隔声等</w:t>
            </w:r>
          </w:p>
        </w:tc>
        <w:tc>
          <w:tcPr>
            <w:tcW w:w="1724" w:type="pct"/>
            <w:vAlign w:val="center"/>
          </w:tcPr>
          <w:p w14:paraId="03FCB46D">
            <w:pPr>
              <w:pStyle w:val="19"/>
              <w:bidi w:val="0"/>
            </w:pPr>
            <w:r>
              <w:t>厂界噪声符合《工业企业厂界环境噪声排放标准》（GB12348-2008）2类标准</w:t>
            </w:r>
          </w:p>
        </w:tc>
      </w:tr>
      <w:tr w14:paraId="4E2D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96" w:type="pct"/>
            <w:vMerge w:val="restart"/>
            <w:vAlign w:val="center"/>
          </w:tcPr>
          <w:p w14:paraId="4E16434F">
            <w:pPr>
              <w:pStyle w:val="19"/>
              <w:bidi w:val="0"/>
            </w:pPr>
            <w:r>
              <w:t>固废</w:t>
            </w:r>
          </w:p>
        </w:tc>
        <w:tc>
          <w:tcPr>
            <w:tcW w:w="565" w:type="pct"/>
            <w:vMerge w:val="restart"/>
            <w:vAlign w:val="center"/>
          </w:tcPr>
          <w:p w14:paraId="5091A056">
            <w:pPr>
              <w:pStyle w:val="19"/>
              <w:bidi w:val="0"/>
            </w:pPr>
            <w:r>
              <w:t>医疗废物</w:t>
            </w:r>
          </w:p>
        </w:tc>
        <w:tc>
          <w:tcPr>
            <w:tcW w:w="619" w:type="pct"/>
            <w:vAlign w:val="center"/>
          </w:tcPr>
          <w:p w14:paraId="77CBD2A7">
            <w:pPr>
              <w:pStyle w:val="19"/>
              <w:bidi w:val="0"/>
            </w:pPr>
            <w:r>
              <w:t>医疗废物</w:t>
            </w:r>
          </w:p>
        </w:tc>
        <w:tc>
          <w:tcPr>
            <w:tcW w:w="1694" w:type="pct"/>
            <w:vAlign w:val="center"/>
          </w:tcPr>
          <w:p w14:paraId="57DFDA16">
            <w:pPr>
              <w:pStyle w:val="19"/>
              <w:bidi w:val="0"/>
              <w:rPr>
                <w:rFonts w:hint="eastAsia"/>
                <w:lang w:eastAsia="zh-CN"/>
              </w:rPr>
            </w:pPr>
            <w:r>
              <w:t>设置一间</w:t>
            </w:r>
            <w:r>
              <w:rPr>
                <w:rFonts w:hint="eastAsia"/>
                <w:lang w:eastAsia="zh-CN"/>
              </w:rPr>
              <w:t>危废暂存间</w:t>
            </w:r>
          </w:p>
        </w:tc>
        <w:tc>
          <w:tcPr>
            <w:tcW w:w="1724" w:type="pct"/>
            <w:vMerge w:val="restart"/>
            <w:vAlign w:val="center"/>
          </w:tcPr>
          <w:p w14:paraId="13CB9F33">
            <w:pPr>
              <w:pStyle w:val="19"/>
              <w:bidi w:val="0"/>
            </w:pPr>
            <w:r>
              <w:t>临时储存，安全处置、零排放；符合《危险废物贮存污染控制标准》（GB18597-20</w:t>
            </w:r>
            <w:r>
              <w:rPr>
                <w:rFonts w:hint="eastAsia"/>
              </w:rPr>
              <w:t>23</w:t>
            </w:r>
            <w:r>
              <w:t>）中相关要求及《医疗废物集中处置技术规范（试行）》（环发〔2003〕206号）相关规定</w:t>
            </w:r>
          </w:p>
        </w:tc>
      </w:tr>
      <w:tr w14:paraId="6B79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5A7DA6B3">
            <w:pPr>
              <w:pStyle w:val="19"/>
              <w:bidi w:val="0"/>
            </w:pPr>
          </w:p>
        </w:tc>
        <w:tc>
          <w:tcPr>
            <w:tcW w:w="565" w:type="pct"/>
            <w:vMerge w:val="continue"/>
            <w:vAlign w:val="center"/>
          </w:tcPr>
          <w:p w14:paraId="3E12FB51">
            <w:pPr>
              <w:pStyle w:val="19"/>
              <w:bidi w:val="0"/>
            </w:pPr>
          </w:p>
        </w:tc>
        <w:tc>
          <w:tcPr>
            <w:tcW w:w="619" w:type="pct"/>
            <w:vAlign w:val="center"/>
          </w:tcPr>
          <w:p w14:paraId="1B3C5BBC">
            <w:pPr>
              <w:pStyle w:val="19"/>
              <w:bidi w:val="0"/>
            </w:pPr>
            <w:r>
              <w:t>病死猪</w:t>
            </w:r>
          </w:p>
        </w:tc>
        <w:tc>
          <w:tcPr>
            <w:tcW w:w="1694" w:type="pct"/>
            <w:vAlign w:val="center"/>
          </w:tcPr>
          <w:p w14:paraId="1E537226">
            <w:pPr>
              <w:pStyle w:val="19"/>
              <w:bidi w:val="0"/>
            </w:pPr>
            <w:r>
              <w:rPr>
                <w:rFonts w:hint="eastAsia"/>
              </w:rPr>
              <w:t>交由有资质单位处置</w:t>
            </w:r>
          </w:p>
        </w:tc>
        <w:tc>
          <w:tcPr>
            <w:tcW w:w="1724" w:type="pct"/>
            <w:vMerge w:val="continue"/>
            <w:vAlign w:val="center"/>
          </w:tcPr>
          <w:p w14:paraId="03C5FC5D">
            <w:pPr>
              <w:pStyle w:val="19"/>
              <w:bidi w:val="0"/>
            </w:pPr>
          </w:p>
        </w:tc>
      </w:tr>
      <w:tr w14:paraId="7106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5E30FCF9">
            <w:pPr>
              <w:pStyle w:val="19"/>
              <w:bidi w:val="0"/>
            </w:pPr>
          </w:p>
        </w:tc>
        <w:tc>
          <w:tcPr>
            <w:tcW w:w="1184" w:type="pct"/>
            <w:gridSpan w:val="2"/>
            <w:vAlign w:val="center"/>
          </w:tcPr>
          <w:p w14:paraId="4EF85953">
            <w:pPr>
              <w:pStyle w:val="19"/>
              <w:bidi w:val="0"/>
            </w:pPr>
            <w:r>
              <w:t>生活垃圾</w:t>
            </w:r>
          </w:p>
        </w:tc>
        <w:tc>
          <w:tcPr>
            <w:tcW w:w="1694" w:type="pct"/>
            <w:vAlign w:val="center"/>
          </w:tcPr>
          <w:p w14:paraId="092B1174">
            <w:pPr>
              <w:pStyle w:val="19"/>
              <w:bidi w:val="0"/>
            </w:pPr>
            <w:r>
              <w:rPr>
                <w:rFonts w:hint="eastAsia"/>
              </w:rPr>
              <w:t>集中收集定期转运</w:t>
            </w:r>
          </w:p>
        </w:tc>
        <w:tc>
          <w:tcPr>
            <w:tcW w:w="1724" w:type="pct"/>
            <w:vAlign w:val="center"/>
          </w:tcPr>
          <w:p w14:paraId="7C17A9DB">
            <w:pPr>
              <w:pStyle w:val="19"/>
              <w:bidi w:val="0"/>
            </w:pPr>
            <w:r>
              <w:t>厂内设有垃圾收集桶，收集后委托环卫部门清运处理</w:t>
            </w:r>
          </w:p>
        </w:tc>
      </w:tr>
      <w:tr w14:paraId="3327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14:paraId="145BD894">
            <w:pPr>
              <w:pStyle w:val="19"/>
              <w:bidi w:val="0"/>
            </w:pPr>
          </w:p>
        </w:tc>
        <w:tc>
          <w:tcPr>
            <w:tcW w:w="1184" w:type="pct"/>
            <w:gridSpan w:val="2"/>
            <w:vAlign w:val="center"/>
          </w:tcPr>
          <w:p w14:paraId="42676737">
            <w:pPr>
              <w:pStyle w:val="19"/>
              <w:bidi w:val="0"/>
            </w:pPr>
            <w:r>
              <w:rPr>
                <w:rFonts w:hint="eastAsia"/>
              </w:rPr>
              <w:t>堆</w:t>
            </w:r>
            <w:r>
              <w:rPr>
                <w:rFonts w:hint="eastAsia"/>
                <w:lang w:val="en-US" w:eastAsia="zh-CN"/>
              </w:rPr>
              <w:t>肥</w:t>
            </w:r>
            <w:r>
              <w:rPr>
                <w:rFonts w:hint="eastAsia"/>
              </w:rPr>
              <w:t>场</w:t>
            </w:r>
          </w:p>
        </w:tc>
        <w:tc>
          <w:tcPr>
            <w:tcW w:w="1694" w:type="pct"/>
            <w:vAlign w:val="center"/>
          </w:tcPr>
          <w:p w14:paraId="207C1F5F">
            <w:pPr>
              <w:pStyle w:val="19"/>
              <w:bidi w:val="0"/>
            </w:pPr>
            <w:r>
              <w:rPr>
                <w:rFonts w:hint="eastAsia"/>
              </w:rPr>
              <w:t>/</w:t>
            </w:r>
          </w:p>
        </w:tc>
        <w:tc>
          <w:tcPr>
            <w:tcW w:w="1724" w:type="pct"/>
            <w:vAlign w:val="center"/>
          </w:tcPr>
          <w:p w14:paraId="4DD9A39A">
            <w:pPr>
              <w:pStyle w:val="19"/>
              <w:bidi w:val="0"/>
            </w:pPr>
            <w:r>
              <w:t>规范化封闭</w:t>
            </w:r>
            <w:r>
              <w:rPr>
                <w:rFonts w:hint="eastAsia"/>
              </w:rPr>
              <w:t>堆粪场</w:t>
            </w:r>
          </w:p>
        </w:tc>
      </w:tr>
    </w:tbl>
    <w:p w14:paraId="4DBC88FB">
      <w:pPr>
        <w:pStyle w:val="26"/>
        <w:bidi w:val="0"/>
        <w:rPr>
          <w:rFonts w:hint="eastAsia"/>
          <w:lang w:val="en-US" w:eastAsia="zh-CN"/>
        </w:rPr>
      </w:pPr>
      <w:bookmarkStart w:id="42" w:name="_Toc21983"/>
      <w:r>
        <w:rPr>
          <w:rFonts w:hint="eastAsia"/>
          <w:lang w:val="en-US" w:eastAsia="zh-CN"/>
        </w:rPr>
        <w:t>与排污许可制度的衔接</w:t>
      </w:r>
      <w:bookmarkEnd w:id="42"/>
    </w:p>
    <w:p w14:paraId="73740E73">
      <w:pPr>
        <w:bidi w:val="0"/>
        <w:rPr>
          <w:rFonts w:hint="eastAsia"/>
          <w:lang w:val="en-US" w:eastAsia="zh-CN"/>
        </w:rPr>
      </w:pPr>
      <w:r>
        <w:rPr>
          <w:rFonts w:hint="eastAsia"/>
          <w:lang w:val="en-US" w:eastAsia="zh-CN"/>
        </w:rPr>
        <w:t>环境影响评价制度是建设项目的环境准入门槛，排污许可制是企事业单位生产运营期排污的法律依据，必须做好充分衔接，实现从污染预防到污染治理和排放控制的全过程监管。</w:t>
      </w:r>
    </w:p>
    <w:p w14:paraId="1CD56AC9">
      <w:pPr>
        <w:bidi w:val="0"/>
        <w:rPr>
          <w:rFonts w:hint="eastAsia"/>
          <w:lang w:val="en-US" w:eastAsia="zh-CN"/>
        </w:rPr>
      </w:pPr>
      <w:r>
        <w:rPr>
          <w:rFonts w:hint="eastAsia"/>
          <w:lang w:val="en-US" w:eastAsia="zh-CN"/>
        </w:rPr>
        <w:t>根据《环境保护部关于印发〈“十三五 ”环境影响评价改革实施方案〉的通知》（环环评〔2016〕95号）、《国务院办公厅关于印发控制污染物排放许可制实施方案的通知》（国办发〔2016〕81号）及环保部《关于做好环境影响评价制度与排污许可制衔接相关工作的通知》（环办环评〔2017〕84号）中的相关要求，按行业分步实现对固定污染源的排污许可全覆盖，率先对火电、造纸行业企业核发排污许可证，2017年完成《大气污染防治行动计划》和《水污染防治行动计划》重点行业及产能过剩行业企业排污许可证核发，2020年全国基本完成排污许可证核发。</w:t>
      </w:r>
    </w:p>
    <w:p w14:paraId="0E411DD9">
      <w:pPr>
        <w:bidi w:val="0"/>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lang w:val="en-US" w:eastAsia="zh-CN"/>
        </w:rPr>
        <w:t>建设单位应严格执行上述要求，按照环境影响评价文件及批复和中《排污许可证申请与核发技术规范 畜禽养殖行业）》（HJ1029-2019与污染物排放相关的内容申领排污许可证。</w:t>
      </w:r>
    </w:p>
    <w:p w14:paraId="54031FC1">
      <w:pPr>
        <w:pStyle w:val="25"/>
        <w:bidi w:val="0"/>
        <w:rPr>
          <w:rFonts w:hint="default"/>
          <w:lang w:val="en-US" w:eastAsia="zh-CN"/>
        </w:rPr>
      </w:pPr>
      <w:bookmarkStart w:id="43" w:name="_Toc11348"/>
      <w:r>
        <w:rPr>
          <w:rFonts w:hint="eastAsia"/>
          <w:lang w:val="en-US" w:eastAsia="zh-CN"/>
        </w:rPr>
        <w:t>环境影响评价结论</w:t>
      </w:r>
      <w:bookmarkEnd w:id="43"/>
    </w:p>
    <w:p w14:paraId="01B0A646">
      <w:pPr>
        <w:pStyle w:val="26"/>
        <w:bidi w:val="0"/>
        <w:rPr>
          <w:rFonts w:hint="eastAsia"/>
          <w:lang w:val="en-US" w:eastAsia="zh-CN"/>
        </w:rPr>
      </w:pPr>
      <w:bookmarkStart w:id="44" w:name="_Toc7767"/>
      <w:r>
        <w:rPr>
          <w:rFonts w:hint="eastAsia"/>
          <w:lang w:val="en-US" w:eastAsia="zh-CN"/>
        </w:rPr>
        <w:t>建设项目基本情况</w:t>
      </w:r>
      <w:bookmarkEnd w:id="44"/>
    </w:p>
    <w:p w14:paraId="7BFEC604">
      <w:pPr>
        <w:bidi w:val="0"/>
        <w:rPr>
          <w:rFonts w:hint="default"/>
          <w:vertAlign w:val="baseline"/>
          <w:lang w:val="en-US" w:eastAsia="zh-CN"/>
        </w:rPr>
      </w:pPr>
      <w:r>
        <w:rPr>
          <w:rFonts w:hint="eastAsia"/>
          <w:lang w:val="en-US" w:eastAsia="zh-CN"/>
        </w:rPr>
        <w:t>胡杨河市明源农业发展有限公司投资建设的胡杨河市明源农业发展有限公司年出栏10万头生猪养殖项目位于第七师129团13连东北偏北方向3.5km处的未利用地，占地面为218666.66m</w:t>
      </w:r>
      <w:r>
        <w:rPr>
          <w:rFonts w:hint="eastAsia"/>
          <w:vertAlign w:val="superscript"/>
          <w:lang w:val="en-US" w:eastAsia="zh-CN"/>
        </w:rPr>
        <w:t>2</w:t>
      </w:r>
      <w:r>
        <w:rPr>
          <w:rFonts w:hint="eastAsia"/>
          <w:vertAlign w:val="baseline"/>
          <w:lang w:val="en-US" w:eastAsia="zh-CN"/>
        </w:rPr>
        <w:t>，</w:t>
      </w:r>
      <w:r>
        <w:rPr>
          <w:rFonts w:hint="eastAsia"/>
          <w:highlight w:val="none"/>
          <w:lang w:val="en-US" w:eastAsia="zh-CN"/>
        </w:rPr>
        <w:t>建设40栋圈舍，安装智能饲喂系统，自动环控，自动料线；新建生物质锅炉3台，污水处理池2座，办公室2座、宿舍5座、食堂2座等配套设施；道路、绿化等附属工程。设计生猪的年出栏量为10万头。</w:t>
      </w:r>
      <w:r>
        <w:rPr>
          <w:rFonts w:hint="eastAsia"/>
          <w:lang w:val="en-US" w:eastAsia="zh-CN"/>
        </w:rPr>
        <w:t>项目总投资18000万元，</w:t>
      </w:r>
      <w:r>
        <w:rPr>
          <w:rFonts w:hint="eastAsia"/>
          <w:highlight w:val="none"/>
          <w:lang w:val="en-US" w:eastAsia="zh-CN"/>
        </w:rPr>
        <w:t>其中环保投资为872.5万元，占总投资比例4.85%，</w:t>
      </w:r>
      <w:r>
        <w:rPr>
          <w:rFonts w:hint="eastAsia"/>
          <w:lang w:val="en-US" w:eastAsia="zh-CN"/>
        </w:rPr>
        <w:t>均为企业自筹资金。</w:t>
      </w:r>
      <w:r>
        <w:rPr>
          <w:rFonts w:hint="eastAsia"/>
          <w:highlight w:val="none"/>
          <w:lang w:val="en-US" w:eastAsia="zh-CN"/>
        </w:rPr>
        <w:t>项目已取得新疆生产建设兵团第七师发展和改革委员会出具的《新疆生产建设兵团投资项目备案证》（师市发改备〔2023〕37号）。项目代码为2312-660700-04-01-926056。</w:t>
      </w:r>
    </w:p>
    <w:p w14:paraId="0553BC63">
      <w:pPr>
        <w:pStyle w:val="26"/>
        <w:bidi w:val="0"/>
        <w:rPr>
          <w:rFonts w:hint="default"/>
          <w:lang w:val="en-US" w:eastAsia="zh-CN"/>
        </w:rPr>
      </w:pPr>
      <w:bookmarkStart w:id="45" w:name="_Toc6620"/>
      <w:r>
        <w:rPr>
          <w:rFonts w:hint="eastAsia"/>
          <w:lang w:val="en-US" w:eastAsia="zh-CN"/>
        </w:rPr>
        <w:t>产业政策符合性</w:t>
      </w:r>
      <w:bookmarkEnd w:id="45"/>
    </w:p>
    <w:p w14:paraId="65EFD476">
      <w:pPr>
        <w:bidi w:val="0"/>
        <w:rPr>
          <w:rFonts w:hint="default"/>
          <w:lang w:val="en-US" w:eastAsia="zh-CN"/>
        </w:rPr>
      </w:pPr>
      <w:r>
        <w:rPr>
          <w:rFonts w:hint="eastAsia"/>
          <w:lang w:val="en-US" w:eastAsia="zh-CN"/>
        </w:rPr>
        <w:t>本项目属于《产业结构调整指导目录（2024年本）》中第一类鼓励类中“一、农林牧渔业-14、现代畜牧业及水产生态健康养殖”。项目符合国家产业政策要求。</w:t>
      </w:r>
    </w:p>
    <w:p w14:paraId="211029E9">
      <w:pPr>
        <w:pStyle w:val="26"/>
        <w:bidi w:val="0"/>
        <w:rPr>
          <w:rFonts w:hint="default"/>
          <w:lang w:val="en-US" w:eastAsia="zh-CN"/>
        </w:rPr>
      </w:pPr>
      <w:bookmarkStart w:id="46" w:name="_Toc23953"/>
      <w:r>
        <w:rPr>
          <w:rFonts w:hint="eastAsia"/>
          <w:lang w:val="en-US" w:eastAsia="zh-CN"/>
        </w:rPr>
        <w:t>环境质量现状</w:t>
      </w:r>
      <w:bookmarkEnd w:id="46"/>
    </w:p>
    <w:p w14:paraId="696AD0E4">
      <w:pPr>
        <w:pStyle w:val="27"/>
        <w:bidi w:val="0"/>
        <w:rPr>
          <w:rFonts w:hint="default"/>
          <w:lang w:val="en-US" w:eastAsia="zh-CN"/>
        </w:rPr>
      </w:pPr>
      <w:r>
        <w:rPr>
          <w:rFonts w:hint="eastAsia"/>
          <w:lang w:val="en-US" w:eastAsia="zh-CN"/>
        </w:rPr>
        <w:t>大气环境</w:t>
      </w:r>
    </w:p>
    <w:p w14:paraId="47F69507">
      <w:pPr>
        <w:bidi w:val="0"/>
      </w:pPr>
      <w:r>
        <w:rPr>
          <w:rFonts w:hint="eastAsia"/>
          <w:lang w:val="en-US" w:eastAsia="zh-CN"/>
        </w:rPr>
        <w:t>①</w:t>
      </w:r>
      <w:r>
        <w:t>本项目所在区域</w:t>
      </w:r>
      <w:r>
        <w:rPr>
          <w:rFonts w:hint="eastAsia"/>
        </w:rPr>
        <w:t>各个污染物</w:t>
      </w:r>
      <w:r>
        <w:t>的</w:t>
      </w:r>
      <w:r>
        <w:rPr>
          <w:rFonts w:hint="eastAsia"/>
        </w:rPr>
        <w:t>年评价指标均满足《环境空气质量标准》（GB</w:t>
      </w:r>
      <w:r>
        <w:t>3095-2012</w:t>
      </w:r>
      <w:r>
        <w:rPr>
          <w:rFonts w:hint="eastAsia"/>
        </w:rPr>
        <w:t>）中的二级标准</w:t>
      </w:r>
      <w:r>
        <w:rPr>
          <w:rFonts w:hint="eastAsia"/>
          <w:lang w:eastAsia="zh-CN"/>
        </w:rPr>
        <w:t>，</w:t>
      </w:r>
      <w:r>
        <w:t>所在区域环境空气质量为达标区。</w:t>
      </w:r>
    </w:p>
    <w:p w14:paraId="57935C7D">
      <w:pPr>
        <w:bidi w:val="0"/>
        <w:rPr>
          <w:rFonts w:hint="default" w:eastAsia="宋体"/>
          <w:lang w:val="en-US" w:eastAsia="zh-CN"/>
        </w:rPr>
      </w:pPr>
      <w:r>
        <w:rPr>
          <w:rFonts w:hint="eastAsia"/>
          <w:lang w:val="en-US" w:eastAsia="zh-CN"/>
        </w:rPr>
        <w:t>②补充监测中，各监测点NH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S均满足《环境影响评价技术导则 大气环境》（HJ2.2-2018）附录D中标准，臭气浓度满足《畜禽养殖产地环境评价规范》（HJ568-2010）表5畜禽养殖场和养殖小区环境空气质量评价指标限值。</w:t>
      </w:r>
    </w:p>
    <w:p w14:paraId="4EB1B218">
      <w:pPr>
        <w:pStyle w:val="27"/>
        <w:bidi w:val="0"/>
        <w:rPr>
          <w:rFonts w:hint="default"/>
          <w:lang w:val="en-US" w:eastAsia="zh-CN"/>
        </w:rPr>
      </w:pPr>
      <w:r>
        <w:rPr>
          <w:rFonts w:hint="eastAsia"/>
          <w:lang w:val="en-US" w:eastAsia="zh-CN"/>
        </w:rPr>
        <w:t>地下水环境</w:t>
      </w:r>
    </w:p>
    <w:p w14:paraId="2B1FF845">
      <w:pPr>
        <w:bidi w:val="0"/>
        <w:rPr>
          <w:rFonts w:hint="eastAsia"/>
          <w:lang w:val="en-US" w:eastAsia="zh-CN"/>
        </w:rPr>
      </w:pPr>
      <w:r>
        <w:rPr>
          <w:rFonts w:hint="eastAsia"/>
          <w:lang w:val="en-US" w:eastAsia="zh-CN"/>
        </w:rPr>
        <w:t>本项目地下水各监测点监测因子满足《地下水质量标准》（GB/T14848-2017）中</w:t>
      </w:r>
      <w:r>
        <w:rPr>
          <w:rFonts w:hint="default" w:ascii="Times New Roman" w:hAnsi="Times New Roman" w:cs="Times New Roman"/>
          <w:lang w:val="en-US" w:eastAsia="zh-CN"/>
        </w:rPr>
        <w:t>Ⅲ</w:t>
      </w:r>
      <w:r>
        <w:rPr>
          <w:rFonts w:hint="eastAsia"/>
          <w:lang w:val="en-US" w:eastAsia="zh-CN"/>
        </w:rPr>
        <w:t>类标准的要求。</w:t>
      </w:r>
    </w:p>
    <w:p w14:paraId="3AFD0023">
      <w:pPr>
        <w:pStyle w:val="27"/>
        <w:bidi w:val="0"/>
        <w:rPr>
          <w:rFonts w:hint="default"/>
          <w:lang w:val="en-US" w:eastAsia="zh-CN"/>
        </w:rPr>
      </w:pPr>
      <w:r>
        <w:rPr>
          <w:rFonts w:hint="eastAsia"/>
          <w:lang w:val="en-US" w:eastAsia="zh-CN"/>
        </w:rPr>
        <w:t>声环境</w:t>
      </w:r>
    </w:p>
    <w:p w14:paraId="6A96E928">
      <w:pPr>
        <w:bidi w:val="0"/>
        <w:rPr>
          <w:rFonts w:hint="eastAsia"/>
          <w:lang w:val="en-US" w:eastAsia="zh-CN"/>
        </w:rPr>
      </w:pPr>
      <w:r>
        <w:t>项目区厂界四周噪声值均可达到《声环境质量标准》（GB3096-2008）</w:t>
      </w:r>
      <w:r>
        <w:rPr>
          <w:rFonts w:hint="eastAsia"/>
          <w:lang w:val="en-US" w:eastAsia="zh-CN"/>
        </w:rPr>
        <w:t>2</w:t>
      </w:r>
      <w:r>
        <w:t>类标准限值要求</w:t>
      </w:r>
      <w:r>
        <w:rPr>
          <w:rFonts w:hint="eastAsia"/>
        </w:rPr>
        <w:t>，本项目声环境</w:t>
      </w:r>
      <w:r>
        <w:t>质量良好。</w:t>
      </w:r>
    </w:p>
    <w:p w14:paraId="150309C5">
      <w:pPr>
        <w:pStyle w:val="27"/>
        <w:bidi w:val="0"/>
        <w:rPr>
          <w:rFonts w:hint="default"/>
          <w:lang w:val="en-US" w:eastAsia="zh-CN"/>
        </w:rPr>
      </w:pPr>
      <w:r>
        <w:rPr>
          <w:rFonts w:hint="eastAsia"/>
          <w:lang w:val="en-US" w:eastAsia="zh-CN"/>
        </w:rPr>
        <w:t>土壤环境</w:t>
      </w:r>
    </w:p>
    <w:p w14:paraId="026F27BA">
      <w:pPr>
        <w:bidi w:val="0"/>
        <w:rPr>
          <w:rFonts w:hint="eastAsia"/>
          <w:lang w:val="en-US" w:eastAsia="zh-CN"/>
        </w:rPr>
      </w:pPr>
      <w:r>
        <w:rPr>
          <w:rFonts w:hint="eastAsia"/>
          <w:lang w:val="en-US" w:eastAsia="zh-CN"/>
        </w:rPr>
        <w:t>根据监测点检测值，本项目的土壤质量满足《畜禽养殖产地环境评价规范》（HJ568-2010）中的表4放牧区和畜禽养殖场、养殖小区土壤环境质量评价指标限值。</w:t>
      </w:r>
    </w:p>
    <w:p w14:paraId="52192DC8">
      <w:pPr>
        <w:pStyle w:val="26"/>
        <w:bidi w:val="0"/>
        <w:rPr>
          <w:rFonts w:hint="default"/>
          <w:lang w:val="en-US" w:eastAsia="zh-CN"/>
        </w:rPr>
      </w:pPr>
      <w:bookmarkStart w:id="47" w:name="_Toc11986"/>
      <w:r>
        <w:rPr>
          <w:rFonts w:hint="eastAsia"/>
          <w:lang w:val="en-US" w:eastAsia="zh-CN"/>
        </w:rPr>
        <w:t>环境影响分析</w:t>
      </w:r>
      <w:bookmarkEnd w:id="47"/>
    </w:p>
    <w:p w14:paraId="2F5CC5E7">
      <w:pPr>
        <w:bidi w:val="0"/>
      </w:pPr>
      <w:bookmarkStart w:id="48" w:name="_Toc957"/>
      <w:r>
        <w:t>（1）大气环境影响</w:t>
      </w:r>
      <w:bookmarkEnd w:id="48"/>
    </w:p>
    <w:p w14:paraId="48AE6B21">
      <w:pPr>
        <w:bidi w:val="0"/>
      </w:pPr>
      <w:r>
        <w:t>养殖场大气污染物主要是粪便产生的臭气，臭气主要成分为H2S、NH3。对于恶臭污染物的排放，在采取将粪便及时清运、科学设计日粮、提高饲料利用率、合理使用饲料添加剂、配置除臭设施、加强恶臭污染源管理、设置卫生防护距离、合理布局等措施后，对周围环境的影响不大。</w:t>
      </w:r>
    </w:p>
    <w:p w14:paraId="53B5F48C">
      <w:pPr>
        <w:bidi w:val="0"/>
      </w:pPr>
      <w:bookmarkStart w:id="49" w:name="_Toc11855"/>
      <w:r>
        <w:t>（2）水环境影响</w:t>
      </w:r>
      <w:bookmarkEnd w:id="49"/>
    </w:p>
    <w:p w14:paraId="3B2B6AB5">
      <w:pPr>
        <w:bidi w:val="0"/>
      </w:pPr>
      <w:r>
        <w:t>本工程排水主要为养殖废水（猪尿、猪舍冲洗水、粪污滤液）及员工生活污水。养殖场产生的粪污经过《</w:t>
      </w:r>
      <w:r>
        <w:rPr>
          <w:rFonts w:hint="eastAsia"/>
        </w:rPr>
        <w:t>《畜禽养殖业污染治理工程技术规范》（HJ497-2009）中列明的处理模</w:t>
      </w:r>
      <w:r>
        <w:t>式</w:t>
      </w:r>
      <w:r>
        <w:rPr>
          <w:rFonts w:hint="default"/>
        </w:rPr>
        <w:t>Ⅲ</w:t>
      </w:r>
      <w:r>
        <w:t>，采用</w:t>
      </w:r>
      <w:r>
        <w:rPr>
          <w:rFonts w:hint="eastAsia"/>
        </w:rPr>
        <w:t>“</w:t>
      </w:r>
      <w:r>
        <w:rPr>
          <w:rFonts w:hint="eastAsia"/>
          <w:lang w:val="en-US" w:eastAsia="zh-CN"/>
        </w:rPr>
        <w:t>格栅+集水池（沉砂）+固液分离+水解酸化+UASB+SBR+好氧塘储存</w:t>
      </w:r>
      <w:r>
        <w:rPr>
          <w:rFonts w:hint="eastAsia"/>
        </w:rPr>
        <w:t>”</w:t>
      </w:r>
      <w:r>
        <w:t>工艺无害化处理后，</w:t>
      </w:r>
      <w:r>
        <w:rPr>
          <w:rFonts w:hint="eastAsia"/>
          <w:lang w:val="en-US" w:eastAsia="zh-CN"/>
        </w:rPr>
        <w:t>委托129团农业发展中心定期清运处理，厂区不设置排放口</w:t>
      </w:r>
      <w:r>
        <w:t>。</w:t>
      </w:r>
    </w:p>
    <w:p w14:paraId="564C2576">
      <w:pPr>
        <w:bidi w:val="0"/>
      </w:pPr>
      <w:bookmarkStart w:id="50" w:name="_Toc3115"/>
      <w:r>
        <w:t>（3）声环境影响</w:t>
      </w:r>
      <w:bookmarkEnd w:id="50"/>
    </w:p>
    <w:p w14:paraId="3CAF857A">
      <w:pPr>
        <w:bidi w:val="0"/>
      </w:pPr>
      <w:r>
        <w:rPr>
          <w:rFonts w:hint="eastAsia"/>
          <w:lang w:val="en-US" w:eastAsia="zh-CN"/>
        </w:rPr>
        <w:t>本</w:t>
      </w:r>
      <w:r>
        <w:t>项目建成后，噪声源对厂界的贡献值满足《工业企业厂界环境噪声排放标准》（GB12348-2008）2类标准要求</w:t>
      </w:r>
      <w:r>
        <w:rPr>
          <w:rFonts w:hint="eastAsia"/>
          <w:lang w:eastAsia="zh-CN"/>
        </w:rPr>
        <w:t>，</w:t>
      </w:r>
      <w:r>
        <w:rPr>
          <w:rFonts w:hint="eastAsia"/>
          <w:lang w:val="en-US" w:eastAsia="zh-CN"/>
        </w:rPr>
        <w:t>对周围声环境影响较小</w:t>
      </w:r>
      <w:r>
        <w:t>。</w:t>
      </w:r>
    </w:p>
    <w:p w14:paraId="47371BA1">
      <w:pPr>
        <w:bidi w:val="0"/>
      </w:pPr>
      <w:bookmarkStart w:id="51" w:name="_Toc12688"/>
      <w:r>
        <w:t>（4）固体废物</w:t>
      </w:r>
      <w:r>
        <w:rPr>
          <w:rFonts w:hint="eastAsia"/>
        </w:rPr>
        <w:t>环境</w:t>
      </w:r>
      <w:r>
        <w:t>影响</w:t>
      </w:r>
      <w:bookmarkEnd w:id="51"/>
    </w:p>
    <w:p w14:paraId="5D4F9159">
      <w:pPr>
        <w:bidi w:val="0"/>
        <w:rPr>
          <w:rFonts w:hint="eastAsia"/>
          <w:lang w:val="en-US" w:eastAsia="zh-CN"/>
        </w:rPr>
      </w:pPr>
      <w:r>
        <w:rPr>
          <w:rFonts w:hint="eastAsia"/>
          <w:lang w:val="en-US" w:eastAsia="zh-CN"/>
        </w:rPr>
        <w:t>本</w:t>
      </w:r>
      <w:r>
        <w:t>项目所有固体废物均得到妥善处置和综合利用，不直接排入外环境，不会对</w:t>
      </w:r>
      <w:r>
        <w:rPr>
          <w:rFonts w:hint="eastAsia"/>
        </w:rPr>
        <w:t>周边环境</w:t>
      </w:r>
      <w:r>
        <w:t>产生不良影响。</w:t>
      </w:r>
    </w:p>
    <w:p w14:paraId="6BB351C9">
      <w:pPr>
        <w:pStyle w:val="26"/>
        <w:bidi w:val="0"/>
        <w:rPr>
          <w:rFonts w:hint="eastAsia"/>
          <w:lang w:val="en-US" w:eastAsia="zh-CN"/>
        </w:rPr>
      </w:pPr>
      <w:bookmarkStart w:id="52" w:name="_Toc26726"/>
      <w:r>
        <w:rPr>
          <w:rFonts w:hint="eastAsia"/>
          <w:lang w:val="en-US" w:eastAsia="zh-CN"/>
        </w:rPr>
        <w:t>环境保护措施</w:t>
      </w:r>
      <w:bookmarkEnd w:id="52"/>
    </w:p>
    <w:p w14:paraId="0365F425">
      <w:pPr>
        <w:bidi w:val="0"/>
      </w:pPr>
      <w:bookmarkStart w:id="53" w:name="_Toc15118"/>
      <w:r>
        <w:t>（1）废气</w:t>
      </w:r>
      <w:bookmarkEnd w:id="53"/>
    </w:p>
    <w:p w14:paraId="02E84B85">
      <w:pPr>
        <w:bidi w:val="0"/>
      </w:pPr>
      <w:r>
        <w:t>猪舍用采全漏缝地板免水冲工艺，</w:t>
      </w:r>
      <w:r>
        <w:rPr>
          <w:rFonts w:hint="eastAsia"/>
        </w:rPr>
        <w:t>日粮中投放EM菌剂等有益微生物复合剂、</w:t>
      </w:r>
      <w:r>
        <w:t>猪舍等区域</w:t>
      </w:r>
      <w:r>
        <w:rPr>
          <w:rFonts w:hint="eastAsia"/>
        </w:rPr>
        <w:t>采用风扇通风</w:t>
      </w:r>
      <w:r>
        <w:t>喷洒植物型除臭剂，等措施处理后，满</w:t>
      </w:r>
      <w:r>
        <w:rPr>
          <w:rFonts w:hint="eastAsia"/>
        </w:rPr>
        <w:t>足《恶臭污染物排放标准》（GB14554-93）中新污染源二级标准限值后达标排放；堆</w:t>
      </w:r>
      <w:r>
        <w:rPr>
          <w:rFonts w:hint="eastAsia"/>
          <w:lang w:val="en-US" w:eastAsia="zh-CN"/>
        </w:rPr>
        <w:t>肥</w:t>
      </w:r>
      <w:r>
        <w:rPr>
          <w:rFonts w:hint="eastAsia"/>
        </w:rPr>
        <w:t>场、</w:t>
      </w:r>
      <w:r>
        <w:rPr>
          <w:rFonts w:hint="eastAsia"/>
          <w:lang w:val="en-US" w:eastAsia="zh-CN"/>
        </w:rPr>
        <w:t>粪污处理池</w:t>
      </w:r>
      <w:r>
        <w:rPr>
          <w:rFonts w:hint="eastAsia"/>
        </w:rPr>
        <w:t>、干湿分离</w:t>
      </w:r>
      <w:r>
        <w:rPr>
          <w:rFonts w:hint="eastAsia"/>
          <w:lang w:val="en-US" w:eastAsia="zh-CN"/>
        </w:rPr>
        <w:t>房</w:t>
      </w:r>
      <w:r>
        <w:rPr>
          <w:rFonts w:hint="eastAsia"/>
        </w:rPr>
        <w:t>采用喷洒生物除臭剂，</w:t>
      </w:r>
      <w:r>
        <w:t>满足</w:t>
      </w:r>
      <w:r>
        <w:rPr>
          <w:rFonts w:hint="eastAsia"/>
        </w:rPr>
        <w:t>《恶臭污染物排放标准》（GB14554-93）中新污染源二级标准</w:t>
      </w:r>
      <w:r>
        <w:t>限值后达标排放。</w:t>
      </w:r>
    </w:p>
    <w:p w14:paraId="7E851802">
      <w:pPr>
        <w:bidi w:val="0"/>
        <w:rPr>
          <w:rFonts w:hint="default"/>
          <w:lang w:val="en-US" w:eastAsia="zh-CN"/>
        </w:rPr>
      </w:pPr>
      <w:r>
        <w:rPr>
          <w:rFonts w:hint="eastAsia"/>
          <w:lang w:val="en-US" w:eastAsia="zh-CN"/>
        </w:rPr>
        <w:t>生物质锅炉采取低氮燃烧+布袋除尘器+15m排气筒的处理工艺，经处理后的锅炉烟气满足《锅炉大气污染物排放标准》（GB13271-2014）表2中的燃煤锅炉标准限值。</w:t>
      </w:r>
    </w:p>
    <w:p w14:paraId="0F944925">
      <w:pPr>
        <w:bidi w:val="0"/>
        <w:rPr>
          <w:rFonts w:hint="default"/>
          <w:lang w:val="en-US" w:eastAsia="zh-CN"/>
        </w:rPr>
      </w:pPr>
      <w:r>
        <w:rPr>
          <w:rFonts w:hint="eastAsia"/>
          <w:lang w:val="en-US" w:eastAsia="zh-CN"/>
        </w:rPr>
        <w:t>堆肥场封闭，恶臭气体经收集系统收集后送生物除臭装置处理后经15m排气筒排放，废气中污染因子满足</w:t>
      </w:r>
      <w:r>
        <w:rPr>
          <w:rFonts w:hint="eastAsia"/>
        </w:rPr>
        <w:t>《恶臭污染物排放标准》（GB14554-93）</w:t>
      </w:r>
      <w:r>
        <w:rPr>
          <w:rFonts w:hint="eastAsia"/>
          <w:lang w:val="en-US" w:eastAsia="zh-CN"/>
        </w:rPr>
        <w:t>的标准限值。</w:t>
      </w:r>
    </w:p>
    <w:p w14:paraId="59BC36C4">
      <w:pPr>
        <w:bidi w:val="0"/>
      </w:pPr>
      <w:r>
        <w:t>综上，废气采取以上措施是可行的，可使建项目废气排放控制在环保标准要求范围内。</w:t>
      </w:r>
    </w:p>
    <w:p w14:paraId="2DAE6F7D">
      <w:pPr>
        <w:bidi w:val="0"/>
      </w:pPr>
      <w:bookmarkStart w:id="54" w:name="_Toc24337"/>
      <w:r>
        <w:t>（2）废水</w:t>
      </w:r>
      <w:bookmarkEnd w:id="54"/>
    </w:p>
    <w:p w14:paraId="6D461AF6">
      <w:pPr>
        <w:bidi w:val="0"/>
      </w:pPr>
      <w:r>
        <w:t>本项目废水主要包括养殖废水（猪舍的冲洗废水、猪粪尿、粪污滤液）及员工生活污水。养殖废水与生活污水采用</w:t>
      </w:r>
      <w:r>
        <w:rPr>
          <w:rFonts w:hint="eastAsia"/>
        </w:rPr>
        <w:t>“</w:t>
      </w:r>
      <w:r>
        <w:rPr>
          <w:rFonts w:hint="eastAsia"/>
          <w:lang w:val="en-US" w:eastAsia="zh-CN"/>
        </w:rPr>
        <w:t>格栅+集水池（沉砂）+固液分离+水解酸化+UASB+SBR+好氧塘储存</w:t>
      </w:r>
      <w:r>
        <w:rPr>
          <w:rFonts w:hint="eastAsia"/>
        </w:rPr>
        <w:t>”</w:t>
      </w:r>
      <w:r>
        <w:rPr>
          <w:rFonts w:hint="eastAsia"/>
          <w:lang w:val="en-US" w:eastAsia="zh-CN"/>
        </w:rPr>
        <w:t>工艺</w:t>
      </w:r>
      <w:r>
        <w:t>处理后，</w:t>
      </w:r>
      <w:r>
        <w:rPr>
          <w:rFonts w:hint="eastAsia"/>
          <w:lang w:val="en-US" w:eastAsia="zh-CN"/>
        </w:rPr>
        <w:t>委托129团农业发展中心定期清运处理</w:t>
      </w:r>
      <w:r>
        <w:t>，不外排。</w:t>
      </w:r>
    </w:p>
    <w:p w14:paraId="5DB9ABE4">
      <w:pPr>
        <w:bidi w:val="0"/>
      </w:pPr>
      <w:r>
        <w:t>综上，废水采取以上措施处理是可行的，可使项目废水排放控制在环保标准要求范围内。</w:t>
      </w:r>
    </w:p>
    <w:p w14:paraId="68364712">
      <w:pPr>
        <w:bidi w:val="0"/>
      </w:pPr>
      <w:bookmarkStart w:id="55" w:name="_Toc23223"/>
      <w:r>
        <w:t>（3）噪声</w:t>
      </w:r>
      <w:bookmarkEnd w:id="55"/>
    </w:p>
    <w:p w14:paraId="21C6E33F">
      <w:pPr>
        <w:bidi w:val="0"/>
      </w:pPr>
      <w:r>
        <w:t>工程中采取的噪声污染控制措施如下：</w:t>
      </w:r>
    </w:p>
    <w:p w14:paraId="0464CA82">
      <w:pPr>
        <w:bidi w:val="0"/>
      </w:pPr>
      <w:r>
        <w:t>①在设备选型上尽可能选用低噪声设备。</w:t>
      </w:r>
    </w:p>
    <w:p w14:paraId="4099C2FE">
      <w:pPr>
        <w:bidi w:val="0"/>
      </w:pPr>
      <w:r>
        <w:t>②对噪声大的设备安装消声器和隔声罩。</w:t>
      </w:r>
    </w:p>
    <w:p w14:paraId="60DF5F5E">
      <w:pPr>
        <w:bidi w:val="0"/>
      </w:pPr>
      <w:r>
        <w:t>③在建筑设计上采取隔声、吸音等降噪措施。</w:t>
      </w:r>
    </w:p>
    <w:p w14:paraId="650896A4">
      <w:pPr>
        <w:bidi w:val="0"/>
      </w:pPr>
      <w:r>
        <w:t>④在总图布置上，将噪声大的设备尽可能安排在远离厂界的位置，且集中布置于室内。</w:t>
      </w:r>
    </w:p>
    <w:p w14:paraId="6464E39B">
      <w:pPr>
        <w:bidi w:val="0"/>
      </w:pPr>
      <w:r>
        <w:t>采取措施后厂界噪声能达《</w:t>
      </w:r>
      <w:r>
        <w:rPr>
          <w:rFonts w:hint="eastAsia"/>
        </w:rPr>
        <w:t>工业企业厂界环境噪声排放标准</w:t>
      </w:r>
      <w:r>
        <w:t>》（GB12348-2008）中的标准中的2类标准要求。</w:t>
      </w:r>
    </w:p>
    <w:p w14:paraId="62E9B3BE">
      <w:pPr>
        <w:bidi w:val="0"/>
      </w:pPr>
      <w:r>
        <w:t>综上，噪声采取以上措施处理是可行的，可使建项目噪声排放控制在环保标准要求范围内。</w:t>
      </w:r>
    </w:p>
    <w:p w14:paraId="7245E421">
      <w:pPr>
        <w:bidi w:val="0"/>
      </w:pPr>
      <w:bookmarkStart w:id="56" w:name="_Toc13476"/>
      <w:r>
        <w:t>（4）固体废物</w:t>
      </w:r>
      <w:bookmarkEnd w:id="56"/>
    </w:p>
    <w:p w14:paraId="30EAD73C">
      <w:pPr>
        <w:bidi w:val="0"/>
      </w:pPr>
      <w:r>
        <w:t>猪粪集中清运至</w:t>
      </w:r>
      <w:r>
        <w:rPr>
          <w:rFonts w:hint="eastAsia"/>
        </w:rPr>
        <w:t>堆</w:t>
      </w:r>
      <w:r>
        <w:rPr>
          <w:rFonts w:hint="eastAsia"/>
          <w:lang w:val="en-US" w:eastAsia="zh-CN"/>
        </w:rPr>
        <w:t>肥</w:t>
      </w:r>
      <w:r>
        <w:rPr>
          <w:rFonts w:hint="eastAsia"/>
        </w:rPr>
        <w:t>场</w:t>
      </w:r>
      <w:r>
        <w:t>发酵处理，经腐熟无害化后</w:t>
      </w:r>
      <w:r>
        <w:rPr>
          <w:rFonts w:hint="eastAsia"/>
          <w:lang w:val="en-US" w:eastAsia="zh-CN"/>
        </w:rPr>
        <w:t>作为粪肥还田利用</w:t>
      </w:r>
      <w:r>
        <w:t>；病死猪尸体</w:t>
      </w:r>
      <w:r>
        <w:rPr>
          <w:rFonts w:hint="eastAsia"/>
        </w:rPr>
        <w:t>交由有资质单位</w:t>
      </w:r>
      <w:r>
        <w:t>进行处理；医疗废物暂存于</w:t>
      </w:r>
      <w:r>
        <w:rPr>
          <w:rFonts w:hint="eastAsia"/>
          <w:lang w:eastAsia="zh-CN"/>
        </w:rPr>
        <w:t>危废暂存间</w:t>
      </w:r>
      <w:r>
        <w:t>，定期交由资质单位处置；</w:t>
      </w:r>
      <w:r>
        <w:rPr>
          <w:rFonts w:hint="eastAsia"/>
          <w:lang w:eastAsia="zh-CN"/>
        </w:rPr>
        <w:t>沼渣</w:t>
      </w:r>
      <w:r>
        <w:t>与发酵后的猪粪一起</w:t>
      </w:r>
      <w:r>
        <w:rPr>
          <w:rFonts w:hint="eastAsia"/>
          <w:lang w:val="en-US" w:eastAsia="zh-CN"/>
        </w:rPr>
        <w:t>堆肥处理</w:t>
      </w:r>
      <w:r>
        <w:t>；生活垃圾集中收集后，定期委托环卫部门统一清运至五家渠垃圾填埋场。</w:t>
      </w:r>
    </w:p>
    <w:p w14:paraId="6CB8A7CE">
      <w:pPr>
        <w:bidi w:val="0"/>
        <w:rPr>
          <w:rFonts w:hint="eastAsia"/>
          <w:lang w:val="en-US" w:eastAsia="zh-CN"/>
        </w:rPr>
      </w:pPr>
      <w:r>
        <w:t>综上，</w:t>
      </w:r>
      <w:r>
        <w:rPr>
          <w:rFonts w:hint="eastAsia"/>
          <w:lang w:val="en-US" w:eastAsia="zh-CN"/>
        </w:rPr>
        <w:t>固体废物</w:t>
      </w:r>
      <w:r>
        <w:t>在采取以上措施处理后，可使建项目固废排放控制在环保标准要求范围内。</w:t>
      </w:r>
    </w:p>
    <w:p w14:paraId="7CF55385">
      <w:pPr>
        <w:pStyle w:val="26"/>
        <w:bidi w:val="0"/>
        <w:rPr>
          <w:rFonts w:hint="eastAsia"/>
          <w:lang w:val="en-US" w:eastAsia="zh-CN"/>
        </w:rPr>
      </w:pPr>
      <w:bookmarkStart w:id="57" w:name="_Toc27733"/>
      <w:r>
        <w:rPr>
          <w:rFonts w:hint="eastAsia"/>
          <w:lang w:val="en-US" w:eastAsia="zh-CN"/>
        </w:rPr>
        <w:t>环境影响经济损益分析</w:t>
      </w:r>
      <w:bookmarkEnd w:id="57"/>
    </w:p>
    <w:p w14:paraId="2F1CD5E1">
      <w:pPr>
        <w:bidi w:val="0"/>
        <w:rPr>
          <w:rFonts w:hint="eastAsia"/>
          <w:lang w:val="en-US" w:eastAsia="zh-CN"/>
        </w:rPr>
      </w:pPr>
      <w:r>
        <w:rPr>
          <w:color w:val="000000" w:themeColor="text1"/>
          <w:highlight w:val="none"/>
          <w14:textFill>
            <w14:solidFill>
              <w14:schemeClr w14:val="tx1"/>
            </w14:solidFill>
          </w14:textFill>
        </w:rPr>
        <w:t>本项目环保投资估算为</w:t>
      </w:r>
      <w:r>
        <w:rPr>
          <w:rFonts w:hint="eastAsia"/>
          <w:color w:val="000000" w:themeColor="text1"/>
          <w:highlight w:val="none"/>
          <w:lang w:val="en-US" w:eastAsia="zh-CN"/>
          <w14:textFill>
            <w14:solidFill>
              <w14:schemeClr w14:val="tx1"/>
            </w14:solidFill>
          </w14:textFill>
        </w:rPr>
        <w:t>872.5</w:t>
      </w:r>
      <w:r>
        <w:rPr>
          <w:color w:val="000000" w:themeColor="text1"/>
          <w:highlight w:val="none"/>
          <w14:textFill>
            <w14:solidFill>
              <w14:schemeClr w14:val="tx1"/>
            </w14:solidFill>
          </w14:textFill>
        </w:rPr>
        <w:t>万元，用于对项目所产生污染物的治理，环保投资占总投资的</w:t>
      </w:r>
      <w:r>
        <w:rPr>
          <w:rFonts w:hint="eastAsia"/>
          <w:color w:val="000000" w:themeColor="text1"/>
          <w:highlight w:val="none"/>
          <w:lang w:val="en-US" w:eastAsia="zh-CN"/>
          <w14:textFill>
            <w14:solidFill>
              <w14:schemeClr w14:val="tx1"/>
            </w14:solidFill>
          </w14:textFill>
        </w:rPr>
        <w:t>4.85</w:t>
      </w:r>
      <w:r>
        <w:rPr>
          <w:color w:val="000000" w:themeColor="text1"/>
          <w:highlight w:val="none"/>
          <w14:textFill>
            <w14:solidFill>
              <w14:schemeClr w14:val="tx1"/>
            </w14:solidFill>
          </w14:textFill>
        </w:rPr>
        <w:t>%。在采取各项合理的环保措施后可在很大程度上减免项目建设、运营对环境造成的不利影响。项目环境保护费用可视为恢复环境质量所花费的费用，实现了环境效益和经济效益的统一。</w:t>
      </w:r>
    </w:p>
    <w:p w14:paraId="54723018">
      <w:pPr>
        <w:pStyle w:val="26"/>
        <w:bidi w:val="0"/>
        <w:rPr>
          <w:rFonts w:hint="eastAsia"/>
          <w:lang w:val="en-US" w:eastAsia="zh-CN"/>
        </w:rPr>
      </w:pPr>
      <w:bookmarkStart w:id="58" w:name="_Toc25713"/>
      <w:r>
        <w:rPr>
          <w:rFonts w:hint="eastAsia"/>
          <w:lang w:val="en-US" w:eastAsia="zh-CN"/>
        </w:rPr>
        <w:t>环境管理与监测计划</w:t>
      </w:r>
      <w:bookmarkEnd w:id="58"/>
    </w:p>
    <w:p w14:paraId="5A12FBC1">
      <w:pPr>
        <w:bidi w:val="0"/>
        <w:rPr>
          <w:rFonts w:hint="eastAsia"/>
          <w:lang w:val="en-US" w:eastAsia="zh-CN"/>
        </w:rPr>
      </w:pPr>
      <w:r>
        <w:rPr>
          <w:rFonts w:hint="eastAsia"/>
          <w:lang w:val="en-US" w:eastAsia="zh-CN"/>
        </w:rPr>
        <w:t>通过建立环境管理体系，规范企业管理、落实环境管理职责，确保各项环保设施的正常运转；通过定期对环保设施及废气、废水、噪声等污染源情况进行监测，做到达标排放，同时对废气、废水、噪声防治设施进行监督检查，保证正常运行。</w:t>
      </w:r>
    </w:p>
    <w:p w14:paraId="15F6A831">
      <w:pPr>
        <w:pStyle w:val="26"/>
        <w:bidi w:val="0"/>
        <w:rPr>
          <w:rFonts w:hint="default"/>
          <w:lang w:val="en-US" w:eastAsia="zh-CN"/>
        </w:rPr>
      </w:pPr>
      <w:bookmarkStart w:id="59" w:name="_Toc28305"/>
      <w:r>
        <w:rPr>
          <w:rFonts w:hint="eastAsia"/>
          <w:lang w:val="en-US" w:eastAsia="zh-CN"/>
        </w:rPr>
        <w:t>总量控制指标</w:t>
      </w:r>
      <w:bookmarkEnd w:id="59"/>
    </w:p>
    <w:p w14:paraId="5EFFBE0E">
      <w:pPr>
        <w:bidi w:val="0"/>
        <w:rPr>
          <w:rFonts w:hint="default"/>
          <w:lang w:val="en-US" w:eastAsia="zh-CN"/>
        </w:rPr>
      </w:pPr>
      <w:r>
        <w:rPr>
          <w:rFonts w:hint="eastAsia"/>
          <w:lang w:val="en-US" w:eastAsia="zh-CN"/>
        </w:rPr>
        <w:t>本项目生物质锅炉污染物污染物排放情况为颗粒物：0.0285t/a、二氧化硫9.69t/a、氮氧化物4.0698t/a；废水经处理手委托清运，不外排。</w:t>
      </w:r>
    </w:p>
    <w:p w14:paraId="2765D3C7">
      <w:pPr>
        <w:bidi w:val="0"/>
        <w:rPr>
          <w:rFonts w:hint="default"/>
          <w:lang w:val="en-US" w:eastAsia="zh-CN"/>
        </w:rPr>
      </w:pPr>
      <w:r>
        <w:rPr>
          <w:rFonts w:hint="eastAsia"/>
          <w:lang w:val="en-US" w:eastAsia="zh-CN"/>
        </w:rPr>
        <w:t>综上所述，本项目的总量控制指标为氮氧化物4.0698t/a。</w:t>
      </w:r>
    </w:p>
    <w:p w14:paraId="6669ABE2">
      <w:pPr>
        <w:pStyle w:val="26"/>
        <w:bidi w:val="0"/>
        <w:rPr>
          <w:rFonts w:hint="default"/>
          <w:lang w:val="en-US" w:eastAsia="zh-CN"/>
        </w:rPr>
      </w:pPr>
      <w:bookmarkStart w:id="60" w:name="_Toc15944"/>
      <w:r>
        <w:rPr>
          <w:rFonts w:hint="eastAsia"/>
          <w:lang w:val="en-US" w:eastAsia="zh-CN"/>
        </w:rPr>
        <w:t>公众参与采纳情况</w:t>
      </w:r>
      <w:bookmarkEnd w:id="60"/>
    </w:p>
    <w:p w14:paraId="40ADB0E4">
      <w:pPr>
        <w:bidi w:val="0"/>
        <w:rPr>
          <w:rFonts w:hint="eastAsia"/>
          <w:lang w:val="en-US" w:eastAsia="zh-CN"/>
        </w:rPr>
      </w:pPr>
      <w:r>
        <w:rPr>
          <w:rFonts w:hint="eastAsia"/>
          <w:lang w:val="en-US" w:eastAsia="zh-CN"/>
        </w:rPr>
        <w:t>本次评价公众参与采用张贴公告、网上公示、报纸公示等多种形式公开环境信息，广泛征求评价范围内受影响群众的意见。公示期间未收到公众对项目的建设的反对意见。</w:t>
      </w:r>
    </w:p>
    <w:p w14:paraId="3C51582A">
      <w:pPr>
        <w:pStyle w:val="26"/>
        <w:bidi w:val="0"/>
        <w:rPr>
          <w:rFonts w:hint="default"/>
          <w:lang w:val="en-US" w:eastAsia="zh-CN"/>
        </w:rPr>
      </w:pPr>
      <w:bookmarkStart w:id="61" w:name="_Toc29835"/>
      <w:r>
        <w:rPr>
          <w:rFonts w:hint="eastAsia"/>
          <w:lang w:val="en-US" w:eastAsia="zh-CN"/>
        </w:rPr>
        <w:t>结论</w:t>
      </w:r>
      <w:bookmarkEnd w:id="61"/>
    </w:p>
    <w:p w14:paraId="4F3F5492">
      <w:pPr>
        <w:bidi w:val="0"/>
        <w:rPr>
          <w:rFonts w:hint="eastAsia"/>
          <w:lang w:val="en-US" w:eastAsia="zh-CN"/>
        </w:rPr>
      </w:pPr>
      <w:r>
        <w:rPr>
          <w:rFonts w:hint="eastAsia"/>
          <w:lang w:val="en-US" w:eastAsia="zh-CN"/>
        </w:rPr>
        <w:t>本项目符合国家和地方相关产业政策。本项目选址于第七师129团13连，选址符合区域规划；建设项目工艺成熟，设备先进，物耗、能耗及污染物排放量较低；项目建设和运行过程中要切实落实环评中提出的有关环境保护对策，同时严格执行“三同时”制度，做到各污染物的达标排放，对周围环境影响较小，不会降低区域环境功能；本项目在采取有效的事故防范，减缓措施后项目的环境风险水平是可以接受的；同时项目社会效益、经济效益较好，且在开展环境影响评价公众参与公示公告过程中未收到公众通过网络、电话及书信等方式提出的意见。</w:t>
      </w:r>
    </w:p>
    <w:p w14:paraId="540254BA">
      <w:pPr>
        <w:bidi w:val="0"/>
        <w:rPr>
          <w:rFonts w:hint="eastAsia"/>
          <w:lang w:val="en-US" w:eastAsia="zh-CN"/>
        </w:rPr>
      </w:pPr>
      <w:r>
        <w:rPr>
          <w:rFonts w:hint="eastAsia"/>
          <w:lang w:val="en-US" w:eastAsia="zh-CN"/>
        </w:rPr>
        <w:t>综上所述，建设单位落实好相应的污染治理措施，保证污染源达标排放的情况下，从环境保护的角度分析，本项目的建设是可行的。</w:t>
      </w:r>
    </w:p>
    <w:p w14:paraId="28C6E22C">
      <w:pPr>
        <w:pStyle w:val="2"/>
        <w:rPr>
          <w:rFonts w:hint="eastAsia"/>
          <w:lang w:val="en-US" w:eastAsia="zh-CN"/>
        </w:rPr>
      </w:pPr>
    </w:p>
    <w:p w14:paraId="01E2B453">
      <w:pPr>
        <w:rPr>
          <w:rFonts w:hint="eastAsia"/>
          <w:lang w:val="en-US" w:eastAsia="zh-CN"/>
        </w:rPr>
        <w:sectPr>
          <w:pgSz w:w="11906" w:h="16838"/>
          <w:pgMar w:top="1440" w:right="1800" w:bottom="1440" w:left="1800" w:header="794" w:footer="794" w:gutter="0"/>
          <w:pgBorders>
            <w:top w:val="none" w:sz="0" w:space="0"/>
            <w:left w:val="none" w:sz="0" w:space="0"/>
            <w:bottom w:val="none" w:sz="0" w:space="0"/>
            <w:right w:val="none" w:sz="0" w:space="0"/>
          </w:pgBorders>
          <w:pgNumType w:fmt="numberInDash"/>
          <w:cols w:space="720" w:num="1"/>
          <w:docGrid w:type="lines" w:linePitch="312" w:charSpace="0"/>
        </w:sectPr>
      </w:pPr>
    </w:p>
    <w:p w14:paraId="70959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bookmarkStart w:id="62" w:name="_GoBack"/>
      <w:bookmarkEnd w:id="62"/>
    </w:p>
    <w:sectPr>
      <w:headerReference r:id="rId9" w:type="default"/>
      <w:footerReference r:id="rId10" w:type="default"/>
      <w:pgSz w:w="16838" w:h="11906" w:orient="landscape"/>
      <w:pgMar w:top="1270" w:right="1803" w:bottom="1270" w:left="1803" w:header="794" w:footer="79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Segoe UI Emoji">
    <w:altName w:val="Segoe UI"/>
    <w:panose1 w:val="020B0502040204020203"/>
    <w:charset w:val="00"/>
    <w:family w:val="swiss"/>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Segoe UI">
    <w:panose1 w:val="020B0502040204020203"/>
    <w:charset w:val="00"/>
    <w:family w:val="auto"/>
    <w:pitch w:val="default"/>
    <w:sig w:usb0="E10022FF" w:usb1="C000E47F" w:usb2="00000029" w:usb3="00000000" w:csb0="200001DF" w:csb1="20000000"/>
  </w:font>
  <w:font w:name="Kingsoft Symbol">
    <w:panose1 w:val="0500010001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8BCB0">
    <w:pPr>
      <w:pStyle w:val="14"/>
      <w:keepNext w:val="0"/>
      <w:keepLines w:val="0"/>
      <w:pageBreakBefore w:val="0"/>
      <w:widowControl w:val="0"/>
      <w:kinsoku/>
      <w:wordWrap/>
      <w:overflowPunct/>
      <w:topLinePunct w:val="0"/>
      <w:bidi w:val="0"/>
      <w:adjustRightInd/>
      <w:snapToGrid w:val="0"/>
      <w:ind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121350">
                          <w:pPr>
                            <w:pStyle w:val="1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uruPvdAQAAvwMAAA4AAAAAAAAA&#10;AQAgAAAAHgEAAGRycy9lMm9Eb2MueG1sUEsFBgAAAAAGAAYAWQEAAG0FAAAAAA==&#10;">
              <v:fill on="f" focussize="0,0"/>
              <v:stroke on="f"/>
              <v:imagedata o:title=""/>
              <o:lock v:ext="edit" aspectratio="f"/>
              <v:textbox inset="0mm,0mm,0mm,0mm" style="mso-fit-shape-to-text:t;">
                <w:txbxContent>
                  <w:p w14:paraId="0C121350">
                    <w:pPr>
                      <w:pStyle w:val="1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C398F">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0A693">
                          <w:pPr>
                            <w:pStyle w:val="1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bl6hA3gEAAL8DAAAOAAAAAAAA&#10;AAEAIAAAAB4BAABkcnMvZTJvRG9jLnhtbFBLBQYAAAAABgAGAFkBAABuBQAAAAA=&#10;">
              <v:fill on="f" focussize="0,0"/>
              <v:stroke on="f"/>
              <v:imagedata o:title=""/>
              <o:lock v:ext="edit" aspectratio="f"/>
              <v:textbox inset="0mm,0mm,0mm,0mm" style="mso-fit-shape-to-text:t;">
                <w:txbxContent>
                  <w:p w14:paraId="5B60A693">
                    <w:pPr>
                      <w:pStyle w:val="1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D5D3E">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B11DB7">
                          <w:pPr>
                            <w:pStyle w:val="1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qOxskBAACa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YKo7GyQEAAJoDAAAOAAAAAAAAAAEAIAAAAB4BAABkcnMvZTJvRG9j&#10;LnhtbFBLBQYAAAAABgAGAFkBAABZBQAAAAA=&#10;">
              <v:fill on="f" focussize="0,0"/>
              <v:stroke on="f"/>
              <v:imagedata o:title=""/>
              <o:lock v:ext="edit" aspectratio="f"/>
              <v:textbox inset="0mm,0mm,0mm,0mm" style="mso-fit-shape-to-text:t;">
                <w:txbxContent>
                  <w:p w14:paraId="27B11DB7">
                    <w:pPr>
                      <w:pStyle w:val="1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D334C">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D755">
    <w:pPr>
      <w:pStyle w:val="15"/>
      <w:keepNext w:val="0"/>
      <w:keepLines w:val="0"/>
      <w:pageBreakBefore w:val="0"/>
      <w:widowControl w:val="0"/>
      <w:pBdr>
        <w:bottom w:val="thickThinSmallGap" w:color="auto" w:sz="12" w:space="1"/>
      </w:pBdr>
      <w:kinsoku/>
      <w:wordWrap/>
      <w:overflowPunct/>
      <w:topLinePunct w:val="0"/>
      <w:bidi w:val="0"/>
      <w:adjustRightInd/>
      <w:snapToGrid w:val="0"/>
      <w:ind w:firstLine="0" w:firstLineChars="0"/>
      <w:jc w:val="center"/>
      <w:textAlignment w:val="auto"/>
      <w:rPr>
        <w:sz w:val="21"/>
        <w:szCs w:val="21"/>
        <w:u w:val="none"/>
        <w:bdr w:val="single" w:color="auto" w:sz="4" w:space="0"/>
      </w:rPr>
    </w:pPr>
    <w:r>
      <w:rPr>
        <w:rFonts w:hint="eastAsia"/>
        <w:sz w:val="21"/>
        <w:szCs w:val="21"/>
        <w:u w:val="none"/>
      </w:rPr>
      <w:t>胡杨河市明源农业发展有限公司年出栏10万头生猪养殖项目环境影响报告书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581E5">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B47A0"/>
    <w:multiLevelType w:val="singleLevel"/>
    <w:tmpl w:val="809B47A0"/>
    <w:lvl w:ilvl="0" w:tentative="0">
      <w:start w:val="1"/>
      <w:numFmt w:val="decimal"/>
      <w:suff w:val="nothing"/>
      <w:lvlText w:val="%1"/>
      <w:lvlJc w:val="left"/>
      <w:pPr>
        <w:ind w:left="0" w:leftChars="0" w:firstLine="0" w:firstLineChars="0"/>
      </w:pPr>
      <w:rPr>
        <w:rFonts w:hint="default"/>
      </w:rPr>
    </w:lvl>
  </w:abstractNum>
  <w:abstractNum w:abstractNumId="1">
    <w:nsid w:val="99669BB9"/>
    <w:multiLevelType w:val="singleLevel"/>
    <w:tmpl w:val="99669BB9"/>
    <w:lvl w:ilvl="0" w:tentative="0">
      <w:start w:val="1"/>
      <w:numFmt w:val="decimal"/>
      <w:suff w:val="nothing"/>
      <w:lvlText w:val="（%1）"/>
      <w:lvlJc w:val="left"/>
    </w:lvl>
  </w:abstractNum>
  <w:abstractNum w:abstractNumId="2">
    <w:nsid w:val="9C89840B"/>
    <w:multiLevelType w:val="multilevel"/>
    <w:tmpl w:val="9C89840B"/>
    <w:lvl w:ilvl="0" w:tentative="0">
      <w:start w:val="1"/>
      <w:numFmt w:val="decimal"/>
      <w:pStyle w:val="25"/>
      <w:isLgl/>
      <w:suff w:val="space"/>
      <w:lvlText w:val="%1"/>
      <w:lvlJc w:val="left"/>
      <w:pPr>
        <w:tabs>
          <w:tab w:val="left" w:pos="420"/>
        </w:tabs>
        <w:ind w:left="0" w:firstLine="0"/>
      </w:pPr>
      <w:rPr>
        <w:rFonts w:hint="default"/>
      </w:rPr>
    </w:lvl>
    <w:lvl w:ilvl="1" w:tentative="0">
      <w:start w:val="1"/>
      <w:numFmt w:val="decimal"/>
      <w:pStyle w:val="26"/>
      <w:isLgl/>
      <w:suff w:val="space"/>
      <w:lvlText w:val="%1.%2"/>
      <w:lvlJc w:val="left"/>
      <w:pPr>
        <w:tabs>
          <w:tab w:val="left" w:pos="420"/>
        </w:tabs>
        <w:ind w:left="0" w:firstLine="0"/>
      </w:pPr>
      <w:rPr>
        <w:rFonts w:hint="default"/>
      </w:rPr>
    </w:lvl>
    <w:lvl w:ilvl="2" w:tentative="0">
      <w:start w:val="1"/>
      <w:numFmt w:val="decimal"/>
      <w:pStyle w:val="27"/>
      <w:isLgl/>
      <w:suff w:val="space"/>
      <w:lvlText w:val="%1.%2.%3"/>
      <w:lvlJc w:val="left"/>
      <w:pPr>
        <w:tabs>
          <w:tab w:val="left" w:pos="420"/>
        </w:tabs>
        <w:ind w:left="0" w:firstLine="0"/>
      </w:pPr>
      <w:rPr>
        <w:rFonts w:hint="default"/>
      </w:rPr>
    </w:lvl>
    <w:lvl w:ilvl="3" w:tentative="0">
      <w:start w:val="1"/>
      <w:numFmt w:val="decimal"/>
      <w:pStyle w:val="28"/>
      <w:isLgl/>
      <w:suff w:val="space"/>
      <w:lvlText w:val="%1.%2.%3.%4"/>
      <w:lvlJc w:val="left"/>
      <w:pPr>
        <w:tabs>
          <w:tab w:val="left" w:pos="420"/>
        </w:tabs>
        <w:ind w:left="0" w:firstLine="0"/>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
    <w:nsid w:val="C97BD886"/>
    <w:multiLevelType w:val="singleLevel"/>
    <w:tmpl w:val="C97BD886"/>
    <w:lvl w:ilvl="0" w:tentative="0">
      <w:start w:val="1"/>
      <w:numFmt w:val="decimal"/>
      <w:suff w:val="nothing"/>
      <w:lvlText w:val="（%1）"/>
      <w:lvlJc w:val="left"/>
    </w:lvl>
  </w:abstractNum>
  <w:abstractNum w:abstractNumId="4">
    <w:nsid w:val="D67CCAD2"/>
    <w:multiLevelType w:val="singleLevel"/>
    <w:tmpl w:val="D67CCAD2"/>
    <w:lvl w:ilvl="0" w:tentative="0">
      <w:start w:val="15"/>
      <w:numFmt w:val="decimal"/>
      <w:suff w:val="nothing"/>
      <w:lvlText w:val="（%1）"/>
      <w:lvlJc w:val="left"/>
    </w:lvl>
  </w:abstractNum>
  <w:abstractNum w:abstractNumId="5">
    <w:nsid w:val="DE494FFF"/>
    <w:multiLevelType w:val="singleLevel"/>
    <w:tmpl w:val="DE494FFF"/>
    <w:lvl w:ilvl="0" w:tentative="0">
      <w:start w:val="1"/>
      <w:numFmt w:val="decimal"/>
      <w:suff w:val="nothing"/>
      <w:lvlText w:val="%1"/>
      <w:lvlJc w:val="left"/>
      <w:pPr>
        <w:ind w:left="0" w:firstLine="0"/>
      </w:pPr>
      <w:rPr>
        <w:rFonts w:hint="default"/>
      </w:rPr>
    </w:lvl>
  </w:abstractNum>
  <w:abstractNum w:abstractNumId="6">
    <w:nsid w:val="FF72CB99"/>
    <w:multiLevelType w:val="singleLevel"/>
    <w:tmpl w:val="FF72CB99"/>
    <w:lvl w:ilvl="0" w:tentative="0">
      <w:start w:val="1"/>
      <w:numFmt w:val="decimal"/>
      <w:suff w:val="nothing"/>
      <w:lvlText w:val="（%1）"/>
      <w:lvlJc w:val="left"/>
    </w:lvl>
  </w:abstractNum>
  <w:abstractNum w:abstractNumId="7">
    <w:nsid w:val="151B1E14"/>
    <w:multiLevelType w:val="singleLevel"/>
    <w:tmpl w:val="151B1E14"/>
    <w:lvl w:ilvl="0" w:tentative="0">
      <w:start w:val="1"/>
      <w:numFmt w:val="decimal"/>
      <w:suff w:val="nothing"/>
      <w:lvlText w:val="（%1）"/>
      <w:lvlJc w:val="left"/>
    </w:lvl>
  </w:abstractNum>
  <w:abstractNum w:abstractNumId="8">
    <w:nsid w:val="151CC098"/>
    <w:multiLevelType w:val="multilevel"/>
    <w:tmpl w:val="151CC098"/>
    <w:lvl w:ilvl="0" w:tentative="0">
      <w:start w:val="1"/>
      <w:numFmt w:val="decimal"/>
      <w:pStyle w:val="3"/>
      <w:lvlText w:val="%1."/>
      <w:lvlJc w:val="left"/>
      <w:pPr>
        <w:ind w:left="432" w:hanging="432"/>
      </w:pPr>
      <w:rPr>
        <w:rFonts w:hint="default"/>
      </w:rPr>
    </w:lvl>
    <w:lvl w:ilvl="1" w:tentative="0">
      <w:start w:val="1"/>
      <w:numFmt w:val="decimal"/>
      <w:isLgl/>
      <w:suff w:val="space"/>
      <w:lvlText w:val="%1.%2."/>
      <w:lvlJc w:val="left"/>
      <w:pPr>
        <w:tabs>
          <w:tab w:val="left" w:pos="420"/>
        </w:tabs>
        <w:ind w:left="57" w:hanging="57"/>
      </w:pPr>
      <w:rPr>
        <w:rFonts w:hint="default"/>
      </w:rPr>
    </w:lvl>
    <w:lvl w:ilvl="2" w:tentative="0">
      <w:start w:val="1"/>
      <w:numFmt w:val="decimal"/>
      <w:isLgl/>
      <w:suff w:val="space"/>
      <w:lvlText w:val="%1.%2.%3."/>
      <w:lvlJc w:val="left"/>
      <w:pPr>
        <w:tabs>
          <w:tab w:val="left" w:pos="420"/>
        </w:tabs>
        <w:ind w:left="57" w:hanging="57"/>
      </w:pPr>
      <w:rPr>
        <w:rFonts w:hint="default"/>
      </w:rPr>
    </w:lvl>
    <w:lvl w:ilvl="3" w:tentative="0">
      <w:start w:val="1"/>
      <w:numFmt w:val="decimal"/>
      <w:suff w:val="space"/>
      <w:lvlText w:val="%1.%2.%3.%4."/>
      <w:lvlJc w:val="left"/>
      <w:pPr>
        <w:tabs>
          <w:tab w:val="left" w:pos="420"/>
        </w:tabs>
        <w:ind w:left="57" w:hanging="57"/>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9">
    <w:nsid w:val="3E241CE4"/>
    <w:multiLevelType w:val="multilevel"/>
    <w:tmpl w:val="3E241CE4"/>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E802566"/>
    <w:multiLevelType w:val="singleLevel"/>
    <w:tmpl w:val="3E802566"/>
    <w:lvl w:ilvl="0" w:tentative="0">
      <w:start w:val="1"/>
      <w:numFmt w:val="decimal"/>
      <w:suff w:val="nothing"/>
      <w:lvlText w:val="（%1）"/>
      <w:lvlJc w:val="left"/>
    </w:lvl>
  </w:abstractNum>
  <w:abstractNum w:abstractNumId="11">
    <w:nsid w:val="62290096"/>
    <w:multiLevelType w:val="multilevel"/>
    <w:tmpl w:val="62290096"/>
    <w:lvl w:ilvl="0" w:tentative="0">
      <w:start w:val="1"/>
      <w:numFmt w:val="decimal"/>
      <w:isLgl/>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8"/>
  </w:num>
  <w:num w:numId="2">
    <w:abstractNumId w:val="11"/>
  </w:num>
  <w:num w:numId="3">
    <w:abstractNumId w:val="2"/>
  </w:num>
  <w:num w:numId="4">
    <w:abstractNumId w:val="4"/>
  </w:num>
  <w:num w:numId="5">
    <w:abstractNumId w:val="6"/>
  </w:num>
  <w:num w:numId="6">
    <w:abstractNumId w:val="0"/>
  </w:num>
  <w:num w:numId="7">
    <w:abstractNumId w:val="1"/>
  </w:num>
  <w:num w:numId="8">
    <w:abstractNumId w:val="10"/>
  </w:num>
  <w:num w:numId="9">
    <w:abstractNumId w:val="7"/>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67"/>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jZTQ2MWYyYTY5MDNmZDNlOGVlYzE1OWZlNTE2NTUifQ=="/>
  </w:docVars>
  <w:rsids>
    <w:rsidRoot w:val="00000000"/>
    <w:rsid w:val="000273CC"/>
    <w:rsid w:val="00041942"/>
    <w:rsid w:val="000F2ADD"/>
    <w:rsid w:val="00135DE5"/>
    <w:rsid w:val="0046071E"/>
    <w:rsid w:val="00930024"/>
    <w:rsid w:val="00C1317A"/>
    <w:rsid w:val="00E40880"/>
    <w:rsid w:val="00F21AA8"/>
    <w:rsid w:val="01874535"/>
    <w:rsid w:val="02B0592B"/>
    <w:rsid w:val="02DB675D"/>
    <w:rsid w:val="036127CA"/>
    <w:rsid w:val="03773C2D"/>
    <w:rsid w:val="03A81B72"/>
    <w:rsid w:val="041156A4"/>
    <w:rsid w:val="042F4097"/>
    <w:rsid w:val="044078D5"/>
    <w:rsid w:val="04C16611"/>
    <w:rsid w:val="04DE2019"/>
    <w:rsid w:val="05613CA3"/>
    <w:rsid w:val="057910A2"/>
    <w:rsid w:val="057A690C"/>
    <w:rsid w:val="05FA1671"/>
    <w:rsid w:val="06145E30"/>
    <w:rsid w:val="06A27663"/>
    <w:rsid w:val="06A72A7B"/>
    <w:rsid w:val="07630750"/>
    <w:rsid w:val="07A17782"/>
    <w:rsid w:val="07B61B19"/>
    <w:rsid w:val="07C733D5"/>
    <w:rsid w:val="082450F1"/>
    <w:rsid w:val="083A1002"/>
    <w:rsid w:val="08421167"/>
    <w:rsid w:val="08687FE8"/>
    <w:rsid w:val="08C26A84"/>
    <w:rsid w:val="0900017B"/>
    <w:rsid w:val="0ACA33FF"/>
    <w:rsid w:val="0B8A6422"/>
    <w:rsid w:val="0B947897"/>
    <w:rsid w:val="0BB04180"/>
    <w:rsid w:val="0BFF1D76"/>
    <w:rsid w:val="0C3E503D"/>
    <w:rsid w:val="0C541558"/>
    <w:rsid w:val="0C55076B"/>
    <w:rsid w:val="0C7E427E"/>
    <w:rsid w:val="0C7E7348"/>
    <w:rsid w:val="0CE224D1"/>
    <w:rsid w:val="0D0E439C"/>
    <w:rsid w:val="0DC87888"/>
    <w:rsid w:val="0EE06047"/>
    <w:rsid w:val="0F0629A7"/>
    <w:rsid w:val="0F1F43C2"/>
    <w:rsid w:val="0F245E3C"/>
    <w:rsid w:val="0F5A722B"/>
    <w:rsid w:val="0F9256C4"/>
    <w:rsid w:val="1042486E"/>
    <w:rsid w:val="1066305F"/>
    <w:rsid w:val="1076580D"/>
    <w:rsid w:val="107F4121"/>
    <w:rsid w:val="112D0235"/>
    <w:rsid w:val="11804BC4"/>
    <w:rsid w:val="11901EDC"/>
    <w:rsid w:val="11D41978"/>
    <w:rsid w:val="11D6564C"/>
    <w:rsid w:val="11D7749D"/>
    <w:rsid w:val="12B61BEB"/>
    <w:rsid w:val="12FA35D5"/>
    <w:rsid w:val="12FC46B9"/>
    <w:rsid w:val="14551D69"/>
    <w:rsid w:val="14675615"/>
    <w:rsid w:val="14AA654F"/>
    <w:rsid w:val="14B97B82"/>
    <w:rsid w:val="156E0820"/>
    <w:rsid w:val="157E2C40"/>
    <w:rsid w:val="158B190C"/>
    <w:rsid w:val="158D2FD4"/>
    <w:rsid w:val="15CF16A7"/>
    <w:rsid w:val="15DB7E54"/>
    <w:rsid w:val="160324B0"/>
    <w:rsid w:val="163C139B"/>
    <w:rsid w:val="16421BF9"/>
    <w:rsid w:val="16B0402A"/>
    <w:rsid w:val="17BD64C9"/>
    <w:rsid w:val="18443BE5"/>
    <w:rsid w:val="1845341B"/>
    <w:rsid w:val="18616F2E"/>
    <w:rsid w:val="18CB7B6A"/>
    <w:rsid w:val="18DE4900"/>
    <w:rsid w:val="196933D6"/>
    <w:rsid w:val="1991739F"/>
    <w:rsid w:val="1A2E2E40"/>
    <w:rsid w:val="1A664C6F"/>
    <w:rsid w:val="1A747B2B"/>
    <w:rsid w:val="1A82018D"/>
    <w:rsid w:val="1A8B5596"/>
    <w:rsid w:val="1AA9670C"/>
    <w:rsid w:val="1AC34562"/>
    <w:rsid w:val="1AFA5D3B"/>
    <w:rsid w:val="1B1E4D15"/>
    <w:rsid w:val="1B1F497F"/>
    <w:rsid w:val="1B4A6FE2"/>
    <w:rsid w:val="1BD33AF8"/>
    <w:rsid w:val="1BE93B44"/>
    <w:rsid w:val="1C2D61B5"/>
    <w:rsid w:val="1C30580A"/>
    <w:rsid w:val="1CC72A4C"/>
    <w:rsid w:val="1D17339A"/>
    <w:rsid w:val="1D87793B"/>
    <w:rsid w:val="1DD47CD1"/>
    <w:rsid w:val="1F600EF4"/>
    <w:rsid w:val="1FA97114"/>
    <w:rsid w:val="200900DC"/>
    <w:rsid w:val="201B5C14"/>
    <w:rsid w:val="204D0D58"/>
    <w:rsid w:val="20715208"/>
    <w:rsid w:val="209543FA"/>
    <w:rsid w:val="20C02783"/>
    <w:rsid w:val="212859F6"/>
    <w:rsid w:val="214E1400"/>
    <w:rsid w:val="21B53198"/>
    <w:rsid w:val="22377538"/>
    <w:rsid w:val="227D3CB0"/>
    <w:rsid w:val="22CA718C"/>
    <w:rsid w:val="22EB27AA"/>
    <w:rsid w:val="2348028C"/>
    <w:rsid w:val="23A02AD5"/>
    <w:rsid w:val="23F57155"/>
    <w:rsid w:val="24746EF5"/>
    <w:rsid w:val="247D0780"/>
    <w:rsid w:val="24B21957"/>
    <w:rsid w:val="24E753F8"/>
    <w:rsid w:val="2520595F"/>
    <w:rsid w:val="25433EFC"/>
    <w:rsid w:val="257B3F10"/>
    <w:rsid w:val="259224FD"/>
    <w:rsid w:val="25F003B9"/>
    <w:rsid w:val="26955F48"/>
    <w:rsid w:val="26B4291F"/>
    <w:rsid w:val="26BE19EF"/>
    <w:rsid w:val="2700654A"/>
    <w:rsid w:val="27264D07"/>
    <w:rsid w:val="27457A1B"/>
    <w:rsid w:val="2822236E"/>
    <w:rsid w:val="284460FF"/>
    <w:rsid w:val="28AD3600"/>
    <w:rsid w:val="28C11285"/>
    <w:rsid w:val="28D62D62"/>
    <w:rsid w:val="293715E5"/>
    <w:rsid w:val="29606D8E"/>
    <w:rsid w:val="29746DD1"/>
    <w:rsid w:val="29887689"/>
    <w:rsid w:val="29BC705F"/>
    <w:rsid w:val="2AB859E0"/>
    <w:rsid w:val="2B33541F"/>
    <w:rsid w:val="2B73678B"/>
    <w:rsid w:val="2BAA39BC"/>
    <w:rsid w:val="2BB538BD"/>
    <w:rsid w:val="2BC61F1D"/>
    <w:rsid w:val="2BC81DE9"/>
    <w:rsid w:val="2BFB5B18"/>
    <w:rsid w:val="2C123DF6"/>
    <w:rsid w:val="2C323E7D"/>
    <w:rsid w:val="2CD16667"/>
    <w:rsid w:val="2D303F59"/>
    <w:rsid w:val="2D34761F"/>
    <w:rsid w:val="2D8E29FA"/>
    <w:rsid w:val="2DCE32A4"/>
    <w:rsid w:val="2DEC6DA9"/>
    <w:rsid w:val="2E556E6A"/>
    <w:rsid w:val="2E732105"/>
    <w:rsid w:val="2EAA4B78"/>
    <w:rsid w:val="2F524B39"/>
    <w:rsid w:val="2FC41CDF"/>
    <w:rsid w:val="30242D55"/>
    <w:rsid w:val="303A39E8"/>
    <w:rsid w:val="30BB2640"/>
    <w:rsid w:val="317A4641"/>
    <w:rsid w:val="31EA3B4D"/>
    <w:rsid w:val="320B08FD"/>
    <w:rsid w:val="32B64258"/>
    <w:rsid w:val="32BF68D3"/>
    <w:rsid w:val="33905006"/>
    <w:rsid w:val="33E26696"/>
    <w:rsid w:val="34100013"/>
    <w:rsid w:val="345C1547"/>
    <w:rsid w:val="349938A6"/>
    <w:rsid w:val="34E943A6"/>
    <w:rsid w:val="34F556B5"/>
    <w:rsid w:val="35723A25"/>
    <w:rsid w:val="35D944C9"/>
    <w:rsid w:val="3614500C"/>
    <w:rsid w:val="368558B5"/>
    <w:rsid w:val="37272349"/>
    <w:rsid w:val="37397472"/>
    <w:rsid w:val="378E6892"/>
    <w:rsid w:val="38FD0B6F"/>
    <w:rsid w:val="39970783"/>
    <w:rsid w:val="39AE27B1"/>
    <w:rsid w:val="3A270F62"/>
    <w:rsid w:val="3A60099C"/>
    <w:rsid w:val="3A874004"/>
    <w:rsid w:val="3B7C4350"/>
    <w:rsid w:val="3C115F7A"/>
    <w:rsid w:val="3C602FF1"/>
    <w:rsid w:val="3CAF19C7"/>
    <w:rsid w:val="3CDC5C10"/>
    <w:rsid w:val="3CE4018A"/>
    <w:rsid w:val="3CEC66BD"/>
    <w:rsid w:val="3D0602D7"/>
    <w:rsid w:val="3D3863D4"/>
    <w:rsid w:val="3D545692"/>
    <w:rsid w:val="3D5F01E8"/>
    <w:rsid w:val="3D956D3F"/>
    <w:rsid w:val="3DB4229B"/>
    <w:rsid w:val="3E5B0B90"/>
    <w:rsid w:val="3EBE16F5"/>
    <w:rsid w:val="3F3360DA"/>
    <w:rsid w:val="3F366666"/>
    <w:rsid w:val="3F3C245E"/>
    <w:rsid w:val="3F5F5C2A"/>
    <w:rsid w:val="3FA4393D"/>
    <w:rsid w:val="3FC97FFE"/>
    <w:rsid w:val="410F637F"/>
    <w:rsid w:val="41534135"/>
    <w:rsid w:val="417608BD"/>
    <w:rsid w:val="41C85040"/>
    <w:rsid w:val="421440A6"/>
    <w:rsid w:val="4271266A"/>
    <w:rsid w:val="4299164B"/>
    <w:rsid w:val="42E76CDA"/>
    <w:rsid w:val="42EA4B11"/>
    <w:rsid w:val="437B7F3D"/>
    <w:rsid w:val="43AE3AFF"/>
    <w:rsid w:val="43C97255"/>
    <w:rsid w:val="446D782A"/>
    <w:rsid w:val="4470520E"/>
    <w:rsid w:val="4476576A"/>
    <w:rsid w:val="44925944"/>
    <w:rsid w:val="44FF34A7"/>
    <w:rsid w:val="4571520B"/>
    <w:rsid w:val="45890A4C"/>
    <w:rsid w:val="45F90A24"/>
    <w:rsid w:val="477C493B"/>
    <w:rsid w:val="47F068B3"/>
    <w:rsid w:val="48087E11"/>
    <w:rsid w:val="482F2A80"/>
    <w:rsid w:val="48727FD7"/>
    <w:rsid w:val="4876582E"/>
    <w:rsid w:val="48EE0DD6"/>
    <w:rsid w:val="49E862B8"/>
    <w:rsid w:val="4A253486"/>
    <w:rsid w:val="4A5C4D46"/>
    <w:rsid w:val="4AC361A1"/>
    <w:rsid w:val="4AF53CDA"/>
    <w:rsid w:val="4B155122"/>
    <w:rsid w:val="4B8D35BB"/>
    <w:rsid w:val="4BA85A27"/>
    <w:rsid w:val="4C515C6B"/>
    <w:rsid w:val="4CB66B41"/>
    <w:rsid w:val="4D0B7CC7"/>
    <w:rsid w:val="4D2D1EE7"/>
    <w:rsid w:val="4E1A67DC"/>
    <w:rsid w:val="4E313C7C"/>
    <w:rsid w:val="4E704CB8"/>
    <w:rsid w:val="4E9C3AC2"/>
    <w:rsid w:val="4EB152AD"/>
    <w:rsid w:val="4F9B38F4"/>
    <w:rsid w:val="50057E11"/>
    <w:rsid w:val="503114CC"/>
    <w:rsid w:val="50C57715"/>
    <w:rsid w:val="50CC248F"/>
    <w:rsid w:val="51402E7D"/>
    <w:rsid w:val="51984606"/>
    <w:rsid w:val="51991F95"/>
    <w:rsid w:val="51CA69F7"/>
    <w:rsid w:val="5227361A"/>
    <w:rsid w:val="524C579D"/>
    <w:rsid w:val="52520F4E"/>
    <w:rsid w:val="52570CB9"/>
    <w:rsid w:val="53154C17"/>
    <w:rsid w:val="53B611D5"/>
    <w:rsid w:val="53F227FF"/>
    <w:rsid w:val="542B7133"/>
    <w:rsid w:val="54553489"/>
    <w:rsid w:val="567A047E"/>
    <w:rsid w:val="571D56A7"/>
    <w:rsid w:val="572A3955"/>
    <w:rsid w:val="5797179E"/>
    <w:rsid w:val="59B82CBC"/>
    <w:rsid w:val="59CA4446"/>
    <w:rsid w:val="5A876EE9"/>
    <w:rsid w:val="5AC73CC7"/>
    <w:rsid w:val="5AD0371C"/>
    <w:rsid w:val="5B3850B0"/>
    <w:rsid w:val="5B706669"/>
    <w:rsid w:val="5BB66114"/>
    <w:rsid w:val="5BCB15F6"/>
    <w:rsid w:val="5C20375B"/>
    <w:rsid w:val="5C441A74"/>
    <w:rsid w:val="5C727690"/>
    <w:rsid w:val="5C995055"/>
    <w:rsid w:val="5CA570B3"/>
    <w:rsid w:val="5D061DAD"/>
    <w:rsid w:val="5D0E36E7"/>
    <w:rsid w:val="5D5A50D3"/>
    <w:rsid w:val="5D9F4125"/>
    <w:rsid w:val="5DF06B36"/>
    <w:rsid w:val="5EB6733A"/>
    <w:rsid w:val="5EC16694"/>
    <w:rsid w:val="5EF674C9"/>
    <w:rsid w:val="5F3D4341"/>
    <w:rsid w:val="5F520B89"/>
    <w:rsid w:val="5FFA35CE"/>
    <w:rsid w:val="60AC759F"/>
    <w:rsid w:val="60ED0227"/>
    <w:rsid w:val="61581B1D"/>
    <w:rsid w:val="61E064ED"/>
    <w:rsid w:val="623E5B3A"/>
    <w:rsid w:val="62AA4A4D"/>
    <w:rsid w:val="630A432C"/>
    <w:rsid w:val="63141F85"/>
    <w:rsid w:val="63572912"/>
    <w:rsid w:val="63A83904"/>
    <w:rsid w:val="63DE2040"/>
    <w:rsid w:val="63DE6BC3"/>
    <w:rsid w:val="64230803"/>
    <w:rsid w:val="6497295D"/>
    <w:rsid w:val="64A07A63"/>
    <w:rsid w:val="6559227F"/>
    <w:rsid w:val="657F1725"/>
    <w:rsid w:val="65C459D3"/>
    <w:rsid w:val="65CB2FC9"/>
    <w:rsid w:val="65F10431"/>
    <w:rsid w:val="65FF41A9"/>
    <w:rsid w:val="660A367A"/>
    <w:rsid w:val="663A544B"/>
    <w:rsid w:val="67125CD5"/>
    <w:rsid w:val="6779084C"/>
    <w:rsid w:val="682D1F86"/>
    <w:rsid w:val="682D2D26"/>
    <w:rsid w:val="6837527E"/>
    <w:rsid w:val="68492687"/>
    <w:rsid w:val="68B17D3F"/>
    <w:rsid w:val="69337ED3"/>
    <w:rsid w:val="6A081FA4"/>
    <w:rsid w:val="6A0C0251"/>
    <w:rsid w:val="6A3207FE"/>
    <w:rsid w:val="6ABF4CFE"/>
    <w:rsid w:val="6B0A0126"/>
    <w:rsid w:val="6B52350F"/>
    <w:rsid w:val="6B530189"/>
    <w:rsid w:val="6BA3608B"/>
    <w:rsid w:val="6C267392"/>
    <w:rsid w:val="6C5271C0"/>
    <w:rsid w:val="6CC34B06"/>
    <w:rsid w:val="6CD42C58"/>
    <w:rsid w:val="6D0C168E"/>
    <w:rsid w:val="6D0F178D"/>
    <w:rsid w:val="6D8C3A6E"/>
    <w:rsid w:val="6D9E7D48"/>
    <w:rsid w:val="6DA40692"/>
    <w:rsid w:val="6DDD5884"/>
    <w:rsid w:val="6DF65FC0"/>
    <w:rsid w:val="6DF879AA"/>
    <w:rsid w:val="6E98686B"/>
    <w:rsid w:val="6ED051DA"/>
    <w:rsid w:val="6EE736C0"/>
    <w:rsid w:val="6EFA4214"/>
    <w:rsid w:val="6F4F4560"/>
    <w:rsid w:val="702C6F37"/>
    <w:rsid w:val="706F0977"/>
    <w:rsid w:val="71154453"/>
    <w:rsid w:val="721B7D7E"/>
    <w:rsid w:val="721E7478"/>
    <w:rsid w:val="72775E7D"/>
    <w:rsid w:val="72AC7F1B"/>
    <w:rsid w:val="731F2B02"/>
    <w:rsid w:val="731F7FB7"/>
    <w:rsid w:val="73C807A3"/>
    <w:rsid w:val="73EC1C67"/>
    <w:rsid w:val="74417965"/>
    <w:rsid w:val="747217FA"/>
    <w:rsid w:val="74836A59"/>
    <w:rsid w:val="74D177C5"/>
    <w:rsid w:val="753F36F1"/>
    <w:rsid w:val="755C09F2"/>
    <w:rsid w:val="759C130C"/>
    <w:rsid w:val="75A917B7"/>
    <w:rsid w:val="767B1A19"/>
    <w:rsid w:val="76A161CE"/>
    <w:rsid w:val="76D32D27"/>
    <w:rsid w:val="770519A8"/>
    <w:rsid w:val="77404266"/>
    <w:rsid w:val="77466458"/>
    <w:rsid w:val="778D48C0"/>
    <w:rsid w:val="77DD34E8"/>
    <w:rsid w:val="77FB25F1"/>
    <w:rsid w:val="783148EF"/>
    <w:rsid w:val="78DD7AE6"/>
    <w:rsid w:val="792E50F3"/>
    <w:rsid w:val="792F40B6"/>
    <w:rsid w:val="79355234"/>
    <w:rsid w:val="7961448B"/>
    <w:rsid w:val="79656A11"/>
    <w:rsid w:val="79DD3EE5"/>
    <w:rsid w:val="7A03368E"/>
    <w:rsid w:val="7A144485"/>
    <w:rsid w:val="7AD33D1B"/>
    <w:rsid w:val="7B062D25"/>
    <w:rsid w:val="7B855E28"/>
    <w:rsid w:val="7C2D71D3"/>
    <w:rsid w:val="7C333BE3"/>
    <w:rsid w:val="7C8039AE"/>
    <w:rsid w:val="7CD42548"/>
    <w:rsid w:val="7D260D3E"/>
    <w:rsid w:val="7E0426FB"/>
    <w:rsid w:val="7E717254"/>
    <w:rsid w:val="7EE568E3"/>
    <w:rsid w:val="7EFA7C9C"/>
    <w:rsid w:val="7F0E2B74"/>
    <w:rsid w:val="7F2C76ED"/>
    <w:rsid w:val="7F6C2F0C"/>
    <w:rsid w:val="7F995383"/>
    <w:rsid w:val="7F9C51A4"/>
    <w:rsid w:val="7FD30895"/>
    <w:rsid w:val="7FF014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autoRedefine/>
    <w:qFormat/>
    <w:uiPriority w:val="0"/>
    <w:pPr>
      <w:keepNext/>
      <w:keepLines/>
      <w:numPr>
        <w:ilvl w:val="0"/>
        <w:numId w:val="1"/>
      </w:numPr>
      <w:spacing w:beforeLines="0" w:beforeAutospacing="0" w:after="10" w:afterLines="0" w:afterAutospacing="0" w:line="240" w:lineRule="auto"/>
      <w:ind w:left="432" w:hanging="432" w:firstLineChars="0"/>
      <w:outlineLvl w:val="0"/>
    </w:pPr>
    <w:rPr>
      <w:b/>
      <w:kern w:val="44"/>
      <w:sz w:val="44"/>
    </w:rPr>
  </w:style>
  <w:style w:type="paragraph" w:styleId="4">
    <w:name w:val="heading 2"/>
    <w:basedOn w:val="1"/>
    <w:next w:val="1"/>
    <w:autoRedefine/>
    <w:unhideWhenUsed/>
    <w:qFormat/>
    <w:uiPriority w:val="0"/>
    <w:pPr>
      <w:keepNext/>
      <w:keepLines/>
      <w:numPr>
        <w:ilvl w:val="1"/>
        <w:numId w:val="2"/>
      </w:numPr>
      <w:spacing w:before="260" w:beforeLines="0" w:beforeAutospacing="0" w:after="260" w:afterLines="0" w:afterAutospacing="0" w:line="413" w:lineRule="auto"/>
      <w:ind w:left="575" w:hanging="575" w:firstLineChars="0"/>
      <w:outlineLvl w:val="1"/>
    </w:pPr>
    <w:rPr>
      <w:rFonts w:ascii="Times New Roman" w:hAnsi="Times New Roman" w:eastAsia="宋体"/>
      <w:b/>
      <w:sz w:val="32"/>
    </w:rPr>
  </w:style>
  <w:style w:type="paragraph" w:styleId="5">
    <w:name w:val="heading 3"/>
    <w:basedOn w:val="1"/>
    <w:next w:val="1"/>
    <w:autoRedefine/>
    <w:unhideWhenUsed/>
    <w:qFormat/>
    <w:uiPriority w:val="0"/>
    <w:pPr>
      <w:keepNext/>
      <w:keepLines/>
      <w:numPr>
        <w:ilvl w:val="2"/>
        <w:numId w:val="2"/>
      </w:numPr>
      <w:spacing w:before="260" w:beforeLines="0" w:beforeAutospacing="0" w:after="260" w:afterLines="0" w:afterAutospacing="0" w:line="413" w:lineRule="auto"/>
      <w:ind w:left="720" w:hanging="720" w:firstLineChars="0"/>
      <w:outlineLvl w:val="2"/>
    </w:pPr>
    <w:rPr>
      <w:b/>
      <w:sz w:val="32"/>
    </w:rPr>
  </w:style>
  <w:style w:type="paragraph" w:styleId="6">
    <w:name w:val="heading 4"/>
    <w:basedOn w:val="1"/>
    <w:next w:val="1"/>
    <w:autoRedefine/>
    <w:unhideWhenUsed/>
    <w:qFormat/>
    <w:uiPriority w:val="0"/>
    <w:pPr>
      <w:keepNext/>
      <w:keepLines/>
      <w:numPr>
        <w:ilvl w:val="3"/>
        <w:numId w:val="2"/>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7">
    <w:name w:val="heading 5"/>
    <w:basedOn w:val="1"/>
    <w:next w:val="1"/>
    <w:autoRedefine/>
    <w:unhideWhenUsed/>
    <w:qFormat/>
    <w:uiPriority w:val="0"/>
    <w:pPr>
      <w:keepNext/>
      <w:keepLines/>
      <w:numPr>
        <w:ilvl w:val="4"/>
        <w:numId w:val="3"/>
      </w:numPr>
      <w:spacing w:before="280" w:beforeLines="0" w:beforeAutospacing="0" w:after="290" w:afterLines="0" w:afterAutospacing="0" w:line="372" w:lineRule="auto"/>
      <w:ind w:left="1008" w:hanging="1008" w:firstLineChars="0"/>
      <w:outlineLvl w:val="4"/>
    </w:pPr>
    <w:rPr>
      <w:b/>
      <w:sz w:val="28"/>
    </w:rPr>
  </w:style>
  <w:style w:type="paragraph" w:styleId="8">
    <w:name w:val="heading 6"/>
    <w:basedOn w:val="1"/>
    <w:next w:val="1"/>
    <w:autoRedefine/>
    <w:unhideWhenUsed/>
    <w:qFormat/>
    <w:uiPriority w:val="0"/>
    <w:pPr>
      <w:keepNext/>
      <w:keepLines/>
      <w:numPr>
        <w:ilvl w:val="5"/>
        <w:numId w:val="3"/>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autoRedefine/>
    <w:unhideWhenUsed/>
    <w:qFormat/>
    <w:uiPriority w:val="0"/>
    <w:pPr>
      <w:keepNext/>
      <w:keepLines/>
      <w:numPr>
        <w:ilvl w:val="6"/>
        <w:numId w:val="3"/>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autoRedefine/>
    <w:unhideWhenUsed/>
    <w:qFormat/>
    <w:uiPriority w:val="0"/>
    <w:pPr>
      <w:keepNext/>
      <w:keepLines/>
      <w:numPr>
        <w:ilvl w:val="7"/>
        <w:numId w:val="3"/>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autoRedefine/>
    <w:unhideWhenUsed/>
    <w:qFormat/>
    <w:uiPriority w:val="0"/>
    <w:pPr>
      <w:keepNext/>
      <w:keepLines/>
      <w:numPr>
        <w:ilvl w:val="8"/>
        <w:numId w:val="3"/>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12">
    <w:name w:val="annotation text"/>
    <w:basedOn w:val="1"/>
    <w:autoRedefine/>
    <w:qFormat/>
    <w:uiPriority w:val="0"/>
    <w:pPr>
      <w:jc w:val="left"/>
    </w:pPr>
  </w:style>
  <w:style w:type="paragraph" w:styleId="13">
    <w:name w:val="Body Text Indent"/>
    <w:basedOn w:val="1"/>
    <w:autoRedefine/>
    <w:qFormat/>
    <w:uiPriority w:val="99"/>
    <w:pPr>
      <w:spacing w:line="560" w:lineRule="exact"/>
      <w:ind w:firstLine="600" w:firstLineChars="200"/>
      <w:outlineLvl w:val="0"/>
    </w:pPr>
    <w:rPr>
      <w:rFonts w:ascii="仿宋_GB2312" w:hAnsi="Times New Roman" w:eastAsia="仿宋_GB2312"/>
      <w:kern w:val="0"/>
      <w:sz w:val="30"/>
      <w:szCs w:val="24"/>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autoRedefine/>
    <w:qFormat/>
    <w:uiPriority w:val="0"/>
    <w:pPr>
      <w:ind w:left="420" w:leftChars="200"/>
    </w:pPr>
  </w:style>
  <w:style w:type="paragraph" w:styleId="18">
    <w:name w:val="Normal (Web)"/>
    <w:basedOn w:val="19"/>
    <w:autoRedefine/>
    <w:qFormat/>
    <w:uiPriority w:val="0"/>
  </w:style>
  <w:style w:type="paragraph" w:customStyle="1" w:styleId="19">
    <w:name w:val="表格文字"/>
    <w:basedOn w:val="1"/>
    <w:autoRedefine/>
    <w:qFormat/>
    <w:uiPriority w:val="0"/>
    <w:pPr>
      <w:spacing w:line="240" w:lineRule="auto"/>
      <w:ind w:firstLine="0" w:firstLineChars="0"/>
      <w:jc w:val="center"/>
    </w:pPr>
    <w:rPr>
      <w:rFonts w:ascii="Times New Roman" w:hAnsi="Times New Roman" w:eastAsia="宋体"/>
      <w:sz w:val="21"/>
    </w:rPr>
  </w:style>
  <w:style w:type="paragraph" w:styleId="20">
    <w:name w:val="Body Text First Indent 2"/>
    <w:basedOn w:val="13"/>
    <w:next w:val="1"/>
    <w:autoRedefine/>
    <w:unhideWhenUsed/>
    <w:qFormat/>
    <w:uiPriority w:val="99"/>
    <w:pPr>
      <w:spacing w:after="120" w:line="240" w:lineRule="auto"/>
      <w:ind w:left="420" w:leftChars="200" w:firstLine="420"/>
      <w:outlineLvl w:val="9"/>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现场照片"/>
    <w:basedOn w:val="1"/>
    <w:next w:val="1"/>
    <w:autoRedefine/>
    <w:qFormat/>
    <w:uiPriority w:val="0"/>
    <w:pPr>
      <w:spacing w:line="240" w:lineRule="auto"/>
      <w:ind w:firstLine="0" w:firstLineChars="0"/>
      <w:jc w:val="center"/>
    </w:pPr>
    <w:rPr>
      <w:rFonts w:hint="eastAsia"/>
      <w:b/>
      <w:sz w:val="30"/>
    </w:rPr>
  </w:style>
  <w:style w:type="paragraph" w:customStyle="1" w:styleId="25">
    <w:name w:val="一级标题"/>
    <w:basedOn w:val="1"/>
    <w:next w:val="1"/>
    <w:autoRedefine/>
    <w:qFormat/>
    <w:uiPriority w:val="0"/>
    <w:pPr>
      <w:numPr>
        <w:ilvl w:val="0"/>
        <w:numId w:val="3"/>
      </w:numPr>
      <w:spacing w:after="50" w:afterLines="50" w:line="240" w:lineRule="auto"/>
      <w:ind w:left="0" w:firstLine="0" w:firstLineChars="0"/>
      <w:outlineLvl w:val="0"/>
    </w:pPr>
    <w:rPr>
      <w:rFonts w:hint="eastAsia"/>
      <w:b/>
      <w:sz w:val="36"/>
    </w:rPr>
  </w:style>
  <w:style w:type="paragraph" w:customStyle="1" w:styleId="26">
    <w:name w:val="二级标题"/>
    <w:basedOn w:val="1"/>
    <w:next w:val="1"/>
    <w:autoRedefine/>
    <w:qFormat/>
    <w:uiPriority w:val="0"/>
    <w:pPr>
      <w:numPr>
        <w:ilvl w:val="1"/>
        <w:numId w:val="3"/>
      </w:numPr>
      <w:spacing w:before="50" w:beforeLines="50" w:after="50" w:afterLines="50" w:line="240" w:lineRule="auto"/>
      <w:ind w:left="0" w:firstLine="0" w:firstLineChars="0"/>
      <w:outlineLvl w:val="1"/>
    </w:pPr>
    <w:rPr>
      <w:rFonts w:hint="eastAsia"/>
      <w:b/>
      <w:sz w:val="32"/>
    </w:rPr>
  </w:style>
  <w:style w:type="paragraph" w:customStyle="1" w:styleId="27">
    <w:name w:val="三级标题"/>
    <w:basedOn w:val="1"/>
    <w:next w:val="1"/>
    <w:autoRedefine/>
    <w:qFormat/>
    <w:uiPriority w:val="0"/>
    <w:pPr>
      <w:numPr>
        <w:ilvl w:val="2"/>
        <w:numId w:val="3"/>
      </w:numPr>
      <w:spacing w:before="50" w:beforeLines="50" w:after="50" w:afterLines="50" w:line="240" w:lineRule="auto"/>
      <w:ind w:left="0" w:firstLine="0" w:firstLineChars="0"/>
      <w:outlineLvl w:val="2"/>
    </w:pPr>
    <w:rPr>
      <w:rFonts w:hint="eastAsia"/>
      <w:b/>
      <w:sz w:val="30"/>
    </w:rPr>
  </w:style>
  <w:style w:type="paragraph" w:customStyle="1" w:styleId="28">
    <w:name w:val="四级标题"/>
    <w:basedOn w:val="1"/>
    <w:next w:val="1"/>
    <w:autoRedefine/>
    <w:qFormat/>
    <w:uiPriority w:val="0"/>
    <w:pPr>
      <w:numPr>
        <w:ilvl w:val="3"/>
        <w:numId w:val="3"/>
      </w:numPr>
      <w:spacing w:before="50" w:beforeLines="50" w:after="50" w:afterLines="50" w:line="240" w:lineRule="auto"/>
      <w:ind w:left="0" w:firstLine="0" w:firstLineChars="0"/>
      <w:outlineLvl w:val="3"/>
    </w:pPr>
    <w:rPr>
      <w:rFonts w:hint="eastAsia"/>
      <w:b/>
      <w:sz w:val="28"/>
    </w:rPr>
  </w:style>
  <w:style w:type="table" w:customStyle="1" w:styleId="29">
    <w:name w:val="Table Normal"/>
    <w:autoRedefine/>
    <w:unhideWhenUsed/>
    <w:qFormat/>
    <w:uiPriority w:val="0"/>
    <w:tblPr>
      <w:tblCellMar>
        <w:top w:w="0" w:type="dxa"/>
        <w:left w:w="0" w:type="dxa"/>
        <w:bottom w:w="0" w:type="dxa"/>
        <w:right w:w="0" w:type="dxa"/>
      </w:tblCellMar>
    </w:tblPr>
  </w:style>
  <w:style w:type="paragraph" w:customStyle="1" w:styleId="30">
    <w:name w:val="表格名称"/>
    <w:next w:val="1"/>
    <w:autoRedefine/>
    <w:qFormat/>
    <w:uiPriority w:val="0"/>
    <w:pPr>
      <w:spacing w:before="10" w:beforeLines="10" w:after="20" w:afterLines="20" w:line="240" w:lineRule="auto"/>
      <w:jc w:val="center"/>
    </w:pPr>
    <w:rPr>
      <w:rFonts w:ascii="Times New Roman" w:hAnsi="Times New Roman" w:eastAsia="宋体" w:cs="Times New Roman"/>
      <w:b/>
      <w:bCs/>
      <w:color w:val="000000"/>
      <w:sz w:val="24"/>
      <w:szCs w:val="21"/>
    </w:rPr>
  </w:style>
  <w:style w:type="paragraph" w:customStyle="1" w:styleId="31">
    <w:name w:val="图名称"/>
    <w:basedOn w:val="30"/>
    <w:next w:val="1"/>
    <w:autoRedefine/>
    <w:qFormat/>
    <w:uiPriority w:val="0"/>
    <w:pPr>
      <w:spacing w:before="50" w:beforeLines="50" w:after="50" w:afterLines="50"/>
    </w:pPr>
  </w:style>
  <w:style w:type="paragraph" w:customStyle="1" w:styleId="32">
    <w:name w:val="东华表格文字"/>
    <w:basedOn w:val="1"/>
    <w:autoRedefine/>
    <w:qFormat/>
    <w:uiPriority w:val="0"/>
    <w:pPr>
      <w:widowControl/>
      <w:adjustRightInd w:val="0"/>
      <w:snapToGrid w:val="0"/>
      <w:spacing w:line="240" w:lineRule="auto"/>
      <w:ind w:firstLine="0" w:firstLineChars="0"/>
      <w:jc w:val="center"/>
    </w:pPr>
    <w:rPr>
      <w:rFonts w:ascii="等线" w:hAnsi="等线" w:eastAsia="仿宋"/>
      <w:kern w:val="0"/>
      <w:sz w:val="21"/>
      <w:szCs w:val="21"/>
      <w:lang w:val="zh-CN"/>
    </w:rPr>
  </w:style>
  <w:style w:type="paragraph" w:customStyle="1" w:styleId="33">
    <w:name w:val="Table Text"/>
    <w:basedOn w:val="1"/>
    <w:autoRedefine/>
    <w:semiHidden/>
    <w:qFormat/>
    <w:uiPriority w:val="0"/>
    <w:rPr>
      <w:rFonts w:ascii="Times New Roman" w:hAnsi="Times New Roman" w:eastAsia="Times New Roman" w:cs="Times New Roman"/>
      <w:sz w:val="20"/>
      <w:szCs w:val="20"/>
      <w:lang w:val="en-US" w:eastAsia="en-US" w:bidi="ar-SA"/>
    </w:rPr>
  </w:style>
  <w:style w:type="paragraph" w:customStyle="1" w:styleId="34">
    <w:name w:val="正文 楷体"/>
    <w:basedOn w:val="1"/>
    <w:autoRedefine/>
    <w:qFormat/>
    <w:uiPriority w:val="0"/>
    <w:pPr>
      <w:spacing w:line="500" w:lineRule="exact"/>
      <w:ind w:firstLine="200" w:firstLineChars="200"/>
    </w:pPr>
    <w:rPr>
      <w:rFonts w:ascii="楷体_GB2312" w:hAnsi="楷体_GB2312" w:eastAsia="楷体_GB2312" w:cs="Times New Roman"/>
      <w:kern w:val="2"/>
    </w:rPr>
  </w:style>
  <w:style w:type="table" w:customStyle="1" w:styleId="35">
    <w:name w:val="网格型1"/>
    <w:basedOn w:val="21"/>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6">
    <w:name w:val="WPSOffice手动目录 1"/>
    <w:autoRedefine/>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wmf"/><Relationship Id="rId33" Type="http://schemas.openxmlformats.org/officeDocument/2006/relationships/oleObject" Target="embeddings/oleObject7.bin"/><Relationship Id="rId32" Type="http://schemas.openxmlformats.org/officeDocument/2006/relationships/image" Target="media/image15.wmf"/><Relationship Id="rId31" Type="http://schemas.openxmlformats.org/officeDocument/2006/relationships/oleObject" Target="embeddings/oleObject6.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3.wmf"/><Relationship Id="rId27" Type="http://schemas.openxmlformats.org/officeDocument/2006/relationships/oleObject" Target="embeddings/oleObject4.bin"/><Relationship Id="rId26" Type="http://schemas.openxmlformats.org/officeDocument/2006/relationships/image" Target="media/image12.wmf"/><Relationship Id="rId25" Type="http://schemas.openxmlformats.org/officeDocument/2006/relationships/oleObject" Target="embeddings/oleObject3.bin"/><Relationship Id="rId24" Type="http://schemas.openxmlformats.org/officeDocument/2006/relationships/image" Target="media/image11.wmf"/><Relationship Id="rId23" Type="http://schemas.openxmlformats.org/officeDocument/2006/relationships/oleObject" Target="embeddings/oleObject2.bin"/><Relationship Id="rId22" Type="http://schemas.openxmlformats.org/officeDocument/2006/relationships/image" Target="media/image10.wmf"/><Relationship Id="rId21" Type="http://schemas.openxmlformats.org/officeDocument/2006/relationships/oleObject" Target="embeddings/oleObject1.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222</Pages>
  <Words>139271</Words>
  <Characters>166007</Characters>
  <Lines>0</Lines>
  <Paragraphs>0</Paragraphs>
  <TotalTime>6</TotalTime>
  <ScaleCrop>false</ScaleCrop>
  <LinksUpToDate>false</LinksUpToDate>
  <CharactersWithSpaces>167709</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2024-03-14T09:38:00Z</dcterms:created>
  <dc:creator>Dell</dc:creator>
  <cp:lastModifiedBy>Administrator</cp:lastModifiedBy>
  <dcterms:modified xsi:type="dcterms:W3CDTF">2024-08-05T03:39:58Z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A773197AA19F407594F0124422AB08D3_13</vt:lpwstr>
  </property>
</Properties>
</file>