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60</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于车排48井、车排49井勘探钻探项目</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环境影响报告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中国石油新疆油田分公司勘探事业部：</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你单位《关于审批车排48井、车排49井勘探钻探项目环境影响报告表的请示》收悉。经研究，批复如下：</w:t>
      </w:r>
    </w:p>
    <w:p>
      <w:pPr>
        <w:pStyle w:val="12"/>
        <w:keepNext w:val="0"/>
        <w:keepLines w:val="0"/>
        <w:pageBreakBefore w:val="0"/>
        <w:widowControl w:val="0"/>
        <w:kinsoku/>
        <w:wordWrap/>
        <w:overflowPunct/>
        <w:topLinePunct w:val="0"/>
        <w:autoSpaceDE/>
        <w:autoSpaceDN/>
        <w:bidi w:val="0"/>
        <w:spacing w:after="0" w:line="52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该项目位于第七师130团境内</w:t>
      </w:r>
      <w:r>
        <w:rPr>
          <w:rFonts w:hint="default" w:ascii="Times New Roman" w:hAnsi="Times New Roman" w:eastAsia="仿宋_GB2312" w:cs="Times New Roman"/>
          <w:szCs w:val="32"/>
        </w:rPr>
        <w:t>，工程建设2口勘探井，其中车排48井地理坐标为：东经84° 56′22.754”</w:t>
      </w:r>
      <w:r>
        <w:rPr>
          <w:rFonts w:hint="eastAsia" w:eastAsia="仿宋_GB2312" w:cs="Times New Roman"/>
          <w:szCs w:val="32"/>
          <w:lang w:eastAsia="zh-CN"/>
        </w:rPr>
        <w:t>，</w:t>
      </w:r>
      <w:r>
        <w:rPr>
          <w:rFonts w:hint="default" w:ascii="Times New Roman" w:hAnsi="Times New Roman" w:eastAsia="仿宋_GB2312" w:cs="Times New Roman"/>
          <w:szCs w:val="32"/>
        </w:rPr>
        <w:t>北纬44°44′58.092”</w:t>
      </w:r>
      <w:r>
        <w:rPr>
          <w:rFonts w:hint="eastAsia" w:eastAsia="仿宋_GB2312" w:cs="Times New Roman"/>
          <w:szCs w:val="32"/>
          <w:lang w:eastAsia="zh-CN"/>
        </w:rPr>
        <w:t>，</w:t>
      </w:r>
      <w:r>
        <w:rPr>
          <w:rFonts w:hint="default" w:ascii="Times New Roman" w:hAnsi="Times New Roman" w:eastAsia="仿宋_GB2312" w:cs="Times New Roman"/>
          <w:szCs w:val="32"/>
        </w:rPr>
        <w:t>车排49井地理坐标为：东经84°56′17.794”</w:t>
      </w:r>
      <w:r>
        <w:rPr>
          <w:rFonts w:hint="eastAsia" w:eastAsia="仿宋_GB2312" w:cs="Times New Roman"/>
          <w:szCs w:val="32"/>
          <w:lang w:eastAsia="zh-CN"/>
        </w:rPr>
        <w:t>，</w:t>
      </w:r>
      <w:r>
        <w:rPr>
          <w:rFonts w:hint="default" w:ascii="Times New Roman" w:hAnsi="Times New Roman" w:eastAsia="仿宋_GB2312" w:cs="Times New Roman"/>
          <w:szCs w:val="32"/>
        </w:rPr>
        <w:t>北纬44°45′13.878”</w:t>
      </w:r>
      <w:r>
        <w:rPr>
          <w:rFonts w:hint="default" w:ascii="Times New Roman" w:hAnsi="Times New Roman" w:eastAsia="仿宋_GB2312" w:cs="Times New Roman"/>
          <w:bCs/>
          <w:color w:val="000000" w:themeColor="text1"/>
          <w:szCs w:val="32"/>
          <w14:textFill>
            <w14:solidFill>
              <w14:schemeClr w14:val="tx1"/>
            </w14:solidFill>
          </w14:textFill>
        </w:rPr>
        <w:t>。项目新钻2口勘探井，总进尺9300米，井型为直井，井身结构为三开，钻井总周期为190天，单井试油期为90天。项目建设井场、生活营地、临时道路、放喷管线等配套设施。完钻后进行试油，获取有关技术参数，试油结束后进行场地恢复</w:t>
      </w:r>
      <w:r>
        <w:rPr>
          <w:rFonts w:hint="eastAsia"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14:textFill>
            <w14:solidFill>
              <w14:schemeClr w14:val="tx1"/>
            </w14:solidFill>
          </w14:textFill>
        </w:rPr>
        <w:t>项目主要包括主体工程、辅助工程、储运工程、公用工程、环保工程、依托工程等。项目总投资2400万元，其中环保投资103万元，占总投资的4.29%。</w:t>
      </w:r>
    </w:p>
    <w:p>
      <w:pPr>
        <w:keepNext w:val="0"/>
        <w:keepLines w:val="0"/>
        <w:pageBreakBefore w:val="0"/>
        <w:widowControl w:val="0"/>
        <w:numPr>
          <w:ilvl w:val="0"/>
          <w:numId w:val="0"/>
        </w:numPr>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（一）严格落实生态保护措施。施工期间严格控制施工人员、施工机械、施工作业带的范围，严禁随意扩大扰动范围；</w:t>
      </w:r>
      <w:r>
        <w:rPr>
          <w:rFonts w:hint="default" w:ascii="Times New Roman" w:hAnsi="Times New Roman" w:eastAsia="仿宋_GB2312" w:cs="Times New Roman"/>
          <w:bCs/>
          <w:color w:val="auto"/>
          <w:szCs w:val="32"/>
          <w:highlight w:val="none"/>
        </w:rPr>
        <w:t>合理安排施工时间及工序，避开大风天气，弃土及时处置；</w:t>
      </w:r>
      <w:r>
        <w:rPr>
          <w:rFonts w:hint="default" w:ascii="Times New Roman" w:hAnsi="Times New Roman" w:eastAsia="仿宋_GB2312" w:cs="Times New Roman"/>
          <w:bCs/>
          <w:color w:val="auto"/>
          <w:szCs w:val="32"/>
          <w:highlight w:val="none"/>
        </w:rPr>
        <w:t>做好土石方平衡，降低工程开挖造成的水土流失；</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r>
        <w:rPr>
          <w:rFonts w:hint="default" w:ascii="Times New Roman" w:hAnsi="Times New Roman" w:eastAsia="仿宋_GB2312" w:cs="Times New Roman"/>
          <w:bCs/>
          <w:color w:val="auto"/>
          <w:szCs w:val="32"/>
          <w:highlight w:val="none"/>
        </w:rPr>
        <w:t>，防止新增水土流失。</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使用符合国家标准的油品，加强机械、车辆的维护；施工现场运输车辆应低速慢行、不得超载，并采取密闭或遮盖措施；车辆沿道路行驶，不得随意开设便道；试油期产生的伴生气气量不稳定，不具备回收利用条件，经排气管线充分燃烧后排放。加强燃烧设备的运营维护；试油期加强采出液储罐管理、装卸必须采取密闭装载方式，尽可能减少无组织挥发性有机物产生。废气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《陆上石油天然气开采工业大气污染物排放标准》</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GB39728-2020</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中企业边界污染物控制要求。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（三）落实水污染防治措施。钻井岩屑及泥浆进入不落地系统处理，分离出液相回用，钻井作业前井场铺设防渗膜；洗井废水、压裂返排液经罐车收集</w:t>
      </w:r>
      <w:r>
        <w:rPr>
          <w:rFonts w:hint="eastAsia" w:eastAsia="仿宋_GB2312" w:cs="Times New Roman"/>
          <w:bCs/>
          <w:color w:val="auto"/>
          <w:szCs w:val="32"/>
          <w:highlight w:val="none"/>
          <w:lang w:val="en-US" w:eastAsia="zh-CN"/>
        </w:rPr>
        <w:t>依托</w:t>
      </w:r>
      <w:r>
        <w:rPr>
          <w:rFonts w:hint="default" w:ascii="Times New Roman" w:hAnsi="Times New Roman" w:eastAsia="仿宋_GB2312" w:cs="Times New Roman"/>
          <w:bCs/>
          <w:color w:val="auto"/>
          <w:szCs w:val="32"/>
          <w:highlight w:val="none"/>
        </w:rPr>
        <w:t>车89集中处理站采出水处理系统处理；转移车辆安装GPS全程定位，并保存相关影像资料；施工生活区设置临时环保厕所和防渗收集池，钻井人员的生活污水经环保厕所收集至防渗收集池内，由吸污车拉运至克拉玛依市第二污水处理厂。井场油罐、发电机、材料堆场等关键部位均采用防渗膜防渗，井筒采用下套管注水泥固井完井方式进行水泥固井，对含水层进行固封处理，避免钻井液渗漏污染地下水</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（四）严格落实噪声防治措施。施工机械采用低噪声设备；加强设备维护及保养，对噪声较大的设备采取基础减振措施；加强施工场地管理，合理疏导进入施工区的车辆，禁止运输车辆随意高声鸣笛。噪声排放</w:t>
      </w:r>
      <w:r>
        <w:rPr>
          <w:rFonts w:hint="eastAsia" w:ascii="Times New Roman" w:hAnsi="Times New Roman"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《建筑施工场界环境噪声排放标准》（GB12523-2011）中限值要求。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（五）固体废物实施分类管理和妥善处理处置。水基钻井岩屑暂存水基岩屑储罐，委托岩屑处置单位处置。废机油</w:t>
      </w:r>
      <w:r>
        <w:rPr>
          <w:rFonts w:hint="eastAsia" w:eastAsia="仿宋_GB2312" w:cs="Times New Roman"/>
          <w:bCs/>
          <w:color w:val="auto"/>
          <w:szCs w:val="32"/>
          <w:highlight w:val="none"/>
          <w:lang w:eastAsia="zh-CN"/>
        </w:rPr>
        <w:t>、废弃防渗膜</w:t>
      </w:r>
      <w:r>
        <w:rPr>
          <w:rFonts w:hint="default" w:ascii="Times New Roman" w:hAnsi="Times New Roman" w:eastAsia="仿宋_GB2312" w:cs="Times New Roman"/>
          <w:bCs/>
          <w:color w:val="auto"/>
          <w:szCs w:val="32"/>
          <w:highlight w:val="none"/>
        </w:rPr>
        <w:t>及油基岩屑</w:t>
      </w:r>
      <w:r>
        <w:rPr>
          <w:rFonts w:hint="eastAsia" w:eastAsia="仿宋_GB2312" w:cs="Times New Roman"/>
          <w:bCs/>
          <w:szCs w:val="32"/>
          <w:lang w:val="en-US" w:eastAsia="zh-CN"/>
        </w:rPr>
        <w:t>属于危险废物，废机油及油基岩屑暂存于储罐，与废弃防渗膜定期交由有危险废物处置资质的单位处置。</w:t>
      </w:r>
      <w:r>
        <w:rPr>
          <w:rFonts w:hint="default" w:ascii="Times New Roman" w:hAnsi="Times New Roman" w:eastAsia="仿宋_GB2312" w:cs="Times New Roman"/>
          <w:bCs/>
          <w:color w:val="auto"/>
          <w:kern w:val="0"/>
          <w:sz w:val="32"/>
          <w:szCs w:val="32"/>
          <w:highlight w:val="none"/>
          <w:lang w:val="en-US" w:eastAsia="zh-CN" w:bidi="ar-SA"/>
        </w:rPr>
        <w:t>危险废物收集、运输</w:t>
      </w:r>
      <w:r>
        <w:rPr>
          <w:rFonts w:hint="default" w:ascii="Times New Roman" w:hAnsi="Times New Roman" w:eastAsia="仿宋_GB2312" w:cs="Times New Roman"/>
          <w:bCs/>
          <w:color w:val="000000" w:themeColor="text1"/>
          <w:szCs w:val="32"/>
          <w14:textFill>
            <w14:solidFill>
              <w14:schemeClr w14:val="tx1"/>
            </w14:solidFill>
          </w14:textFill>
        </w:rPr>
        <w:t>、储存</w:t>
      </w:r>
      <w:r>
        <w:rPr>
          <w:rFonts w:hint="eastAsia" w:eastAsia="仿宋_GB2312" w:cs="Times New Roman"/>
          <w:bCs/>
          <w:color w:val="000000" w:themeColor="text1"/>
          <w:szCs w:val="32"/>
          <w:lang w:val="en-US" w:eastAsia="zh-CN"/>
          <w14:textFill>
            <w14:solidFill>
              <w14:schemeClr w14:val="tx1"/>
            </w14:solidFill>
          </w14:textFill>
        </w:rPr>
        <w:t>须</w:t>
      </w:r>
      <w:r>
        <w:rPr>
          <w:rFonts w:hint="default" w:ascii="Times New Roman" w:hAnsi="Times New Roman" w:eastAsia="仿宋_GB2312" w:cs="Times New Roman"/>
          <w:bCs/>
          <w:color w:val="000000" w:themeColor="text1"/>
          <w:szCs w:val="32"/>
          <w14:textFill>
            <w14:solidFill>
              <w14:schemeClr w14:val="tx1"/>
            </w14:solidFill>
          </w14:textFill>
        </w:rPr>
        <w:t>严格按照《危险废物贮存污染控制标准》（GB18597-20</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23</w:t>
      </w:r>
      <w:r>
        <w:rPr>
          <w:rFonts w:hint="default" w:ascii="Times New Roman" w:hAnsi="Times New Roman" w:eastAsia="仿宋_GB2312" w:cs="Times New Roman"/>
          <w:bCs/>
          <w:color w:val="000000" w:themeColor="text1"/>
          <w:szCs w:val="32"/>
          <w14:textFill>
            <w14:solidFill>
              <w14:schemeClr w14:val="tx1"/>
            </w14:solidFill>
          </w14:textFill>
        </w:rPr>
        <w:t>）、《危险废物收集、贮存、运输技术规范》（HJ2025-2012）和《危险废物转移管理办法》等相关要求，委托有危险废物处置资质的单位处置。生活垃圾统一收集后运送至克拉玛依生活垃圾填埋场处理</w:t>
      </w:r>
      <w:r>
        <w:rPr>
          <w:rFonts w:hint="default" w:ascii="Times New Roman" w:hAnsi="Times New Roman" w:eastAsia="仿宋_GB2312" w:cs="Times New Roman"/>
          <w:bCs/>
          <w:szCs w:val="32"/>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六、13</w:t>
      </w:r>
      <w:r>
        <w:rPr>
          <w:rFonts w:hint="eastAsia" w:eastAsia="仿宋_GB2312" w:cs="Times New Roman"/>
          <w:bCs/>
          <w:color w:val="auto"/>
          <w:szCs w:val="32"/>
          <w:highlight w:val="none"/>
          <w:lang w:val="en-US" w:eastAsia="zh-CN"/>
        </w:rPr>
        <w:t>0</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w:t>
      </w:r>
      <w:r>
        <w:rPr>
          <w:rFonts w:hint="default" w:ascii="Times New Roman" w:hAnsi="Times New Roman" w:eastAsia="仿宋_GB2312" w:cs="Times New Roman"/>
          <w:bCs/>
          <w:sz w:val="32"/>
          <w:szCs w:val="32"/>
        </w:rPr>
        <w:t>1</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rPr>
        <w:t>团城镇和生态保护中心</w:t>
      </w:r>
      <w:r>
        <w:rPr>
          <w:rFonts w:hint="default" w:ascii="Times New Roman" w:hAnsi="Times New Roman" w:eastAsia="仿宋_GB2312" w:cs="Times New Roman"/>
          <w:bCs/>
          <w:color w:val="auto"/>
          <w:szCs w:val="32"/>
          <w:highlight w:val="none"/>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26</w:t>
      </w:r>
      <w:r>
        <w:rPr>
          <w:rFonts w:hint="default" w:ascii="Times New Roman" w:hAnsi="Times New Roman" w:eastAsia="仿宋_GB2312" w:cs="Times New Roman"/>
          <w:bCs/>
          <w:color w:val="auto"/>
          <w:szCs w:val="32"/>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bCs/>
          <w:color w:val="auto"/>
          <w:szCs w:val="32"/>
          <w:highlight w:val="none"/>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2OaNIAAAADAQAADwAAAAAAAAABACAAAAAiAAAAZHJzL2Rvd25yZXYueG1s&#10;UEsBAhQAFAAAAAgAh07iQNMz1hX+AQAA9wMAAA4AAAAAAAAAAQAgAAAAIQEAAGRycy9lMm9Eb2Mu&#10;eG1sUEsFBgAAAAAGAAYAWQEAAJE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抄送：师市生态环境保护综合行政执法支队、生态环境监测站、130团城镇和生态保护中心。</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bkz1dQAAAAGAQAADwAAAAAAAAABACAAAAAiAAAAZHJzL2Rvd25yZXYueG1sUEsB&#10;AhQAFAAAAAgAh07iQBx7WtP5AQAA9gMAAA4AAAAAAAAAAQAgAAAAIw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O0Ho1U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701"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9"/>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7E14CFA"/>
    <w:rsid w:val="08EC6D80"/>
    <w:rsid w:val="0994708F"/>
    <w:rsid w:val="128F6BA3"/>
    <w:rsid w:val="16B800EE"/>
    <w:rsid w:val="177121A0"/>
    <w:rsid w:val="20783D41"/>
    <w:rsid w:val="21162F81"/>
    <w:rsid w:val="21DD6837"/>
    <w:rsid w:val="24057B5F"/>
    <w:rsid w:val="24696853"/>
    <w:rsid w:val="247C78BD"/>
    <w:rsid w:val="25B11864"/>
    <w:rsid w:val="260C6FC7"/>
    <w:rsid w:val="266546C4"/>
    <w:rsid w:val="291034DE"/>
    <w:rsid w:val="2B066B68"/>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50CD705E"/>
    <w:rsid w:val="54231BA0"/>
    <w:rsid w:val="5A605F4A"/>
    <w:rsid w:val="609006D2"/>
    <w:rsid w:val="66BE66CF"/>
    <w:rsid w:val="677F3533"/>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宋体" w:hAnsi="宋体"/>
    </w:rPr>
  </w:style>
  <w:style w:type="paragraph" w:styleId="6">
    <w:name w:val="index 5"/>
    <w:basedOn w:val="1"/>
    <w:next w:val="1"/>
    <w:autoRedefine/>
    <w:qFormat/>
    <w:uiPriority w:val="0"/>
    <w:pPr>
      <w:ind w:left="800" w:leftChars="800"/>
    </w:pPr>
  </w:style>
  <w:style w:type="paragraph" w:styleId="7">
    <w:name w:val="Body Text"/>
    <w:basedOn w:val="1"/>
    <w:autoRedefine/>
    <w:qFormat/>
    <w:uiPriority w:val="0"/>
    <w:rPr>
      <w:rFonts w:eastAsia="华文中宋"/>
      <w:b/>
      <w:bCs/>
      <w:w w:val="90"/>
      <w:sz w:val="44"/>
    </w:rPr>
  </w:style>
  <w:style w:type="paragraph" w:styleId="8">
    <w:name w:val="Block Text"/>
    <w:basedOn w:val="1"/>
    <w:autoRedefine/>
    <w:qFormat/>
    <w:uiPriority w:val="99"/>
    <w:pPr>
      <w:spacing w:line="480" w:lineRule="exact"/>
      <w:ind w:left="-125" w:right="-56" w:firstLine="570"/>
    </w:pPr>
    <w:rPr>
      <w:sz w:val="28"/>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2">
    <w:name w:val="Body Text 2"/>
    <w:basedOn w:val="1"/>
    <w:autoRedefine/>
    <w:unhideWhenUsed/>
    <w:qFormat/>
    <w:uiPriority w:val="99"/>
    <w:pPr>
      <w:spacing w:after="120" w:line="480" w:lineRule="auto"/>
    </w:pPr>
  </w:style>
  <w:style w:type="character" w:styleId="15">
    <w:name w:val="page number"/>
    <w:basedOn w:val="14"/>
    <w:autoRedefine/>
    <w:qFormat/>
    <w:uiPriority w:val="0"/>
  </w:style>
  <w:style w:type="paragraph" w:customStyle="1" w:styleId="16">
    <w:name w:val="Default"/>
    <w:basedOn w:val="17"/>
    <w:next w:val="1"/>
    <w:autoRedefine/>
    <w:unhideWhenUsed/>
    <w:qFormat/>
    <w:uiPriority w:val="0"/>
    <w:pPr>
      <w:tabs>
        <w:tab w:val="left" w:pos="2760"/>
      </w:tabs>
      <w:autoSpaceDE w:val="0"/>
      <w:autoSpaceDN w:val="0"/>
    </w:pPr>
    <w:rPr>
      <w:rFonts w:hAnsi="宋体" w:eastAsia="宋体"/>
      <w:color w:val="000000"/>
      <w:sz w:val="24"/>
    </w:rPr>
  </w:style>
  <w:style w:type="paragraph" w:customStyle="1" w:styleId="17">
    <w:name w:val="纯文本1"/>
    <w:basedOn w:val="1"/>
    <w:autoRedefine/>
    <w:qFormat/>
    <w:uiPriority w:val="0"/>
    <w:pPr>
      <w:tabs>
        <w:tab w:val="left" w:pos="2760"/>
      </w:tabs>
      <w:adjustRightInd w:val="0"/>
    </w:pPr>
    <w:rPr>
      <w:rFonts w:ascii="宋体" w:hAnsi="Courier New"/>
    </w:rPr>
  </w:style>
  <w:style w:type="paragraph" w:customStyle="1" w:styleId="18">
    <w:name w:val="Char"/>
    <w:basedOn w:val="1"/>
    <w:autoRedefine/>
    <w:qFormat/>
    <w:uiPriority w:val="0"/>
    <w:rPr>
      <w:rFonts w:cs="宋体"/>
      <w:sz w:val="28"/>
    </w:rPr>
  </w:style>
  <w:style w:type="paragraph" w:customStyle="1" w:styleId="19">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0">
    <w:name w:val="表字-书"/>
    <w:basedOn w:val="1"/>
    <w:autoRedefine/>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1922</Words>
  <Characters>2039</Characters>
  <Lines>11</Lines>
  <Paragraphs>3</Paragraphs>
  <TotalTime>5</TotalTime>
  <ScaleCrop>false</ScaleCrop>
  <LinksUpToDate>false</LinksUpToDate>
  <CharactersWithSpaces>2076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2024-07-24T10:17:00Z</cp:lastPrinted>
  <dcterms:modified xsi:type="dcterms:W3CDTF">2024-07-26T02:54:06Z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20425352E9AE4A02AA0F563DA8B4F035_13</vt:lpwstr>
  </property>
</Properties>
</file>