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53</w:t>
      </w:r>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bCs/>
          <w:sz w:val="44"/>
          <w:szCs w:val="44"/>
        </w:rPr>
      </w:pPr>
      <w:r>
        <w:rPr>
          <w:rFonts w:hint="eastAsia" w:ascii="方正小标宋简体" w:hAnsi="宋体" w:eastAsia="方正小标宋简体"/>
          <w:bCs/>
          <w:snapToGrid w:val="0"/>
          <w:kern w:val="0"/>
          <w:sz w:val="44"/>
          <w:szCs w:val="44"/>
        </w:rPr>
        <w:t>关于第七师126团综合医院建设项目</w:t>
      </w:r>
      <w:r>
        <w:rPr>
          <w:rFonts w:hint="eastAsia" w:ascii="方正小标宋简体" w:hAnsi="仿宋" w:eastAsia="方正小标宋简体"/>
          <w:bCs/>
          <w:sz w:val="44"/>
          <w:szCs w:val="44"/>
        </w:rPr>
        <w:t>环境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r>
        <w:rPr>
          <w:rFonts w:hint="eastAsia" w:ascii="方正小标宋简体" w:hAnsi="仿宋" w:eastAsia="方正小标宋简体"/>
          <w:bCs/>
          <w:sz w:val="44"/>
          <w:szCs w:val="44"/>
        </w:rPr>
        <w:t>影响报告</w:t>
      </w:r>
      <w:r>
        <w:rPr>
          <w:rFonts w:hint="eastAsia" w:ascii="方正小标宋简体" w:hAnsi="仿宋" w:eastAsia="方正小标宋简体"/>
          <w:bCs/>
          <w:sz w:val="44"/>
          <w:szCs w:val="44"/>
          <w:lang w:val="en-US" w:eastAsia="zh-CN"/>
        </w:rPr>
        <w:t>表</w:t>
      </w:r>
      <w:r>
        <w:rPr>
          <w:rFonts w:hint="eastAsia" w:ascii="方正小标宋简体" w:hAnsi="宋体" w:eastAsia="方正小标宋简体"/>
          <w:bCs/>
          <w:snapToGrid w:val="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新疆生产建设兵团第七师医院：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你公司《关于审批&lt;第七师126团综合医院建设项目环境影响报告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&gt;的请示》收悉。经研究，批复如下：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第七师126团团部，项目区中心地理坐标为东经84度17分9.908秒，北纬45度4分57.035秒。项目为新建项目，建设医院综合楼一座，地上四层，设置病床30张，配套建设洗消供应室、消防泵房、污水处理设施、门卫室等公用和辅助工程。项目由主体工程、辅助工程、公用工程及环保工程组成。</w:t>
      </w:r>
      <w:bookmarkStart w:id="0" w:name="_GoBack"/>
      <w:bookmarkEnd w:id="0"/>
      <w:r>
        <w:rPr>
          <w:rFonts w:hint="default" w:ascii="Times New Roman" w:hAnsi="Times New Roman" w:eastAsia="仿宋_GB2312" w:cs="Times New Roman"/>
          <w:sz w:val="32"/>
          <w:szCs w:val="32"/>
        </w:rPr>
        <w:t>项目总投资2230万元，其中环保投资34.5万元，占总投资的1.55%。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default" w:ascii="Times New Roman" w:hAnsi="Times New Roman" w:eastAsia="仿宋_GB2312" w:cs="Times New Roman"/>
          <w:bCs/>
          <w:sz w:val="32"/>
          <w:szCs w:val="32"/>
          <w:lang w:eastAsia="zh-CN"/>
        </w:rPr>
        <w:t>报告表</w:t>
      </w:r>
      <w:r>
        <w:rPr>
          <w:rFonts w:hint="default" w:ascii="Times New Roman" w:hAnsi="Times New Roman" w:eastAsia="仿宋_GB2312" w:cs="Times New Roman"/>
          <w:bCs/>
          <w:sz w:val="32"/>
          <w:szCs w:val="32"/>
        </w:rPr>
        <w:t>中所列建设项目的性质、规模、地点、工艺和环境保护对策措施。</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pStyle w:val="23"/>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厂区设置地埋式污水处理站，加强污水处理站的运行操作管理，污泥及时外运，防止恶臭形成，污水处理站采取密闭处理，周边定期喷洒除臭剂，并在四周种植绿化带；加强医院的通风，各科室安装独立的通风系统和净化空调，空调系统均设空气消毒器，定期对消毒过滤器进行清洗；医疗废物打包密封，低温暂存，定期清运，并对暂存间定期喷洒除臭剂，消除臭味；医疗废物暂存间地面每天清洁和消毒，医疗废物暂存时间不超过2天，定期送有医疗废物处置资质的单位集中收集处置。污水处理站周边氨、硫化氢、臭气浓度、甲烷、氯气无组织排放满足《医疗机构水污染物排放标准》（GB18466-2005）表3中标准要求；厂界氨、硫化氢、臭气浓度无组织排放满足《恶臭污染物排放标准》（GB14554-93）表1二级新改扩建标准限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（二）严格落实水污染防治措施。</w:t>
      </w:r>
      <w:r>
        <w:rPr>
          <w:rFonts w:hint="eastAsia" w:eastAsia="仿宋_GB2312" w:cs="Times New Roman"/>
          <w:sz w:val="32"/>
          <w:szCs w:val="32"/>
          <w:lang w:val="en-US" w:eastAsia="zh-CN"/>
        </w:rPr>
        <w:t>厂区</w:t>
      </w:r>
      <w:r>
        <w:rPr>
          <w:rFonts w:hint="default" w:ascii="Times New Roman" w:hAnsi="Times New Roman" w:eastAsia="仿宋_GB2312" w:cs="Times New Roman"/>
          <w:sz w:val="32"/>
          <w:szCs w:val="32"/>
        </w:rPr>
        <w:t>污水处理站采用“格栅+调节池+混凝沉淀+消毒”的处理工艺；各类废水排入厂区污水处理站处理，出水水质</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《医疗机构水污染物排放标准》（GB18466-2005）表2综合医疗机构水污染物排放限值中标准要求，</w:t>
      </w:r>
      <w:r>
        <w:rPr>
          <w:rFonts w:hint="eastAsia" w:eastAsia="仿宋_GB2312" w:cs="Times New Roman"/>
          <w:sz w:val="32"/>
          <w:szCs w:val="32"/>
          <w:lang w:val="en-US" w:eastAsia="zh-CN"/>
        </w:rPr>
        <w:t>污水处理站出水在126团污水处理厂未建成投运前用吸污车拉运至就近的污水处理厂处置，待126团污水处理厂建成投运后，</w:t>
      </w:r>
      <w:r>
        <w:rPr>
          <w:rFonts w:hint="default" w:ascii="Times New Roman" w:hAnsi="Times New Roman" w:eastAsia="仿宋_GB2312" w:cs="Times New Roman"/>
          <w:sz w:val="32"/>
          <w:szCs w:val="32"/>
        </w:rPr>
        <w:t>经市政排水管网排入126团污水处理厂处理。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合理布局设备，将产生强噪声的设备与厂界保持足够距离；选择先进可靠的低噪声设备，对高噪声设备采取安装减振垫、用弹性连接代替设备与地面刚性连接、在噪声源强较大的设备处设置围护等措施；定期维护设备，确保设备运行状态良好；项目区种植绿化隔离带。厂界噪声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《工业企业厂界环境噪声排放标准》（GB12348-2008）中1类标准要求。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（四）严格落实固体废物分类处置和综合利用措施。废包装纸箱收集后集中外售</w:t>
      </w:r>
      <w:r>
        <w:rPr>
          <w:rFonts w:hint="eastAsia" w:eastAsia="仿宋_GB2312" w:cs="Times New Roman"/>
          <w:sz w:val="32"/>
          <w:szCs w:val="32"/>
          <w:lang w:eastAsia="zh-CN"/>
        </w:rPr>
        <w:t>；</w:t>
      </w:r>
      <w:r>
        <w:rPr>
          <w:rFonts w:hint="default" w:ascii="Times New Roman" w:hAnsi="Times New Roman" w:eastAsia="仿宋_GB2312" w:cs="Times New Roman"/>
          <w:bCs/>
          <w:sz w:val="32"/>
          <w:szCs w:val="32"/>
        </w:rPr>
        <w:t>医疗废物分类分区暂存于医疗废物暂存间内，定期委托有医疗废物处置资质的单位进行处置</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污水处理站污泥清掏前加入消毒剂消毒进行无害化处理、脱水处理后，委托有资质的单位进行污泥检测，达到《医疗机构水污染物排放标准》（GB18466-2005）中表4“医疗机构污泥控制标准”后再进行清掏，清掏后与栅渣暂存于危险废物暂存间内，定期交由有危险废物处置资质的单位处置</w:t>
      </w:r>
      <w:r>
        <w:rPr>
          <w:rFonts w:hint="default" w:ascii="Times New Roman" w:hAnsi="Times New Roman" w:eastAsia="仿宋_GB2312" w:cs="Times New Roman"/>
          <w:sz w:val="32"/>
          <w:szCs w:val="32"/>
        </w:rPr>
        <w:t>。医疗废物转移须按照《医疗废物集中处置技术规范（试行）》的相关要求执行，危险废物收集、运输须按照《危险废物收集 贮存 运输技术规范》（HJ2025-2012）和《危险废物转移管理办法》要求进行。生活垃圾经垃圾桶收集后，交由当地环卫部门统一清运至126团垃圾填埋场处理</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（五）严格落实地下水污染防治措施。根据《环境影响评价技术导则 地下水环境》（HJ610-2016）的相关要求，根据项目区各生产功能泄漏的可能性，将项目区划分为重点防渗区和简单防渗区。重点防渗区主要包括项目区内医疗废物暂存间、危险废物暂存间、污水处理站，重点防渗区等效黏土防渗层Mb≥6米，渗透系数K≤1.0×10-10厘米/秒；简单防渗区主要为除重点防渗区的其他区域，仅进行地面硬化。严格按照国家相关规范要求，对工艺、管道、设备、污水储存及处理构筑物采用相应的措施，以防止和降低污染物的跑、冒、滴、漏，保护项目区地下水资源；落实地下水污染风险防范措施，避免对地下水环境造成污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八</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六、在启动生产设施或者在实际排污之前，按照经批准的环境影响评价文件认真梳理并确认各项环境保护措施落实后，依法</w:t>
      </w:r>
      <w:r>
        <w:rPr>
          <w:rFonts w:hint="eastAsia" w:eastAsia="仿宋_GB2312" w:cs="Times New Roman"/>
          <w:bCs/>
          <w:sz w:val="32"/>
          <w:szCs w:val="32"/>
          <w:lang w:val="en-US" w:eastAsia="zh-CN"/>
        </w:rPr>
        <w:t>变更排污登记</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w:t>
      </w:r>
      <w:r>
        <w:rPr>
          <w:rFonts w:hint="eastAsia" w:eastAsia="仿宋_GB2312" w:cs="Times New Roman"/>
          <w:bCs/>
          <w:sz w:val="32"/>
          <w:szCs w:val="32"/>
          <w:lang w:val="en-US" w:eastAsia="zh-CN"/>
        </w:rPr>
        <w:t>126团城镇和生态保护中心</w:t>
      </w:r>
      <w:r>
        <w:rPr>
          <w:rFonts w:hint="default" w:ascii="Times New Roman" w:hAnsi="Times New Roman" w:eastAsia="仿宋_GB2312" w:cs="Times New Roman"/>
          <w:bCs/>
          <w:sz w:val="32"/>
          <w:szCs w:val="32"/>
        </w:rPr>
        <w:t>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126团城镇和生态保护中心，并按规定接受各级生态环境主管部门的监督检查。</w:t>
      </w:r>
    </w:p>
    <w:p>
      <w:pPr>
        <w:pStyle w:val="7"/>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pPr>
        <w:spacing w:line="440" w:lineRule="exact"/>
        <w:ind w:firstLine="5120" w:firstLineChars="16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7</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16</w:t>
      </w:r>
      <w:r>
        <w:rPr>
          <w:rFonts w:hint="default" w:ascii="Times New Roman" w:hAnsi="Times New Roman" w:eastAsia="仿宋_GB2312"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napToGrid w:val="0"/>
          <w:kern w:val="0"/>
          <w:szCs w:val="32"/>
        </w:rPr>
      </w:pPr>
    </w:p>
    <w:p>
      <w:pPr>
        <w:pStyle w:val="14"/>
        <w:rPr>
          <w:rFonts w:hint="eastAsia" w:ascii="仿宋_GB2312" w:eastAsia="仿宋_GB2312"/>
          <w:snapToGrid w:val="0"/>
          <w:kern w:val="0"/>
          <w:szCs w:val="32"/>
        </w:rPr>
      </w:pPr>
    </w:p>
    <w:p>
      <w:pPr>
        <w:pStyle w:val="5"/>
        <w:rPr>
          <w:rFonts w:hint="eastAsia" w:ascii="仿宋_GB2312" w:eastAsia="仿宋_GB2312"/>
          <w:snapToGrid w:val="0"/>
          <w:kern w:val="0"/>
          <w:szCs w:val="32"/>
        </w:rPr>
      </w:pPr>
    </w:p>
    <w:p>
      <w:pPr>
        <w:rPr>
          <w:rFonts w:hint="eastAsia"/>
        </w:rPr>
      </w:pPr>
    </w:p>
    <w:p>
      <w:pPr>
        <w:pStyle w:val="14"/>
        <w:rPr>
          <w:rFonts w:hint="eastAsia"/>
        </w:rPr>
      </w:pPr>
    </w:p>
    <w:p>
      <w:pPr>
        <w:pStyle w:val="5"/>
        <w:rPr>
          <w:rFonts w:hint="eastAsia"/>
        </w:rPr>
      </w:pPr>
    </w:p>
    <w:p>
      <w:pPr>
        <w:rPr>
          <w:rFonts w:hint="eastAsia"/>
        </w:rPr>
      </w:pPr>
    </w:p>
    <w:p>
      <w:pPr>
        <w:pStyle w:val="14"/>
        <w:rPr>
          <w:rFonts w:hint="eastAsia"/>
        </w:rPr>
      </w:pPr>
    </w:p>
    <w:p>
      <w:pPr>
        <w:pStyle w:val="5"/>
        <w:rPr>
          <w:rFonts w:hint="eastAsia"/>
        </w:rPr>
      </w:pPr>
    </w:p>
    <w:p>
      <w:pPr>
        <w:rPr>
          <w:rFonts w:hint="eastAsia"/>
        </w:rPr>
      </w:pPr>
    </w:p>
    <w:p>
      <w:pPr>
        <w:pStyle w:val="14"/>
        <w:rPr>
          <w:rFonts w:hint="eastAsia"/>
        </w:rPr>
      </w:pPr>
    </w:p>
    <w:p>
      <w:pPr>
        <w:pStyle w:val="5"/>
        <w:rPr>
          <w:rFonts w:hint="eastAsia"/>
        </w:rPr>
      </w:pPr>
    </w:p>
    <w:p>
      <w:pPr>
        <w:rPr>
          <w:rFonts w:hint="eastAsia"/>
        </w:rPr>
      </w:pPr>
    </w:p>
    <w:p>
      <w:pPr>
        <w:pStyle w:val="14"/>
        <w:rPr>
          <w:rFonts w:hint="eastAsia"/>
        </w:rPr>
      </w:pPr>
    </w:p>
    <w:p>
      <w:pPr>
        <w:pStyle w:val="5"/>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4"/>
        <w:rPr>
          <w:rFonts w:hint="eastAsia"/>
        </w:rPr>
      </w:pPr>
    </w:p>
    <w:p>
      <w:pPr>
        <w:pStyle w:val="5"/>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pStyle w:val="5"/>
        <w:rPr>
          <w:rFonts w:hint="eastAsia"/>
        </w:rPr>
      </w:pPr>
    </w:p>
    <w:p>
      <w:pPr>
        <w:pStyle w:val="14"/>
        <w:rPr>
          <w:rFonts w:hint="eastAsia"/>
        </w:rPr>
      </w:pP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抄送：师市生态环境保护综合行政执法支队、生态环境监测站、126团城镇和生态保护中心。</w:t>
      </w:r>
    </w:p>
    <w:p>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7</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16</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47115"/>
    <w:rsid w:val="05DA1B24"/>
    <w:rsid w:val="06482C28"/>
    <w:rsid w:val="06D45EBC"/>
    <w:rsid w:val="06F03C03"/>
    <w:rsid w:val="08044B24"/>
    <w:rsid w:val="082A01FE"/>
    <w:rsid w:val="08CA3F78"/>
    <w:rsid w:val="09D025FA"/>
    <w:rsid w:val="0A19265E"/>
    <w:rsid w:val="0BC820E2"/>
    <w:rsid w:val="0BFB278E"/>
    <w:rsid w:val="0C280139"/>
    <w:rsid w:val="0D083900"/>
    <w:rsid w:val="0D0850F4"/>
    <w:rsid w:val="0D0857D3"/>
    <w:rsid w:val="0D1D0A27"/>
    <w:rsid w:val="0D6F614B"/>
    <w:rsid w:val="0E82541D"/>
    <w:rsid w:val="0EAE2D6B"/>
    <w:rsid w:val="0F9D2257"/>
    <w:rsid w:val="10694FCD"/>
    <w:rsid w:val="10F7065C"/>
    <w:rsid w:val="11176767"/>
    <w:rsid w:val="114A24FF"/>
    <w:rsid w:val="117977C8"/>
    <w:rsid w:val="119D38E8"/>
    <w:rsid w:val="11B3721E"/>
    <w:rsid w:val="11B554D8"/>
    <w:rsid w:val="11FC3E71"/>
    <w:rsid w:val="125B6A06"/>
    <w:rsid w:val="12E653FD"/>
    <w:rsid w:val="12F00472"/>
    <w:rsid w:val="13220A7E"/>
    <w:rsid w:val="134E7150"/>
    <w:rsid w:val="146D39B6"/>
    <w:rsid w:val="14EF59F8"/>
    <w:rsid w:val="156616D0"/>
    <w:rsid w:val="1568419C"/>
    <w:rsid w:val="15781FA2"/>
    <w:rsid w:val="15CB6473"/>
    <w:rsid w:val="16B84C94"/>
    <w:rsid w:val="175A1C43"/>
    <w:rsid w:val="177D48A8"/>
    <w:rsid w:val="178040F6"/>
    <w:rsid w:val="18255176"/>
    <w:rsid w:val="19237D0D"/>
    <w:rsid w:val="193B4C02"/>
    <w:rsid w:val="194D6120"/>
    <w:rsid w:val="19F14296"/>
    <w:rsid w:val="1A316160"/>
    <w:rsid w:val="1AB8362B"/>
    <w:rsid w:val="1ADC1901"/>
    <w:rsid w:val="1AE32AE3"/>
    <w:rsid w:val="1AE80F0E"/>
    <w:rsid w:val="1AF17928"/>
    <w:rsid w:val="1B4E4B64"/>
    <w:rsid w:val="1B4F4EDD"/>
    <w:rsid w:val="1B8C46FD"/>
    <w:rsid w:val="1BB95666"/>
    <w:rsid w:val="1C4C39FF"/>
    <w:rsid w:val="1C68119F"/>
    <w:rsid w:val="1C6C7287"/>
    <w:rsid w:val="1C882170"/>
    <w:rsid w:val="1C9B12FC"/>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326EC"/>
    <w:rsid w:val="28792B0F"/>
    <w:rsid w:val="28874489"/>
    <w:rsid w:val="29974C98"/>
    <w:rsid w:val="2ADD0909"/>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1674751"/>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5B7D07"/>
    <w:rsid w:val="39E82FD1"/>
    <w:rsid w:val="3ACD20A4"/>
    <w:rsid w:val="3B2D4B6E"/>
    <w:rsid w:val="3B3F320C"/>
    <w:rsid w:val="3C3E7B4A"/>
    <w:rsid w:val="3CAD164C"/>
    <w:rsid w:val="3DC66E77"/>
    <w:rsid w:val="3E3B45CB"/>
    <w:rsid w:val="3E3E33F5"/>
    <w:rsid w:val="3E471CD1"/>
    <w:rsid w:val="3E52243B"/>
    <w:rsid w:val="3E8E68D9"/>
    <w:rsid w:val="3E94717B"/>
    <w:rsid w:val="3ECA2E88"/>
    <w:rsid w:val="402F2F8A"/>
    <w:rsid w:val="4034728C"/>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CCB3C78"/>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29A036B"/>
    <w:rsid w:val="5362156F"/>
    <w:rsid w:val="539B67A3"/>
    <w:rsid w:val="53B41E2C"/>
    <w:rsid w:val="54E04A09"/>
    <w:rsid w:val="553304D8"/>
    <w:rsid w:val="55A45BE7"/>
    <w:rsid w:val="5664471C"/>
    <w:rsid w:val="566505FA"/>
    <w:rsid w:val="56B132E4"/>
    <w:rsid w:val="56BC7872"/>
    <w:rsid w:val="56E33461"/>
    <w:rsid w:val="57272BE3"/>
    <w:rsid w:val="57C57BE5"/>
    <w:rsid w:val="57ED0C21"/>
    <w:rsid w:val="58222359"/>
    <w:rsid w:val="5828002B"/>
    <w:rsid w:val="5859712B"/>
    <w:rsid w:val="5879642E"/>
    <w:rsid w:val="587F00BF"/>
    <w:rsid w:val="58AB38E0"/>
    <w:rsid w:val="59382688"/>
    <w:rsid w:val="59715FF1"/>
    <w:rsid w:val="59AB4C5B"/>
    <w:rsid w:val="59CB4F4F"/>
    <w:rsid w:val="5A332211"/>
    <w:rsid w:val="5A63075C"/>
    <w:rsid w:val="5A7C6850"/>
    <w:rsid w:val="5AB630E2"/>
    <w:rsid w:val="5AD523F3"/>
    <w:rsid w:val="5AFC14D7"/>
    <w:rsid w:val="5B842B8D"/>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964CD9"/>
    <w:rsid w:val="60DD233F"/>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6F3F2F"/>
    <w:rsid w:val="6CB30E44"/>
    <w:rsid w:val="6D1621E5"/>
    <w:rsid w:val="6D6C7AA8"/>
    <w:rsid w:val="6DF667CF"/>
    <w:rsid w:val="6DFF2601"/>
    <w:rsid w:val="6E8329B6"/>
    <w:rsid w:val="6ED93540"/>
    <w:rsid w:val="6F6275F7"/>
    <w:rsid w:val="715B6DC4"/>
    <w:rsid w:val="71DE0D44"/>
    <w:rsid w:val="71EB593E"/>
    <w:rsid w:val="723C68E2"/>
    <w:rsid w:val="731256D6"/>
    <w:rsid w:val="73451021"/>
    <w:rsid w:val="735262F3"/>
    <w:rsid w:val="74225AD5"/>
    <w:rsid w:val="742D744A"/>
    <w:rsid w:val="748627F8"/>
    <w:rsid w:val="74AF20F3"/>
    <w:rsid w:val="74D70B60"/>
    <w:rsid w:val="75017EC6"/>
    <w:rsid w:val="751E7A5A"/>
    <w:rsid w:val="753F107B"/>
    <w:rsid w:val="755C2A4B"/>
    <w:rsid w:val="7577036C"/>
    <w:rsid w:val="75CE6E08"/>
    <w:rsid w:val="75D21884"/>
    <w:rsid w:val="75FA70B6"/>
    <w:rsid w:val="764F600F"/>
    <w:rsid w:val="76BC1255"/>
    <w:rsid w:val="76EE6DD2"/>
    <w:rsid w:val="7718676A"/>
    <w:rsid w:val="77531C6F"/>
    <w:rsid w:val="777E1814"/>
    <w:rsid w:val="78423B58"/>
    <w:rsid w:val="789214BA"/>
    <w:rsid w:val="789424EB"/>
    <w:rsid w:val="789C74A5"/>
    <w:rsid w:val="78A3701C"/>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AF525D"/>
    <w:rsid w:val="7CE92B76"/>
    <w:rsid w:val="7DE12E05"/>
    <w:rsid w:val="7DFA0405"/>
    <w:rsid w:val="7E27709E"/>
    <w:rsid w:val="7E374B3D"/>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00" w:beforeAutospacing="1" w:after="100" w:afterAutospacing="1"/>
      <w:outlineLvl w:val="0"/>
    </w:pPr>
    <w:rPr>
      <w:b/>
      <w:bCs/>
      <w:kern w:val="44"/>
      <w:sz w:val="30"/>
      <w:szCs w:val="44"/>
    </w:rPr>
  </w:style>
  <w:style w:type="paragraph" w:styleId="3">
    <w:name w:val="heading 2"/>
    <w:basedOn w:val="1"/>
    <w:next w:val="1"/>
    <w:autoRedefine/>
    <w:qFormat/>
    <w:uiPriority w:val="9"/>
    <w:pPr>
      <w:keepNext/>
      <w:keepLines/>
      <w:spacing w:before="260" w:after="260" w:line="416" w:lineRule="auto"/>
      <w:outlineLvl w:val="1"/>
    </w:pPr>
    <w:rPr>
      <w:rFonts w:ascii="Calibri Light" w:hAnsi="Calibri Light" w:eastAsia="宋体"/>
      <w:b/>
      <w:bCs/>
      <w:color w:val="000000"/>
      <w:kern w:val="0"/>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firstLineChars="200"/>
    </w:pPr>
    <w:rPr>
      <w:sz w:val="32"/>
    </w:rPr>
  </w:style>
  <w:style w:type="paragraph" w:styleId="5">
    <w:name w:val="index 5"/>
    <w:basedOn w:val="1"/>
    <w:next w:val="1"/>
    <w:autoRedefine/>
    <w:qFormat/>
    <w:uiPriority w:val="0"/>
    <w:pPr>
      <w:ind w:left="800" w:leftChars="800"/>
    </w:pPr>
  </w:style>
  <w:style w:type="paragraph" w:styleId="6">
    <w:name w:val="annotation text"/>
    <w:basedOn w:val="1"/>
    <w:autoRedefine/>
    <w:semiHidden/>
    <w:unhideWhenUsed/>
    <w:qFormat/>
    <w:uiPriority w:val="99"/>
    <w:pPr>
      <w:jc w:val="left"/>
    </w:pPr>
  </w:style>
  <w:style w:type="paragraph" w:styleId="7">
    <w:name w:val="Body Text"/>
    <w:basedOn w:val="1"/>
    <w:next w:val="8"/>
    <w:autoRedefine/>
    <w:qFormat/>
    <w:uiPriority w:val="0"/>
    <w:rPr>
      <w:rFonts w:eastAsia="华文中宋"/>
      <w:b/>
      <w:bCs/>
      <w:w w:val="90"/>
      <w:sz w:val="44"/>
    </w:rPr>
  </w:style>
  <w:style w:type="paragraph" w:customStyle="1" w:styleId="8">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9">
    <w:name w:val="Body Text Indent"/>
    <w:basedOn w:val="1"/>
    <w:link w:val="27"/>
    <w:autoRedefine/>
    <w:qFormat/>
    <w:uiPriority w:val="0"/>
    <w:pPr>
      <w:ind w:firstLine="752" w:firstLineChars="235"/>
    </w:pPr>
    <w:rPr>
      <w:sz w:val="32"/>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link w:val="2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List"/>
    <w:basedOn w:val="1"/>
    <w:next w:val="1"/>
    <w:autoRedefine/>
    <w:qFormat/>
    <w:uiPriority w:val="0"/>
    <w:pPr>
      <w:ind w:left="200" w:hanging="200" w:hangingChars="200"/>
    </w:pPr>
  </w:style>
  <w:style w:type="paragraph" w:styleId="14">
    <w:name w:val="footnote text"/>
    <w:basedOn w:val="1"/>
    <w:next w:val="5"/>
    <w:autoRedefine/>
    <w:unhideWhenUsed/>
    <w:qFormat/>
    <w:uiPriority w:val="99"/>
    <w:pPr>
      <w:snapToGrid w:val="0"/>
      <w:jc w:val="left"/>
    </w:pPr>
    <w:rPr>
      <w:rFonts w:ascii="Calibri" w:hAnsi="Calibri" w:eastAsia="仿宋" w:cs="Times New Roman"/>
      <w:sz w:val="18"/>
      <w:szCs w:val="18"/>
    </w:rPr>
  </w:style>
  <w:style w:type="paragraph" w:styleId="15">
    <w:name w:val="Body Text 2"/>
    <w:basedOn w:val="1"/>
    <w:autoRedefine/>
    <w:unhideWhenUsed/>
    <w:qFormat/>
    <w:uiPriority w:val="99"/>
    <w:pPr>
      <w:spacing w:after="120" w:line="480" w:lineRule="auto"/>
    </w:pPr>
  </w:style>
  <w:style w:type="paragraph" w:styleId="16">
    <w:name w:val="Normal (Web)"/>
    <w:basedOn w:val="1"/>
    <w:autoRedefine/>
    <w:semiHidden/>
    <w:unhideWhenUsed/>
    <w:qFormat/>
    <w:uiPriority w:val="99"/>
    <w:pPr>
      <w:spacing w:beforeAutospacing="1" w:afterAutospacing="1"/>
      <w:jc w:val="left"/>
    </w:pPr>
    <w:rPr>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paragraph" w:customStyle="1" w:styleId="21">
    <w:name w:val="Body Text First Indent 21"/>
    <w:basedOn w:val="22"/>
    <w:autoRedefine/>
    <w:qFormat/>
    <w:uiPriority w:val="0"/>
    <w:pPr>
      <w:ind w:left="0" w:leftChars="0" w:firstLine="420"/>
    </w:pPr>
    <w:rPr>
      <w:rFonts w:ascii="Times New Roman" w:hAnsi="Times New Roman"/>
      <w:szCs w:val="22"/>
    </w:rPr>
  </w:style>
  <w:style w:type="paragraph" w:customStyle="1" w:styleId="22">
    <w:name w:val="Body Text Indent1"/>
    <w:basedOn w:val="1"/>
    <w:autoRedefine/>
    <w:qFormat/>
    <w:uiPriority w:val="0"/>
    <w:pPr>
      <w:ind w:left="420" w:leftChars="200"/>
    </w:pPr>
  </w:style>
  <w:style w:type="paragraph" w:customStyle="1" w:styleId="23">
    <w:name w:val="Default"/>
    <w:basedOn w:val="24"/>
    <w:next w:val="1"/>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4">
    <w:name w:val="纯文本1"/>
    <w:basedOn w:val="1"/>
    <w:autoRedefine/>
    <w:qFormat/>
    <w:uiPriority w:val="0"/>
    <w:pPr>
      <w:adjustRightInd w:val="0"/>
      <w:textAlignment w:val="baseline"/>
    </w:pPr>
    <w:rPr>
      <w:rFonts w:ascii="宋体" w:hAnsi="Courier New"/>
      <w:szCs w:val="20"/>
    </w:rPr>
  </w:style>
  <w:style w:type="character" w:customStyle="1" w:styleId="25">
    <w:name w:val="页眉 字符"/>
    <w:basedOn w:val="19"/>
    <w:link w:val="12"/>
    <w:autoRedefine/>
    <w:qFormat/>
    <w:uiPriority w:val="99"/>
    <w:rPr>
      <w:sz w:val="18"/>
      <w:szCs w:val="18"/>
    </w:rPr>
  </w:style>
  <w:style w:type="character" w:customStyle="1" w:styleId="26">
    <w:name w:val="页脚 字符"/>
    <w:basedOn w:val="19"/>
    <w:link w:val="11"/>
    <w:autoRedefine/>
    <w:qFormat/>
    <w:uiPriority w:val="99"/>
    <w:rPr>
      <w:sz w:val="18"/>
      <w:szCs w:val="18"/>
    </w:rPr>
  </w:style>
  <w:style w:type="character" w:customStyle="1" w:styleId="27">
    <w:name w:val="正文文本缩进 字符"/>
    <w:basedOn w:val="19"/>
    <w:link w:val="9"/>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2045</Words>
  <Characters>2212</Characters>
  <Lines>16</Lines>
  <Paragraphs>4</Paragraphs>
  <TotalTime>10</TotalTime>
  <ScaleCrop>false</ScaleCrop>
  <LinksUpToDate>false</LinksUpToDate>
  <CharactersWithSpaces>2262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2024-07-16T02:11:28Z</cp:lastPrinted>
  <dcterms:modified xsi:type="dcterms:W3CDTF">2024-07-16T02:11:41Z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05C895C0D45742858B58D455FC409233_13</vt:lpwstr>
  </property>
</Properties>
</file>