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54</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宋体" w:eastAsia="方正小标宋简体"/>
          <w:bCs/>
          <w:snapToGrid w:val="0"/>
          <w:kern w:val="0"/>
          <w:sz w:val="44"/>
          <w:szCs w:val="44"/>
        </w:rPr>
        <w:t>关于新疆锦琅农业科技有限责任公司年产8万吨硫酸钾、10万吨盐酸建设项目</w:t>
      </w:r>
      <w:r>
        <w:rPr>
          <w:rFonts w:hint="eastAsia" w:ascii="方正小标宋简体" w:hAnsi="仿宋" w:eastAsia="方正小标宋简体"/>
          <w:bCs/>
          <w:sz w:val="44"/>
          <w:szCs w:val="44"/>
        </w:rPr>
        <w:t>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新疆锦琅农业科技有限责任公司：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你公司《关于审批&lt;新疆锦琅农业科技有限责任公司年产8万吨硫酸钾、10万吨盐酸建设项目环境影响报告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胡杨河经济技术开发区，项目区中心地理坐标为东经84°53′13.361″，北纬44°50′40.251″。项目为改扩建工程，分四期建设，一期新增氯化钾烘干设备，建设硫酸钾生产线4条（年产4万吨硫酸钾、5万吨盐酸），建设生产厂房（烘干、上料、曼海姆炉、破碎包装）、制酸区、冷水塔、操作室及附属用房；二期建设罐区及事故水池；三期扩建硫酸钾生产线4条（年产4万吨硫酸钾、5万吨盐酸），建设生产厂房（上料、曼海姆炉）、制酸区和库房；四期建设罐区、备用设备房、库房、办公楼、宿舍楼及公辅设施。项目建设内容包括主体工程、辅助工程、环保工程、储运工程、公用工程。项目年产8万吨硫酸钾、10万吨盐酸。项目总投资30823万元，其中环保投资798万元，占总投资的2.59%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pStyle w:val="23"/>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（一）严格落实大气污染防治措施。曼海姆炉采用低氮燃烧技术</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其燃烧废气由15米高的排气筒排放（一期DA003、DA004，三期DA007、DA008），制酸尾气经“降膜吸收塔+洗涤塔”处理后由20米高的排气筒排放（一期DA005、三期DA009），破碎包装废气经布袋除尘器处理后由15米高的排气筒排放（一期DA006、三期DA006），烘干废气经“旋风除尘器+袋式除尘器”处理后由15米高的排气筒排放（一期DA001、DA002，三期DA002），盐酸储罐区呼吸废气经收集后排入制酸尾气处理工序进行处理后由20米高的排气筒排放（一期DA005、三期DA009）。曼海姆炉及烘干废气中颗粒物、二氧化硫、氮氧化物排放</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《兵团工业炉窑大气污染物综合治理实施方案》重点区域排放标准要求，制酸尾气中氯化氢、硫酸雾与破碎包装废气中颗粒物排放均</w:t>
      </w:r>
      <w:r>
        <w:rPr>
          <w:rFonts w:hint="eastAsia" w:ascii="Times New Roman"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《大气污染物综合排放标准》（GB16297-1996）中表2新污染源二级标准限值要求。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采用密闭管道输送，设备采用全自动密闭设备，全过程密闭；项目对泵、压缩机、阀门、法兰等易发生泄漏的设备与管线组件定期检测、及时修复；厂区定期洒水降尘；大风天气停止装卸作业。废气中颗粒物、氯化氢、硫酸雾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《大气污染物综合排放标准》（GB16297-1996）中表2无组织排放标准限值要求</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w:t>
      </w:r>
      <w:r>
        <w:rPr>
          <w:rFonts w:hint="eastAsia" w:eastAsia="仿宋_GB2312" w:cs="Times New Roman"/>
          <w:sz w:val="32"/>
          <w:szCs w:val="32"/>
          <w:lang w:val="en-US" w:eastAsia="zh-CN"/>
        </w:rPr>
        <w:t>新增</w:t>
      </w:r>
      <w:r>
        <w:rPr>
          <w:rFonts w:hint="default" w:ascii="Times New Roman" w:hAnsi="Times New Roman" w:eastAsia="仿宋_GB2312" w:cs="Times New Roman"/>
          <w:sz w:val="32"/>
          <w:szCs w:val="32"/>
        </w:rPr>
        <w:t>总量控制指标为</w:t>
      </w:r>
      <w:r>
        <w:rPr>
          <w:rFonts w:hint="eastAsia" w:eastAsia="仿宋_GB2312" w:cs="Times New Roman"/>
          <w:sz w:val="32"/>
          <w:szCs w:val="32"/>
          <w:lang w:eastAsia="zh-CN"/>
        </w:rPr>
        <w:t>：氮氧化物0.</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吨/年。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（二）严格落实水污染防治措施。生活污水和循环冷却排污水排入园区管网进入园区污水处理厂处理。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（三）严格落实噪声污染防治措施。选择先进可靠的低噪声设备，对大功率噪声设备采取安装减振垫、管道和风机口采用软连接，风机加装消声器等措施；强噪</w:t>
      </w:r>
      <w:bookmarkStart w:id="0" w:name="_GoBack"/>
      <w:bookmarkEnd w:id="0"/>
      <w:r>
        <w:rPr>
          <w:rFonts w:hint="default" w:ascii="Times New Roman" w:hAnsi="Times New Roman" w:eastAsia="仿宋_GB2312" w:cs="Times New Roman"/>
          <w:sz w:val="32"/>
          <w:szCs w:val="32"/>
        </w:rPr>
        <w:t>声设备置于室内，并采用隔声、吸音材料制作门窗、砌体等措施；对设备进行定期维护，确保设备运行状态良好；加强厂区绿化。厂界噪声排放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（四）严格落实固体废物分类处置和综合利用措施。破碎包装除尘灰作为产品外售，烘干粉尘作为原料回用，废包装材料、曼海姆炉废渣外售废品回收站</w:t>
      </w:r>
      <w:r>
        <w:rPr>
          <w:rFonts w:hint="default" w:ascii="Times New Roman" w:hAnsi="Times New Roman" w:eastAsia="仿宋_GB2312" w:cs="Times New Roman"/>
          <w:bCs/>
          <w:sz w:val="32"/>
          <w:szCs w:val="32"/>
        </w:rPr>
        <w:t>。废润滑油</w:t>
      </w:r>
      <w:r>
        <w:rPr>
          <w:rFonts w:hint="default" w:ascii="Times New Roman" w:hAnsi="Times New Roman" w:eastAsia="仿宋_GB2312" w:cs="Times New Roman"/>
          <w:sz w:val="32"/>
          <w:szCs w:val="32"/>
        </w:rPr>
        <w:t>属于危险废物，暂存于危险废物暂存间内，定期委托有危险废物处置资质的单位进行处置。危险废物收集、运输须按照《危险废物收集 贮存 运输技术规范》（HJ2025-2012）和《危险废物转移管理办法》要求进行。生活垃圾收集后由园区环卫部门统一清运</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（五）严格落实地下水及土壤污染防治措施。根据《环境影响评价技术导则 地下水环境》（HJ610-2016）相关要求，各生产装置、辅助设施及公用工程设施在布置上按照污染物泄漏的可能，将厂区划分为重点防渗区、一般防渗区，简单防渗区。重点防渗区主要为危险废物暂存间、储罐区，危险废物暂存间按照《危险废物贮存污染控制标准》（GB18597-2023）的要求执行，其他重点防渗区防渗要求为等效黏土防渗层Mb≥6米，渗透系数≤1×10-7厘米/秒；一般防渗区为生产车间、库房，等效黏土防渗层Mb≥1.5米，渗透系数≤1×10-7厘米/秒；简单防渗区为办公生活区、厂区道路，仅进行地面硬化。生产运行过程中强化监控手段，定期检查，杜绝厂区内有事故性排放点源的存在，保护项目区地下水资源；落实地下水及土壤污染风险防范措施，避免对地下水及土壤环境造成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r>
        <w:rPr>
          <w:rFonts w:hint="eastAsia" w:eastAsia="仿宋_GB2312" w:cs="Times New Roman"/>
          <w:bCs/>
          <w:sz w:val="32"/>
          <w:szCs w:val="32"/>
          <w:lang w:val="en-US" w:eastAsia="zh-CN"/>
        </w:rPr>
        <w:t>重新</w:t>
      </w:r>
      <w:r>
        <w:rPr>
          <w:rFonts w:hint="default" w:ascii="Times New Roman" w:hAnsi="Times New Roman" w:eastAsia="仿宋_GB2312" w:cs="Times New Roman"/>
          <w:bCs/>
          <w:sz w:val="32"/>
          <w:szCs w:val="32"/>
        </w:rPr>
        <w:t>申领排污许可证。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napToGrid w:val="0"/>
          <w:kern w:val="0"/>
          <w:szCs w:val="32"/>
        </w:rPr>
      </w:pPr>
    </w:p>
    <w:p>
      <w:pPr>
        <w:pStyle w:val="14"/>
        <w:rPr>
          <w:rFonts w:hint="eastAsia" w:ascii="仿宋_GB2312" w:eastAsia="仿宋_GB2312"/>
          <w:snapToGrid w:val="0"/>
          <w:kern w:val="0"/>
          <w:szCs w:val="32"/>
        </w:rPr>
      </w:pPr>
    </w:p>
    <w:p>
      <w:pPr>
        <w:pStyle w:val="5"/>
        <w:rPr>
          <w:rFonts w:hint="eastAsia" w:ascii="仿宋_GB2312" w:eastAsia="仿宋_GB2312"/>
          <w:snapToGrid w:val="0"/>
          <w:kern w:val="0"/>
          <w:szCs w:val="32"/>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pStyle w:val="14"/>
        <w:rPr>
          <w:rFonts w:hint="eastAsia"/>
        </w:rPr>
      </w:pPr>
    </w:p>
    <w:p>
      <w:pPr>
        <w:pStyle w:val="5"/>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14"/>
        <w:rPr>
          <w:rFonts w:hint="eastAsia"/>
        </w:rPr>
      </w:pPr>
    </w:p>
    <w:p>
      <w:pPr>
        <w:pStyle w:val="5"/>
        <w:rPr>
          <w:rFonts w:hint="eastAsia"/>
        </w:rPr>
      </w:pPr>
    </w:p>
    <w:p>
      <w:pPr>
        <w:pStyle w:val="14"/>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C820E2"/>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3">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rPr>
      <w:sz w:val="32"/>
    </w:rPr>
  </w:style>
  <w:style w:type="paragraph" w:styleId="5">
    <w:name w:val="index 5"/>
    <w:basedOn w:val="1"/>
    <w:next w:val="1"/>
    <w:autoRedefine/>
    <w:qFormat/>
    <w:uiPriority w:val="0"/>
    <w:pPr>
      <w:ind w:left="800" w:leftChars="80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qFormat/>
    <w:uiPriority w:val="0"/>
    <w:rPr>
      <w:rFonts w:eastAsia="华文中宋"/>
      <w:b/>
      <w:bCs/>
      <w:w w:val="90"/>
      <w:sz w:val="44"/>
    </w:rPr>
  </w:style>
  <w:style w:type="paragraph" w:customStyle="1" w:styleId="8">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ody Text Indent"/>
    <w:basedOn w:val="1"/>
    <w:link w:val="27"/>
    <w:autoRedefine/>
    <w:qFormat/>
    <w:uiPriority w:val="0"/>
    <w:pPr>
      <w:ind w:firstLine="752" w:firstLineChars="235"/>
    </w:pPr>
    <w:rPr>
      <w:sz w:val="3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autoRedefine/>
    <w:qFormat/>
    <w:uiPriority w:val="0"/>
    <w:pPr>
      <w:ind w:left="200" w:hanging="200" w:hangingChars="200"/>
    </w:pPr>
  </w:style>
  <w:style w:type="paragraph" w:styleId="14">
    <w:name w:val="footnote text"/>
    <w:basedOn w:val="1"/>
    <w:next w:val="5"/>
    <w:autoRedefine/>
    <w:unhideWhenUsed/>
    <w:qFormat/>
    <w:uiPriority w:val="99"/>
    <w:pPr>
      <w:snapToGrid w:val="0"/>
      <w:jc w:val="left"/>
    </w:pPr>
    <w:rPr>
      <w:rFonts w:ascii="Calibri" w:hAnsi="Calibri" w:eastAsia="仿宋" w:cs="Times New Roman"/>
      <w:sz w:val="18"/>
      <w:szCs w:val="18"/>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纯文本1"/>
    <w:basedOn w:val="1"/>
    <w:autoRedefine/>
    <w:qFormat/>
    <w:uiPriority w:val="0"/>
    <w:pPr>
      <w:adjustRightInd w:val="0"/>
      <w:textAlignment w:val="baseline"/>
    </w:pPr>
    <w:rPr>
      <w:rFonts w:ascii="宋体" w:hAnsi="Courier New"/>
      <w:szCs w:val="20"/>
    </w:rPr>
  </w:style>
  <w:style w:type="character" w:customStyle="1" w:styleId="25">
    <w:name w:val="页眉 字符"/>
    <w:basedOn w:val="19"/>
    <w:link w:val="12"/>
    <w:autoRedefine/>
    <w:qFormat/>
    <w:uiPriority w:val="99"/>
    <w:rPr>
      <w:sz w:val="18"/>
      <w:szCs w:val="18"/>
    </w:rPr>
  </w:style>
  <w:style w:type="character" w:customStyle="1" w:styleId="26">
    <w:name w:val="页脚 字符"/>
    <w:basedOn w:val="19"/>
    <w:link w:val="11"/>
    <w:autoRedefine/>
    <w:qFormat/>
    <w:uiPriority w:val="99"/>
    <w:rPr>
      <w:sz w:val="18"/>
      <w:szCs w:val="18"/>
    </w:rPr>
  </w:style>
  <w:style w:type="character" w:customStyle="1" w:styleId="27">
    <w:name w:val="正文文本缩进 字符"/>
    <w:basedOn w:val="19"/>
    <w:link w:val="9"/>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2045</Words>
  <Characters>2212</Characters>
  <Lines>16</Lines>
  <Paragraphs>4</Paragraphs>
  <TotalTime>15</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2024-05-20T03:01:00Z</cp:lastPrinted>
  <dcterms:modified xsi:type="dcterms:W3CDTF">2024-07-10T13:02:58Z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01DBB8949C00447A91A34901E49771E4_13</vt:lpwstr>
  </property>
</Properties>
</file>