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eastAsia" w:eastAsia="仿宋_GB2312" w:cs="Times New Roman"/>
          <w:snapToGrid w:val="0"/>
          <w:color w:val="auto"/>
          <w:kern w:val="0"/>
          <w:szCs w:val="32"/>
          <w:highlight w:val="none"/>
          <w:lang w:val="en-US" w:eastAsia="zh-CN"/>
        </w:rPr>
        <w:t>4</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49</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于锦龙电力集团所属煤电灵活性改造配套124团、127团34万千瓦光伏发电输变电</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eastAsia" w:ascii="方正小标宋简体" w:hAnsi="方正小标宋简体" w:eastAsia="方正小标宋简体" w:cs="方正小标宋简体"/>
          <w:color w:val="auto"/>
          <w:sz w:val="44"/>
          <w:szCs w:val="44"/>
          <w:highlight w:val="none"/>
          <w:lang w:val="zh-CN"/>
        </w:rPr>
        <w:t>工程环境影响报告表</w:t>
      </w:r>
      <w:r>
        <w:rPr>
          <w:rFonts w:hint="eastAsia" w:ascii="方正小标宋简体" w:hAnsi="方正小标宋简体" w:eastAsia="方正小标宋简体" w:cs="方正小标宋简体"/>
          <w:color w:val="auto"/>
          <w:sz w:val="44"/>
          <w:szCs w:val="44"/>
          <w:highlight w:val="none"/>
          <w:lang w:val="en-US" w:eastAsia="zh-CN"/>
        </w:rPr>
        <w:t>的批</w:t>
      </w:r>
      <w:r>
        <w:rPr>
          <w:rFonts w:hint="default" w:ascii="Times New Roman" w:hAnsi="Times New Roman" w:eastAsia="方正小标宋简体" w:cs="Times New Roman"/>
          <w:color w:val="auto"/>
          <w:sz w:val="44"/>
          <w:szCs w:val="44"/>
          <w:highlight w:val="none"/>
          <w:lang w:val="en-US" w:eastAsia="zh-CN"/>
        </w:rPr>
        <w:t>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新疆锦龙电力集团有限公司：</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你单位《关于审批锦龙电力集团所属煤电灵活性改造配套124团、127团34万千瓦光伏发电输变电工程环境影响报告表的请示》收悉。经研究，批复如下：</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rPr>
        <w:t>该项目位于第七师胡杨河市124团、127团境内，项目涉及3座110千伏升压站及3段输电线路送出工程，线路总长44.495千米</w:t>
      </w:r>
      <w:r>
        <w:rPr>
          <w:rFonts w:hint="eastAsia"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3座</w:t>
      </w:r>
      <w:r>
        <w:rPr>
          <w:rFonts w:hint="eastAsia" w:eastAsia="仿宋_GB2312" w:cs="Times New Roman"/>
          <w:color w:val="auto"/>
          <w:szCs w:val="32"/>
          <w:highlight w:val="none"/>
          <w:lang w:eastAsia="zh-CN"/>
        </w:rPr>
        <w:t>升压站：</w:t>
      </w:r>
      <w:r>
        <w:rPr>
          <w:rFonts w:hint="default" w:ascii="Times New Roman" w:hAnsi="Times New Roman" w:eastAsia="仿宋_GB2312" w:cs="Times New Roman"/>
          <w:sz w:val="32"/>
          <w:szCs w:val="32"/>
          <w:lang w:val="en-US" w:eastAsia="zh-CN"/>
        </w:rPr>
        <w:t>124团地块一新建一座主变容量为90兆伏安的升压站</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Cs w:val="32"/>
          <w:highlight w:val="none"/>
        </w:rPr>
        <w:t>中心地理位置坐标为：北纬44°24′05.583″，东经84°03′15.106″</w:t>
      </w:r>
      <w:r>
        <w:rPr>
          <w:rFonts w:hint="eastAsia" w:eastAsia="仿宋_GB2312" w:cs="Times New Roman"/>
          <w:color w:val="auto"/>
          <w:szCs w:val="32"/>
          <w:highlight w:val="none"/>
          <w:lang w:eastAsia="zh-CN"/>
        </w:rPr>
        <w:t>；124团地块二新建一座主变容量为90兆伏安的升压站，中心地理位置坐标为：北纬44°37′03.705″，东经84°12′45.510″；127团地块新建一座主变容量为2×100兆伏安的升压站，</w:t>
      </w:r>
      <w:r>
        <w:rPr>
          <w:rFonts w:hint="default" w:ascii="Times New Roman" w:hAnsi="Times New Roman" w:eastAsia="仿宋_GB2312" w:cs="Times New Roman"/>
          <w:color w:val="auto"/>
          <w:kern w:val="2"/>
          <w:sz w:val="32"/>
          <w:szCs w:val="32"/>
          <w:highlight w:val="none"/>
          <w:lang w:val="en-US" w:eastAsia="zh-CN" w:bidi="ar-SA"/>
        </w:rPr>
        <w:t>中心地理位置坐标为：北纬45°07′12.425″，东经84°31′07.433″</w:t>
      </w:r>
      <w:r>
        <w:rPr>
          <w:rFonts w:hint="default" w:ascii="Times New Roman" w:hAnsi="Times New Roman" w:eastAsia="仿宋_GB2312" w:cs="Times New Roman"/>
          <w:color w:val="auto"/>
          <w:szCs w:val="32"/>
          <w:highlight w:val="none"/>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eastAsia="zh-CN"/>
        </w:rPr>
        <w:t>3段</w:t>
      </w:r>
      <w:r>
        <w:rPr>
          <w:rFonts w:hint="default" w:ascii="Times New Roman" w:hAnsi="Times New Roman" w:eastAsia="仿宋_GB2312" w:cs="Times New Roman"/>
          <w:color w:val="auto"/>
          <w:kern w:val="2"/>
          <w:sz w:val="32"/>
          <w:szCs w:val="32"/>
          <w:highlight w:val="none"/>
          <w:lang w:val="en-US" w:eastAsia="zh-CN" w:bidi="ar-SA"/>
        </w:rPr>
        <w:t>输电线路送出工程</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Cs w:val="32"/>
          <w:highlight w:val="none"/>
          <w:lang w:eastAsia="zh-CN"/>
        </w:rPr>
        <w:t>124团地块一光伏送出线路工程：新建铁塔共16基，利旧双回路分支塔1基，线路路径总长为4.948千米。</w:t>
      </w:r>
      <w:r>
        <w:rPr>
          <w:rFonts w:hint="default" w:ascii="Times New Roman" w:hAnsi="Times New Roman" w:eastAsia="仿宋_GB2312" w:cs="Times New Roman"/>
          <w:color w:val="auto"/>
          <w:szCs w:val="32"/>
          <w:highlight w:val="none"/>
          <w:lang w:eastAsia="zh-CN"/>
        </w:rPr>
        <w:t>线路</w:t>
      </w:r>
      <w:r>
        <w:rPr>
          <w:rFonts w:hint="default" w:ascii="Times New Roman" w:hAnsi="Times New Roman" w:eastAsia="仿宋_GB2312" w:cs="Times New Roman"/>
          <w:color w:val="auto"/>
          <w:szCs w:val="32"/>
          <w:highlight w:val="none"/>
          <w:lang w:eastAsia="zh-CN"/>
        </w:rPr>
        <w:t>起点位于124团1#升压站（北纬44°24′05.583″，东经84°03′15.106″），终点位于124团燃煤锅炉“煤改电”配套110千伏线路G3+1分支塔，全线位于124团境内（北纬44°23′39.172″，东经84°06′31.975″）。</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eastAsia="zh-CN"/>
        </w:rPr>
        <w:t>124团地块二220千伏光伏升压站配套110千伏线路工程：新建铁塔共84基，单回路架设长度约3.442千米，同塔双回路架设3.99千米，并行同塔双回路架设2×11.2千米，线路路径总长为29.832千米。线路起点为三峡光伏升压站门口第一基铁塔（北纬44°35′27.391″，东经84°12′58.700″），线路经“三双线π接、中线改接”等工程最终接入124团220千伏光伏升压站（北纬44°42′21.946″，东经84°08′34.610″），全线位于124团境内。</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eastAsia="zh-CN"/>
        </w:rPr>
        <w:t>127团地块光伏送出线路工程：</w:t>
      </w:r>
      <w:r>
        <w:rPr>
          <w:rFonts w:hint="default" w:ascii="Times New Roman" w:hAnsi="Times New Roman" w:eastAsia="仿宋_GB2312" w:cs="Times New Roman"/>
          <w:sz w:val="32"/>
          <w:szCs w:val="32"/>
          <w:lang w:val="en-US" w:eastAsia="zh-CN"/>
        </w:rPr>
        <w:t>新建铁塔共33基，线路路径总长为9.715千米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Cs w:val="32"/>
          <w:highlight w:val="none"/>
          <w:lang w:eastAsia="zh-CN"/>
        </w:rPr>
        <w:t>线路</w:t>
      </w:r>
      <w:r>
        <w:rPr>
          <w:rFonts w:hint="default" w:ascii="Times New Roman" w:hAnsi="Times New Roman" w:eastAsia="仿宋_GB2312" w:cs="Times New Roman"/>
          <w:color w:val="auto"/>
          <w:szCs w:val="32"/>
          <w:highlight w:val="none"/>
          <w:lang w:eastAsia="zh-CN"/>
        </w:rPr>
        <w:t>起点为110千伏排科一二线48#-49#之间π接点（北纬45°05′24.381″，东经84°24′52.888″），终点为127团地块升压站（北纬45°07′12.425″，东经84°31′07.433″）。</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val="en-US" w:eastAsia="zh-CN"/>
        </w:rPr>
        <w:t>项目总投资23315万元，其中环保投资350万元，占总投资的1.50%。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000000" w:themeColor="text1"/>
          <w:kern w:val="0"/>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一）严格落实电磁环境保护措施。涉及环境敏感点的选线应采取避让或增加导线对地高度的措施，输电线路导线对地高度不低于7米；严格按照《输变电建设项目环境保护技术要求》，因地制宜选择线路型式、架设高度、杆塔塔型、导线参数等，要求留有足够净空距离，控制地面最大场强，使线路运行时产生的电场强度对交叉跨越的对象无影响；升压站按功能分区布置；制定安全操作规程，加强职工安全教育，加强电磁水平监测；对员工进行电磁环境基础知识培训，在巡检带电维修过程中，尽可能减少曝露在电磁场中的时间；设立电磁防护安全警示标志，禁止无关人员靠近带电架构等。升压站和输电线路工频电场强度、工频磁感应强度均</w:t>
      </w:r>
      <w:r>
        <w:rPr>
          <w:rFonts w:hint="eastAsia" w:eastAsia="仿宋_GB2312" w:cs="Times New Roman"/>
          <w:color w:val="000000" w:themeColor="text1"/>
          <w:kern w:val="0"/>
          <w:szCs w:val="32"/>
          <w:lang w:val="en-US" w:eastAsia="zh-CN"/>
          <w14:textFill>
            <w14:solidFill>
              <w14:schemeClr w14:val="tx1"/>
            </w14:solidFill>
          </w14:textFill>
        </w:rPr>
        <w:t>执行</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《电磁环境控制限值》（GB8702-2014）限值要求。</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严格落实大气污染防治措施。食堂安装一套净化效率不低于60%的油烟净化器，食堂油烟经处理满足《饮食业油烟排放标准》（GB18483-2001）中表2排放标准浓度限值要求后由专用烟道排放</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Times New Roman"/>
          <w:bCs/>
          <w:color w:val="auto"/>
          <w:szCs w:val="32"/>
          <w:highlight w:val="none"/>
          <w:lang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rPr>
        <w:t>严格落实水污染防治措施。项目在每座升压站内设置一座9立方米的化粪池及一体化污水处理装置，夏季生活污水经一体化污水处理装置处理满足《农村生活污水处理排放标准》（DB65 4275-2019）中A级标准后，夏季排放至站外用于草地、荒漠的灌溉，冬季生活污水排入化粪池后委托环卫部门定期清陶，拉运至124团和127团污水处理厂处理</w:t>
      </w:r>
      <w:r>
        <w:rPr>
          <w:rFonts w:hint="default" w:ascii="Times New Roman" w:hAnsi="Times New Roman" w:eastAsia="仿宋_GB2312" w:cs="Times New Roman"/>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rPr>
        <w:t>严格落实噪声污染防治措施。建立设备定期维护、保养的管理制度，定期对设备进行保养和维护；选用先进可靠的低噪设备，并加装减振措施；选用符合国家标准的导线，优化输电线路的导线特性，降低线路噪声水平；加强线路沿线声环境监测，发现问题及时处理。升压站厂界噪声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《工业企业厂界环境噪声排放标准》（GB12348-2008）1类标准要求；线路噪声排放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《声环境质量标准》（GB3096-2008）中1类标准要求</w:t>
      </w:r>
      <w:r>
        <w:rPr>
          <w:rFonts w:hint="default" w:ascii="Times New Roman" w:hAnsi="Times New Roman" w:eastAsia="仿宋_GB2312" w:cs="Times New Roman"/>
          <w:szCs w:val="32"/>
          <w:highlight w:val="none"/>
          <w:lang w:val="en-US" w:eastAsia="zh-CN"/>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rPr>
        <w:t>固体废物实施分类管理并妥善处理处置。检修废弃物集中收集并清运至就近垃圾收集站处理</w:t>
      </w:r>
      <w:r>
        <w:rPr>
          <w:rFonts w:hint="eastAsia" w:eastAsia="仿宋_GB2312" w:cs="Times New Roman"/>
          <w:bCs/>
          <w:color w:val="auto"/>
          <w:szCs w:val="32"/>
          <w:highlight w:val="none"/>
          <w:lang w:eastAsia="zh-CN"/>
        </w:rPr>
        <w:t>；</w:t>
      </w:r>
      <w:r>
        <w:rPr>
          <w:rFonts w:hint="eastAsia" w:ascii="Times New Roman" w:hAnsi="Times New Roman" w:eastAsia="仿宋_GB2312" w:cs="Times New Roman"/>
          <w:sz w:val="32"/>
          <w:szCs w:val="32"/>
          <w:highlight w:val="none"/>
          <w:lang w:val="en-US" w:eastAsia="zh-CN"/>
        </w:rPr>
        <w:t>废铅酸蓄电池、</w:t>
      </w:r>
      <w:r>
        <w:rPr>
          <w:rFonts w:hint="default" w:ascii="Times New Roman" w:hAnsi="Times New Roman" w:eastAsia="仿宋_GB2312" w:cs="Times New Roman"/>
          <w:sz w:val="32"/>
          <w:szCs w:val="32"/>
          <w:lang w:val="en-US" w:eastAsia="zh-CN"/>
        </w:rPr>
        <w:t>废</w:t>
      </w:r>
      <w:r>
        <w:rPr>
          <w:rFonts w:hint="eastAsia" w:eastAsia="仿宋_GB2312" w:cs="Times New Roman"/>
          <w:sz w:val="32"/>
          <w:szCs w:val="32"/>
          <w:lang w:val="en-US" w:eastAsia="zh-CN"/>
        </w:rPr>
        <w:t>变压器油</w:t>
      </w:r>
      <w:r>
        <w:rPr>
          <w:rFonts w:hint="eastAsia" w:eastAsia="仿宋_GB2312" w:cs="Times New Roman"/>
          <w:bCs/>
          <w:color w:val="auto"/>
          <w:szCs w:val="32"/>
          <w:highlight w:val="none"/>
          <w:lang w:eastAsia="zh-CN"/>
        </w:rPr>
        <w:t>属于危险废物</w:t>
      </w:r>
      <w:r>
        <w:rPr>
          <w:rFonts w:hint="eastAsia" w:ascii="仿宋_GB2312" w:hAnsi="仿宋_GB2312" w:eastAsia="仿宋_GB2312" w:cs="仿宋_GB2312"/>
          <w:bCs/>
          <w:sz w:val="32"/>
          <w:szCs w:val="32"/>
          <w:lang w:val="en-US" w:eastAsia="zh-CN"/>
        </w:rPr>
        <w:t>，废铅酸蓄电池更换后及时交由有危险废物处置资质单位处置，不在厂区暂存；废变压器油经事故油池收集后，直接交由有危险废物处置资质单位处置</w:t>
      </w:r>
      <w:r>
        <w:rPr>
          <w:rFonts w:hint="default" w:ascii="Times New Roman" w:hAnsi="Times New Roman" w:eastAsia="仿宋_GB2312" w:cs="Times New Roman"/>
          <w:bCs/>
          <w:color w:val="auto"/>
          <w:kern w:val="0"/>
          <w:sz w:val="32"/>
          <w:szCs w:val="32"/>
          <w:highlight w:val="none"/>
          <w:lang w:val="en-US" w:eastAsia="zh-CN" w:bidi="ar-SA"/>
        </w:rPr>
        <w:t>。危险废物收集、运输须按照《危险废物收集 贮存 运输技术规范》（HJ2025-2012）和《危险废物转移管理办法》要求进行。生活垃圾分类收集后由环卫部门统一清运至附近生活垃圾转运站。</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w:t>
      </w:r>
      <w:r>
        <w:rPr>
          <w:rFonts w:hint="eastAsia" w:eastAsia="仿宋_GB2312" w:cs="Times New Roman"/>
          <w:bCs/>
          <w:color w:val="auto"/>
          <w:szCs w:val="32"/>
          <w:highlight w:val="none"/>
          <w:lang w:val="en-US" w:eastAsia="zh-CN"/>
        </w:rPr>
        <w:t>严格落实</w:t>
      </w:r>
      <w:r>
        <w:rPr>
          <w:rFonts w:hint="default" w:ascii="Times New Roman" w:hAnsi="Times New Roman" w:eastAsia="仿宋_GB2312" w:cs="Times New Roman"/>
          <w:bCs/>
          <w:szCs w:val="32"/>
          <w:highlight w:val="none"/>
          <w:lang w:val="en-US" w:eastAsia="zh-CN"/>
        </w:rPr>
        <w:t>地下水污染防治措施</w:t>
      </w:r>
      <w:r>
        <w:rPr>
          <w:rFonts w:hint="eastAsia" w:ascii="Times New Roman" w:hAnsi="Times New Roman" w:eastAsia="仿宋_GB2312" w:cs="Times New Roman"/>
          <w:bCs/>
          <w:szCs w:val="32"/>
          <w:highlight w:val="none"/>
          <w:lang w:val="en-US" w:eastAsia="zh-CN"/>
        </w:rPr>
        <w:t>。根据《环境影响评价技术导则 地下水环境》（HJ610-2016）的要求，将化粪池、地埋式污水处理设备、事故油池及贮油坑</w:t>
      </w:r>
      <w:r>
        <w:rPr>
          <w:rFonts w:hint="eastAsia" w:eastAsia="仿宋_GB2312" w:cs="Times New Roman"/>
          <w:bCs/>
          <w:szCs w:val="32"/>
          <w:highlight w:val="none"/>
          <w:lang w:val="en-US" w:eastAsia="zh-CN"/>
        </w:rPr>
        <w:t>划</w:t>
      </w:r>
      <w:r>
        <w:rPr>
          <w:rFonts w:hint="eastAsia" w:ascii="Times New Roman" w:hAnsi="Times New Roman" w:eastAsia="仿宋_GB2312" w:cs="Times New Roman"/>
          <w:bCs/>
          <w:szCs w:val="32"/>
          <w:highlight w:val="none"/>
          <w:lang w:val="en-US" w:eastAsia="zh-CN"/>
        </w:rPr>
        <w:t>为重点防渗区，重点防渗要求为“等效黏土防渗层Mb≥6.0米，K≤1×10-7厘米/秒”；</w:t>
      </w:r>
      <w:r>
        <w:rPr>
          <w:rFonts w:hint="eastAsia" w:ascii="Times New Roman" w:hAnsi="Times New Roman" w:eastAsia="仿宋_GB2312" w:cs="Times New Roman"/>
          <w:bCs/>
          <w:szCs w:val="32"/>
          <w:highlight w:val="none"/>
          <w:lang w:val="en-US" w:eastAsia="zh-CN"/>
        </w:rPr>
        <w:t>水泵房、配电室为</w:t>
      </w:r>
      <w:r>
        <w:rPr>
          <w:rFonts w:hint="eastAsia" w:ascii="Times New Roman" w:hAnsi="Times New Roman" w:eastAsia="仿宋_GB2312" w:cs="Times New Roman"/>
          <w:bCs/>
          <w:szCs w:val="32"/>
          <w:highlight w:val="none"/>
          <w:lang w:val="en-US" w:eastAsia="zh-CN"/>
        </w:rPr>
        <w:t>一般防渗区，一般防渗要求为“等效黏土防渗层Mb≥1.5米，K≤1×10-7厘米/秒”；其余部位为简单防渗区，采取一般性的地面硬化措施。生产运行过程中强化监控手段，定期检查，杜绝厂区内有事故性排放点源的存在，严格</w:t>
      </w:r>
      <w:r>
        <w:rPr>
          <w:rFonts w:hint="default" w:ascii="Times New Roman" w:hAnsi="Times New Roman" w:eastAsia="仿宋_GB2312" w:cs="Times New Roman"/>
          <w:bCs/>
          <w:sz w:val="32"/>
          <w:szCs w:val="32"/>
        </w:rPr>
        <w:t>落实地下水污染风险防范措施，保护项目区地下水资源</w:t>
      </w:r>
      <w:r>
        <w:rPr>
          <w:rFonts w:hint="eastAsia" w:ascii="Times New Roman" w:hAnsi="Times New Roman" w:eastAsia="仿宋_GB2312" w:cs="Times New Roman"/>
          <w:bCs/>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w:t>
      </w:r>
      <w:r>
        <w:rPr>
          <w:rFonts w:hint="default" w:ascii="Times New Roman" w:hAnsi="Times New Roman" w:eastAsia="仿宋_GB2312" w:cs="Times New Roman"/>
          <w:bCs/>
          <w:color w:val="auto"/>
          <w:szCs w:val="32"/>
          <w:highlight w:val="none"/>
        </w:rPr>
        <w:t>强化各项环境风险防范措施，有效防范环境风险。运行过程中加强设备维护，建立环保设备运行管理制度，配备专职环保人员，变压器均设置视频监控设施，建立报警系统，作为日常监管手段；制定应急预案并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ascii="Times New Roman" w:hAnsi="Times New Roman" w:eastAsia="仿宋_GB2312" w:cs="Times New Roman"/>
          <w:bCs/>
          <w:color w:val="auto"/>
          <w:szCs w:val="32"/>
          <w:highlight w:val="none"/>
          <w:lang w:eastAsia="zh-CN"/>
        </w:rPr>
        <w:t>（</w:t>
      </w:r>
      <w:r>
        <w:rPr>
          <w:rFonts w:hint="eastAsia" w:ascii="Times New Roman" w:hAnsi="Times New Roman" w:eastAsia="仿宋_GB2312" w:cs="Times New Roman"/>
          <w:bCs/>
          <w:color w:val="auto"/>
          <w:szCs w:val="32"/>
          <w:highlight w:val="none"/>
          <w:lang w:val="en-US" w:eastAsia="zh-CN"/>
        </w:rPr>
        <w:t>八</w:t>
      </w:r>
      <w:r>
        <w:rPr>
          <w:rFonts w:hint="eastAsia"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九</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w:t>
      </w:r>
      <w:r>
        <w:rPr>
          <w:rFonts w:hint="eastAsia" w:eastAsia="仿宋_GB2312" w:cs="Times New Roman"/>
          <w:bCs/>
          <w:color w:val="auto"/>
          <w:szCs w:val="32"/>
          <w:highlight w:val="none"/>
          <w:lang w:val="en-US" w:eastAsia="zh-CN"/>
        </w:rPr>
        <w:t>124</w:t>
      </w:r>
      <w:r>
        <w:rPr>
          <w:rFonts w:hint="default" w:ascii="Times New Roman" w:hAnsi="Times New Roman" w:eastAsia="仿宋_GB2312" w:cs="Times New Roman"/>
          <w:bCs/>
          <w:color w:val="auto"/>
          <w:szCs w:val="32"/>
          <w:highlight w:val="none"/>
        </w:rPr>
        <w:t>团</w:t>
      </w: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127团</w:t>
      </w:r>
      <w:r>
        <w:rPr>
          <w:rFonts w:hint="default" w:ascii="Times New Roman" w:hAnsi="Times New Roman" w:eastAsia="仿宋_GB2312" w:cs="Times New Roman"/>
          <w:bCs/>
          <w:color w:val="auto"/>
          <w:szCs w:val="32"/>
          <w:highlight w:val="none"/>
        </w:rPr>
        <w:t>经济发展办公室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1</w:t>
      </w:r>
      <w:r>
        <w:rPr>
          <w:rFonts w:hint="eastAsia" w:eastAsia="仿宋_GB2312" w:cs="Times New Roman"/>
          <w:bCs/>
          <w:color w:val="auto"/>
          <w:szCs w:val="32"/>
          <w:highlight w:val="none"/>
          <w:lang w:val="en-US" w:eastAsia="zh-CN"/>
        </w:rPr>
        <w:t>24</w:t>
      </w:r>
      <w:r>
        <w:rPr>
          <w:rFonts w:hint="default" w:ascii="Times New Roman" w:hAnsi="Times New Roman" w:eastAsia="仿宋_GB2312" w:cs="Times New Roman"/>
          <w:bCs/>
          <w:color w:val="auto"/>
          <w:szCs w:val="32"/>
          <w:highlight w:val="none"/>
        </w:rPr>
        <w:t>团经济发展办公室</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1</w:t>
      </w:r>
      <w:r>
        <w:rPr>
          <w:rFonts w:hint="eastAsia" w:eastAsia="仿宋_GB2312" w:cs="Times New Roman"/>
          <w:bCs/>
          <w:color w:val="auto"/>
          <w:szCs w:val="32"/>
          <w:highlight w:val="none"/>
          <w:lang w:val="en-US" w:eastAsia="zh-CN"/>
        </w:rPr>
        <w:t>27</w:t>
      </w:r>
      <w:r>
        <w:rPr>
          <w:rFonts w:hint="default" w:ascii="Times New Roman" w:hAnsi="Times New Roman" w:eastAsia="仿宋_GB2312" w:cs="Times New Roman"/>
          <w:bCs/>
          <w:color w:val="auto"/>
          <w:szCs w:val="32"/>
          <w:highlight w:val="none"/>
        </w:rPr>
        <w:t>团经济发展办公室</w:t>
      </w:r>
      <w:r>
        <w:rPr>
          <w:rFonts w:hint="default" w:ascii="Times New Roman" w:hAnsi="Times New Roman" w:eastAsia="仿宋_GB2312" w:cs="Times New Roman"/>
          <w:bCs/>
          <w:color w:val="auto"/>
          <w:szCs w:val="32"/>
          <w:highlight w:val="none"/>
        </w:rPr>
        <w:t>，并按规定接受各级生态环境主管部门的监督检查。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688" w:firstLineChars="18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7</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8</w:t>
      </w:r>
      <w:r>
        <w:rPr>
          <w:rFonts w:hint="default" w:ascii="Times New Roman" w:hAnsi="Times New Roman" w:eastAsia="仿宋_GB2312" w:cs="Times New Roman"/>
          <w:bCs/>
          <w:color w:val="auto"/>
          <w:szCs w:val="32"/>
          <w:highlight w:val="none"/>
        </w:rPr>
        <w:t>日</w:t>
      </w:r>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napToGrid w:val="0"/>
          <w:color w:val="FF0000"/>
          <w:kern w:val="0"/>
          <w:szCs w:val="32"/>
        </w:rPr>
      </w:pPr>
      <w:bookmarkStart w:id="0" w:name="_GoBack"/>
      <w:bookmarkEnd w:id="0"/>
    </w:p>
    <w:p>
      <w:pPr>
        <w:pStyle w:val="26"/>
        <w:keepNext w:val="0"/>
        <w:keepLines w:val="0"/>
        <w:pageBreakBefore w:val="0"/>
        <w:widowControl w:val="0"/>
        <w:kinsoku/>
        <w:wordWrap/>
        <w:overflowPunct/>
        <w:topLinePunct w:val="0"/>
        <w:autoSpaceDE/>
        <w:autoSpaceDN/>
        <w:bidi w:val="0"/>
        <w:adjustRightInd/>
        <w:snapToGrid/>
        <w:spacing w:line="820" w:lineRule="exact"/>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421005</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33.15pt;height:0pt;width:442.3pt;z-index:251659264;mso-width-relative:page;mso-height-relative:page;" filled="f" stroked="t" coordsize="21600,21600" o:gfxdata="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3IaQNQAAAAHAQAADwAAAAAAAAABACAAAAAiAAAAZHJzL2Rvd25yZXYueG1sUEsB&#10;AhQAFAAAAAgAh07iQOeqatT5AQAA8wMAAA4AAAAAAAAAAQAgAAAAIwEAAGRycy9lMm9Eb2MueG1s&#10;UEsFBgAAAAAGAAYAWQEAAI4FAAAAAA==&#10;">
                <v:fill on="f" focussize="0,0"/>
                <v:stroke weight="1.5pt" color="#000000" joinstyle="round"/>
                <v:imagedata o:title=""/>
                <o:lock v:ext="edit" aspectratio="f"/>
              </v:line>
            </w:pict>
          </mc:Fallback>
        </mc:AlternateContent>
      </w: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抄送：师市生态环境保护</w:t>
      </w:r>
      <w:r>
        <w:rPr>
          <w:rFonts w:hint="default" w:ascii="Times New Roman" w:hAnsi="Times New Roman" w:eastAsia="仿宋_GB2312" w:cs="Times New Roman"/>
          <w:color w:val="auto"/>
          <w:sz w:val="28"/>
          <w:szCs w:val="28"/>
        </w:rPr>
        <w:t>综合行政执法支队、生态环境监测站、1</w:t>
      </w:r>
      <w:r>
        <w:rPr>
          <w:rFonts w:hint="eastAsia"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团经济发展办公室</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lang w:val="en-US" w:eastAsia="zh-CN"/>
        </w:rPr>
        <w:t>27</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320" w:leftChars="100" w:right="320" w:rightChars="100"/>
      <w:rPr>
        <w:rStyle w:val="20"/>
        <w:rFonts w:hint="eastAsia" w:ascii="仿宋_GB2312" w:eastAsia="仿宋_GB2312"/>
        <w:b/>
        <w:bCs/>
        <w:sz w:val="28"/>
        <w:szCs w:val="28"/>
      </w:rPr>
    </w:pPr>
    <w:r>
      <w:rPr>
        <w:rStyle w:val="20"/>
        <w:rFonts w:hint="eastAsia" w:ascii="仿宋_GB2312" w:eastAsia="仿宋_GB2312"/>
        <w:sz w:val="28"/>
        <w:szCs w:val="28"/>
      </w:rPr>
      <w:t xml:space="preserve">— </w:t>
    </w:r>
    <w:r>
      <w:rPr>
        <w:rFonts w:hint="eastAsia" w:ascii="仿宋_GB2312" w:eastAsia="仿宋_GB2312"/>
        <w:sz w:val="28"/>
        <w:szCs w:val="28"/>
      </w:rPr>
      <w:fldChar w:fldCharType="begin"/>
    </w:r>
    <w:r>
      <w:rPr>
        <w:rStyle w:val="2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0"/>
        <w:rFonts w:ascii="仿宋_GB2312" w:eastAsia="仿宋_GB2312"/>
        <w:sz w:val="28"/>
        <w:szCs w:val="28"/>
      </w:rPr>
      <w:t>1</w:t>
    </w:r>
    <w:r>
      <w:rPr>
        <w:rFonts w:hint="eastAsia" w:ascii="仿宋_GB2312" w:eastAsia="仿宋_GB2312"/>
        <w:sz w:val="28"/>
        <w:szCs w:val="28"/>
      </w:rPr>
      <w:fldChar w:fldCharType="end"/>
    </w:r>
    <w:r>
      <w:rPr>
        <w:rStyle w:val="20"/>
        <w:rFonts w:hint="eastAsia" w:ascii="仿宋_GB2312" w:eastAsia="仿宋_GB2312"/>
        <w:sz w:val="28"/>
        <w:szCs w:val="28"/>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fldChar w:fldCharType="begin"/>
    </w:r>
    <w:r>
      <w:rPr>
        <w:rStyle w:val="20"/>
      </w:rPr>
      <w:instrText xml:space="preserve">PAGE  </w:instrText>
    </w:r>
    <w:r>
      <w:fldChar w:fldCharType="separate"/>
    </w:r>
    <w:r>
      <w:rPr>
        <w:rStyle w:val="20"/>
      </w:rPr>
      <w:t>1</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67CF7"/>
    <w:multiLevelType w:val="singleLevel"/>
    <w:tmpl w:val="B1A67CF7"/>
    <w:lvl w:ilvl="0" w:tentative="0">
      <w:start w:val="1"/>
      <w:numFmt w:val="chineseCounting"/>
      <w:suff w:val="nothing"/>
      <w:lvlText w:val="%1、"/>
      <w:lvlJc w:val="left"/>
      <w:rPr>
        <w:rFonts w:hint="eastAsia"/>
      </w:rPr>
    </w:lvl>
  </w:abstractNum>
  <w:abstractNum w:abstractNumId="1">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6D804A5D"/>
    <w:multiLevelType w:val="multilevel"/>
    <w:tmpl w:val="6D804A5D"/>
    <w:lvl w:ilvl="0" w:tentative="0">
      <w:start w:val="1"/>
      <w:numFmt w:val="decimal"/>
      <w:pStyle w:val="7"/>
      <w:lvlText w:val="表%1"/>
      <w:lvlJc w:val="left"/>
      <w:pPr>
        <w:ind w:left="420" w:hanging="420"/>
      </w:pPr>
      <w:rPr>
        <w:rFonts w:hint="default" w:ascii="宋体" w:hAnsi="宋体" w:eastAsia="宋体" w:cs="宋体"/>
        <w:b/>
        <w:i w:val="0"/>
        <w:sz w:val="21"/>
        <w:lang w:val="en-US"/>
      </w:rPr>
    </w:lvl>
    <w:lvl w:ilvl="1" w:tentative="0">
      <w:start w:val="1"/>
      <w:numFmt w:val="lowerLetter"/>
      <w:lvlText w:val="%2)"/>
      <w:lvlJc w:val="left"/>
      <w:pPr>
        <w:ind w:left="840" w:hanging="420"/>
      </w:pPr>
      <w:rPr>
        <w:rFonts w:hint="default"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表%7"/>
      <w:lvlJc w:val="center"/>
      <w:pPr>
        <w:ind w:left="2940" w:hanging="420"/>
      </w:pPr>
      <w:rPr>
        <w:rFonts w:hint="eastAsia"/>
      </w:r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401AFB"/>
    <w:multiLevelType w:val="multilevel"/>
    <w:tmpl w:val="7F401AFB"/>
    <w:lvl w:ilvl="0" w:tentative="0">
      <w:start w:val="1"/>
      <w:numFmt w:val="decimal"/>
      <w:pStyle w:val="2"/>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59F6F31"/>
    <w:rsid w:val="06C71389"/>
    <w:rsid w:val="06CC7B06"/>
    <w:rsid w:val="08EC6D80"/>
    <w:rsid w:val="0B5514C1"/>
    <w:rsid w:val="0B7218AA"/>
    <w:rsid w:val="13C9545A"/>
    <w:rsid w:val="16B800EE"/>
    <w:rsid w:val="177121A0"/>
    <w:rsid w:val="1803154F"/>
    <w:rsid w:val="20783D41"/>
    <w:rsid w:val="21162F81"/>
    <w:rsid w:val="21214F61"/>
    <w:rsid w:val="21DD6837"/>
    <w:rsid w:val="24057B5F"/>
    <w:rsid w:val="24696853"/>
    <w:rsid w:val="247C78BD"/>
    <w:rsid w:val="260C6FC7"/>
    <w:rsid w:val="261F6FC0"/>
    <w:rsid w:val="26802C75"/>
    <w:rsid w:val="291034DE"/>
    <w:rsid w:val="2B665A9B"/>
    <w:rsid w:val="2BA03F96"/>
    <w:rsid w:val="2D8D3C0A"/>
    <w:rsid w:val="2F130EE6"/>
    <w:rsid w:val="2F2B3664"/>
    <w:rsid w:val="2FEE4162"/>
    <w:rsid w:val="32C5491C"/>
    <w:rsid w:val="371F1D45"/>
    <w:rsid w:val="38453BBB"/>
    <w:rsid w:val="3BAC6099"/>
    <w:rsid w:val="3C25479F"/>
    <w:rsid w:val="3CCB5CC3"/>
    <w:rsid w:val="3D7076AF"/>
    <w:rsid w:val="3EC1562C"/>
    <w:rsid w:val="3F0E35AF"/>
    <w:rsid w:val="420204DA"/>
    <w:rsid w:val="4419237E"/>
    <w:rsid w:val="45D948F4"/>
    <w:rsid w:val="47587B93"/>
    <w:rsid w:val="4AD25255"/>
    <w:rsid w:val="4CBF17F2"/>
    <w:rsid w:val="4CCA458A"/>
    <w:rsid w:val="4D203016"/>
    <w:rsid w:val="4E410396"/>
    <w:rsid w:val="5075710B"/>
    <w:rsid w:val="50CD705E"/>
    <w:rsid w:val="53DA11A0"/>
    <w:rsid w:val="54231BA0"/>
    <w:rsid w:val="600D34CB"/>
    <w:rsid w:val="609006D2"/>
    <w:rsid w:val="66BE66CF"/>
    <w:rsid w:val="68991CEA"/>
    <w:rsid w:val="6A9661EC"/>
    <w:rsid w:val="6B762AC2"/>
    <w:rsid w:val="6D272415"/>
    <w:rsid w:val="6D4318D3"/>
    <w:rsid w:val="701D640C"/>
    <w:rsid w:val="710A4C7A"/>
    <w:rsid w:val="721320EC"/>
    <w:rsid w:val="73323C81"/>
    <w:rsid w:val="745A0337"/>
    <w:rsid w:val="76E82012"/>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autoRedefine/>
    <w:qFormat/>
    <w:uiPriority w:val="0"/>
    <w:pPr>
      <w:keepNext/>
      <w:keepLines/>
      <w:numPr>
        <w:ilvl w:val="0"/>
        <w:numId w:val="1"/>
      </w:numPr>
      <w:outlineLvl w:val="0"/>
    </w:pPr>
    <w:rPr>
      <w:b/>
      <w:kern w:val="0"/>
      <w:sz w:val="28"/>
      <w:szCs w:val="28"/>
    </w:rPr>
  </w:style>
  <w:style w:type="paragraph" w:styleId="3">
    <w:name w:val="heading 2"/>
    <w:basedOn w:val="1"/>
    <w:next w:val="1"/>
    <w:autoRedefine/>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4">
    <w:name w:val="heading 3"/>
    <w:basedOn w:val="1"/>
    <w:next w:val="1"/>
    <w:autoRedefine/>
    <w:qFormat/>
    <w:uiPriority w:val="0"/>
    <w:pPr>
      <w:keepNext/>
      <w:keepLines/>
      <w:spacing w:line="360" w:lineRule="auto"/>
      <w:ind w:firstLine="200" w:firstLineChars="200"/>
      <w:outlineLvl w:val="2"/>
    </w:pPr>
    <w:rPr>
      <w:bCs/>
      <w:szCs w:val="28"/>
    </w:rPr>
  </w:style>
  <w:style w:type="paragraph" w:styleId="5">
    <w:name w:val="heading 4"/>
    <w:basedOn w:val="1"/>
    <w:next w:val="1"/>
    <w:autoRedefine/>
    <w:qFormat/>
    <w:uiPriority w:val="99"/>
    <w:pPr>
      <w:keepNext/>
      <w:keepLines/>
      <w:numPr>
        <w:ilvl w:val="3"/>
        <w:numId w:val="2"/>
      </w:numPr>
      <w:spacing w:line="360" w:lineRule="auto"/>
      <w:outlineLvl w:val="3"/>
    </w:pPr>
    <w:rPr>
      <w:rFonts w:ascii="Arial" w:hAnsi="Arial"/>
      <w:b/>
      <w:sz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rPr>
      <w:rFonts w:ascii="宋体" w:hAnsi="宋体"/>
    </w:rPr>
  </w:style>
  <w:style w:type="paragraph" w:customStyle="1" w:styleId="7">
    <w:name w:val="表头"/>
    <w:basedOn w:val="8"/>
    <w:next w:val="1"/>
    <w:autoRedefine/>
    <w:qFormat/>
    <w:uiPriority w:val="0"/>
    <w:pPr>
      <w:numPr>
        <w:ilvl w:val="0"/>
        <w:numId w:val="3"/>
      </w:numPr>
      <w:adjustRightInd w:val="0"/>
      <w:snapToGrid w:val="0"/>
      <w:jc w:val="center"/>
    </w:pPr>
    <w:rPr>
      <w:b/>
      <w:color w:val="000000"/>
      <w:szCs w:val="21"/>
    </w:rPr>
  </w:style>
  <w:style w:type="paragraph" w:styleId="8">
    <w:name w:val="List"/>
    <w:basedOn w:val="1"/>
    <w:next w:val="1"/>
    <w:autoRedefine/>
    <w:qFormat/>
    <w:uiPriority w:val="0"/>
    <w:pPr>
      <w:ind w:left="200" w:hanging="200" w:hangingChars="200"/>
    </w:pPr>
  </w:style>
  <w:style w:type="paragraph" w:styleId="9">
    <w:name w:val="annotation text"/>
    <w:basedOn w:val="1"/>
    <w:autoRedefine/>
    <w:unhideWhenUsed/>
    <w:qFormat/>
    <w:uiPriority w:val="99"/>
    <w:pPr>
      <w:jc w:val="left"/>
    </w:pPr>
  </w:style>
  <w:style w:type="paragraph" w:styleId="10">
    <w:name w:val="Body Text"/>
    <w:basedOn w:val="1"/>
    <w:autoRedefine/>
    <w:qFormat/>
    <w:uiPriority w:val="0"/>
    <w:rPr>
      <w:rFonts w:eastAsia="华文中宋"/>
      <w:b/>
      <w:bCs/>
      <w:w w:val="90"/>
      <w:sz w:val="44"/>
    </w:rPr>
  </w:style>
  <w:style w:type="paragraph" w:styleId="11">
    <w:name w:val="Block Text"/>
    <w:basedOn w:val="1"/>
    <w:autoRedefine/>
    <w:qFormat/>
    <w:uiPriority w:val="99"/>
    <w:pPr>
      <w:spacing w:line="480" w:lineRule="exact"/>
      <w:ind w:left="-125" w:right="-56" w:firstLine="570"/>
    </w:pPr>
    <w:rPr>
      <w:sz w:val="28"/>
      <w:szCs w:val="24"/>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index heading"/>
    <w:basedOn w:val="1"/>
    <w:next w:val="15"/>
    <w:autoRedefine/>
    <w:qFormat/>
    <w:uiPriority w:val="0"/>
  </w:style>
  <w:style w:type="paragraph" w:styleId="15">
    <w:name w:val="index 1"/>
    <w:basedOn w:val="1"/>
    <w:next w:val="1"/>
    <w:autoRedefine/>
    <w:qFormat/>
    <w:uiPriority w:val="0"/>
  </w:style>
  <w:style w:type="paragraph" w:styleId="16">
    <w:name w:val="Body Text 2"/>
    <w:basedOn w:val="1"/>
    <w:autoRedefine/>
    <w:unhideWhenUsed/>
    <w:qFormat/>
    <w:uiPriority w:val="99"/>
    <w:pPr>
      <w:spacing w:after="120" w:line="480" w:lineRule="auto"/>
    </w:pPr>
  </w:style>
  <w:style w:type="paragraph" w:styleId="17">
    <w:name w:val="Body Text First Indent 2"/>
    <w:basedOn w:val="1"/>
    <w:next w:val="1"/>
    <w:autoRedefine/>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20">
    <w:name w:val="page number"/>
    <w:basedOn w:val="19"/>
    <w:autoRedefine/>
    <w:qFormat/>
    <w:uiPriority w:val="0"/>
  </w:style>
  <w:style w:type="paragraph" w:customStyle="1" w:styleId="21">
    <w:name w:val="Body Text First Indent 21"/>
    <w:basedOn w:val="22"/>
    <w:autoRedefine/>
    <w:qFormat/>
    <w:uiPriority w:val="0"/>
    <w:pPr>
      <w:ind w:left="0" w:leftChars="0" w:firstLine="420"/>
    </w:pPr>
    <w:rPr>
      <w:rFonts w:ascii="Times New Roman" w:hAnsi="Times New Roman"/>
      <w:szCs w:val="22"/>
    </w:rPr>
  </w:style>
  <w:style w:type="paragraph" w:customStyle="1" w:styleId="22">
    <w:name w:val="Body Text Indent1"/>
    <w:basedOn w:val="1"/>
    <w:autoRedefine/>
    <w:qFormat/>
    <w:uiPriority w:val="0"/>
    <w:pPr>
      <w:ind w:left="420" w:leftChars="200"/>
    </w:pPr>
  </w:style>
  <w:style w:type="paragraph" w:customStyle="1" w:styleId="23">
    <w:name w:val="Default"/>
    <w:basedOn w:val="24"/>
    <w:next w:val="25"/>
    <w:autoRedefine/>
    <w:qFormat/>
    <w:uiPriority w:val="0"/>
    <w:pPr>
      <w:autoSpaceDE w:val="0"/>
      <w:autoSpaceDN w:val="0"/>
    </w:pPr>
    <w:rPr>
      <w:rFonts w:ascii="Times New Roman" w:hAnsi="Times New Roman" w:eastAsia="宋体" w:cs="Times New Roman"/>
      <w:color w:val="000000"/>
      <w:sz w:val="24"/>
      <w:szCs w:val="24"/>
    </w:rPr>
  </w:style>
  <w:style w:type="paragraph" w:customStyle="1" w:styleId="24">
    <w:name w:val="纯文本1"/>
    <w:basedOn w:val="1"/>
    <w:autoRedefine/>
    <w:qFormat/>
    <w:uiPriority w:val="0"/>
    <w:pPr>
      <w:adjustRightInd w:val="0"/>
      <w:textAlignment w:val="baseline"/>
    </w:pPr>
    <w:rPr>
      <w:rFonts w:ascii="宋体" w:hAnsi="Courier New"/>
      <w:szCs w:val="20"/>
    </w:rPr>
  </w:style>
  <w:style w:type="paragraph" w:customStyle="1" w:styleId="25">
    <w:name w:val="样式1"/>
    <w:basedOn w:val="14"/>
    <w:next w:val="1"/>
    <w:autoRedefine/>
    <w:qFormat/>
    <w:uiPriority w:val="0"/>
    <w:pPr>
      <w:ind w:firstLine="0"/>
    </w:pPr>
    <w:rPr>
      <w:rFonts w:ascii="Times New Roman"/>
      <w:b/>
      <w:sz w:val="30"/>
    </w:rPr>
  </w:style>
  <w:style w:type="paragraph" w:customStyle="1" w:styleId="26">
    <w:name w:val="Char"/>
    <w:basedOn w:val="1"/>
    <w:autoRedefine/>
    <w:qFormat/>
    <w:uiPriority w:val="0"/>
    <w:rPr>
      <w:rFonts w:cs="宋体"/>
      <w:sz w:val="28"/>
    </w:rPr>
  </w:style>
  <w:style w:type="paragraph" w:customStyle="1" w:styleId="27">
    <w:name w:val="YJ正文*"/>
    <w:basedOn w:val="1"/>
    <w:autoRedefine/>
    <w:qFormat/>
    <w:uiPriority w:val="0"/>
    <w:pPr>
      <w:spacing w:line="500" w:lineRule="exact"/>
      <w:ind w:firstLine="200" w:firstLineChars="200"/>
      <w:jc w:val="both"/>
    </w:pPr>
    <w:rPr>
      <w:rFonts w:ascii="等线" w:hAnsi="等线" w:eastAsia="宋体"/>
      <w:sz w:val="24"/>
    </w:rPr>
  </w:style>
  <w:style w:type="paragraph" w:customStyle="1" w:styleId="28">
    <w:name w:val="表字-书"/>
    <w:basedOn w:val="1"/>
    <w:autoRedefine/>
    <w:qFormat/>
    <w:uiPriority w:val="0"/>
    <w:pPr>
      <w:spacing w:line="240" w:lineRule="exact"/>
      <w:ind w:firstLine="0" w:firstLineChars="0"/>
      <w:jc w:val="center"/>
    </w:pPr>
    <w:rPr>
      <w:rFonts w:hAnsi="宋体"/>
      <w:sz w:val="21"/>
      <w:szCs w:val="21"/>
    </w:rPr>
  </w:style>
  <w:style w:type="paragraph" w:customStyle="1" w:styleId="29">
    <w:name w:val="表格内"/>
    <w:basedOn w:val="1"/>
    <w:autoRedefine/>
    <w:qFormat/>
    <w:uiPriority w:val="0"/>
    <w:pPr>
      <w:adjustRightInd w:val="0"/>
      <w:snapToGrid w:val="0"/>
      <w:spacing w:line="360" w:lineRule="exact"/>
      <w:jc w:val="center"/>
    </w:pPr>
    <w:rPr>
      <w:rFonts w:eastAsia="Times New Roman"/>
      <w:snapToGrid w:val="0"/>
      <w:kern w:val="0"/>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1665</Words>
  <Characters>1772</Characters>
  <Lines>11</Lines>
  <Paragraphs>3</Paragraphs>
  <TotalTime>2</TotalTime>
  <ScaleCrop>false</ScaleCrop>
  <LinksUpToDate>false</LinksUpToDate>
  <CharactersWithSpaces>1811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2024-06-21T11:52:00Z</cp:lastPrinted>
  <dcterms:modified xsi:type="dcterms:W3CDTF">2024-07-05T03:59:49Z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7E9BA5945E2F4F5692EDC3B111060A26_13</vt:lpwstr>
  </property>
</Properties>
</file>