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47</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于胡杨河市一二五团光伏多彩农业科普园</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zh-CN"/>
        </w:rPr>
        <w:t>项目（二期）升压站环境影响报告表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奎屯苏能光伏电力有限公司：</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你单位《关于审批胡杨河市一二五团光伏多彩农业科普园项目（二期）升压站环境影响报告表的请示》收悉。经研究，批复如下：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该项目位于第七师125团，中心地理坐标为东经84°27′19.854″，北纬44°38′26.521″</w:t>
      </w:r>
      <w:r>
        <w:rPr>
          <w:rFonts w:hint="default" w:ascii="Times New Roman" w:hAnsi="Times New Roman" w:eastAsia="仿宋_GB2312" w:cs="Times New Roman"/>
          <w:color w:val="auto"/>
          <w:szCs w:val="32"/>
          <w:highlight w:val="none"/>
          <w:lang w:eastAsia="zh-CN"/>
        </w:rPr>
        <w:t>。项目为新建工程，建设内容主要为110千伏升压汇集站一座，规划主变容量为1×150兆伏安，采用户外GIS布置，110千伏侧采用线路-变压器接线方式，出线1回，35千伏侧采用单母线接线，进线6回，设置SVG型式动态无功补偿装置。配套建设站区道路、围墙、警卫室等公辅工程</w:t>
      </w:r>
      <w:r>
        <w:rPr>
          <w:rFonts w:hint="default" w:ascii="Times New Roman" w:hAnsi="Times New Roman" w:eastAsia="仿宋_GB2312" w:cs="Times New Roman"/>
          <w:color w:val="auto"/>
          <w:szCs w:val="32"/>
          <w:highlight w:val="none"/>
          <w:lang w:val="en-US" w:eastAsia="zh-CN"/>
        </w:rPr>
        <w:t>。项目总投资5800万元，其中环保投资262万元，占总投资的4.52%。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14:textFill>
            <w14:solidFill>
              <w14:schemeClr w14:val="tx1"/>
            </w14:solidFill>
          </w14:textFill>
        </w:rPr>
        <w:t>严格落实</w:t>
      </w:r>
      <w:r>
        <w:rPr>
          <w:rFonts w:hint="eastAsia" w:eastAsia="仿宋_GB2312" w:cs="Times New Roman"/>
          <w:color w:val="000000" w:themeColor="text1"/>
          <w:kern w:val="0"/>
          <w:szCs w:val="32"/>
          <w:lang w:val="en-US" w:eastAsia="zh-CN"/>
          <w14:textFill>
            <w14:solidFill>
              <w14:schemeClr w14:val="tx1"/>
            </w14:solidFill>
          </w14:textFill>
        </w:rPr>
        <w:t>电磁</w:t>
      </w:r>
      <w:r>
        <w:rPr>
          <w:rFonts w:hint="default" w:ascii="Times New Roman" w:hAnsi="Times New Roman" w:eastAsia="仿宋_GB2312" w:cs="Times New Roman"/>
          <w:color w:val="000000" w:themeColor="text1"/>
          <w:kern w:val="0"/>
          <w:szCs w:val="32"/>
          <w14:textFill>
            <w14:solidFill>
              <w14:schemeClr w14:val="tx1"/>
            </w14:solidFill>
          </w14:textFill>
        </w:rPr>
        <w:t>环境保护措施</w:t>
      </w:r>
      <w:r>
        <w:rPr>
          <w:rFonts w:hint="eastAsia"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14:textFill>
            <w14:solidFill>
              <w14:schemeClr w14:val="tx1"/>
            </w14:solidFill>
          </w14:textFill>
        </w:rPr>
        <w:t>升压站选择优良设备；制定安全操作规程，加强职工安全教育，加强电磁水平监测；对员工进行电磁环境影响基础知识培训，在巡检带电维修过程中，尽可能减少人员曝露在电磁场中的时间；设立警示标志，禁止无关人员进入站区或靠近带电架构。工频电场强度、工频磁感应强度</w:t>
      </w:r>
      <w:r>
        <w:rPr>
          <w:rFonts w:hint="eastAsia" w:ascii="Times New Roman" w:hAnsi="Times New Roman" w:eastAsia="仿宋_GB2312" w:cs="Times New Roman"/>
          <w:color w:val="000000" w:themeColor="text1"/>
          <w:kern w:val="0"/>
          <w:szCs w:val="32"/>
          <w:lang w:val="en-US" w:eastAsia="zh-CN"/>
          <w14:textFill>
            <w14:solidFill>
              <w14:schemeClr w14:val="tx1"/>
            </w14:solidFill>
          </w14:textFill>
        </w:rPr>
        <w:t>执行</w:t>
      </w:r>
      <w:r>
        <w:rPr>
          <w:rFonts w:hint="default" w:ascii="Times New Roman" w:hAnsi="Times New Roman" w:eastAsia="仿宋_GB2312" w:cs="Times New Roman"/>
          <w:color w:val="000000" w:themeColor="text1"/>
          <w:kern w:val="0"/>
          <w:szCs w:val="32"/>
          <w14:textFill>
            <w14:solidFill>
              <w14:schemeClr w14:val="tx1"/>
            </w14:solidFill>
          </w14:textFill>
        </w:rPr>
        <w:t>《电磁环境控制限值》（GB8702-2014）要求</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Times New Roman" w:hAnsi="Times New Roman" w:eastAsia="仿宋_GB2312" w:cs="Times New Roman"/>
          <w:bCs/>
          <w:color w:val="auto"/>
          <w:szCs w:val="32"/>
          <w:highlight w:val="none"/>
          <w:lang w:eastAsia="zh-CN"/>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bCs/>
          <w:color w:val="auto"/>
          <w:szCs w:val="32"/>
          <w:highlight w:val="none"/>
        </w:rPr>
        <w:t>严格落实水污染防治措施。生活污水排入化粪池定期清运至第七师胡杨河市污水处理厂处理</w:t>
      </w:r>
      <w:r>
        <w:rPr>
          <w:rFonts w:hint="default" w:ascii="Times New Roman" w:hAnsi="Times New Roman" w:eastAsia="仿宋_GB2312"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严格落实噪声污染防治措施。建立设备定期维护、保养的管理制度，定期对设备进行保养和维护；选用先进可靠的低噪设备，并加装减振措施；升压站在正常运行下，随距离延伸，噪声逐渐衰减，升压站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《工业企业厂界环境噪声排放标准》（GB12348-2008）中2类标准要求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rPr>
        <w:t>固体废物实施分类管理并妥善处理处置。</w:t>
      </w:r>
      <w:r>
        <w:rPr>
          <w:rFonts w:hint="default" w:ascii="Times New Roman" w:hAnsi="Times New Roman" w:eastAsia="仿宋_GB2312" w:cs="Times New Roman"/>
          <w:sz w:val="32"/>
          <w:szCs w:val="32"/>
          <w:lang w:val="en-US" w:eastAsia="zh-CN"/>
        </w:rPr>
        <w:t>废</w:t>
      </w:r>
      <w:r>
        <w:rPr>
          <w:rFonts w:hint="eastAsia" w:eastAsia="仿宋_GB2312" w:cs="Times New Roman"/>
          <w:sz w:val="32"/>
          <w:szCs w:val="32"/>
          <w:lang w:val="en-US" w:eastAsia="zh-CN"/>
        </w:rPr>
        <w:t>变压器油</w:t>
      </w:r>
      <w:r>
        <w:rPr>
          <w:rFonts w:hint="eastAsia" w:eastAsia="仿宋_GB2312" w:cs="Times New Roman"/>
          <w:bCs/>
          <w:color w:val="auto"/>
          <w:szCs w:val="32"/>
          <w:highlight w:val="none"/>
          <w:lang w:eastAsia="zh-CN"/>
        </w:rPr>
        <w:t>属于危险废物</w:t>
      </w:r>
      <w:r>
        <w:rPr>
          <w:rFonts w:hint="eastAsia" w:ascii="仿宋_GB2312" w:hAnsi="仿宋_GB2312" w:eastAsia="仿宋_GB2312" w:cs="仿宋_GB2312"/>
          <w:bCs/>
          <w:sz w:val="32"/>
          <w:szCs w:val="32"/>
          <w:lang w:val="en-US" w:eastAsia="zh-CN"/>
        </w:rPr>
        <w:t>，</w:t>
      </w:r>
      <w:r>
        <w:rPr>
          <w:rFonts w:hint="default" w:ascii="Times New Roman" w:hAnsi="Times New Roman" w:eastAsia="仿宋_GB2312" w:cs="Times New Roman"/>
          <w:sz w:val="32"/>
          <w:szCs w:val="32"/>
          <w:lang w:val="en-US" w:eastAsia="zh-CN"/>
        </w:rPr>
        <w:t>经专用容器收集后</w:t>
      </w:r>
      <w:r>
        <w:rPr>
          <w:rFonts w:hint="eastAsia" w:eastAsia="仿宋_GB2312" w:cs="Times New Roman"/>
          <w:sz w:val="32"/>
          <w:szCs w:val="32"/>
          <w:lang w:val="en-US" w:eastAsia="zh-CN"/>
        </w:rPr>
        <w:t>和废漆桶</w:t>
      </w:r>
      <w:r>
        <w:rPr>
          <w:rFonts w:hint="default" w:ascii="Times New Roman" w:hAnsi="Times New Roman" w:eastAsia="仿宋_GB2312" w:cs="Times New Roman"/>
          <w:sz w:val="32"/>
          <w:szCs w:val="32"/>
          <w:lang w:val="en-US" w:eastAsia="zh-CN"/>
        </w:rPr>
        <w:t>暂存于危险废物贮存点，定期交由有危险废物处置资质的单位处置</w:t>
      </w:r>
      <w:r>
        <w:rPr>
          <w:rFonts w:hint="default" w:ascii="Times New Roman" w:hAnsi="Times New Roman" w:eastAsia="仿宋_GB2312" w:cs="Times New Roman"/>
          <w:bCs/>
          <w:color w:val="auto"/>
          <w:kern w:val="0"/>
          <w:sz w:val="32"/>
          <w:szCs w:val="32"/>
          <w:highlight w:val="none"/>
          <w:lang w:val="en-US" w:eastAsia="zh-CN" w:bidi="ar-SA"/>
        </w:rPr>
        <w:t>。危险废物收集、运输须按照《危险废物收集 贮存 运输技术规范》（HJ2025-2012）和《危险废物转移管理办法》要求进行。</w:t>
      </w:r>
      <w:r>
        <w:rPr>
          <w:rFonts w:hint="default" w:ascii="Times New Roman" w:hAnsi="Times New Roman" w:eastAsia="仿宋_GB2312" w:cs="Times New Roman"/>
          <w:sz w:val="32"/>
          <w:szCs w:val="32"/>
          <w:lang w:val="en-US" w:eastAsia="zh-CN"/>
        </w:rPr>
        <w:t>生活垃圾分类收集后由环卫部门统一清运至胡杨河经济技术开发区生活垃圾填埋场</w:t>
      </w:r>
      <w:r>
        <w:rPr>
          <w:rFonts w:hint="default"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严格落实</w:t>
      </w:r>
      <w:r>
        <w:rPr>
          <w:rFonts w:hint="default" w:ascii="Times New Roman" w:hAnsi="Times New Roman" w:eastAsia="仿宋_GB2312" w:cs="Times New Roman"/>
          <w:bCs/>
          <w:szCs w:val="32"/>
          <w:highlight w:val="none"/>
          <w:lang w:val="en-US" w:eastAsia="zh-CN"/>
        </w:rPr>
        <w:t>地下水污染防治措施</w:t>
      </w:r>
      <w:r>
        <w:rPr>
          <w:rFonts w:hint="eastAsia" w:ascii="Times New Roman" w:hAnsi="Times New Roman" w:eastAsia="仿宋_GB2312" w:cs="Times New Roman"/>
          <w:bCs/>
          <w:szCs w:val="32"/>
          <w:highlight w:val="none"/>
          <w:lang w:val="en-US" w:eastAsia="zh-CN"/>
        </w:rPr>
        <w:t>。根据《环境影响评价技术导则 地下水环境》（HJ610-2016）的要求，将危险废物贮存点、事故油池、贮油坑划为重点防渗区，其中危险废物贮存点参照《危险废物贮存污染控制标准》（GB18597-2023）执行，其余重点防渗要求为“等效黏土防渗层Mb≥6.0米，K≤1×10-7厘米/秒”；</w:t>
      </w:r>
      <w:r>
        <w:rPr>
          <w:rFonts w:hint="eastAsia" w:ascii="Times New Roman" w:hAnsi="Times New Roman" w:eastAsia="仿宋_GB2312" w:cs="Times New Roman"/>
          <w:bCs/>
          <w:szCs w:val="32"/>
          <w:highlight w:val="none"/>
          <w:lang w:val="en-US" w:eastAsia="zh-CN"/>
        </w:rPr>
        <w:t>化粪池为</w:t>
      </w:r>
      <w:r>
        <w:rPr>
          <w:rFonts w:hint="eastAsia" w:ascii="Times New Roman" w:hAnsi="Times New Roman" w:eastAsia="仿宋_GB2312" w:cs="Times New Roman"/>
          <w:bCs/>
          <w:szCs w:val="32"/>
          <w:highlight w:val="none"/>
          <w:lang w:val="en-US" w:eastAsia="zh-CN"/>
        </w:rPr>
        <w:t>一般防渗区，一般防渗要求为“等效黏土防渗层Mb≥1.5米，K≤1×10-7厘米/秒”；其余部位为简单防渗区，采取一般性的地面硬化措施。生产运行过程中强化监控手段，定期检查，杜绝厂区内有事故性排放点源的存在，严格</w:t>
      </w:r>
      <w:r>
        <w:rPr>
          <w:rFonts w:hint="default" w:ascii="Times New Roman" w:hAnsi="Times New Roman" w:eastAsia="仿宋_GB2312" w:cs="Times New Roman"/>
          <w:bCs/>
          <w:sz w:val="32"/>
          <w:szCs w:val="32"/>
        </w:rPr>
        <w:t>落实地下水污染风险防范措施，保护项目区地下水资源</w:t>
      </w:r>
      <w:r>
        <w:rPr>
          <w:rFonts w:hint="eastAsia" w:ascii="Times New Roman" w:hAnsi="Times New Roman" w:eastAsia="仿宋_GB2312" w:cs="Times New Roman"/>
          <w:bCs/>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运行过程中加强设备维护，建立环保设备运行管理制度，配备专职环保人员，变压器均设置视频监控设施，建立报警系统，作为日常监管手段；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eastAsia="zh-CN"/>
        </w:rPr>
        <w:t>（</w:t>
      </w:r>
      <w:r>
        <w:rPr>
          <w:rFonts w:hint="eastAsia" w:ascii="Times New Roman" w:hAnsi="Times New Roman" w:eastAsia="仿宋_GB2312" w:cs="Times New Roman"/>
          <w:bCs/>
          <w:color w:val="auto"/>
          <w:szCs w:val="32"/>
          <w:highlight w:val="none"/>
          <w:lang w:val="en-US" w:eastAsia="zh-CN"/>
        </w:rPr>
        <w:t>八</w:t>
      </w:r>
      <w:r>
        <w:rPr>
          <w:rFonts w:hint="eastAsia"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color w:val="auto"/>
          <w:szCs w:val="32"/>
          <w:highlight w:val="none"/>
          <w:lang w:val="en-US" w:eastAsia="zh-CN"/>
        </w:rPr>
        <w:t>25</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688" w:firstLineChars="1800"/>
        <w:textAlignment w:val="auto"/>
        <w:rPr>
          <w:rFonts w:hint="default" w:ascii="Times New Roman" w:hAnsi="Times New Roman" w:eastAsia="仿宋_GB2312" w:cs="Times New Roman"/>
          <w:bCs/>
          <w:color w:val="auto"/>
          <w:szCs w:val="32"/>
          <w:highlight w:val="none"/>
        </w:rPr>
      </w:pPr>
      <w:bookmarkStart w:id="0" w:name="_GoBack"/>
      <w:bookmarkEnd w:id="0"/>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日</w:t>
      </w: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FF0000"/>
          <w:kern w:val="0"/>
          <w:szCs w:val="32"/>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7"/>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13C9545A"/>
    <w:rsid w:val="16B800EE"/>
    <w:rsid w:val="177121A0"/>
    <w:rsid w:val="1803154F"/>
    <w:rsid w:val="20783D41"/>
    <w:rsid w:val="21162F81"/>
    <w:rsid w:val="21214F61"/>
    <w:rsid w:val="21DD6837"/>
    <w:rsid w:val="24057B5F"/>
    <w:rsid w:val="24696853"/>
    <w:rsid w:val="247C78BD"/>
    <w:rsid w:val="260C6FC7"/>
    <w:rsid w:val="261F6FC0"/>
    <w:rsid w:val="26802C75"/>
    <w:rsid w:val="291034DE"/>
    <w:rsid w:val="2B665A9B"/>
    <w:rsid w:val="2BA03F96"/>
    <w:rsid w:val="2D8D3C0A"/>
    <w:rsid w:val="2F130EE6"/>
    <w:rsid w:val="2F2B3664"/>
    <w:rsid w:val="2FEE4162"/>
    <w:rsid w:val="32C5491C"/>
    <w:rsid w:val="371F1D45"/>
    <w:rsid w:val="38453BBB"/>
    <w:rsid w:val="3BAC6099"/>
    <w:rsid w:val="3C25479F"/>
    <w:rsid w:val="3CCB5CC3"/>
    <w:rsid w:val="3D7076AF"/>
    <w:rsid w:val="3EC1562C"/>
    <w:rsid w:val="3F0E35AF"/>
    <w:rsid w:val="420204DA"/>
    <w:rsid w:val="4419237E"/>
    <w:rsid w:val="45D948F4"/>
    <w:rsid w:val="47587B93"/>
    <w:rsid w:val="4AD25255"/>
    <w:rsid w:val="4CBF17F2"/>
    <w:rsid w:val="4CCA458A"/>
    <w:rsid w:val="4E410396"/>
    <w:rsid w:val="5075710B"/>
    <w:rsid w:val="50CD705E"/>
    <w:rsid w:val="53DA11A0"/>
    <w:rsid w:val="54231BA0"/>
    <w:rsid w:val="600D34CB"/>
    <w:rsid w:val="609006D2"/>
    <w:rsid w:val="66BE66CF"/>
    <w:rsid w:val="68991CEA"/>
    <w:rsid w:val="6A9661EC"/>
    <w:rsid w:val="6B762AC2"/>
    <w:rsid w:val="6D272415"/>
    <w:rsid w:val="6D4318D3"/>
    <w:rsid w:val="701D640C"/>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autoRedefine/>
    <w:qFormat/>
    <w:uiPriority w:val="0"/>
    <w:pPr>
      <w:keepNext/>
      <w:keepLines/>
      <w:numPr>
        <w:ilvl w:val="0"/>
        <w:numId w:val="1"/>
      </w:numPr>
      <w:outlineLvl w:val="0"/>
    </w:pPr>
    <w:rPr>
      <w:b/>
      <w:kern w:val="0"/>
      <w:sz w:val="28"/>
      <w:szCs w:val="28"/>
    </w:rPr>
  </w:style>
  <w:style w:type="paragraph" w:styleId="4">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2">
    <w:name w:val="heading 3"/>
    <w:basedOn w:val="1"/>
    <w:next w:val="1"/>
    <w:autoRedefine/>
    <w:qFormat/>
    <w:uiPriority w:val="0"/>
    <w:pPr>
      <w:keepNext/>
      <w:keepLines/>
      <w:spacing w:line="360" w:lineRule="auto"/>
      <w:ind w:firstLine="200" w:firstLineChars="200"/>
      <w:outlineLvl w:val="2"/>
    </w:pPr>
    <w:rPr>
      <w:bCs/>
      <w:szCs w:val="28"/>
    </w:rPr>
  </w:style>
  <w:style w:type="paragraph" w:styleId="5">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firstLineChars="200"/>
    </w:pPr>
    <w:rPr>
      <w:rFonts w:ascii="宋体" w:hAnsi="宋体"/>
    </w:rPr>
  </w:style>
  <w:style w:type="paragraph" w:customStyle="1" w:styleId="7">
    <w:name w:val="表头"/>
    <w:basedOn w:val="8"/>
    <w:next w:val="1"/>
    <w:autoRedefine/>
    <w:qFormat/>
    <w:uiPriority w:val="0"/>
    <w:pPr>
      <w:numPr>
        <w:ilvl w:val="0"/>
        <w:numId w:val="3"/>
      </w:numPr>
      <w:adjustRightInd w:val="0"/>
      <w:snapToGrid w:val="0"/>
      <w:jc w:val="center"/>
    </w:pPr>
    <w:rPr>
      <w:b/>
      <w:color w:val="000000"/>
      <w:szCs w:val="21"/>
    </w:rPr>
  </w:style>
  <w:style w:type="paragraph" w:styleId="8">
    <w:name w:val="List"/>
    <w:basedOn w:val="1"/>
    <w:next w:val="1"/>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1</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2024-06-21T11:52:00Z</cp:lastPrinted>
  <dcterms:modified xsi:type="dcterms:W3CDTF">2024-07-04T12:48:48Z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2994CA8E4755494896AD702C5FA4787C_13</vt:lpwstr>
  </property>
</Properties>
</file>