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46</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w:t>
      </w:r>
      <w:bookmarkStart w:id="0" w:name="_GoBack"/>
      <w:r>
        <w:rPr>
          <w:rFonts w:hint="eastAsia" w:ascii="方正小标宋简体" w:hAnsi="方正小标宋简体" w:eastAsia="方正小标宋简体" w:cs="方正小标宋简体"/>
          <w:color w:val="auto"/>
          <w:sz w:val="44"/>
          <w:szCs w:val="44"/>
          <w:highlight w:val="none"/>
          <w:lang w:val="zh-CN"/>
        </w:rPr>
        <w:t>一二五团光伏多彩农业科普园项目（一期）</w:t>
      </w:r>
      <w:bookmarkEnd w:id="0"/>
      <w:r>
        <w:rPr>
          <w:rFonts w:hint="eastAsia" w:ascii="方正小标宋简体" w:hAnsi="方正小标宋简体" w:eastAsia="方正小标宋简体" w:cs="方正小标宋简体"/>
          <w:color w:val="auto"/>
          <w:sz w:val="44"/>
          <w:szCs w:val="44"/>
          <w:highlight w:val="none"/>
          <w:lang w:val="zh-CN"/>
        </w:rPr>
        <w:t>环境影响报告表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奎屯苏能光伏电力有限公司：</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你单位《关于审批一二五团光伏多彩农业科普园项目（一期）环境影响报告表的请示》收悉。经研究，批复如下：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该项目位于第七师125团</w:t>
      </w:r>
      <w:r>
        <w:rPr>
          <w:rFonts w:hint="eastAsia" w:eastAsia="仿宋_GB2312" w:cs="Times New Roman"/>
          <w:color w:val="auto"/>
          <w:szCs w:val="32"/>
          <w:highlight w:val="none"/>
          <w:lang w:val="en-US" w:eastAsia="zh-CN"/>
        </w:rPr>
        <w:t>团部</w:t>
      </w:r>
      <w:r>
        <w:rPr>
          <w:rFonts w:hint="default" w:ascii="Times New Roman" w:hAnsi="Times New Roman" w:eastAsia="仿宋_GB2312" w:cs="Times New Roman"/>
          <w:color w:val="auto"/>
          <w:szCs w:val="32"/>
          <w:highlight w:val="none"/>
        </w:rPr>
        <w:t>，中心地理坐标为东经84°31′17.681″，北纬44°46′48.146″</w:t>
      </w:r>
      <w:r>
        <w:rPr>
          <w:rFonts w:hint="default" w:ascii="Times New Roman" w:hAnsi="Times New Roman" w:eastAsia="仿宋_GB2312" w:cs="Times New Roman"/>
          <w:color w:val="auto"/>
          <w:szCs w:val="32"/>
          <w:highlight w:val="none"/>
          <w:lang w:eastAsia="zh-CN"/>
        </w:rPr>
        <w:t>。项目为新建工程，规划光伏交流侧容量18.75兆瓦、直流侧容量22.15151兆瓦，采用单晶双面组件+固定支架+直流汇流箱+箱逆变一体机的组合方案，建设内容</w:t>
      </w:r>
      <w:r>
        <w:rPr>
          <w:rFonts w:hint="eastAsia" w:eastAsia="仿宋_GB2312" w:cs="Times New Roman"/>
          <w:color w:val="auto"/>
          <w:szCs w:val="32"/>
          <w:highlight w:val="none"/>
          <w:lang w:val="en-US" w:eastAsia="zh-CN"/>
        </w:rPr>
        <w:t>包括</w:t>
      </w:r>
      <w:r>
        <w:rPr>
          <w:rFonts w:hint="default" w:ascii="Times New Roman" w:hAnsi="Times New Roman" w:eastAsia="仿宋_GB2312" w:cs="Times New Roman"/>
          <w:sz w:val="32"/>
          <w:szCs w:val="32"/>
          <w:highlight w:val="none"/>
        </w:rPr>
        <w:t>光伏阵列区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直流汇流箱</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箱逆变一体机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场内道路</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color w:val="auto"/>
          <w:szCs w:val="32"/>
          <w:highlight w:val="none"/>
          <w:lang w:val="en-US" w:eastAsia="zh-CN"/>
        </w:rPr>
        <w:t>。项目总投资6550万元，其中环保投资500万元，占总投资的7.63%。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严格落实</w:t>
      </w:r>
      <w:r>
        <w:rPr>
          <w:rFonts w:hint="eastAsia" w:ascii="仿宋_GB2312" w:hAnsi="仿宋_GB2312" w:eastAsia="仿宋_GB2312" w:cs="仿宋_GB2312"/>
          <w:sz w:val="32"/>
          <w:szCs w:val="32"/>
          <w:highlight w:val="none"/>
        </w:rPr>
        <w:t>《玻璃幕墙光热性能》（GB/T18091-2015）要求，</w:t>
      </w:r>
      <w:r>
        <w:rPr>
          <w:rFonts w:hint="default" w:ascii="Times New Roman" w:hAnsi="Times New Roman" w:eastAsia="仿宋_GB2312" w:cs="Times New Roman"/>
          <w:sz w:val="32"/>
          <w:szCs w:val="32"/>
          <w:highlight w:val="none"/>
        </w:rPr>
        <w:t>项目太阳能板采用反射比小于</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的低辐射玻璃；</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采用单晶硅太阳能电池，电池组件最外层均为特种钢化玻璃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透光率高达95%以上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同时靠交通道路，由绿化林带进行隔离</w:t>
      </w:r>
      <w:r>
        <w:rPr>
          <w:rFonts w:hint="eastAsia" w:eastAsia="仿宋_GB2312" w:cs="Times New Roman"/>
          <w:sz w:val="32"/>
          <w:szCs w:val="32"/>
          <w:highlight w:val="none"/>
          <w:lang w:val="en-US" w:eastAsia="zh-CN"/>
        </w:rPr>
        <w:t>，</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影响交通安全，对周边居民区及地面交通造成光污染影响</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sz w:val="32"/>
          <w:szCs w:val="32"/>
        </w:rPr>
        <w:t>严格落实生态保护措施。严格控制检修道路占地面积；平时工作严格控制在占地范围内，避免行驶车辆及检修人员的行走路线对用地范围外地表草地生长及原生植被的碾压扰动；在太阳能电池板遮挡较严重区域，种植生长能力强、受光照制约较小的草本植物；对工作人员和队伍进行爱护环境、保护野生动植物的宣传教育，禁止捕杀野生动物，破坏野生植物；建设单位预留生境恢复资金，</w:t>
      </w:r>
      <w:r>
        <w:rPr>
          <w:rFonts w:hint="eastAsia"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rPr>
        <w:t>生态环境保护措施的实施效果</w:t>
      </w:r>
      <w:r>
        <w:rPr>
          <w:rFonts w:hint="eastAsia"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服务期满后拆除光伏组件及硬化地面基础，拆除过程尽量减小对土地的扰动；对拆除部分场地及时进行土地平整、洒水和压实；根据景观相似原则，在适宜栽种的区域采用挖填土、土地平整、挖松土层、覆土等工程措施，播撒草籽，选取合适基质与顺应当地气候和土壤的植物，尽量选择该区域本土草种，同时固土，恢复和改善被破坏的植被。</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）严格落实水污染防治措施。</w:t>
      </w:r>
      <w:r>
        <w:rPr>
          <w:rFonts w:hint="default" w:ascii="Times New Roman" w:hAnsi="Times New Roman" w:eastAsia="仿宋_GB2312" w:cs="Times New Roman"/>
          <w:sz w:val="32"/>
          <w:szCs w:val="32"/>
          <w:highlight w:val="none"/>
          <w:lang w:val="en-US" w:eastAsia="zh-CN"/>
        </w:rPr>
        <w:t>光伏板采用净水清洗就地被植被吸收或自然蒸发；厨房污水经隔油池处理后</w:t>
      </w:r>
      <w:r>
        <w:rPr>
          <w:rFonts w:hint="eastAsia"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lang w:val="en-US" w:eastAsia="zh-CN"/>
        </w:rPr>
        <w:t>生活污水一并通过地埋式一体化污水处理设备处理满足《农村生活污水处理排放标准》（DB65 4275-2019）中一级A标准要求后，由中水池收集，用于道路洒水及厂区绿化，定期清掏化粪池</w:t>
      </w:r>
      <w:r>
        <w:rPr>
          <w:rFonts w:hint="default" w:ascii="Times New Roman" w:hAnsi="Times New Roman" w:eastAsia="仿宋_GB2312" w:cs="Times New Roman"/>
          <w:szCs w:val="32"/>
          <w:highlight w:val="none"/>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）严格落实噪声污染防治措施。箱逆变一体机、直流汇流箱安装基础减振垫；定期维护设备，确保设备运行状态良好。厂界噪声排放满足《工业企业厂界环境噪声排放标准》（GB12348-2008）中2类标准限值要求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）固体废物实施分类管理并妥善处理处置。废光伏太阳能电板及组件由设备厂家回收</w:t>
      </w:r>
      <w:r>
        <w:rPr>
          <w:rFonts w:hint="eastAsia" w:eastAsia="仿宋_GB2312" w:cs="Times New Roman"/>
          <w:bCs/>
          <w:color w:val="auto"/>
          <w:szCs w:val="32"/>
          <w:highlight w:val="none"/>
          <w:lang w:eastAsia="zh-CN"/>
        </w:rPr>
        <w:t>。事故废油属于危险废物</w:t>
      </w:r>
      <w:r>
        <w:rPr>
          <w:rFonts w:hint="eastAsia" w:ascii="仿宋_GB2312" w:hAnsi="仿宋_GB2312" w:eastAsia="仿宋_GB2312" w:cs="仿宋_GB2312"/>
          <w:bCs/>
          <w:sz w:val="32"/>
          <w:szCs w:val="32"/>
          <w:lang w:val="en-US" w:eastAsia="zh-CN"/>
        </w:rPr>
        <w:t>，项目在每台箱变下方建设事故油池。当设备发生事故或者检修时，排放的废油全部流入事故油池，事故油池中废油采用油泵抽至罐车后交由</w:t>
      </w:r>
      <w:r>
        <w:rPr>
          <w:rFonts w:hint="default" w:ascii="Times New Roman" w:hAnsi="Times New Roman" w:eastAsia="仿宋_GB2312" w:cs="Times New Roman"/>
          <w:bCs/>
          <w:color w:val="auto"/>
          <w:kern w:val="0"/>
          <w:sz w:val="32"/>
          <w:szCs w:val="32"/>
          <w:highlight w:val="none"/>
          <w:lang w:val="en-US" w:eastAsia="zh-CN" w:bidi="ar-SA"/>
        </w:rPr>
        <w:t>有危险废物处置资质的单位进行处置。危险废物收集、运输须按照《危险废物收集 贮存 运输技术规范》（HJ2025-2012）和《危险废物转移管理办法》要求进行。生活垃圾集中收集后由环卫部门统一清运至就近垃圾</w:t>
      </w:r>
      <w:r>
        <w:rPr>
          <w:rFonts w:hint="eastAsia" w:eastAsia="仿宋_GB2312" w:cs="Times New Roman"/>
          <w:bCs/>
          <w:color w:val="auto"/>
          <w:kern w:val="0"/>
          <w:sz w:val="32"/>
          <w:szCs w:val="32"/>
          <w:highlight w:val="none"/>
          <w:lang w:val="en-US" w:eastAsia="zh-CN" w:bidi="ar-SA"/>
        </w:rPr>
        <w:t>处理</w:t>
      </w:r>
      <w:r>
        <w:rPr>
          <w:rFonts w:hint="default" w:ascii="Times New Roman" w:hAnsi="Times New Roman" w:eastAsia="仿宋_GB2312" w:cs="Times New Roman"/>
          <w:bCs/>
          <w:color w:val="auto"/>
          <w:kern w:val="0"/>
          <w:sz w:val="32"/>
          <w:szCs w:val="32"/>
          <w:highlight w:val="none"/>
          <w:lang w:val="en-US" w:eastAsia="zh-CN" w:bidi="ar-SA"/>
        </w:rPr>
        <w:t>站。</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强化各项环境风险防范措施，有效防范环境风险。运行过程中加强设备维护，建立环保设备运行管理制度，配备专职环保人员，变压器均设置视频监控设施，建立报警系统，作为日常监管手段；制定应急预案并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szCs w:val="32"/>
          <w:highlight w:val="none"/>
          <w:lang w:eastAsia="zh-CN"/>
        </w:rPr>
        <w:t>（</w:t>
      </w:r>
      <w:r>
        <w:rPr>
          <w:rFonts w:hint="eastAsia" w:ascii="Times New Roman" w:hAnsi="Times New Roman" w:eastAsia="仿宋_GB2312" w:cs="Times New Roman"/>
          <w:bCs/>
          <w:color w:val="auto"/>
          <w:szCs w:val="32"/>
          <w:highlight w:val="none"/>
          <w:lang w:val="en-US" w:eastAsia="zh-CN"/>
        </w:rPr>
        <w:t>八</w:t>
      </w:r>
      <w:r>
        <w:rPr>
          <w:rFonts w:hint="eastAsia"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125</w:t>
      </w:r>
      <w:r>
        <w:rPr>
          <w:rFonts w:hint="default" w:ascii="Times New Roman" w:hAnsi="Times New Roman" w:eastAsia="仿宋_GB2312" w:cs="Times New Roman"/>
          <w:bCs/>
          <w:color w:val="auto"/>
          <w:szCs w:val="32"/>
          <w:highlight w:val="none"/>
        </w:rPr>
        <w:t>团经济发展办公室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w:t>
      </w:r>
      <w:r>
        <w:rPr>
          <w:rFonts w:hint="eastAsia" w:eastAsia="仿宋_GB2312" w:cs="Times New Roman"/>
          <w:bCs/>
          <w:color w:val="auto"/>
          <w:szCs w:val="32"/>
          <w:highlight w:val="none"/>
          <w:lang w:val="en-US" w:eastAsia="zh-CN"/>
        </w:rPr>
        <w:t>25</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372" w:firstLineChars="17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日</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rPr>
      </w:pPr>
    </w:p>
    <w:p>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抄送：师市生态环境保护综合行政执法支队、生态环境监测站、1</w:t>
      </w:r>
      <w:r>
        <w:rPr>
          <w:rFonts w:hint="eastAsia"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D804A5D"/>
    <w:multiLevelType w:val="multilevel"/>
    <w:tmpl w:val="6D804A5D"/>
    <w:lvl w:ilvl="0" w:tentative="0">
      <w:start w:val="1"/>
      <w:numFmt w:val="decimal"/>
      <w:pStyle w:val="3"/>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401AFB"/>
    <w:multiLevelType w:val="multilevel"/>
    <w:tmpl w:val="7F401AFB"/>
    <w:lvl w:ilvl="0" w:tentative="0">
      <w:start w:val="1"/>
      <w:numFmt w:val="decimal"/>
      <w:pStyle w:val="5"/>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3323445"/>
    <w:rsid w:val="04B77D73"/>
    <w:rsid w:val="05737345"/>
    <w:rsid w:val="059F6F31"/>
    <w:rsid w:val="06C71389"/>
    <w:rsid w:val="06CC7B06"/>
    <w:rsid w:val="08EC6D80"/>
    <w:rsid w:val="0B5514C1"/>
    <w:rsid w:val="0B7218AA"/>
    <w:rsid w:val="13C9545A"/>
    <w:rsid w:val="16B800EE"/>
    <w:rsid w:val="177121A0"/>
    <w:rsid w:val="1803154F"/>
    <w:rsid w:val="20783D41"/>
    <w:rsid w:val="21162F81"/>
    <w:rsid w:val="21214F61"/>
    <w:rsid w:val="21DD6837"/>
    <w:rsid w:val="24057B5F"/>
    <w:rsid w:val="24696853"/>
    <w:rsid w:val="247C78BD"/>
    <w:rsid w:val="260C6FC7"/>
    <w:rsid w:val="261F6FC0"/>
    <w:rsid w:val="26802C75"/>
    <w:rsid w:val="291034DE"/>
    <w:rsid w:val="2B665A9B"/>
    <w:rsid w:val="2BA03F96"/>
    <w:rsid w:val="2D8D3C0A"/>
    <w:rsid w:val="2F130EE6"/>
    <w:rsid w:val="2F2B3664"/>
    <w:rsid w:val="2FEE4162"/>
    <w:rsid w:val="32C5491C"/>
    <w:rsid w:val="371F1D45"/>
    <w:rsid w:val="38453BBB"/>
    <w:rsid w:val="3BAC6099"/>
    <w:rsid w:val="3C25479F"/>
    <w:rsid w:val="3D7076AF"/>
    <w:rsid w:val="3EC1562C"/>
    <w:rsid w:val="3F0E35AF"/>
    <w:rsid w:val="420204DA"/>
    <w:rsid w:val="4419237E"/>
    <w:rsid w:val="45D948F4"/>
    <w:rsid w:val="47587B93"/>
    <w:rsid w:val="4AD25255"/>
    <w:rsid w:val="4CBF17F2"/>
    <w:rsid w:val="4CCA458A"/>
    <w:rsid w:val="4E410396"/>
    <w:rsid w:val="5075710B"/>
    <w:rsid w:val="50CD705E"/>
    <w:rsid w:val="54231BA0"/>
    <w:rsid w:val="600D34CB"/>
    <w:rsid w:val="609006D2"/>
    <w:rsid w:val="65197AEE"/>
    <w:rsid w:val="66BE66CF"/>
    <w:rsid w:val="68991CEA"/>
    <w:rsid w:val="6A9661EC"/>
    <w:rsid w:val="6B762AC2"/>
    <w:rsid w:val="6D272415"/>
    <w:rsid w:val="6D4318D3"/>
    <w:rsid w:val="701D640C"/>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5">
    <w:name w:val="heading 1"/>
    <w:basedOn w:val="1"/>
    <w:next w:val="1"/>
    <w:autoRedefine/>
    <w:qFormat/>
    <w:uiPriority w:val="0"/>
    <w:pPr>
      <w:keepNext/>
      <w:keepLines/>
      <w:numPr>
        <w:ilvl w:val="0"/>
        <w:numId w:val="1"/>
      </w:numPr>
      <w:outlineLvl w:val="0"/>
    </w:pPr>
    <w:rPr>
      <w:b/>
      <w:kern w:val="0"/>
      <w:sz w:val="28"/>
      <w:szCs w:val="28"/>
    </w:rPr>
  </w:style>
  <w:style w:type="paragraph" w:styleId="6">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7">
    <w:name w:val="heading 3"/>
    <w:basedOn w:val="1"/>
    <w:next w:val="1"/>
    <w:autoRedefine/>
    <w:qFormat/>
    <w:uiPriority w:val="0"/>
    <w:pPr>
      <w:keepNext/>
      <w:keepLines/>
      <w:spacing w:line="360" w:lineRule="auto"/>
      <w:ind w:firstLine="200" w:firstLineChars="200"/>
      <w:outlineLvl w:val="2"/>
    </w:pPr>
    <w:rPr>
      <w:bCs/>
      <w:szCs w:val="28"/>
    </w:rPr>
  </w:style>
  <w:style w:type="paragraph" w:styleId="8">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rFonts w:ascii="宋体" w:hAnsi="宋体"/>
    </w:rPr>
  </w:style>
  <w:style w:type="paragraph" w:customStyle="1" w:styleId="3">
    <w:name w:val="表头"/>
    <w:basedOn w:val="4"/>
    <w:next w:val="1"/>
    <w:autoRedefine/>
    <w:qFormat/>
    <w:uiPriority w:val="0"/>
    <w:pPr>
      <w:numPr>
        <w:ilvl w:val="0"/>
        <w:numId w:val="3"/>
      </w:numPr>
      <w:adjustRightInd w:val="0"/>
      <w:snapToGrid w:val="0"/>
      <w:jc w:val="center"/>
    </w:pPr>
    <w:rPr>
      <w:b/>
      <w:color w:val="000000"/>
      <w:szCs w:val="21"/>
    </w:rPr>
  </w:style>
  <w:style w:type="paragraph" w:styleId="4">
    <w:name w:val="List"/>
    <w:basedOn w:val="1"/>
    <w:next w:val="1"/>
    <w:qFormat/>
    <w:uiPriority w:val="0"/>
    <w:pPr>
      <w:ind w:left="200" w:hanging="200" w:hangingChars="200"/>
    </w:p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Body Text 2"/>
    <w:basedOn w:val="1"/>
    <w:autoRedefine/>
    <w:unhideWhenUsed/>
    <w:qFormat/>
    <w:uiPriority w:val="99"/>
    <w:pPr>
      <w:spacing w:after="120" w:line="480" w:lineRule="auto"/>
    </w:pPr>
  </w:style>
  <w:style w:type="paragraph" w:styleId="17">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25"/>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4">
    <w:name w:val="纯文本1"/>
    <w:basedOn w:val="1"/>
    <w:autoRedefine/>
    <w:qFormat/>
    <w:uiPriority w:val="0"/>
    <w:pPr>
      <w:adjustRightInd w:val="0"/>
      <w:textAlignment w:val="baseline"/>
    </w:pPr>
    <w:rPr>
      <w:rFonts w:ascii="宋体" w:hAnsi="Courier New"/>
      <w:szCs w:val="20"/>
    </w:rPr>
  </w:style>
  <w:style w:type="paragraph" w:customStyle="1" w:styleId="25">
    <w:name w:val="样式1"/>
    <w:basedOn w:val="14"/>
    <w:next w:val="1"/>
    <w:autoRedefine/>
    <w:qFormat/>
    <w:uiPriority w:val="0"/>
    <w:pPr>
      <w:ind w:firstLine="0"/>
    </w:pPr>
    <w:rPr>
      <w:rFonts w:ascii="Times New Roman"/>
      <w:b/>
      <w:sz w:val="30"/>
    </w:rPr>
  </w:style>
  <w:style w:type="paragraph" w:customStyle="1" w:styleId="26">
    <w:name w:val="Char"/>
    <w:basedOn w:val="1"/>
    <w:autoRedefine/>
    <w:qFormat/>
    <w:uiPriority w:val="0"/>
    <w:rPr>
      <w:rFonts w:cs="宋体"/>
      <w:sz w:val="28"/>
    </w:rPr>
  </w:style>
  <w:style w:type="paragraph" w:customStyle="1" w:styleId="27">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8">
    <w:name w:val="表字-书"/>
    <w:basedOn w:val="1"/>
    <w:autoRedefine/>
    <w:qFormat/>
    <w:uiPriority w:val="0"/>
    <w:pPr>
      <w:spacing w:line="240" w:lineRule="exact"/>
      <w:ind w:firstLine="0" w:firstLineChars="0"/>
      <w:jc w:val="center"/>
    </w:pPr>
    <w:rPr>
      <w:rFonts w:hAnsi="宋体"/>
      <w:sz w:val="21"/>
      <w:szCs w:val="21"/>
    </w:rPr>
  </w:style>
  <w:style w:type="paragraph" w:customStyle="1" w:styleId="29">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1665</Words>
  <Characters>1772</Characters>
  <Lines>11</Lines>
  <Paragraphs>3</Paragraphs>
  <TotalTime>18</TotalTime>
  <ScaleCrop>false</ScaleCrop>
  <LinksUpToDate>false</LinksUpToDate>
  <CharactersWithSpaces>1811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2024-07-05T10:47:52Z</cp:lastPrinted>
  <dcterms:modified xsi:type="dcterms:W3CDTF">2024-07-05T11:02:18Z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F6A64C7E2DEC4CF8AB737C43A4377B82_13</vt:lpwstr>
  </property>
</Properties>
</file>